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175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17588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Nishimura Mika</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(Last)</w:t>
            </w:r>
          </w:p>
        </w:tc>
        <w:tc>
          <w:tcPr>
            <w:tcW w:w="1120" w:type="dxa"/>
            <w:vAlign w:val="bottom"/>
          </w:tcPr>
          <w:p>
            <w:pPr>
              <w:ind w:left="320"/>
              <w:spacing w:after="0"/>
              <w:rPr>
                <w:sz w:val="20"/>
                <w:szCs w:val="20"/>
                <w:color w:val="auto"/>
              </w:rPr>
            </w:pPr>
            <w:r>
              <w:rPr>
                <w:rFonts w:ascii="Arial" w:cs="Arial" w:eastAsia="Arial" w:hAnsi="Arial"/>
                <w:sz w:val="14"/>
                <w:szCs w:val="14"/>
                <w:color w:val="auto"/>
              </w:rPr>
              <w:t>(First)</w:t>
            </w:r>
          </w:p>
        </w:tc>
        <w:tc>
          <w:tcPr>
            <w:tcW w:w="1600" w:type="dxa"/>
            <w:vAlign w:val="bottom"/>
          </w:tcPr>
          <w:p>
            <w:pPr>
              <w:ind w:left="42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0000FF"/>
              </w:rPr>
              <w:t>C/O SI-BONE, INC.</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471 EL CAMINO REAL, SUITE 101</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SANTA</w:t>
            </w:r>
          </w:p>
        </w:tc>
        <w:tc>
          <w:tcPr>
            <w:tcW w:w="1120" w:type="dxa"/>
            <w:vAlign w:val="bottom"/>
            <w:vMerge w:val="restart"/>
          </w:tcPr>
          <w:p>
            <w:pPr>
              <w:ind w:left="320"/>
              <w:spacing w:after="0"/>
              <w:rPr>
                <w:sz w:val="20"/>
                <w:szCs w:val="20"/>
                <w:color w:val="auto"/>
              </w:rPr>
            </w:pPr>
            <w:r>
              <w:rPr>
                <w:rFonts w:ascii="Arial" w:cs="Arial" w:eastAsia="Arial" w:hAnsi="Arial"/>
                <w:sz w:val="18"/>
                <w:szCs w:val="18"/>
                <w:color w:val="0000FF"/>
              </w:rPr>
              <w:t>CA</w:t>
            </w:r>
          </w:p>
        </w:tc>
        <w:tc>
          <w:tcPr>
            <w:tcW w:w="1600" w:type="dxa"/>
            <w:vAlign w:val="bottom"/>
            <w:vMerge w:val="restart"/>
          </w:tcPr>
          <w:p>
            <w:pPr>
              <w:ind w:left="420"/>
              <w:spacing w:after="0"/>
              <w:rPr>
                <w:sz w:val="20"/>
                <w:szCs w:val="20"/>
                <w:color w:val="auto"/>
              </w:rPr>
            </w:pPr>
            <w:r>
              <w:rPr>
                <w:rFonts w:ascii="Arial" w:cs="Arial" w:eastAsia="Arial" w:hAnsi="Arial"/>
                <w:sz w:val="18"/>
                <w:szCs w:val="18"/>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20" w:type="dxa"/>
            <w:vAlign w:val="bottom"/>
            <w:vMerge w:val="restart"/>
          </w:tcPr>
          <w:p>
            <w:pPr>
              <w:spacing w:after="0"/>
              <w:rPr>
                <w:sz w:val="20"/>
                <w:szCs w:val="20"/>
                <w:color w:val="auto"/>
              </w:rPr>
            </w:pPr>
            <w:r>
              <w:rPr>
                <w:rFonts w:ascii="Arial" w:cs="Arial" w:eastAsia="Arial" w:hAnsi="Arial"/>
                <w:sz w:val="18"/>
                <w:szCs w:val="18"/>
                <w:color w:val="0000FF"/>
              </w:rPr>
              <w:t>CLARA</w:t>
            </w:r>
          </w:p>
        </w:tc>
        <w:tc>
          <w:tcPr>
            <w:tcW w:w="11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3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SI-BONE,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SIBN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4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360" w:type="dxa"/>
            <w:vAlign w:val="bottom"/>
            <w:gridSpan w:val="3"/>
          </w:tcPr>
          <w:p>
            <w:pPr>
              <w:ind w:left="80"/>
              <w:spacing w:after="0"/>
              <w:rPr>
                <w:sz w:val="20"/>
                <w:szCs w:val="20"/>
                <w:color w:val="auto"/>
              </w:rPr>
            </w:pPr>
            <w:r>
              <w:rPr>
                <w:rFonts w:ascii="Arial" w:cs="Arial" w:eastAsia="Arial" w:hAnsi="Arial"/>
                <w:sz w:val="18"/>
                <w:szCs w:val="18"/>
                <w:color w:val="0000FF"/>
              </w:rPr>
              <w:t>06/09/2023</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24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64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30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4"/>
                <w:szCs w:val="14"/>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3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06/09/2023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4"/>
                <w:szCs w:val="14"/>
                <w:color w:val="0000FF"/>
              </w:rPr>
              <w:t>A</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5"/>
              </w:rPr>
              <w:t>4,866</w:t>
            </w:r>
            <w:r>
              <w:rPr>
                <w:rFonts w:ascii="Arial" w:cs="Arial" w:eastAsia="Arial" w:hAnsi="Arial"/>
                <w:sz w:val="22"/>
                <w:szCs w:val="22"/>
                <w:color w:val="008000"/>
                <w:w w:val="85"/>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58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0.00</w:t>
            </w:r>
          </w:p>
        </w:tc>
        <w:tc>
          <w:tcPr>
            <w:tcW w:w="118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21,850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Number</w:t>
            </w:r>
          </w:p>
        </w:tc>
        <w:tc>
          <w:tcPr>
            <w:tcW w:w="15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3" w:lineRule="exact"/>
        <w:rPr>
          <w:rFonts w:ascii="Arial" w:cs="Arial" w:eastAsia="Arial" w:hAnsi="Arial"/>
          <w:sz w:val="12"/>
          <w:szCs w:val="12"/>
          <w:color w:val="008000"/>
        </w:rPr>
      </w:pPr>
    </w:p>
    <w:p>
      <w:pPr>
        <w:ind w:left="40" w:right="3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4,866 shares issuable on the settlement of restricted stock units granted to the Reporting Person. Each restricted stock unit represents a contingent right to receive one share of the Issuer's common stock.</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Michael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9194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19480"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Attorney-in-Fact for Mika</w:t>
      </w:r>
      <w:r>
        <w:rPr>
          <w:sz w:val="20"/>
          <w:szCs w:val="20"/>
          <w:color w:val="auto"/>
        </w:rPr>
        <w:tab/>
      </w:r>
      <w:r>
        <w:rPr>
          <w:rFonts w:ascii="Arial" w:cs="Arial" w:eastAsia="Arial" w:hAnsi="Arial"/>
          <w:sz w:val="15"/>
          <w:szCs w:val="15"/>
          <w:color w:val="0000FF"/>
        </w:rPr>
        <w:t>06/13/2023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Nishimura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4711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1170"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2" w:lineRule="exact"/>
        <w:rPr>
          <w:sz w:val="20"/>
          <w:szCs w:val="20"/>
          <w:color w:val="auto"/>
        </w:rPr>
      </w:pPr>
    </w:p>
    <w:p>
      <w:pPr>
        <w:ind w:right="1959"/>
        <w:spacing w:after="0" w:line="254"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151" w:lineRule="exact"/>
        <w:rPr>
          <w:sz w:val="20"/>
          <w:szCs w:val="20"/>
          <w:color w:val="auto"/>
        </w:rPr>
      </w:pPr>
    </w:p>
    <w:p>
      <w:pPr>
        <w:ind w:right="1219" w:firstLine="8"/>
        <w:spacing w:after="0" w:line="247" w:lineRule="auto"/>
        <w:tabs>
          <w:tab w:leader="none" w:pos="84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160" w:lineRule="exact"/>
        <w:rPr>
          <w:rFonts w:ascii="Courier New" w:cs="Courier New" w:eastAsia="Courier New" w:hAnsi="Courier New"/>
          <w:sz w:val="18"/>
          <w:szCs w:val="18"/>
          <w:color w:val="auto"/>
        </w:rPr>
      </w:pPr>
    </w:p>
    <w:p>
      <w:pPr>
        <w:ind w:right="1419" w:firstLine="8"/>
        <w:spacing w:after="0" w:line="250" w:lineRule="auto"/>
        <w:tabs>
          <w:tab w:leader="none" w:pos="84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154" w:lineRule="exact"/>
        <w:rPr>
          <w:rFonts w:ascii="Courier New" w:cs="Courier New" w:eastAsia="Courier New" w:hAnsi="Courier New"/>
          <w:sz w:val="18"/>
          <w:szCs w:val="18"/>
          <w:color w:val="auto"/>
        </w:rPr>
      </w:pPr>
    </w:p>
    <w:p>
      <w:pPr>
        <w:ind w:right="1519" w:firstLine="8"/>
        <w:spacing w:after="0" w:line="246" w:lineRule="auto"/>
        <w:tabs>
          <w:tab w:leader="none" w:pos="84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59" w:lineRule="exact"/>
        <w:rPr>
          <w:sz w:val="20"/>
          <w:szCs w:val="20"/>
          <w:color w:val="auto"/>
        </w:rPr>
      </w:pPr>
    </w:p>
    <w:p>
      <w:pPr>
        <w:ind w:right="1519"/>
        <w:spacing w:after="0" w:line="242"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69" w:lineRule="exact"/>
        <w:rPr>
          <w:sz w:val="20"/>
          <w:szCs w:val="20"/>
          <w:color w:val="auto"/>
        </w:rPr>
      </w:pPr>
    </w:p>
    <w:p>
      <w:pPr>
        <w:ind w:right="1639"/>
        <w:spacing w:after="0" w:line="246"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159" w:lineRule="exact"/>
        <w:rPr>
          <w:sz w:val="20"/>
          <w:szCs w:val="20"/>
          <w:color w:val="auto"/>
        </w:rPr>
      </w:pPr>
    </w:p>
    <w:p>
      <w:pPr>
        <w:ind w:right="2059"/>
        <w:spacing w:after="0" w:line="284"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February 23, 2021.</w:t>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Mika Nishimura</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Mika Nishimura</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48327"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2023-06-13T15:35:43Z</dcterms:created>
  <dcterms:modified xsi:type="dcterms:W3CDTF">2023-06-13T15:35:43Z</dcterms:modified>
</cp:coreProperties>
</file>