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reported):July 18, 2024</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2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1483360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On July 18, 2024, SI-BONE, Inc. (the “Company”) and BIXBY SPE FINANCE 11, LLC (“Landlord”) entered into the Second Amendment (the “Second Lease Amendment”) to the Office Lease Agreement (the “Original Lease”) dated as of February 2, 2018, as amended by that certain First Amendment to Lease (the “First Amendment”) dated as of April 16, 2018 (collectively, as amended, the “Lease”). The Lease is for 21,848 square feet of office space located at 471 El Camino Real, Santa Clara, California, the Company’s corporate headquarters.</w:t>
      </w:r>
    </w:p>
    <w:p>
      <w:pPr>
        <w:spacing w:after="0" w:line="20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Pursuant to the Second Lease Amendment, the Company and Landlord agreed to extend the term of the Lease for an additional period of fourteen months commencing on June 1, 2025 (the “Extension Date”), and expiring July 31, 2026 (the “Expiration Date”) with the base rent in the amount of $43,696 per month. The Company shall not be required to pay monthly base rent for the first three months from and after the Extension Date. Pursuant to the Second Lease Amendment, the Company agreed to continue to pay its share of operating expenses and taxes through the Expiration Date. The Second Lease Amendment terminates the 5-year extension option contained in the Original Lease.</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Lease Amendment does not purport to be complete and is qualified in its entirety by reference to the full text of the Second Lease Amendment, which is attached hereto as Exhibit 10.1 and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Entry into a Material Definitive Agreement” is incorporated by reference herein in its entirety.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gridSpan w:val="2"/>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Second Amendment to Lease, dated July 18, 2024, between SI-BONE, Inc and BIXBY SPE FINANCE 11, LLC</w:t>
            </w:r>
          </w:p>
        </w:tc>
        <w:tc>
          <w:tcPr>
            <w:tcW w:w="1920" w:type="dxa"/>
            <w:vAlign w:val="bottom"/>
            <w:gridSpan w:val="2"/>
          </w:tcPr>
          <w:p>
            <w:pPr>
              <w:spacing w:after="0"/>
              <w:rPr>
                <w:sz w:val="24"/>
                <w:szCs w:val="24"/>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979"/>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July 19, 2024</w:t>
            </w: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STATION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AMENDMENT TO 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b w:val="1"/>
          <w:bCs w:val="1"/>
          <w:color w:val="auto"/>
        </w:rPr>
        <w:t xml:space="preserve">THIS SECOND AMENDMENT TO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July 18, 2024, by and between</w:t>
      </w:r>
      <w:r>
        <w:rPr>
          <w:rFonts w:ascii="Arial" w:cs="Arial" w:eastAsia="Arial" w:hAnsi="Arial"/>
          <w:sz w:val="18"/>
          <w:szCs w:val="18"/>
          <w:b w:val="1"/>
          <w:bCs w:val="1"/>
          <w:color w:val="auto"/>
        </w:rPr>
        <w:t xml:space="preserve"> BIXBY SPE FINANCE 11,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56"/>
        <w:spacing w:after="0" w:line="262" w:lineRule="auto"/>
        <w:tabs>
          <w:tab w:leader="none" w:pos="10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Office Lease Agreement (the “</w:t>
      </w:r>
      <w:r>
        <w:rPr>
          <w:rFonts w:ascii="Arial" w:cs="Arial" w:eastAsia="Arial" w:hAnsi="Arial"/>
          <w:sz w:val="18"/>
          <w:szCs w:val="18"/>
          <w:b w:val="1"/>
          <w:bCs w:val="1"/>
          <w:color w:val="auto"/>
        </w:rPr>
        <w:t>Original Lease</w:t>
      </w:r>
      <w:r>
        <w:rPr>
          <w:rFonts w:ascii="Arial" w:cs="Arial" w:eastAsia="Arial" w:hAnsi="Arial"/>
          <w:sz w:val="18"/>
          <w:szCs w:val="18"/>
          <w:color w:val="auto"/>
        </w:rPr>
        <w:t>”) dated as of February 2, 2018, as amended by that certain First Amendment to Lease (the “</w:t>
      </w:r>
      <w:r>
        <w:rPr>
          <w:rFonts w:ascii="Arial" w:cs="Arial" w:eastAsia="Arial" w:hAnsi="Arial"/>
          <w:sz w:val="18"/>
          <w:szCs w:val="18"/>
          <w:b w:val="1"/>
          <w:bCs w:val="1"/>
          <w:color w:val="auto"/>
        </w:rPr>
        <w:t>First Amendment</w:t>
      </w:r>
      <w:r>
        <w:rPr>
          <w:rFonts w:ascii="Arial" w:cs="Arial" w:eastAsia="Arial" w:hAnsi="Arial"/>
          <w:sz w:val="18"/>
          <w:szCs w:val="18"/>
          <w:color w:val="auto"/>
        </w:rPr>
        <w:t>”) dated as of April 16, 2018 (collectively, as amended, the “</w:t>
      </w:r>
      <w:r>
        <w:rPr>
          <w:rFonts w:ascii="Arial" w:cs="Arial" w:eastAsia="Arial" w:hAnsi="Arial"/>
          <w:sz w:val="18"/>
          <w:szCs w:val="18"/>
          <w:b w:val="1"/>
          <w:bCs w:val="1"/>
          <w:color w:val="auto"/>
        </w:rPr>
        <w:t>Lease</w:t>
      </w:r>
      <w:r>
        <w:rPr>
          <w:rFonts w:ascii="Arial" w:cs="Arial" w:eastAsia="Arial" w:hAnsi="Arial"/>
          <w:sz w:val="18"/>
          <w:szCs w:val="18"/>
          <w:color w:val="auto"/>
        </w:rPr>
        <w:t>”), with respect to certain Premises within that certain Building located at 471 El Camino Real, Santa Clara, California. All capitalized terms used herein and not otherwise defined herein shall have the meanings set forth in the Lease.</w:t>
      </w:r>
    </w:p>
    <w:p>
      <w:pPr>
        <w:spacing w:after="0" w:line="176" w:lineRule="exact"/>
        <w:rPr>
          <w:rFonts w:ascii="Arial" w:cs="Arial" w:eastAsia="Arial" w:hAnsi="Arial"/>
          <w:sz w:val="18"/>
          <w:szCs w:val="18"/>
          <w:b w:val="1"/>
          <w:bCs w:val="1"/>
          <w:color w:val="auto"/>
        </w:rPr>
      </w:pPr>
    </w:p>
    <w:p>
      <w:pPr>
        <w:ind w:firstLine="656"/>
        <w:spacing w:after="0" w:line="287" w:lineRule="auto"/>
        <w:tabs>
          <w:tab w:leader="none" w:pos="1051"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Pursuant to the Lease, Tenant leases from Landlord the Premises designated as Suite 101, consisting of approximately 21,848 rentable square feet located on the first (1</w:t>
      </w:r>
      <w:r>
        <w:rPr>
          <w:rFonts w:ascii="Arial" w:cs="Arial" w:eastAsia="Arial" w:hAnsi="Arial"/>
          <w:sz w:val="23"/>
          <w:szCs w:val="23"/>
          <w:color w:val="auto"/>
          <w:vertAlign w:val="superscript"/>
        </w:rPr>
        <w:t>st</w:t>
      </w:r>
      <w:r>
        <w:rPr>
          <w:rFonts w:ascii="Arial" w:cs="Arial" w:eastAsia="Arial" w:hAnsi="Arial"/>
          <w:sz w:val="18"/>
          <w:szCs w:val="18"/>
          <w:color w:val="auto"/>
        </w:rPr>
        <w:t>) floor of the Building, as more particularly described in the Lease.</w:t>
      </w:r>
    </w:p>
    <w:p>
      <w:pPr>
        <w:spacing w:after="0" w:line="84" w:lineRule="exact"/>
        <w:rPr>
          <w:rFonts w:ascii="Arial" w:cs="Arial" w:eastAsia="Arial" w:hAnsi="Arial"/>
          <w:sz w:val="18"/>
          <w:szCs w:val="18"/>
          <w:b w:val="1"/>
          <w:bCs w:val="1"/>
          <w:color w:val="auto"/>
        </w:rPr>
      </w:pPr>
    </w:p>
    <w:p>
      <w:pPr>
        <w:jc w:val="both"/>
        <w:ind w:firstLine="656"/>
        <w:spacing w:after="0" w:line="268" w:lineRule="auto"/>
        <w:tabs>
          <w:tab w:leader="none" w:pos="116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(as Owner) and Tenant (as Licensee) are parties to that certain Telecommunications License Agreement dated October 23, 2019 (the “</w:t>
      </w:r>
      <w:r>
        <w:rPr>
          <w:rFonts w:ascii="Arial" w:cs="Arial" w:eastAsia="Arial" w:hAnsi="Arial"/>
          <w:sz w:val="18"/>
          <w:szCs w:val="18"/>
          <w:b w:val="1"/>
          <w:bCs w:val="1"/>
          <w:color w:val="auto"/>
        </w:rPr>
        <w:t>License Agreement</w:t>
      </w:r>
      <w:r>
        <w:rPr>
          <w:rFonts w:ascii="Arial" w:cs="Arial" w:eastAsia="Arial" w:hAnsi="Arial"/>
          <w:sz w:val="18"/>
          <w:szCs w:val="18"/>
          <w:color w:val="auto"/>
        </w:rPr>
        <w:t>”). Pursuant to the License Agreement, Tenant has the License to use the License Space and the Approved Facilities at the Building for the Permitted Use thereunder (as such terms are defined in the License Agreement).</w:t>
      </w:r>
    </w:p>
    <w:p>
      <w:pPr>
        <w:spacing w:after="0" w:line="170" w:lineRule="exact"/>
        <w:rPr>
          <w:rFonts w:ascii="Arial" w:cs="Arial" w:eastAsia="Arial" w:hAnsi="Arial"/>
          <w:sz w:val="18"/>
          <w:szCs w:val="18"/>
          <w:b w:val="1"/>
          <w:bCs w:val="1"/>
          <w:color w:val="auto"/>
        </w:rPr>
      </w:pPr>
    </w:p>
    <w:p>
      <w:pPr>
        <w:ind w:firstLine="656"/>
        <w:spacing w:after="0" w:line="287" w:lineRule="auto"/>
        <w:tabs>
          <w:tab w:leader="none" w:pos="106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and Tenant desire to amend the Lease to extend the initial Term of the Lease, and to modify other provisions of the Lease, as more particularly described herein.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Landlord and Tenant agree that the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as follows:</w:t>
      </w:r>
    </w:p>
    <w:p>
      <w:pPr>
        <w:spacing w:after="0" w:line="153" w:lineRule="exact"/>
        <w:rPr>
          <w:sz w:val="20"/>
          <w:szCs w:val="20"/>
          <w:color w:val="auto"/>
        </w:rPr>
      </w:pPr>
    </w:p>
    <w:p>
      <w:pPr>
        <w:jc w:val="both"/>
        <w:ind w:firstLine="656"/>
        <w:spacing w:after="0" w:line="257" w:lineRule="auto"/>
        <w:tabs>
          <w:tab w:leader="none" w:pos="12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the Term</w:t>
      </w:r>
      <w:r>
        <w:rPr>
          <w:rFonts w:ascii="Arial" w:cs="Arial" w:eastAsia="Arial" w:hAnsi="Arial"/>
          <w:sz w:val="18"/>
          <w:szCs w:val="18"/>
          <w:color w:val="auto"/>
        </w:rPr>
        <w:t>. It is hereby confirmed and agreed that the Term of the Lease is currently scheduled to expire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the Lease on May 31, 2025. Effective as of the date hereof, the Term is hereby extended (the “</w:t>
      </w:r>
      <w:r>
        <w:rPr>
          <w:rFonts w:ascii="Arial" w:cs="Arial" w:eastAsia="Arial" w:hAnsi="Arial"/>
          <w:sz w:val="18"/>
          <w:szCs w:val="18"/>
          <w:b w:val="1"/>
          <w:bCs w:val="1"/>
          <w:color w:val="auto"/>
        </w:rPr>
        <w:t>Extended Term</w:t>
      </w:r>
      <w:r>
        <w:rPr>
          <w:rFonts w:ascii="Arial" w:cs="Arial" w:eastAsia="Arial" w:hAnsi="Arial"/>
          <w:sz w:val="18"/>
          <w:szCs w:val="18"/>
          <w:color w:val="auto"/>
        </w:rPr>
        <w:t>”) for an additional period of fourteen (14) months, commencing June 1, 2025 (the “</w:t>
      </w:r>
      <w:r>
        <w:rPr>
          <w:rFonts w:ascii="Arial" w:cs="Arial" w:eastAsia="Arial" w:hAnsi="Arial"/>
          <w:sz w:val="18"/>
          <w:szCs w:val="18"/>
          <w:b w:val="1"/>
          <w:bCs w:val="1"/>
          <w:color w:val="auto"/>
        </w:rPr>
        <w:t>Extension Date</w:t>
      </w:r>
      <w:r>
        <w:rPr>
          <w:rFonts w:ascii="Arial" w:cs="Arial" w:eastAsia="Arial" w:hAnsi="Arial"/>
          <w:sz w:val="18"/>
          <w:szCs w:val="18"/>
          <w:color w:val="auto"/>
        </w:rPr>
        <w:t>”), and expiring July 31, 2026 (the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From and after the date hereof, all references to the “Term” in the Lease and this Amendment shall be deemed references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Lease, as extended by this Amendment, and all references to the “Expiration Date” in the Lease and this Amendment shall be deemed references to the Expiration Date, as defined herein (July 31, 2026).</w:t>
      </w:r>
    </w:p>
    <w:p>
      <w:pPr>
        <w:spacing w:after="0" w:line="182" w:lineRule="exact"/>
        <w:rPr>
          <w:rFonts w:ascii="Arial" w:cs="Arial" w:eastAsia="Arial" w:hAnsi="Arial"/>
          <w:sz w:val="18"/>
          <w:szCs w:val="18"/>
          <w:b w:val="1"/>
          <w:bCs w:val="1"/>
          <w:color w:val="auto"/>
        </w:rPr>
      </w:pPr>
    </w:p>
    <w:p>
      <w:pPr>
        <w:jc w:val="both"/>
        <w:ind w:right="20" w:firstLine="656"/>
        <w:spacing w:after="0" w:line="273" w:lineRule="auto"/>
        <w:tabs>
          <w:tab w:leader="none" w:pos="12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and Use of Premises</w:t>
      </w:r>
      <w:r>
        <w:rPr>
          <w:rFonts w:ascii="Arial" w:cs="Arial" w:eastAsia="Arial" w:hAnsi="Arial"/>
          <w:sz w:val="18"/>
          <w:szCs w:val="18"/>
          <w:color w:val="auto"/>
        </w:rPr>
        <w:t>. Landlord shall have no obligation whatsoever to construct leasehold improvements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to repair or refurbish the Premises. Tenant confirms that (a) it has accepted the Premises and will continue to occupy such space “</w:t>
      </w:r>
      <w:r>
        <w:rPr>
          <w:rFonts w:ascii="Arial" w:cs="Arial" w:eastAsia="Arial" w:hAnsi="Arial"/>
          <w:sz w:val="18"/>
          <w:szCs w:val="18"/>
          <w:b w:val="1"/>
          <w:bCs w:val="1"/>
          <w:color w:val="auto"/>
        </w:rPr>
        <w:t>AS-IS</w:t>
      </w:r>
      <w:r>
        <w:rPr>
          <w:rFonts w:ascii="Arial" w:cs="Arial" w:eastAsia="Arial" w:hAnsi="Arial"/>
          <w:sz w:val="18"/>
          <w:szCs w:val="18"/>
          <w:color w:val="auto"/>
        </w:rPr>
        <w:t>”, (b) the Premises are suited for the use intended by Tenant, and (c) the Premises are in good and satisfactory condition.</w:t>
      </w:r>
    </w:p>
    <w:p>
      <w:pPr>
        <w:spacing w:after="0" w:line="157" w:lineRule="exact"/>
        <w:rPr>
          <w:rFonts w:ascii="Arial" w:cs="Arial" w:eastAsia="Arial" w:hAnsi="Arial"/>
          <w:sz w:val="18"/>
          <w:szCs w:val="18"/>
          <w:b w:val="1"/>
          <w:bCs w:val="1"/>
          <w:color w:val="auto"/>
        </w:rPr>
      </w:pPr>
    </w:p>
    <w:p>
      <w:pPr>
        <w:ind w:right="20" w:firstLine="656"/>
        <w:spacing w:after="0" w:line="287" w:lineRule="auto"/>
        <w:tabs>
          <w:tab w:leader="none" w:pos="12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In addition to all other amounts due and payable by Tenant under the Lease, as amended, Tenant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pursuant to the terms of the Lease, as amended.</w:t>
      </w:r>
    </w:p>
    <w:p>
      <w:pPr>
        <w:spacing w:after="0" w:line="152" w:lineRule="exact"/>
        <w:rPr>
          <w:rFonts w:ascii="Arial" w:cs="Arial" w:eastAsia="Arial" w:hAnsi="Arial"/>
          <w:sz w:val="18"/>
          <w:szCs w:val="18"/>
          <w:b w:val="1"/>
          <w:bCs w:val="1"/>
          <w:color w:val="auto"/>
        </w:rPr>
      </w:pPr>
    </w:p>
    <w:p>
      <w:pPr>
        <w:jc w:val="both"/>
        <w:ind w:firstLine="1304"/>
        <w:spacing w:after="0" w:line="268" w:lineRule="auto"/>
        <w:tabs>
          <w:tab w:leader="none" w:pos="1932"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Base Rent From and After Extension Date</w:t>
      </w:r>
      <w:r>
        <w:rPr>
          <w:rFonts w:ascii="Arial" w:cs="Arial" w:eastAsia="Arial" w:hAnsi="Arial"/>
          <w:sz w:val="18"/>
          <w:szCs w:val="18"/>
          <w:color w:val="auto"/>
        </w:rPr>
        <w:t>. From and after the Extension Date, and continuing through to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Expiration Date hereunder, Tenant shall pay Base Rent in the amount of $43,696.00 per month (calculated at the rate of $2.00 per rentable square foot of the Premises per month).</w:t>
      </w:r>
    </w:p>
    <w:p>
      <w:pPr>
        <w:sectPr>
          <w:pgSz w:w="11900" w:h="16838" w:orient="portrait"/>
          <w:cols w:equalWidth="0" w:num="1">
            <w:col w:w="11240"/>
          </w:cols>
          <w:pgMar w:left="320" w:top="1160" w:right="339" w:bottom="1440" w:gutter="0" w:footer="0" w:header="0"/>
        </w:sectPr>
      </w:pPr>
    </w:p>
    <w:bookmarkStart w:id="4" w:name="page5"/>
    <w:bookmarkEnd w:id="4"/>
    <w:p>
      <w:pPr>
        <w:jc w:val="both"/>
        <w:ind w:firstLine="1304"/>
        <w:spacing w:after="0" w:line="245" w:lineRule="auto"/>
        <w:tabs>
          <w:tab w:leader="none" w:pos="1932"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Rent Abatement</w:t>
      </w:r>
      <w:r>
        <w:rPr>
          <w:rFonts w:ascii="Arial" w:cs="Arial" w:eastAsia="Arial" w:hAnsi="Arial"/>
          <w:sz w:val="18"/>
          <w:szCs w:val="18"/>
          <w:color w:val="auto"/>
        </w:rPr>
        <w:t>. Notwithstanding anything to the contrary contained in the Lease and provided that no Default by</w:t>
      </w:r>
      <w:r>
        <w:rPr>
          <w:rFonts w:ascii="Arial" w:cs="Arial" w:eastAsia="Arial" w:hAnsi="Arial"/>
          <w:sz w:val="18"/>
          <w:szCs w:val="18"/>
          <w:i w:val="1"/>
          <w:iCs w:val="1"/>
          <w:color w:val="auto"/>
        </w:rPr>
        <w:t xml:space="preserve"> </w:t>
      </w:r>
      <w:r>
        <w:rPr>
          <w:rFonts w:ascii="Arial" w:cs="Arial" w:eastAsia="Arial" w:hAnsi="Arial"/>
          <w:sz w:val="18"/>
          <w:szCs w:val="18"/>
          <w:color w:val="auto"/>
        </w:rPr>
        <w:t>Tenant occurs under the Lease and continues to exist beyond the expiration of any applicable notice and cure periods under the Lease, Landlord hereby agrees that Tenant shall not be required to pay monthly Base Rent for the first (1</w:t>
      </w:r>
      <w:r>
        <w:rPr>
          <w:rFonts w:ascii="Arial" w:cs="Arial" w:eastAsia="Arial" w:hAnsi="Arial"/>
          <w:sz w:val="23"/>
          <w:szCs w:val="23"/>
          <w:color w:val="auto"/>
          <w:vertAlign w:val="superscript"/>
        </w:rPr>
        <w:t>st</w:t>
      </w:r>
      <w:r>
        <w:rPr>
          <w:rFonts w:ascii="Arial" w:cs="Arial" w:eastAsia="Arial" w:hAnsi="Arial"/>
          <w:sz w:val="18"/>
          <w:szCs w:val="18"/>
          <w:color w:val="auto"/>
        </w:rPr>
        <w:t>) three (3) months from and after the Extension Date (the “</w:t>
      </w:r>
      <w:r>
        <w:rPr>
          <w:rFonts w:ascii="Arial" w:cs="Arial" w:eastAsia="Arial" w:hAnsi="Arial"/>
          <w:sz w:val="18"/>
          <w:szCs w:val="18"/>
          <w:b w:val="1"/>
          <w:bCs w:val="1"/>
          <w:color w:val="auto"/>
        </w:rPr>
        <w:t>Abatement Period</w:t>
      </w:r>
      <w:r>
        <w:rPr>
          <w:rFonts w:ascii="Arial" w:cs="Arial" w:eastAsia="Arial" w:hAnsi="Arial"/>
          <w:sz w:val="18"/>
          <w:szCs w:val="18"/>
          <w:color w:val="auto"/>
        </w:rPr>
        <w:t>”). During the Abatement Period, Tenant shall still be responsible for the payment of all of its other monetary obligations under the Lease. In the event of a Default by Tenant under the terms of the Lease that results in termination of the Lease in accordance with the provisions of Section 19 (Events of Default) of the Original Lease, then as a part of the recovery set forth in Section 20 (Remedies) of the Original Lease, Landlord shall be entitled to the recovery of the monthly Base Rent that was abated under the provisions of this Section 3.b (Rent Abatement).</w:t>
      </w:r>
    </w:p>
    <w:p>
      <w:pPr>
        <w:spacing w:after="0" w:line="194" w:lineRule="exact"/>
        <w:rPr>
          <w:rFonts w:ascii="Arial" w:cs="Arial" w:eastAsia="Arial" w:hAnsi="Arial"/>
          <w:sz w:val="18"/>
          <w:szCs w:val="18"/>
          <w:color w:val="auto"/>
        </w:rPr>
      </w:pPr>
    </w:p>
    <w:p>
      <w:pPr>
        <w:ind w:firstLine="656"/>
        <w:spacing w:after="0" w:line="287"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Taxes</w:t>
      </w:r>
      <w:r>
        <w:rPr>
          <w:rFonts w:ascii="Arial" w:cs="Arial" w:eastAsia="Arial" w:hAnsi="Arial"/>
          <w:sz w:val="18"/>
          <w:szCs w:val="18"/>
          <w:color w:val="auto"/>
        </w:rPr>
        <w:t>. In addition to all other amounts due and payable by Tenant under the Lease,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Tenant’s Share of Operating Expenses and Taxes pursuant to the terms of the Lease, as amended.</w:t>
      </w:r>
    </w:p>
    <w:p>
      <w:pPr>
        <w:spacing w:after="0" w:line="152" w:lineRule="exact"/>
        <w:rPr>
          <w:rFonts w:ascii="Arial" w:cs="Arial" w:eastAsia="Arial" w:hAnsi="Arial"/>
          <w:sz w:val="18"/>
          <w:szCs w:val="18"/>
          <w:b w:val="1"/>
          <w:bCs w:val="1"/>
          <w:color w:val="auto"/>
        </w:rPr>
      </w:pPr>
    </w:p>
    <w:p>
      <w:pPr>
        <w:jc w:val="both"/>
        <w:ind w:firstLine="656"/>
        <w:spacing w:after="0" w:line="268"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Landlord is currently holding a Security Deposit in the amount of $199,570.56 under the Lease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The Security Deposit shall be held pursuant to the terms of Section 5 (Security Deposit) of the Original Lease, through the date Tenant has satisfied all of its obligations of the Lease, as amended.</w:t>
      </w:r>
    </w:p>
    <w:p>
      <w:pPr>
        <w:spacing w:after="0" w:line="170" w:lineRule="exact"/>
        <w:rPr>
          <w:rFonts w:ascii="Arial" w:cs="Arial" w:eastAsia="Arial" w:hAnsi="Arial"/>
          <w:sz w:val="18"/>
          <w:szCs w:val="18"/>
          <w:b w:val="1"/>
          <w:bCs w:val="1"/>
          <w:color w:val="auto"/>
        </w:rPr>
      </w:pPr>
    </w:p>
    <w:p>
      <w:pPr>
        <w:jc w:val="both"/>
        <w:ind w:firstLine="656"/>
        <w:spacing w:after="0" w:line="268"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The holdover rent referenced in Section 23 (Holding Over) of the Original Lease is hereby amended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(on a per month basis without reduction for partial months during the holdover) equal to three hundred percent (300%) of the sum of the Base Rent due for the period immediately preceding the holdover.</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Lease Modifications</w:t>
      </w:r>
      <w:r>
        <w:rPr>
          <w:rFonts w:ascii="Arial" w:cs="Arial" w:eastAsia="Arial" w:hAnsi="Arial"/>
          <w:sz w:val="18"/>
          <w:szCs w:val="18"/>
          <w:color w:val="auto"/>
        </w:rPr>
        <w:t>. The following Lease provisions are hereby deleted and shall be of no further force or</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effect:</w:t>
      </w:r>
    </w:p>
    <w:p>
      <w:pPr>
        <w:spacing w:after="0" w:line="207" w:lineRule="exact"/>
        <w:rPr>
          <w:rFonts w:ascii="Arial" w:cs="Arial" w:eastAsia="Arial" w:hAnsi="Arial"/>
          <w:sz w:val="18"/>
          <w:szCs w:val="18"/>
          <w:b w:val="1"/>
          <w:bCs w:val="1"/>
          <w:color w:val="auto"/>
        </w:rPr>
      </w:pPr>
    </w:p>
    <w:p>
      <w:pPr>
        <w:ind w:left="1940" w:hanging="312"/>
        <w:spacing w:after="0"/>
        <w:tabs>
          <w:tab w:leader="none" w:pos="1940"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(Extension Option Rider) attached to the Original Lease</w:t>
      </w:r>
    </w:p>
    <w:p>
      <w:pPr>
        <w:spacing w:after="0" w:line="25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Rider No. 2</w:t>
      </w:r>
      <w:r>
        <w:rPr>
          <w:rFonts w:ascii="Arial" w:cs="Arial" w:eastAsia="Arial" w:hAnsi="Arial"/>
          <w:sz w:val="18"/>
          <w:szCs w:val="18"/>
          <w:color w:val="auto"/>
        </w:rPr>
        <w:t xml:space="preserve"> (Fair Market Rental Rate) attached to the Original Lease</w:t>
      </w:r>
    </w:p>
    <w:p>
      <w:pPr>
        <w:spacing w:after="0" w:line="251" w:lineRule="exact"/>
        <w:rPr>
          <w:rFonts w:ascii="Times New Roman" w:cs="Times New Roman" w:eastAsia="Times New Roman" w:hAnsi="Times New Roman"/>
          <w:sz w:val="18"/>
          <w:szCs w:val="18"/>
          <w:color w:val="auto"/>
        </w:rPr>
      </w:pPr>
    </w:p>
    <w:p>
      <w:pPr>
        <w:ind w:left="1960" w:right="20" w:hanging="332"/>
        <w:spacing w:after="0" w:line="286" w:lineRule="auto"/>
        <w:tabs>
          <w:tab w:leader="none" w:pos="1955"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References in </w:t>
      </w:r>
      <w:r>
        <w:rPr>
          <w:rFonts w:ascii="Arial" w:cs="Arial" w:eastAsia="Arial" w:hAnsi="Arial"/>
          <w:sz w:val="18"/>
          <w:szCs w:val="18"/>
          <w:u w:val="single" w:color="auto"/>
          <w:color w:val="auto"/>
        </w:rPr>
        <w:t>Rider No. 3</w:t>
      </w:r>
      <w:r>
        <w:rPr>
          <w:rFonts w:ascii="Arial" w:cs="Arial" w:eastAsia="Arial" w:hAnsi="Arial"/>
          <w:sz w:val="18"/>
          <w:szCs w:val="18"/>
          <w:color w:val="auto"/>
        </w:rPr>
        <w:t xml:space="preserve"> (Options in General) attached to the Original Lease to the Extension Option and </w:t>
      </w:r>
      <w:r>
        <w:rPr>
          <w:rFonts w:ascii="Arial" w:cs="Arial" w:eastAsia="Arial" w:hAnsi="Arial"/>
          <w:sz w:val="18"/>
          <w:szCs w:val="18"/>
          <w:u w:val="single" w:color="auto"/>
          <w:color w:val="auto"/>
        </w:rPr>
        <w:t>Rider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p>
    <w:p>
      <w:pPr>
        <w:spacing w:after="0" w:line="180" w:lineRule="exact"/>
        <w:rPr>
          <w:rFonts w:ascii="Times New Roman" w:cs="Times New Roman" w:eastAsia="Times New Roman" w:hAnsi="Times New Roman"/>
          <w:sz w:val="18"/>
          <w:szCs w:val="18"/>
          <w:color w:val="auto"/>
        </w:rPr>
      </w:pPr>
    </w:p>
    <w:p>
      <w:pPr>
        <w:jc w:val="both"/>
        <w:ind w:firstLine="656"/>
        <w:spacing w:after="0" w:line="257"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Tenant represents and warrants to Landlord that, other than JLL (Conor Flannery), it has not engaged any broker,</w:t>
      </w:r>
      <w:r>
        <w:rPr>
          <w:rFonts w:ascii="Arial" w:cs="Arial" w:eastAsia="Arial" w:hAnsi="Arial"/>
          <w:sz w:val="18"/>
          <w:szCs w:val="18"/>
          <w:b w:val="1"/>
          <w:bCs w:val="1"/>
          <w:color w:val="auto"/>
        </w:rPr>
        <w:t xml:space="preserve"> </w:t>
      </w:r>
      <w:r>
        <w:rPr>
          <w:rFonts w:ascii="Arial" w:cs="Arial" w:eastAsia="Arial" w:hAnsi="Arial"/>
          <w:sz w:val="18"/>
          <w:szCs w:val="18"/>
          <w:color w:val="auto"/>
        </w:rPr>
        <w:t>finder or other person who would be entitled to any commission or fees in respect of the negotiation, execution or delivery of this Amendment, and shall indemnify, defend and hold harmless Landlord against any loss, cost, liability or expense incurred by Landlord as a result of any claim asserted by any broker, finder or other person on the basis of any arrangements or agreements made or alleged to have been made by or on behalf of Tenant. The provisions of this section shall not apply to brokers with whom Landlord has an express written broker agreement.</w:t>
      </w:r>
    </w:p>
    <w:p>
      <w:pPr>
        <w:spacing w:after="0" w:line="182" w:lineRule="exact"/>
        <w:rPr>
          <w:rFonts w:ascii="Arial" w:cs="Arial" w:eastAsia="Arial" w:hAnsi="Arial"/>
          <w:sz w:val="18"/>
          <w:szCs w:val="18"/>
          <w:b w:val="1"/>
          <w:bCs w:val="1"/>
          <w:color w:val="auto"/>
        </w:rPr>
      </w:pPr>
    </w:p>
    <w:p>
      <w:pPr>
        <w:ind w:right="20" w:firstLine="656"/>
        <w:spacing w:after="0" w:line="287"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Effectiveness</w:t>
      </w:r>
      <w:r>
        <w:rPr>
          <w:rFonts w:ascii="Arial" w:cs="Arial" w:eastAsia="Arial" w:hAnsi="Arial"/>
          <w:sz w:val="18"/>
          <w:szCs w:val="18"/>
          <w:color w:val="auto"/>
        </w:rPr>
        <w:t>. The Lease, except as amended hereby, remains unamended, and, as amended hereby, remains</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force and effect. Tenant hereby confirms that no default exists under the Lease.</w:t>
      </w:r>
    </w:p>
    <w:p>
      <w:pPr>
        <w:spacing w:after="0" w:line="152" w:lineRule="exact"/>
        <w:rPr>
          <w:rFonts w:ascii="Arial" w:cs="Arial" w:eastAsia="Arial" w:hAnsi="Arial"/>
          <w:sz w:val="18"/>
          <w:szCs w:val="18"/>
          <w:b w:val="1"/>
          <w:bCs w:val="1"/>
          <w:color w:val="auto"/>
        </w:rPr>
      </w:pPr>
    </w:p>
    <w:p>
      <w:pPr>
        <w:jc w:val="both"/>
        <w:ind w:firstLine="656"/>
        <w:spacing w:after="0" w:line="262" w:lineRule="auto"/>
        <w:tabs>
          <w:tab w:leader="none" w:pos="128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 Electronic Delivery/Signatures</w:t>
      </w:r>
      <w:r>
        <w:rPr>
          <w:rFonts w:ascii="Arial" w:cs="Arial" w:eastAsia="Arial" w:hAnsi="Arial"/>
          <w:sz w:val="18"/>
          <w:szCs w:val="18"/>
          <w:color w:val="auto"/>
        </w:rPr>
        <w:t>. This Amendment may be executed in one (1) or more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constitute an original and all of which shall be one and the same agreement. The parties may exchange electronic counterpart signatures by electronic transmission and the same shall constitute execution and delivery of this Amendment with respect to the delivering party. If a variation or discrepancy among counterparts occurs, the copy of this Amendment in Landlord's possession shall control.</w:t>
      </w:r>
    </w:p>
    <w:p>
      <w:pPr>
        <w:sectPr>
          <w:pgSz w:w="11900" w:h="16838" w:orient="portrait"/>
          <w:cols w:equalWidth="0" w:num="1">
            <w:col w:w="11240"/>
          </w:cols>
          <w:pgMar w:left="320" w:top="1160" w:right="339" w:bottom="1440" w:gutter="0" w:footer="0" w:header="0"/>
        </w:sectPr>
      </w:pPr>
    </w:p>
    <w:bookmarkStart w:id="5" w:name="page6"/>
    <w:bookmarkEnd w:id="5"/>
    <w:p>
      <w:pPr>
        <w:jc w:val="both"/>
        <w:ind w:firstLine="656"/>
        <w:spacing w:after="0" w:line="262" w:lineRule="auto"/>
        <w:tabs>
          <w:tab w:leader="none" w:pos="1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by Both Parties</w:t>
      </w:r>
      <w:r>
        <w:rPr>
          <w:rFonts w:ascii="Arial" w:cs="Arial" w:eastAsia="Arial" w:hAnsi="Arial"/>
          <w:sz w:val="18"/>
          <w:szCs w:val="18"/>
          <w:color w:val="auto"/>
        </w:rPr>
        <w:t>. Submission of this instrument for examination or signature by Tenant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reservation of or an option for lease, and it is not effective as a lease or otherwise until execution and delivery by both Landlord and Tenant has occurred, and Landlord’s lender holding a lien with respect to the Building has approved this Amendment and the terms and conditions hereof.</w:t>
      </w:r>
    </w:p>
    <w:p>
      <w:pPr>
        <w:spacing w:after="0" w:line="176" w:lineRule="exact"/>
        <w:rPr>
          <w:rFonts w:ascii="Arial" w:cs="Arial" w:eastAsia="Arial" w:hAnsi="Arial"/>
          <w:sz w:val="18"/>
          <w:szCs w:val="18"/>
          <w:b w:val="1"/>
          <w:bCs w:val="1"/>
          <w:color w:val="auto"/>
        </w:rPr>
      </w:pPr>
    </w:p>
    <w:p>
      <w:pPr>
        <w:ind w:firstLine="656"/>
        <w:spacing w:after="0" w:line="287" w:lineRule="auto"/>
        <w:tabs>
          <w:tab w:leader="none" w:pos="128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The individuals signing on behalf of Tenant each hereby represents and warrants that such individuals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capacity set forth on the signature pages hereof and have full power and authority to bind Tenant to the terms hereof.</w:t>
      </w:r>
    </w:p>
    <w:p>
      <w:pPr>
        <w:spacing w:after="0" w:line="152" w:lineRule="exact"/>
        <w:rPr>
          <w:rFonts w:ascii="Arial" w:cs="Arial" w:eastAsia="Arial" w:hAnsi="Arial"/>
          <w:sz w:val="18"/>
          <w:szCs w:val="18"/>
          <w:b w:val="1"/>
          <w:bCs w:val="1"/>
          <w:color w:val="auto"/>
        </w:rPr>
      </w:pPr>
    </w:p>
    <w:p>
      <w:pPr>
        <w:ind w:right="20" w:firstLine="656"/>
        <w:spacing w:after="0" w:line="287" w:lineRule="auto"/>
        <w:tabs>
          <w:tab w:leader="none" w:pos="128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The terms of Section 28.11 (Confidentiality) of the Original Lease shall continue to apply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as amended hereby.</w:t>
      </w:r>
    </w:p>
    <w:p>
      <w:pPr>
        <w:spacing w:after="0" w:line="152" w:lineRule="exact"/>
        <w:rPr>
          <w:rFonts w:ascii="Arial" w:cs="Arial" w:eastAsia="Arial" w:hAnsi="Arial"/>
          <w:sz w:val="18"/>
          <w:szCs w:val="18"/>
          <w:b w:val="1"/>
          <w:bCs w:val="1"/>
          <w:color w:val="auto"/>
        </w:rPr>
      </w:pPr>
    </w:p>
    <w:p>
      <w:pPr>
        <w:ind w:firstLine="656"/>
        <w:spacing w:after="0" w:line="287" w:lineRule="auto"/>
        <w:tabs>
          <w:tab w:leader="none" w:pos="128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Required Accessibility Disclosure</w:t>
      </w:r>
      <w:r>
        <w:rPr>
          <w:rFonts w:ascii="Arial" w:cs="Arial" w:eastAsia="Arial" w:hAnsi="Arial"/>
          <w:sz w:val="18"/>
          <w:szCs w:val="18"/>
          <w:color w:val="auto"/>
        </w:rPr>
        <w:t>. The terms of Section 9 (Required Accessibility Disclosure) of the First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continue to apply to the terms of the Lease, as amended hereby.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SIGNATURE ON PAGE S-1 AND TENANT’S SIGNATURE ON PAGE S-2]</w:t>
      </w:r>
    </w:p>
    <w:p>
      <w:pPr>
        <w:sectPr>
          <w:pgSz w:w="11900" w:h="16838" w:orient="portrait"/>
          <w:cols w:equalWidth="0" w:num="1">
            <w:col w:w="11240"/>
          </w:cols>
          <w:pgMar w:left="320" w:top="1160" w:right="339"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Landlord has executed this Amendment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BIXBY SPE FINANCE 11,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Bixby SPE Finance, LLC,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its sole Member and Manager</w:t>
      </w:r>
    </w:p>
    <w:p>
      <w:pPr>
        <w:spacing w:after="0" w:line="20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auto"/>
        </w:rPr>
        <w:t>By:</w:t>
        <w:tab/>
        <w:t>Bixby Land Company,</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 sole Member and Manager</w:t>
      </w:r>
    </w:p>
    <w:p>
      <w:pPr>
        <w:spacing w:after="0" w:line="31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8"/>
          <w:szCs w:val="18"/>
          <w:color w:val="auto"/>
        </w:rPr>
        <w:t>By:</w:t>
        <w:tab/>
        <w:t>/s/ William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-7620</wp:posOffset>
            </wp:positionV>
            <wp:extent cx="1384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7"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Name:</w:t>
        <w:tab/>
        <w:t>William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-19050</wp:posOffset>
            </wp:positionV>
            <wp:extent cx="1454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Title: Vice President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-19050</wp:posOffset>
            </wp:positionV>
            <wp:extent cx="1706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8"/>
          <w:szCs w:val="18"/>
          <w:color w:val="auto"/>
        </w:rPr>
        <w:t>By:</w:t>
        <w:tab/>
        <w:t>/s/ Matt 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-7620</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7"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Name:</w:t>
        <w:tab/>
        <w:t>Matt 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-19050</wp:posOffset>
            </wp:positionV>
            <wp:extent cx="958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8850" cy="8890"/>
                    </a:xfrm>
                    <a:prstGeom prst="rect">
                      <a:avLst/>
                    </a:prstGeom>
                    <a:noFill/>
                  </pic:spPr>
                </pic:pic>
              </a:graphicData>
            </a:graphic>
          </wp:anchor>
        </w:drawing>
      </w:r>
    </w:p>
    <w:p>
      <w:pPr>
        <w:ind w:left="400"/>
        <w:spacing w:after="0"/>
        <w:tabs>
          <w:tab w:leader="none" w:pos="1020" w:val="left"/>
        </w:tabs>
        <w:rPr>
          <w:sz w:val="20"/>
          <w:szCs w:val="20"/>
          <w:color w:val="auto"/>
        </w:rPr>
      </w:pPr>
      <w:r>
        <w:rPr>
          <w:rFonts w:ascii="Arial" w:cs="Arial" w:eastAsia="Arial" w:hAnsi="Arial"/>
          <w:sz w:val="18"/>
          <w:szCs w:val="18"/>
          <w:color w:val="auto"/>
        </w:rPr>
        <w:t>Title:</w:t>
        <w:tab/>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-19050</wp:posOffset>
            </wp:positionV>
            <wp:extent cx="1547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[TENANT’S SIGNATURE ON FOLLOWING PAGE S-2]</w:t>
      </w:r>
    </w:p>
    <w:p>
      <w:pPr>
        <w:sectPr>
          <w:pgSz w:w="11900" w:h="16838" w:orient="portrait"/>
          <w:cols w:equalWidth="0" w:num="1">
            <w:col w:w="10139"/>
          </w:cols>
          <w:pgMar w:left="320" w:top="1376" w:right="1440" w:bottom="1440" w:gutter="0" w:footer="0" w:header="0"/>
        </w:sectPr>
      </w:pPr>
    </w:p>
    <w:bookmarkStart w:id="7" w:name="page8"/>
    <w:bookmarkEnd w:id="7"/>
    <w:p>
      <w:pPr>
        <w:ind w:left="2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Tenant has executed this Amendment as of the day and year first above written.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1358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Name:</w:t>
        <w:tab/>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-19050</wp:posOffset>
            </wp:positionV>
            <wp:extent cx="1238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tabs>
          <w:tab w:leader="none" w:pos="62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755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Michael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1511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1300" cy="8255"/>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Name:</w:t>
        <w:tab/>
        <w:t>Michael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-19050</wp:posOffset>
            </wp:positionV>
            <wp:extent cx="1358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tabs>
          <w:tab w:leader="none" w:pos="620" w:val="left"/>
        </w:tabs>
        <w:rPr>
          <w:sz w:val="20"/>
          <w:szCs w:val="20"/>
          <w:color w:val="auto"/>
        </w:rPr>
      </w:pPr>
      <w:r>
        <w:rPr>
          <w:rFonts w:ascii="Arial" w:cs="Arial" w:eastAsia="Arial" w:hAnsi="Arial"/>
          <w:sz w:val="18"/>
          <w:szCs w:val="18"/>
          <w:color w:val="auto"/>
        </w:rPr>
        <w:t>Title:</w:t>
        <w:tab/>
        <w:t>Chief Business &amp; Legal Affairs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20275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15049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4950" cy="8255"/>
                    </a:xfrm>
                    <a:prstGeom prst="rect">
                      <a:avLst/>
                    </a:prstGeom>
                    <a:noFill/>
                  </pic:spPr>
                </pic:pic>
              </a:graphicData>
            </a:graphic>
          </wp:anchor>
        </w:drawing>
      </w:r>
    </w:p>
    <w:sectPr>
      <w:pgSz w:w="11900" w:h="16838" w:orient="portrait"/>
      <w:cols w:equalWidth="0" w:num="1">
        <w:col w:w="10139"/>
      </w:cols>
      <w:pgMar w:left="320" w:top="11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
    <w:nsid w:val="3D1B58B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2024-07-19T15:10:14Z</dcterms:created>
  <dcterms:modified xsi:type="dcterms:W3CDTF">2024-07-19T15:10:14Z</dcterms:modified>
</cp:coreProperties>
</file>