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June 10, 2019</w:t>
      </w:r>
    </w:p>
    <w:p>
      <w:pPr>
        <w:spacing w:after="0" w:line="12"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70"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640" w:type="dxa"/>
            <w:vAlign w:val="bottom"/>
          </w:tcPr>
          <w:p>
            <w:pPr>
              <w:jc w:val="center"/>
              <w:ind w:right="579"/>
              <w:spacing w:after="0"/>
              <w:rPr>
                <w:sz w:val="20"/>
                <w:szCs w:val="20"/>
                <w:color w:val="auto"/>
              </w:rPr>
            </w:pPr>
            <w:r>
              <w:rPr>
                <w:rFonts w:ascii="Arial" w:cs="Arial" w:eastAsia="Arial" w:hAnsi="Arial"/>
                <w:sz w:val="16"/>
                <w:szCs w:val="16"/>
                <w:b w:val="1"/>
                <w:bCs w:val="1"/>
                <w:color w:val="auto"/>
                <w:w w:val="93"/>
              </w:rPr>
              <w:t>Delaware</w:t>
            </w:r>
          </w:p>
        </w:tc>
        <w:tc>
          <w:tcPr>
            <w:tcW w:w="4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001-38701</w:t>
            </w:r>
          </w:p>
        </w:tc>
        <w:tc>
          <w:tcPr>
            <w:tcW w:w="1980" w:type="dxa"/>
            <w:vAlign w:val="bottom"/>
          </w:tcPr>
          <w:p>
            <w:pPr>
              <w:jc w:val="right"/>
              <w:ind w:right="5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640" w:type="dxa"/>
            <w:vAlign w:val="bottom"/>
          </w:tcPr>
          <w:p>
            <w:pPr>
              <w:jc w:val="center"/>
              <w:ind w:right="599"/>
              <w:spacing w:after="0"/>
              <w:rPr>
                <w:sz w:val="20"/>
                <w:szCs w:val="20"/>
                <w:color w:val="auto"/>
              </w:rPr>
            </w:pPr>
            <w:r>
              <w:rPr>
                <w:rFonts w:ascii="Arial" w:cs="Arial" w:eastAsia="Arial" w:hAnsi="Arial"/>
                <w:sz w:val="16"/>
                <w:szCs w:val="16"/>
                <w:color w:val="auto"/>
                <w:w w:val="93"/>
              </w:rPr>
              <w:t>(State or other jurisdiction of</w:t>
            </w:r>
          </w:p>
        </w:tc>
        <w:tc>
          <w:tcPr>
            <w:tcW w:w="4780" w:type="dxa"/>
            <w:vAlign w:val="bottom"/>
          </w:tcPr>
          <w:p>
            <w:pPr>
              <w:jc w:val="center"/>
              <w:ind w:right="119"/>
              <w:spacing w:after="0"/>
              <w:rPr>
                <w:sz w:val="20"/>
                <w:szCs w:val="20"/>
                <w:color w:val="auto"/>
              </w:rPr>
            </w:pPr>
            <w:r>
              <w:rPr>
                <w:rFonts w:ascii="Arial" w:cs="Arial" w:eastAsia="Arial" w:hAnsi="Arial"/>
                <w:sz w:val="16"/>
                <w:szCs w:val="16"/>
                <w:color w:val="auto"/>
                <w:w w:val="92"/>
              </w:rPr>
              <w:t>(Commission</w:t>
            </w:r>
          </w:p>
        </w:tc>
        <w:tc>
          <w:tcPr>
            <w:tcW w:w="1980" w:type="dxa"/>
            <w:vAlign w:val="bottom"/>
          </w:tcPr>
          <w:p>
            <w:pPr>
              <w:jc w:val="center"/>
              <w:ind w:left="699"/>
              <w:spacing w:after="0"/>
              <w:rPr>
                <w:sz w:val="20"/>
                <w:szCs w:val="20"/>
                <w:color w:val="auto"/>
              </w:rPr>
            </w:pPr>
            <w:r>
              <w:rPr>
                <w:rFonts w:ascii="Arial" w:cs="Arial" w:eastAsia="Arial" w:hAnsi="Arial"/>
                <w:sz w:val="16"/>
                <w:szCs w:val="16"/>
                <w:color w:val="auto"/>
                <w:w w:val="95"/>
              </w:rPr>
              <w:t>(I.R.S. Employer</w:t>
            </w:r>
          </w:p>
        </w:tc>
      </w:tr>
      <w:tr>
        <w:trPr>
          <w:trHeight w:val="206"/>
        </w:trPr>
        <w:tc>
          <w:tcPr>
            <w:tcW w:w="2640" w:type="dxa"/>
            <w:vAlign w:val="bottom"/>
          </w:tcPr>
          <w:p>
            <w:pPr>
              <w:jc w:val="center"/>
              <w:ind w:right="599"/>
              <w:spacing w:after="0"/>
              <w:rPr>
                <w:sz w:val="20"/>
                <w:szCs w:val="20"/>
                <w:color w:val="auto"/>
              </w:rPr>
            </w:pPr>
            <w:r>
              <w:rPr>
                <w:rFonts w:ascii="Arial" w:cs="Arial" w:eastAsia="Arial" w:hAnsi="Arial"/>
                <w:sz w:val="16"/>
                <w:szCs w:val="16"/>
                <w:color w:val="auto"/>
                <w:w w:val="94"/>
              </w:rPr>
              <w:t>incorporation or organization)</w:t>
            </w:r>
          </w:p>
        </w:tc>
        <w:tc>
          <w:tcPr>
            <w:tcW w:w="4780" w:type="dxa"/>
            <w:vAlign w:val="bottom"/>
          </w:tcPr>
          <w:p>
            <w:pPr>
              <w:jc w:val="center"/>
              <w:ind w:right="139"/>
              <w:spacing w:after="0"/>
              <w:rPr>
                <w:sz w:val="20"/>
                <w:szCs w:val="20"/>
                <w:color w:val="auto"/>
              </w:rPr>
            </w:pPr>
            <w:r>
              <w:rPr>
                <w:rFonts w:ascii="Arial" w:cs="Arial" w:eastAsia="Arial" w:hAnsi="Arial"/>
                <w:sz w:val="16"/>
                <w:szCs w:val="16"/>
                <w:color w:val="auto"/>
                <w:w w:val="95"/>
              </w:rPr>
              <w:t>File Number)</w:t>
            </w:r>
          </w:p>
        </w:tc>
        <w:tc>
          <w:tcPr>
            <w:tcW w:w="1980" w:type="dxa"/>
            <w:vAlign w:val="bottom"/>
          </w:tcPr>
          <w:p>
            <w:pPr>
              <w:jc w:val="center"/>
              <w:ind w:left="69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2640" w:type="dxa"/>
            <w:vAlign w:val="bottom"/>
          </w:tcPr>
          <w:p>
            <w:pPr>
              <w:spacing w:after="0"/>
              <w:rPr>
                <w:sz w:val="24"/>
                <w:szCs w:val="24"/>
                <w:color w:val="auto"/>
              </w:rPr>
            </w:pPr>
          </w:p>
        </w:tc>
        <w:tc>
          <w:tcPr>
            <w:tcW w:w="47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80" w:type="dxa"/>
            <w:vAlign w:val="bottom"/>
          </w:tcPr>
          <w:p>
            <w:pPr>
              <w:spacing w:after="0"/>
              <w:rPr>
                <w:sz w:val="24"/>
                <w:szCs w:val="24"/>
                <w:color w:val="auto"/>
              </w:rPr>
            </w:pPr>
          </w:p>
        </w:tc>
      </w:tr>
      <w:tr>
        <w:trPr>
          <w:trHeight w:val="189"/>
        </w:trPr>
        <w:tc>
          <w:tcPr>
            <w:tcW w:w="2640" w:type="dxa"/>
            <w:vAlign w:val="bottom"/>
          </w:tcPr>
          <w:p>
            <w:pPr>
              <w:spacing w:after="0"/>
              <w:rPr>
                <w:sz w:val="16"/>
                <w:szCs w:val="16"/>
                <w:color w:val="auto"/>
              </w:rPr>
            </w:pPr>
          </w:p>
        </w:tc>
        <w:tc>
          <w:tcPr>
            <w:tcW w:w="47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Suite 101</w:t>
            </w:r>
          </w:p>
        </w:tc>
        <w:tc>
          <w:tcPr>
            <w:tcW w:w="1980" w:type="dxa"/>
            <w:vAlign w:val="bottom"/>
          </w:tcPr>
          <w:p>
            <w:pPr>
              <w:spacing w:after="0"/>
              <w:rPr>
                <w:sz w:val="16"/>
                <w:szCs w:val="16"/>
                <w:color w:val="auto"/>
              </w:rPr>
            </w:pPr>
          </w:p>
        </w:tc>
      </w:tr>
      <w:tr>
        <w:trPr>
          <w:trHeight w:val="193"/>
        </w:trPr>
        <w:tc>
          <w:tcPr>
            <w:tcW w:w="2640" w:type="dxa"/>
            <w:vAlign w:val="bottom"/>
          </w:tcPr>
          <w:p>
            <w:pPr>
              <w:spacing w:after="0"/>
              <w:rPr>
                <w:sz w:val="16"/>
                <w:szCs w:val="16"/>
                <w:color w:val="auto"/>
              </w:rPr>
            </w:pPr>
          </w:p>
        </w:tc>
        <w:tc>
          <w:tcPr>
            <w:tcW w:w="478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Santa Clara, CA 95050</w:t>
            </w:r>
          </w:p>
        </w:tc>
        <w:tc>
          <w:tcPr>
            <w:tcW w:w="1980" w:type="dxa"/>
            <w:vAlign w:val="bottom"/>
          </w:tcPr>
          <w:p>
            <w:pPr>
              <w:spacing w:after="0"/>
              <w:rPr>
                <w:sz w:val="16"/>
                <w:szCs w:val="16"/>
                <w:color w:val="auto"/>
              </w:rPr>
            </w:pPr>
          </w:p>
        </w:tc>
      </w:tr>
      <w:tr>
        <w:trPr>
          <w:trHeight w:val="206"/>
        </w:trPr>
        <w:tc>
          <w:tcPr>
            <w:tcW w:w="2640" w:type="dxa"/>
            <w:vAlign w:val="bottom"/>
          </w:tcPr>
          <w:p>
            <w:pPr>
              <w:spacing w:after="0"/>
              <w:rPr>
                <w:sz w:val="17"/>
                <w:szCs w:val="17"/>
                <w:color w:val="auto"/>
              </w:rPr>
            </w:pPr>
          </w:p>
        </w:tc>
        <w:tc>
          <w:tcPr>
            <w:tcW w:w="478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 (Zip Code)</w:t>
            </w:r>
          </w:p>
        </w:tc>
        <w:tc>
          <w:tcPr>
            <w:tcW w:w="1980" w:type="dxa"/>
            <w:vAlign w:val="bottom"/>
          </w:tcPr>
          <w:p>
            <w:pPr>
              <w:spacing w:after="0"/>
              <w:rPr>
                <w:sz w:val="17"/>
                <w:szCs w:val="17"/>
                <w:color w:val="auto"/>
              </w:rPr>
            </w:pPr>
          </w:p>
        </w:tc>
      </w:tr>
      <w:tr>
        <w:trPr>
          <w:trHeight w:val="388"/>
        </w:trPr>
        <w:tc>
          <w:tcPr>
            <w:tcW w:w="2640" w:type="dxa"/>
            <w:vAlign w:val="bottom"/>
          </w:tcPr>
          <w:p>
            <w:pPr>
              <w:spacing w:after="0"/>
              <w:rPr>
                <w:sz w:val="24"/>
                <w:szCs w:val="24"/>
                <w:color w:val="auto"/>
              </w:rPr>
            </w:pPr>
          </w:p>
        </w:tc>
        <w:tc>
          <w:tcPr>
            <w:tcW w:w="47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80" w:type="dxa"/>
            <w:vAlign w:val="bottom"/>
          </w:tcPr>
          <w:p>
            <w:pPr>
              <w:spacing w:after="0"/>
              <w:rPr>
                <w:sz w:val="24"/>
                <w:szCs w:val="24"/>
                <w:color w:val="auto"/>
              </w:rPr>
            </w:pPr>
          </w:p>
        </w:tc>
      </w:tr>
      <w:tr>
        <w:trPr>
          <w:trHeight w:val="206"/>
        </w:trPr>
        <w:tc>
          <w:tcPr>
            <w:tcW w:w="2640" w:type="dxa"/>
            <w:vAlign w:val="bottom"/>
          </w:tcPr>
          <w:p>
            <w:pPr>
              <w:spacing w:after="0"/>
              <w:rPr>
                <w:sz w:val="17"/>
                <w:szCs w:val="17"/>
                <w:color w:val="auto"/>
              </w:rPr>
            </w:pPr>
          </w:p>
        </w:tc>
        <w:tc>
          <w:tcPr>
            <w:tcW w:w="47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80" w:type="dxa"/>
            <w:vAlign w:val="bottom"/>
          </w:tcPr>
          <w:p>
            <w:pPr>
              <w:spacing w:after="0"/>
              <w:rPr>
                <w:sz w:val="17"/>
                <w:szCs w:val="17"/>
                <w:color w:val="auto"/>
              </w:rPr>
            </w:pPr>
          </w:p>
        </w:tc>
      </w:tr>
    </w:tbl>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98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60" w:type="dxa"/>
            <w:vAlign w:val="bottom"/>
          </w:tcPr>
          <w:p>
            <w:pPr>
              <w:spacing w:after="0"/>
              <w:rPr>
                <w:sz w:val="16"/>
                <w:szCs w:val="16"/>
                <w:color w:val="auto"/>
              </w:rPr>
            </w:pPr>
          </w:p>
        </w:tc>
        <w:tc>
          <w:tcPr>
            <w:tcW w:w="3580" w:type="dxa"/>
            <w:vAlign w:val="bottom"/>
            <w:gridSpan w:val="2"/>
          </w:tcPr>
          <w:p>
            <w:pPr>
              <w:jc w:val="center"/>
              <w:ind w:left="4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3460" w:type="dxa"/>
            <w:vAlign w:val="bottom"/>
            <w:gridSpan w:val="3"/>
          </w:tcPr>
          <w:p>
            <w:pPr>
              <w:jc w:val="center"/>
              <w:ind w:right="560"/>
              <w:spacing w:after="0"/>
              <w:rPr>
                <w:sz w:val="20"/>
                <w:szCs w:val="20"/>
                <w:color w:val="auto"/>
              </w:rPr>
            </w:pPr>
            <w:r>
              <w:rPr>
                <w:rFonts w:ascii="Arial" w:cs="Arial" w:eastAsia="Arial" w:hAnsi="Arial"/>
                <w:sz w:val="16"/>
                <w:szCs w:val="16"/>
                <w:color w:val="auto"/>
                <w:w w:val="91"/>
              </w:rPr>
              <w:t>Common Stock, par value $0.0001 per share</w:t>
            </w:r>
          </w:p>
        </w:tc>
        <w:tc>
          <w:tcPr>
            <w:tcW w:w="580" w:type="dxa"/>
            <w:vAlign w:val="bottom"/>
          </w:tcPr>
          <w:p>
            <w:pPr>
              <w:spacing w:after="0"/>
              <w:rPr>
                <w:sz w:val="23"/>
                <w:szCs w:val="23"/>
                <w:color w:val="auto"/>
              </w:rPr>
            </w:pPr>
          </w:p>
        </w:tc>
        <w:tc>
          <w:tcPr>
            <w:tcW w:w="1860" w:type="dxa"/>
            <w:vAlign w:val="bottom"/>
            <w:gridSpan w:val="2"/>
          </w:tcPr>
          <w:p>
            <w:pPr>
              <w:jc w:val="center"/>
              <w:ind w:right="560"/>
              <w:spacing w:after="0"/>
              <w:rPr>
                <w:sz w:val="20"/>
                <w:szCs w:val="20"/>
                <w:color w:val="auto"/>
              </w:rPr>
            </w:pPr>
            <w:r>
              <w:rPr>
                <w:rFonts w:ascii="Arial" w:cs="Arial" w:eastAsia="Arial" w:hAnsi="Arial"/>
                <w:sz w:val="16"/>
                <w:szCs w:val="16"/>
                <w:color w:val="auto"/>
              </w:rPr>
              <w:t>SIBN</w:t>
            </w:r>
          </w:p>
        </w:tc>
        <w:tc>
          <w:tcPr>
            <w:tcW w:w="580" w:type="dxa"/>
            <w:vAlign w:val="bottom"/>
          </w:tcPr>
          <w:p>
            <w:pPr>
              <w:spacing w:after="0"/>
              <w:rPr>
                <w:sz w:val="23"/>
                <w:szCs w:val="23"/>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ind w:left="660"/>
        <w:spacing w:after="0" w:line="184" w:lineRule="exact"/>
        <w:tabs>
          <w:tab w:leader="none" w:pos="26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306" w:right="29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June 10, 2019, Timothy Petersen provided SI-BONE,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notice of his resignation from the Company’s Board of Directors, including the committees on which he served, effective immediately. Mr. Petersen’s decision to resign was not the result of any disagreement with the Company or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June 13, 2019, the Company held its 2019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The following is a brief description of each matter voted upon at the Annual Meeting, as well as the final tally of the number of votes cast: (a) for or withheld with respect to the election of directors; and</w:t>
      </w:r>
    </w:p>
    <w:p>
      <w:pPr>
        <w:ind w:right="10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against or abstain for the ratification of the appointment of PricewaterhouseCoopers LLP as the Company’s independent registered public accounting firm for the fiscal year ending December 31, 2019. Broker non-votes are also reported. A more complete description of each matter is set forth in the Company’s definitive proxy statement filed with the Securities and Exchange Commission on April 30, 2019.</w:t>
      </w:r>
    </w:p>
    <w:p>
      <w:pPr>
        <w:spacing w:after="0" w:line="136" w:lineRule="exact"/>
        <w:rPr>
          <w:sz w:val="20"/>
          <w:szCs w:val="20"/>
          <w:color w:val="auto"/>
        </w:rPr>
      </w:pPr>
    </w:p>
    <w:p>
      <w:pPr>
        <w:jc w:val="both"/>
        <w:ind w:left="1340" w:right="240" w:hanging="1255"/>
        <w:spacing w:after="0" w:line="264" w:lineRule="auto"/>
        <w:tabs>
          <w:tab w:leader="none" w:pos="132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Each of the three directors proposed by the Company for election was elected by the following votes to serve until the Company’s 2022 Annual Meeting of Stockholders or until their respective successor has been elected and qualified. The tabulation of votes on this matter was as follows:</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Arial" w:cs="Arial" w:eastAsia="Arial" w:hAnsi="Arial"/>
                <w:sz w:val="14"/>
                <w:szCs w:val="14"/>
                <w:b w:val="1"/>
                <w:bCs w:val="1"/>
                <w:color w:val="auto"/>
              </w:rPr>
              <w:t>For</w:t>
            </w: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Withheld</w:t>
            </w:r>
          </w:p>
        </w:tc>
        <w:tc>
          <w:tcPr>
            <w:tcW w:w="1420" w:type="dxa"/>
            <w:vAlign w:val="bottom"/>
          </w:tcPr>
          <w:p>
            <w:pPr>
              <w:jc w:val="right"/>
              <w:ind w:right="74"/>
              <w:spacing w:after="0"/>
              <w:rPr>
                <w:sz w:val="20"/>
                <w:szCs w:val="20"/>
                <w:color w:val="auto"/>
              </w:rPr>
            </w:pPr>
            <w:r>
              <w:rPr>
                <w:rFonts w:ascii="Arial" w:cs="Arial" w:eastAsia="Arial" w:hAnsi="Arial"/>
                <w:sz w:val="14"/>
                <w:szCs w:val="14"/>
                <w:b w:val="1"/>
                <w:bCs w:val="1"/>
                <w:color w:val="auto"/>
              </w:rPr>
              <w:t>Broker Non-Votes</w:t>
            </w: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Timothy E. Davis, Jr.</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15,406,826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2,673,267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617,368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Heyward R. Donigan</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18,032,962</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47,231</w:t>
            </w:r>
          </w:p>
        </w:tc>
        <w:tc>
          <w:tcPr>
            <w:tcW w:w="1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617,368</w:t>
            </w:r>
          </w:p>
        </w:tc>
      </w:tr>
      <w:tr>
        <w:trPr>
          <w:trHeight w:val="27"/>
        </w:trPr>
        <w:tc>
          <w:tcPr>
            <w:tcW w:w="4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J. Foley</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18,032,862</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47,131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617,368</w:t>
            </w:r>
          </w:p>
        </w:tc>
      </w:tr>
      <w:tr>
        <w:trPr>
          <w:trHeight w:val="27"/>
        </w:trPr>
        <w:tc>
          <w:tcPr>
            <w:tcW w:w="49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340" w:right="440" w:hanging="1255"/>
        <w:spacing w:after="0" w:line="277" w:lineRule="auto"/>
        <w:tabs>
          <w:tab w:leader="none" w:pos="132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8"/>
          <w:szCs w:val="18"/>
          <w:color w:val="auto"/>
        </w:rPr>
        <w:t>The appointment of PricewaterhouseCoopers LLP as the Company’s independent registered public accounting firm for the fiscal year ending December 31, 2019, was ratified. The tabulation of votes on this matter was as follows:</w:t>
      </w:r>
    </w:p>
    <w:p>
      <w:pPr>
        <w:spacing w:after="0" w:line="203"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For</w:t>
            </w:r>
          </w:p>
        </w:tc>
        <w:tc>
          <w:tcPr>
            <w:tcW w:w="1600" w:type="dxa"/>
            <w:vAlign w:val="bottom"/>
            <w:gridSpan w:val="2"/>
          </w:tcPr>
          <w:p>
            <w:pPr>
              <w:ind w:left="460"/>
              <w:spacing w:after="0"/>
              <w:rPr>
                <w:sz w:val="20"/>
                <w:szCs w:val="20"/>
                <w:color w:val="auto"/>
              </w:rPr>
            </w:pPr>
            <w:r>
              <w:rPr>
                <w:rFonts w:ascii="Arial" w:cs="Arial" w:eastAsia="Arial" w:hAnsi="Arial"/>
                <w:sz w:val="14"/>
                <w:szCs w:val="14"/>
                <w:b w:val="1"/>
                <w:bCs w:val="1"/>
                <w:color w:val="auto"/>
              </w:rPr>
              <w:t>Against</w:t>
            </w: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Abstain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43"/>
        </w:trPr>
        <w:tc>
          <w:tcPr>
            <w:tcW w:w="1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18,602,921</w:t>
            </w:r>
          </w:p>
        </w:tc>
        <w:tc>
          <w:tcPr>
            <w:tcW w:w="1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83,303</w:t>
            </w:r>
          </w:p>
        </w:tc>
        <w:tc>
          <w:tcPr>
            <w:tcW w:w="18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11,237</w:t>
            </w:r>
          </w:p>
        </w:tc>
        <w:tc>
          <w:tcPr>
            <w:tcW w:w="18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Dated: June 14, 2019</w:t>
      </w:r>
    </w:p>
    <w:p>
      <w:pPr>
        <w:spacing w:after="0" w:line="333" w:lineRule="exact"/>
        <w:rPr>
          <w:sz w:val="20"/>
          <w:szCs w:val="20"/>
          <w:color w:val="auto"/>
        </w:rPr>
      </w:pPr>
    </w:p>
    <w:p>
      <w:pPr>
        <w:ind w:left="500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40640</wp:posOffset>
            </wp:positionV>
            <wp:extent cx="3447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00"/>
      </w:cols>
      <w:pgMar w:left="240" w:top="3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2019-12-01T17:04:21Z</dcterms:created>
  <dcterms:modified xsi:type="dcterms:W3CDTF">2019-12-01T17:04:21Z</dcterms:modified>
</cp:coreProperties>
</file>