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00"/>
        <w:rPr/>
      </w:pPr>
      <w:r>
        <w:rPr/>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Filed Pursuant to Rule 424(b)(5)</w: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Registration No. 333-271635</w:t>
      </w:r>
    </w:p>
    <w:p>
      <w:pPr>
        <w:pStyle w:val="TextBody"/>
        <w:spacing w:before="0" w:after="0"/>
        <w:jc w:val="right"/>
        <w:rPr/>
      </w:pPr>
      <w:r>
        <w:rPr/>
      </w:r>
    </w:p>
    <w:p>
      <w:pPr>
        <w:pStyle w:val="TextBody"/>
        <w:spacing w:before="0" w:after="0"/>
        <w:jc w:val="both"/>
        <w:rPr/>
      </w:pPr>
      <w:r>
        <w:rPr/>
      </w:r>
    </w:p>
    <w:p>
      <w:pPr>
        <w:pStyle w:val="TextBody"/>
        <w:spacing w:before="0" w:after="0"/>
        <w:jc w:val="right"/>
        <w:rPr/>
      </w:pPr>
      <w:r>
        <w:rPr/>
      </w:r>
    </w:p>
    <w:p>
      <w:pPr>
        <w:pStyle w:val="TextBody"/>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Prospectus Supplement</w:t>
      </w:r>
    </w:p>
    <w:p>
      <w:pPr>
        <w:pStyle w:val="TextBody"/>
        <w:spacing w:lineRule="auto" w:line="417"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(To Prospectus dated May 4, 2023)</w:t>
      </w:r>
    </w:p>
    <w:p>
      <w:pPr>
        <w:pStyle w:val="TextBody"/>
        <w:spacing w:lineRule="auto" w:line="288" w:before="300" w:after="283"/>
        <w:jc w:val="center"/>
        <w:rPr>
          <w:color w:val="000000"/>
        </w:rPr>
      </w:pPr>
      <w:r>
        <w:rPr>
          <w:color w:val="000000"/>
        </w:rPr>
        <w:t> </w:t>
      </w:r>
      <w:r>
        <w:rPr>
          <w:rFonts w:ascii="Times New Roman;sans-serif" w:hAnsi="Times New Roman;sans-serif"/>
          <w:b/>
          <w:color w:val="000000"/>
          <w:sz w:val="28"/>
        </w:rPr>
        <w:t>3,775,000 Shares</w:t>
      </w:r>
    </w:p>
    <w:p>
      <w:pPr>
        <w:pStyle w:val="TextBody"/>
        <w:spacing w:before="0" w:after="0"/>
        <w:jc w:val="center"/>
        <w:rPr/>
      </w:pPr>
      <w:r>
        <w:rPr/>
        <w:drawing>
          <wp:inline distT="0" distB="63500" distL="0" distR="0">
            <wp:extent cx="2381250" cy="1362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1362075"/>
                    </a:xfrm>
                    <a:prstGeom prst="rect">
                      <a:avLst/>
                    </a:prstGeom>
                  </pic:spPr>
                </pic:pic>
              </a:graphicData>
            </a:graphic>
          </wp:inline>
        </w:drawing>
      </w:r>
    </w:p>
    <w:p>
      <w:pPr>
        <w:pStyle w:val="TextBody"/>
        <w:spacing w:lineRule="auto" w:line="288" w:before="0" w:after="0"/>
        <w:jc w:val="center"/>
        <w:rPr>
          <w:color w:val="000000"/>
          <w:highlight w:val="white"/>
        </w:rPr>
      </w:pPr>
      <w:r>
        <w:rPr>
          <w:color w:val="000000"/>
          <w:highlight w:val="white"/>
        </w:rPr>
        <w:t>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Common Stock</w:t>
      </w:r>
    </w:p>
    <w:p>
      <w:pPr>
        <w:pStyle w:val="TextBody"/>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SI-BONE, Inc., are offering 3,502,247 shares of our common stock, and the selling stockholder named in this prospectus supplement is offering 272,753 shares of our common stock.</w:t>
      </w:r>
    </w:p>
    <w:p>
      <w:pPr>
        <w:pStyle w:val="TextBody"/>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Global Market under the symbol “SIBN.” On May 3, 2023, the last reported sale price of our common stock was $24.27 per share.</w:t>
      </w:r>
    </w:p>
    <w:p>
      <w:pPr>
        <w:pStyle w:val="TextBody"/>
        <w:spacing w:lineRule="auto" w:line="276" w:before="0" w:after="0"/>
        <w:ind w:left="0" w:right="0" w:firstLine="360"/>
        <w:rPr/>
      </w:pPr>
      <w:r>
        <w:rPr>
          <w:rFonts w:ascii="Times New Roman;sans-serif" w:hAnsi="Times New Roman;sans-serif"/>
          <w:b/>
          <w:i/>
          <w:color w:val="000000"/>
          <w:sz w:val="20"/>
        </w:rPr>
        <w:t xml:space="preserve">Investing in our securities involves a high degree of risk. See “Risk Factors” beginning on page </w:t>
      </w:r>
      <w:hyperlink w:anchor="i32314d85229c40fc9f5fdea05a30c466_13">
        <w:r>
          <w:rPr>
            <w:rStyle w:val="InternetLink"/>
          </w:rPr>
          <w:t>S-</w:t>
        </w:r>
      </w:hyperlink>
      <w:hyperlink w:anchor="i32314d85229c40fc9f5fdea05a30c466_13">
        <w:r>
          <w:rPr>
            <w:rStyle w:val="InternetLink"/>
          </w:rPr>
          <w:t>6</w:t>
        </w:r>
      </w:hyperlink>
      <w:r>
        <w:rPr>
          <w:color w:val="000000"/>
        </w:rPr>
        <w:t xml:space="preserve"> </w:t>
      </w:r>
      <w:r>
        <w:rPr>
          <w:rFonts w:ascii="Times New Roman;sans-serif" w:hAnsi="Times New Roman;sans-serif"/>
          <w:b/>
          <w:i/>
          <w:color w:val="000000"/>
          <w:sz w:val="20"/>
        </w:rPr>
        <w:t>and in the documents incorporated by reference in this prospectus supplement.</w:t>
      </w:r>
    </w:p>
    <w:p>
      <w:pPr>
        <w:pStyle w:val="TextBody"/>
        <w:spacing w:before="0" w:after="0"/>
        <w:rPr/>
      </w:pPr>
      <w:r>
        <w:rPr/>
      </w:r>
    </w:p>
    <w:tbl>
      <w:tblPr>
        <w:tblW w:w="7597" w:type="dxa"/>
        <w:jc w:val="center"/>
        <w:tblInd w:w="0" w:type="dxa"/>
        <w:tblCellMar>
          <w:top w:w="28" w:type="dxa"/>
          <w:left w:w="28" w:type="dxa"/>
          <w:bottom w:w="28" w:type="dxa"/>
          <w:right w:w="28" w:type="dxa"/>
        </w:tblCellMar>
      </w:tblPr>
      <w:tblGrid>
        <w:gridCol w:w="1567"/>
        <w:gridCol w:w="1380"/>
        <w:gridCol w:w="1387"/>
        <w:gridCol w:w="109"/>
        <w:gridCol w:w="109"/>
        <w:gridCol w:w="109"/>
        <w:gridCol w:w="213"/>
        <w:gridCol w:w="622"/>
        <w:gridCol w:w="110"/>
        <w:gridCol w:w="109"/>
        <w:gridCol w:w="109"/>
        <w:gridCol w:w="109"/>
        <w:gridCol w:w="211"/>
        <w:gridCol w:w="1081"/>
        <w:gridCol w:w="109"/>
        <w:gridCol w:w="109"/>
        <w:gridCol w:w="154"/>
      </w:tblGrid>
      <w:tr>
        <w:trPr/>
        <w:tc>
          <w:tcPr>
            <w:tcW w:w="1567" w:type="dxa"/>
            <w:tcBorders/>
            <w:shd w:fill="auto" w:val="clear"/>
            <w:vAlign w:val="center"/>
          </w:tcPr>
          <w:p>
            <w:pPr>
              <w:pStyle w:val="TableContents"/>
              <w:spacing w:before="0" w:after="283"/>
              <w:rPr>
                <w:sz w:val="4"/>
                <w:szCs w:val="4"/>
              </w:rPr>
            </w:pPr>
            <w:r>
              <w:rPr>
                <w:sz w:val="4"/>
                <w:szCs w:val="4"/>
              </w:rPr>
            </w:r>
          </w:p>
        </w:tc>
        <w:tc>
          <w:tcPr>
            <w:tcW w:w="1380"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 Share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offering price</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Underwriting discounts and commissions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to us, before expenses</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72,426,468 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to the selling stockholder, before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5,640,532 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jc w:val="both"/>
        <w:rPr/>
      </w:pPr>
      <w:r>
        <w:rPr>
          <w:rFonts w:ascii="Times New Roman;sans-serif" w:hAnsi="Times New Roman;sans-serif"/>
          <w:b w:val="false"/>
          <w:color w:val="000000"/>
          <w:sz w:val="18"/>
        </w:rPr>
        <w:t xml:space="preserve">(1) See </w:t>
      </w:r>
      <w:r>
        <w:rPr>
          <w:color w:val="000000"/>
        </w:rPr>
        <w:t>“</w:t>
      </w:r>
      <w:r>
        <w:rPr>
          <w:rFonts w:ascii="Times New Roman;sans-serif" w:hAnsi="Times New Roman;sans-serif"/>
          <w:b w:val="false"/>
          <w:color w:val="000000"/>
          <w:sz w:val="18"/>
        </w:rPr>
        <w:t>Underwriting</w:t>
      </w:r>
      <w:r>
        <w:rPr>
          <w:color w:val="000000"/>
        </w:rPr>
        <w:t xml:space="preserve">” </w:t>
      </w:r>
      <w:r>
        <w:rPr>
          <w:rFonts w:ascii="Times New Roman;sans-serif" w:hAnsi="Times New Roman;sans-serif"/>
          <w:b w:val="false"/>
          <w:color w:val="000000"/>
          <w:sz w:val="18"/>
        </w:rPr>
        <w:t>for additional information regarding underwriting compensation payable by us and payable by the selling stockholder.</w:t>
      </w:r>
    </w:p>
    <w:p>
      <w:pPr>
        <w:pStyle w:val="TextBody"/>
        <w:spacing w:lineRule="auto" w:line="288" w:before="120" w:after="12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granted the underwriters an option for a period of 30 days from the date of this prospectus supplement to purchase up to 566,250 additional shares of our common stock.</w:t>
      </w:r>
    </w:p>
    <w:p>
      <w:pPr>
        <w:pStyle w:val="TextBody"/>
        <w:spacing w:lineRule="auto" w:line="288" w:before="12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underwriters expect to deliver the shares against payment in New York, New York on May 9, 2023. </w:t>
      </w:r>
    </w:p>
    <w:p>
      <w:pPr>
        <w:pStyle w:val="TextBody"/>
        <w:spacing w:lineRule="auto" w:line="288" w:before="120" w:after="60"/>
        <w:ind w:left="0" w:right="0" w:firstLine="360"/>
        <w:rPr>
          <w:rFonts w:ascii="Times New Roman;sans-serif" w:hAnsi="Times New Roman;sans-serif"/>
          <w:b/>
          <w:i/>
          <w:color w:val="000000"/>
          <w:sz w:val="20"/>
        </w:rPr>
      </w:pPr>
      <w:r>
        <w:rPr>
          <w:rFonts w:ascii="Times New Roman;sans-serif" w:hAnsi="Times New Roman;sans-serif"/>
          <w:b/>
          <w:i/>
          <w:color w:val="000000"/>
          <w:sz w:val="20"/>
        </w:rPr>
        <w:t>Neither the Securities and Exchange Commission nor any state securities commission has approved or disapproved of these securities or determined if this prospectus supplement or accompanying prospectus is truthful or complete. Any representation to the contrary is a criminal offense.</w:t>
      </w:r>
    </w:p>
    <w:p>
      <w:pPr>
        <w:pStyle w:val="TextBody"/>
        <w:spacing w:before="120" w:after="60"/>
        <w:ind w:left="0" w:right="0" w:firstLine="360"/>
        <w:rPr/>
      </w:pPr>
      <w:r>
        <w:rPr/>
      </w:r>
    </w:p>
    <w:tbl>
      <w:tblPr>
        <w:tblW w:w="6585" w:type="dxa"/>
        <w:jc w:val="center"/>
        <w:tblInd w:w="0" w:type="dxa"/>
        <w:tblCellMar>
          <w:top w:w="28" w:type="dxa"/>
          <w:left w:w="28" w:type="dxa"/>
          <w:bottom w:w="28" w:type="dxa"/>
          <w:right w:w="28" w:type="dxa"/>
        </w:tblCellMar>
      </w:tblPr>
      <w:tblGrid>
        <w:gridCol w:w="919"/>
        <w:gridCol w:w="807"/>
        <w:gridCol w:w="809"/>
        <w:gridCol w:w="859"/>
        <w:gridCol w:w="859"/>
        <w:gridCol w:w="861"/>
        <w:gridCol w:w="431"/>
        <w:gridCol w:w="431"/>
        <w:gridCol w:w="609"/>
      </w:tblGrid>
      <w:tr>
        <w:trPr/>
        <w:tc>
          <w:tcPr>
            <w:tcW w:w="919"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36"/>
              </w:rPr>
            </w:pPr>
            <w:r>
              <w:rPr>
                <w:rFonts w:ascii="Times New Roman;sans-serif" w:hAnsi="Times New Roman;sans-serif"/>
                <w:b/>
                <w:color w:val="000000"/>
                <w:sz w:val="36"/>
              </w:rPr>
              <w:t>BofA Securities</w:t>
            </w:r>
          </w:p>
        </w:tc>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36"/>
              </w:rPr>
            </w:pPr>
            <w:r>
              <w:rPr>
                <w:rFonts w:ascii="Times New Roman;sans-serif" w:hAnsi="Times New Roman;sans-serif"/>
                <w:b/>
                <w:color w:val="000000"/>
                <w:sz w:val="36"/>
              </w:rPr>
              <w:t>Morgan Stanley</w:t>
            </w:r>
          </w:p>
        </w:tc>
        <w:tc>
          <w:tcPr>
            <w:tcW w:w="147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36"/>
              </w:rPr>
            </w:pPr>
            <w:r>
              <w:rPr>
                <w:rFonts w:ascii="Times New Roman;sans-serif" w:hAnsi="Times New Roman;sans-serif"/>
                <w:b/>
                <w:color w:val="000000"/>
                <w:sz w:val="36"/>
              </w:rPr>
              <w:t>Jefferies</w:t>
            </w:r>
          </w:p>
        </w:tc>
      </w:tr>
      <w:tr>
        <w:trPr/>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8"/>
              </w:rPr>
            </w:pPr>
            <w:r>
              <w:rPr>
                <w:rFonts w:ascii="Times New Roman;sans-serif" w:hAnsi="Times New Roman;sans-serif"/>
                <w:b/>
                <w:color w:val="000000"/>
                <w:sz w:val="28"/>
              </w:rPr>
              <w:t>Canaccord Genuity</w:t>
            </w:r>
          </w:p>
        </w:tc>
        <w:tc>
          <w:tcPr>
            <w:tcW w:w="2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8"/>
              </w:rPr>
            </w:pPr>
            <w:r>
              <w:rPr>
                <w:rFonts w:ascii="Times New Roman;sans-serif" w:hAnsi="Times New Roman;sans-serif"/>
                <w:b/>
                <w:color w:val="000000"/>
                <w:sz w:val="28"/>
              </w:rPr>
              <w:t>Cantor</w:t>
            </w:r>
          </w:p>
        </w:tc>
      </w:tr>
    </w:tbl>
    <w:p>
      <w:pPr>
        <w:pStyle w:val="TextBody"/>
        <w:spacing w:lineRule="auto" w:line="288" w:before="140" w:after="283"/>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May 4,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00"/>
                        <w:rPr/>
                      </w:pPr>
                      <w:r>
                        <w:rPr/>
                      </w:r>
                    </w:p>
                  </w:txbxContent>
                </v:textbox>
              </v:rect>
            </w:pict>
          </mc:Fallback>
        </mc:AlternateContent>
      </w:r>
    </w:p>
    <w:p>
      <w:pPr>
        <w:pStyle w:val="TextBody"/>
        <w:spacing w:lineRule="auto" w:line="331" w:before="0" w:after="24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170" w:type="dxa"/>
        <w:jc w:val="center"/>
        <w:tblInd w:w="0" w:type="dxa"/>
        <w:tblCellMar>
          <w:top w:w="28" w:type="dxa"/>
          <w:left w:w="28" w:type="dxa"/>
          <w:bottom w:w="28" w:type="dxa"/>
          <w:right w:w="28" w:type="dxa"/>
        </w:tblCellMar>
      </w:tblPr>
      <w:tblGrid>
        <w:gridCol w:w="3492"/>
        <w:gridCol w:w="3073"/>
        <w:gridCol w:w="3080"/>
        <w:gridCol w:w="153"/>
        <w:gridCol w:w="153"/>
        <w:gridCol w:w="219"/>
      </w:tblGrid>
      <w:tr>
        <w:trPr/>
        <w:tc>
          <w:tcPr>
            <w:tcW w:w="3492" w:type="dxa"/>
            <w:tcBorders/>
            <w:shd w:fill="auto" w:val="clear"/>
            <w:vAlign w:val="center"/>
          </w:tcPr>
          <w:p>
            <w:pPr>
              <w:pStyle w:val="TableContents"/>
              <w:spacing w:before="0" w:after="283"/>
              <w:rPr>
                <w:sz w:val="4"/>
                <w:szCs w:val="4"/>
              </w:rPr>
            </w:pPr>
            <w:r>
              <w:rPr>
                <w:sz w:val="4"/>
                <w:szCs w:val="4"/>
              </w:rPr>
            </w:r>
          </w:p>
        </w:tc>
        <w:tc>
          <w:tcPr>
            <w:tcW w:w="3073" w:type="dxa"/>
            <w:tcBorders/>
            <w:shd w:fill="auto" w:val="clear"/>
            <w:vAlign w:val="center"/>
          </w:tcPr>
          <w:p>
            <w:pPr>
              <w:pStyle w:val="TableContents"/>
              <w:spacing w:before="0" w:after="283"/>
              <w:rPr>
                <w:sz w:val="4"/>
                <w:szCs w:val="4"/>
              </w:rPr>
            </w:pPr>
            <w:r>
              <w:rPr>
                <w:sz w:val="4"/>
                <w:szCs w:val="4"/>
              </w:rPr>
            </w:r>
          </w:p>
        </w:tc>
        <w:tc>
          <w:tcPr>
            <w:tcW w:w="308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9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45" w:type="dxa"/>
            <w:gridSpan w:val="3"/>
            <w:tcBorders/>
            <w:shd w:fill="auto" w:val="clear"/>
            <w:tcMar>
              <w:top w:w="0" w:type="dxa"/>
              <w:left w:w="0" w:type="dxa"/>
              <w:bottom w:w="0" w:type="dxa"/>
              <w:right w:w="0" w:type="dxa"/>
            </w:tcMar>
            <w:vAlign w:val="center"/>
          </w:tcPr>
          <w:p>
            <w:pPr>
              <w:pStyle w:val="TableContents"/>
              <w:spacing w:lineRule="auto" w:line="417" w:before="10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PROSPECTUS SUPPLEMENT</w:t>
            </w:r>
          </w:p>
        </w:tc>
        <w:tc>
          <w:tcPr>
            <w:tcW w:w="5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6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7">
              <w:r>
                <w:rPr>
                  <w:rStyle w:val="InternetLink"/>
                  <w:rFonts w:ascii="Times New Roman;sans-serif" w:hAnsi="Times New Roman;sans-serif"/>
                  <w:b w:val="false"/>
                  <w:color w:val="0000FF"/>
                  <w:sz w:val="20"/>
                  <w:u w:val="single"/>
                </w:rPr>
                <w:t>ABOUT THIS PROSPECTUS SUPPLEMENT</w:t>
              </w:r>
            </w:hyperlink>
          </w:p>
        </w:tc>
        <w:tc>
          <w:tcPr>
            <w:tcW w:w="52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7">
              <w:r>
                <w:rPr>
                  <w:rStyle w:val="InternetLink"/>
                </w:rPr>
                <w:t>S-</w:t>
              </w:r>
            </w:hyperlink>
            <w:hyperlink w:anchor="i32314d85229c40fc9f5fdea05a30c466_7">
              <w:r>
                <w:rPr>
                  <w:rStyle w:val="InternetLink"/>
                </w:rPr>
                <w:t>ii</w:t>
              </w:r>
            </w:hyperlink>
          </w:p>
        </w:tc>
      </w:tr>
      <w:tr>
        <w:trPr/>
        <w:tc>
          <w:tcPr>
            <w:tcW w:w="96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10">
              <w:r>
                <w:rPr>
                  <w:rStyle w:val="InternetLink"/>
                  <w:rFonts w:ascii="Times New Roman;sans-serif" w:hAnsi="Times New Roman;sans-serif"/>
                  <w:b w:val="false"/>
                  <w:color w:val="0000FF"/>
                  <w:sz w:val="20"/>
                  <w:u w:val="single"/>
                </w:rPr>
                <w:t>PROSPECTUS SUPPLEMENT SUMMARY</w:t>
              </w:r>
            </w:hyperlink>
          </w:p>
        </w:tc>
        <w:tc>
          <w:tcPr>
            <w:tcW w:w="52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10">
              <w:r>
                <w:rPr>
                  <w:rStyle w:val="InternetLink"/>
                </w:rPr>
                <w:t>S-</w:t>
              </w:r>
            </w:hyperlink>
            <w:hyperlink w:anchor="i32314d85229c40fc9f5fdea05a30c466_10">
              <w:r>
                <w:rPr>
                  <w:rStyle w:val="InternetLink"/>
                </w:rPr>
                <w:t>1</w:t>
              </w:r>
            </w:hyperlink>
          </w:p>
        </w:tc>
      </w:tr>
      <w:tr>
        <w:trPr/>
        <w:tc>
          <w:tcPr>
            <w:tcW w:w="96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13">
              <w:r>
                <w:rPr>
                  <w:rStyle w:val="InternetLink"/>
                  <w:rFonts w:ascii="Times New Roman;sans-serif" w:hAnsi="Times New Roman;sans-serif"/>
                  <w:b w:val="false"/>
                  <w:color w:val="0000FF"/>
                  <w:sz w:val="20"/>
                  <w:u w:val="single"/>
                </w:rPr>
                <w:t>RISK FACTORS</w:t>
              </w:r>
            </w:hyperlink>
          </w:p>
        </w:tc>
        <w:tc>
          <w:tcPr>
            <w:tcW w:w="52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13">
              <w:r>
                <w:rPr>
                  <w:rStyle w:val="InternetLink"/>
                </w:rPr>
                <w:t>S-</w:t>
              </w:r>
            </w:hyperlink>
            <w:hyperlink w:anchor="i32314d85229c40fc9f5fdea05a30c466_13">
              <w:r>
                <w:rPr>
                  <w:rStyle w:val="InternetLink"/>
                </w:rPr>
                <w:t>6</w:t>
              </w:r>
            </w:hyperlink>
          </w:p>
        </w:tc>
      </w:tr>
      <w:tr>
        <w:trPr/>
        <w:tc>
          <w:tcPr>
            <w:tcW w:w="96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16">
              <w:r>
                <w:rPr>
                  <w:rStyle w:val="InternetLink"/>
                  <w:rFonts w:ascii="Times New Roman;sans-serif" w:hAnsi="Times New Roman;sans-serif"/>
                  <w:b w:val="false"/>
                  <w:color w:val="0000FF"/>
                  <w:sz w:val="20"/>
                  <w:u w:val="single"/>
                </w:rPr>
                <w:t>SPECIAL NOTE REGARDING FORWARD-LOOKING STATEMENTS</w:t>
              </w:r>
            </w:hyperlink>
          </w:p>
        </w:tc>
        <w:tc>
          <w:tcPr>
            <w:tcW w:w="52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16">
              <w:r>
                <w:rPr>
                  <w:rStyle w:val="InternetLink"/>
                </w:rPr>
                <w:t>S-</w:t>
              </w:r>
            </w:hyperlink>
            <w:hyperlink w:anchor="i32314d85229c40fc9f5fdea05a30c466_16">
              <w:r>
                <w:rPr>
                  <w:rStyle w:val="InternetLink"/>
                </w:rPr>
                <w:t>8</w:t>
              </w:r>
            </w:hyperlink>
          </w:p>
        </w:tc>
      </w:tr>
      <w:tr>
        <w:trPr/>
        <w:tc>
          <w:tcPr>
            <w:tcW w:w="96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19">
              <w:r>
                <w:rPr>
                  <w:rStyle w:val="InternetLink"/>
                  <w:rFonts w:ascii="Times New Roman;sans-serif" w:hAnsi="Times New Roman;sans-serif"/>
                  <w:b w:val="false"/>
                  <w:color w:val="0000FF"/>
                  <w:sz w:val="20"/>
                  <w:u w:val="single"/>
                </w:rPr>
                <w:t>USE OF PROCEEDS</w:t>
              </w:r>
            </w:hyperlink>
          </w:p>
        </w:tc>
        <w:tc>
          <w:tcPr>
            <w:tcW w:w="52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19">
              <w:r>
                <w:rPr>
                  <w:rStyle w:val="InternetLink"/>
                </w:rPr>
                <w:t>S-</w:t>
              </w:r>
            </w:hyperlink>
            <w:hyperlink w:anchor="i32314d85229c40fc9f5fdea05a30c466_19">
              <w:r>
                <w:rPr>
                  <w:rStyle w:val="InternetLink"/>
                </w:rPr>
                <w:t>10</w:t>
              </w:r>
            </w:hyperlink>
          </w:p>
        </w:tc>
      </w:tr>
      <w:tr>
        <w:trPr/>
        <w:tc>
          <w:tcPr>
            <w:tcW w:w="96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22">
              <w:r>
                <w:rPr>
                  <w:rStyle w:val="InternetLink"/>
                  <w:rFonts w:ascii="Times New Roman;sans-serif" w:hAnsi="Times New Roman;sans-serif"/>
                  <w:b w:val="false"/>
                  <w:color w:val="0000FF"/>
                  <w:sz w:val="20"/>
                  <w:u w:val="single"/>
                </w:rPr>
                <w:t>CAPITALIZATION</w:t>
              </w:r>
            </w:hyperlink>
          </w:p>
        </w:tc>
        <w:tc>
          <w:tcPr>
            <w:tcW w:w="52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22">
              <w:r>
                <w:rPr>
                  <w:rStyle w:val="InternetLink"/>
                </w:rPr>
                <w:t>S-</w:t>
              </w:r>
            </w:hyperlink>
            <w:hyperlink w:anchor="i32314d85229c40fc9f5fdea05a30c466_22">
              <w:r>
                <w:rPr>
                  <w:rStyle w:val="InternetLink"/>
                </w:rPr>
                <w:t>11</w:t>
              </w:r>
            </w:hyperlink>
          </w:p>
        </w:tc>
      </w:tr>
      <w:tr>
        <w:trPr/>
        <w:tc>
          <w:tcPr>
            <w:tcW w:w="96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25">
              <w:r>
                <w:rPr>
                  <w:rStyle w:val="InternetLink"/>
                  <w:rFonts w:ascii="Times New Roman;sans-serif" w:hAnsi="Times New Roman;sans-serif"/>
                  <w:b w:val="false"/>
                  <w:color w:val="0000FF"/>
                  <w:sz w:val="20"/>
                  <w:u w:val="single"/>
                </w:rPr>
                <w:t>DILUTION</w:t>
              </w:r>
            </w:hyperlink>
          </w:p>
        </w:tc>
        <w:tc>
          <w:tcPr>
            <w:tcW w:w="52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25">
              <w:r>
                <w:rPr>
                  <w:rStyle w:val="InternetLink"/>
                </w:rPr>
                <w:t>S-</w:t>
              </w:r>
            </w:hyperlink>
            <w:hyperlink w:anchor="i32314d85229c40fc9f5fdea05a30c466_25">
              <w:r>
                <w:rPr>
                  <w:rStyle w:val="InternetLink"/>
                </w:rPr>
                <w:t>13</w:t>
              </w:r>
            </w:hyperlink>
          </w:p>
        </w:tc>
      </w:tr>
      <w:tr>
        <w:trPr/>
        <w:tc>
          <w:tcPr>
            <w:tcW w:w="96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28">
              <w:r>
                <w:rPr>
                  <w:rStyle w:val="InternetLink"/>
                  <w:rFonts w:ascii="Times New Roman;sans-serif" w:hAnsi="Times New Roman;sans-serif"/>
                  <w:b w:val="false"/>
                  <w:color w:val="0000FF"/>
                  <w:sz w:val="20"/>
                  <w:u w:val="single"/>
                </w:rPr>
                <w:t>SELLING STOCKHOLDER</w:t>
              </w:r>
            </w:hyperlink>
          </w:p>
        </w:tc>
        <w:tc>
          <w:tcPr>
            <w:tcW w:w="52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28">
              <w:r>
                <w:rPr>
                  <w:rStyle w:val="InternetLink"/>
                </w:rPr>
                <w:t>S-</w:t>
              </w:r>
            </w:hyperlink>
            <w:hyperlink w:anchor="i32314d85229c40fc9f5fdea05a30c466_28">
              <w:r>
                <w:rPr>
                  <w:rStyle w:val="InternetLink"/>
                </w:rPr>
                <w:t>14</w:t>
              </w:r>
            </w:hyperlink>
          </w:p>
        </w:tc>
      </w:tr>
      <w:tr>
        <w:trPr/>
        <w:tc>
          <w:tcPr>
            <w:tcW w:w="964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32314d85229c40fc9f5fdea05a30c466_31">
              <w:r>
                <w:rPr>
                  <w:rStyle w:val="InternetLink"/>
                  <w:rFonts w:ascii="Times New Roman;sans-serif" w:hAnsi="Times New Roman;sans-serif"/>
                  <w:b w:val="false"/>
                  <w:color w:val="0000FF"/>
                  <w:sz w:val="20"/>
                  <w:u w:val="single"/>
                </w:rPr>
                <w:t>MATERIAL U.S. FEDERAL INCOME TAX CONSEQUENCES TO NON-U.S. HOLDERS OF OUR COMMON STOCK</w:t>
              </w:r>
            </w:hyperlink>
          </w:p>
        </w:tc>
        <w:tc>
          <w:tcPr>
            <w:tcW w:w="52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31">
              <w:r>
                <w:rPr>
                  <w:rStyle w:val="InternetLink"/>
                </w:rPr>
                <w:t>S-</w:t>
              </w:r>
            </w:hyperlink>
            <w:hyperlink w:anchor="i32314d85229c40fc9f5fdea05a30c466_31">
              <w:r>
                <w:rPr>
                  <w:rStyle w:val="InternetLink"/>
                </w:rPr>
                <w:t>15</w:t>
              </w:r>
            </w:hyperlink>
          </w:p>
        </w:tc>
      </w:tr>
      <w:tr>
        <w:trPr/>
        <w:tc>
          <w:tcPr>
            <w:tcW w:w="96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34">
              <w:r>
                <w:rPr>
                  <w:rStyle w:val="InternetLink"/>
                  <w:rFonts w:ascii="Times New Roman;sans-serif" w:hAnsi="Times New Roman;sans-serif"/>
                  <w:b w:val="false"/>
                  <w:color w:val="0000FF"/>
                  <w:sz w:val="20"/>
                  <w:u w:val="single"/>
                </w:rPr>
                <w:t>UNDERWRITING</w:t>
              </w:r>
            </w:hyperlink>
          </w:p>
        </w:tc>
        <w:tc>
          <w:tcPr>
            <w:tcW w:w="52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34">
              <w:r>
                <w:rPr>
                  <w:rStyle w:val="InternetLink"/>
                </w:rPr>
                <w:t>S-</w:t>
              </w:r>
            </w:hyperlink>
            <w:hyperlink w:anchor="i32314d85229c40fc9f5fdea05a30c466_34">
              <w:r>
                <w:rPr>
                  <w:rStyle w:val="InternetLink"/>
                </w:rPr>
                <w:t>19</w:t>
              </w:r>
            </w:hyperlink>
          </w:p>
        </w:tc>
      </w:tr>
      <w:tr>
        <w:trPr/>
        <w:tc>
          <w:tcPr>
            <w:tcW w:w="96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37">
              <w:r>
                <w:rPr>
                  <w:rStyle w:val="InternetLink"/>
                  <w:rFonts w:ascii="Times New Roman;sans-serif" w:hAnsi="Times New Roman;sans-serif"/>
                  <w:b w:val="false"/>
                  <w:color w:val="0000FF"/>
                  <w:sz w:val="20"/>
                  <w:u w:val="single"/>
                </w:rPr>
                <w:t>LEGAL MATTERS</w:t>
              </w:r>
            </w:hyperlink>
          </w:p>
        </w:tc>
        <w:tc>
          <w:tcPr>
            <w:tcW w:w="52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37">
              <w:r>
                <w:rPr>
                  <w:rStyle w:val="InternetLink"/>
                  <w:rFonts w:ascii="Times New Roman;sans-serif" w:hAnsi="Times New Roman;sans-serif"/>
                  <w:b w:val="false"/>
                  <w:color w:val="0000FF"/>
                  <w:sz w:val="20"/>
                  <w:u w:val="single"/>
                </w:rPr>
                <w:t>S-28</w:t>
              </w:r>
            </w:hyperlink>
          </w:p>
        </w:tc>
      </w:tr>
      <w:tr>
        <w:trPr/>
        <w:tc>
          <w:tcPr>
            <w:tcW w:w="96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40">
              <w:r>
                <w:rPr>
                  <w:rStyle w:val="InternetLink"/>
                  <w:rFonts w:ascii="Times New Roman;sans-serif" w:hAnsi="Times New Roman;sans-serif"/>
                  <w:b w:val="false"/>
                  <w:color w:val="0000FF"/>
                  <w:sz w:val="20"/>
                  <w:u w:val="single"/>
                </w:rPr>
                <w:t>EXPERTS</w:t>
              </w:r>
            </w:hyperlink>
          </w:p>
        </w:tc>
        <w:tc>
          <w:tcPr>
            <w:tcW w:w="52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40">
              <w:r>
                <w:rPr>
                  <w:rStyle w:val="InternetLink"/>
                </w:rPr>
                <w:t>S-</w:t>
              </w:r>
            </w:hyperlink>
            <w:hyperlink w:anchor="i32314d85229c40fc9f5fdea05a30c466_40">
              <w:r>
                <w:rPr>
                  <w:rStyle w:val="InternetLink"/>
                </w:rPr>
                <w:t>28</w:t>
              </w:r>
            </w:hyperlink>
          </w:p>
        </w:tc>
      </w:tr>
      <w:tr>
        <w:trPr/>
        <w:tc>
          <w:tcPr>
            <w:tcW w:w="96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43">
              <w:r>
                <w:rPr>
                  <w:rStyle w:val="InternetLink"/>
                  <w:rFonts w:ascii="Times New Roman;sans-serif" w:hAnsi="Times New Roman;sans-serif"/>
                  <w:b w:val="false"/>
                  <w:color w:val="0000FF"/>
                  <w:sz w:val="20"/>
                  <w:u w:val="single"/>
                </w:rPr>
                <w:t>WHERE YOU CAN FIND ADDITIONAL INFORMATION</w:t>
              </w:r>
            </w:hyperlink>
          </w:p>
        </w:tc>
        <w:tc>
          <w:tcPr>
            <w:tcW w:w="52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43">
              <w:r>
                <w:rPr>
                  <w:rStyle w:val="InternetLink"/>
                </w:rPr>
                <w:t>S-</w:t>
              </w:r>
            </w:hyperlink>
            <w:hyperlink w:anchor="i32314d85229c40fc9f5fdea05a30c466_43">
              <w:r>
                <w:rPr>
                  <w:rStyle w:val="InternetLink"/>
                </w:rPr>
                <w:t>28</w:t>
              </w:r>
            </w:hyperlink>
          </w:p>
        </w:tc>
      </w:tr>
      <w:tr>
        <w:trPr/>
        <w:tc>
          <w:tcPr>
            <w:tcW w:w="96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46">
              <w:r>
                <w:rPr>
                  <w:rStyle w:val="InternetLink"/>
                  <w:rFonts w:ascii="Times New Roman;sans-serif" w:hAnsi="Times New Roman;sans-serif"/>
                  <w:b w:val="false"/>
                  <w:color w:val="0000FF"/>
                  <w:sz w:val="20"/>
                  <w:u w:val="single"/>
                </w:rPr>
                <w:t>INCORPORATION OF CERTAIN INFORMATION BY REFERENCE</w:t>
              </w:r>
            </w:hyperlink>
          </w:p>
        </w:tc>
        <w:tc>
          <w:tcPr>
            <w:tcW w:w="52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46">
              <w:r>
                <w:rPr>
                  <w:rStyle w:val="InternetLink"/>
                </w:rPr>
                <w:t>S-</w:t>
              </w:r>
            </w:hyperlink>
            <w:hyperlink w:anchor="i32314d85229c40fc9f5fdea05a30c466_46">
              <w:r>
                <w:rPr>
                  <w:rStyle w:val="InternetLink"/>
                </w:rPr>
                <w:t>29</w:t>
              </w:r>
            </w:hyperlink>
          </w:p>
        </w:tc>
      </w:tr>
    </w:tbl>
    <w:tbl>
      <w:tblPr>
        <w:tblW w:w="6221" w:type="dxa"/>
        <w:jc w:val="center"/>
        <w:tblInd w:w="0" w:type="dxa"/>
        <w:tblCellMar>
          <w:top w:w="28" w:type="dxa"/>
          <w:left w:w="28" w:type="dxa"/>
          <w:bottom w:w="28" w:type="dxa"/>
          <w:right w:w="28" w:type="dxa"/>
        </w:tblCellMar>
      </w:tblPr>
      <w:tblGrid>
        <w:gridCol w:w="2120"/>
        <w:gridCol w:w="1861"/>
        <w:gridCol w:w="1868"/>
        <w:gridCol w:w="109"/>
        <w:gridCol w:w="109"/>
        <w:gridCol w:w="154"/>
      </w:tblGrid>
      <w:tr>
        <w:trPr/>
        <w:tc>
          <w:tcPr>
            <w:tcW w:w="2120" w:type="dxa"/>
            <w:tcBorders/>
            <w:shd w:fill="auto" w:val="clear"/>
            <w:vAlign w:val="center"/>
          </w:tcPr>
          <w:p>
            <w:pPr>
              <w:pStyle w:val="TableContents"/>
              <w:spacing w:before="0" w:after="283"/>
              <w:rPr>
                <w:sz w:val="4"/>
                <w:szCs w:val="4"/>
              </w:rPr>
            </w:pPr>
            <w:r>
              <w:rPr>
                <w:sz w:val="4"/>
                <w:szCs w:val="4"/>
              </w:rPr>
            </w:r>
          </w:p>
        </w:tc>
        <w:tc>
          <w:tcPr>
            <w:tcW w:w="1861" w:type="dxa"/>
            <w:tcBorders/>
            <w:shd w:fill="auto" w:val="clear"/>
            <w:vAlign w:val="center"/>
          </w:tcPr>
          <w:p>
            <w:pPr>
              <w:pStyle w:val="TableContents"/>
              <w:spacing w:before="0" w:after="283"/>
              <w:rPr>
                <w:sz w:val="4"/>
                <w:szCs w:val="4"/>
              </w:rPr>
            </w:pPr>
            <w:r>
              <w:rPr>
                <w:sz w:val="4"/>
                <w:szCs w:val="4"/>
              </w:rPr>
            </w:r>
          </w:p>
        </w:tc>
        <w:tc>
          <w:tcPr>
            <w:tcW w:w="18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49" w:type="dxa"/>
            <w:gridSpan w:val="3"/>
            <w:tcBorders/>
            <w:shd w:fill="auto" w:val="clear"/>
            <w:tcMar>
              <w:top w:w="0" w:type="dxa"/>
              <w:left w:w="0" w:type="dxa"/>
              <w:bottom w:w="0" w:type="dxa"/>
              <w:right w:w="0" w:type="dxa"/>
            </w:tcMar>
            <w:vAlign w:val="center"/>
          </w:tcPr>
          <w:p>
            <w:pPr>
              <w:pStyle w:val="TableContents"/>
              <w:spacing w:lineRule="auto" w:line="417" w:before="100" w:after="240"/>
              <w:jc w:val="left"/>
              <w:rPr>
                <w:rFonts w:ascii="Times New Roman;sans-serif" w:hAnsi="Times New Roman;sans-serif"/>
                <w:b/>
                <w:color w:val="000000"/>
                <w:sz w:val="20"/>
                <w:u w:val="single"/>
              </w:rPr>
            </w:pPr>
            <w:r>
              <w:rPr>
                <w:rFonts w:ascii="Times New Roman;sans-serif" w:hAnsi="Times New Roman;sans-serif"/>
                <w:b/>
                <w:color w:val="000000"/>
                <w:sz w:val="20"/>
                <w:u w:val="single"/>
              </w:rPr>
              <w:t>PROSPECTUS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55">
              <w:r>
                <w:rPr>
                  <w:rStyle w:val="InternetLink"/>
                  <w:rFonts w:ascii="Times New Roman;sans-serif" w:hAnsi="Times New Roman;sans-serif"/>
                  <w:b w:val="false"/>
                  <w:color w:val="0000FF"/>
                  <w:sz w:val="20"/>
                  <w:u w:val="single"/>
                </w:rPr>
                <w:t>ABOUT THIS PROSPECTUS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55">
              <w:r>
                <w:rPr>
                  <w:rStyle w:val="InternetLink"/>
                  <w:rFonts w:ascii="Times New Roman;sans-serif" w:hAnsi="Times New Roman;sans-serif"/>
                  <w:b w:val="false"/>
                  <w:color w:val="0000FF"/>
                  <w:sz w:val="20"/>
                  <w:u w:val="single"/>
                </w:rPr>
                <w:t>ii</w:t>
              </w:r>
            </w:hyperlink>
          </w:p>
        </w:tc>
      </w:tr>
      <w:tr>
        <w:trPr/>
        <w:tc>
          <w:tcPr>
            <w:tcW w:w="58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58">
              <w:r>
                <w:rPr>
                  <w:rStyle w:val="InternetLink"/>
                  <w:rFonts w:ascii="Times New Roman;sans-serif" w:hAnsi="Times New Roman;sans-serif"/>
                  <w:b w:val="false"/>
                  <w:color w:val="0000FF"/>
                  <w:sz w:val="20"/>
                  <w:u w:val="single"/>
                </w:rPr>
                <w:t>PROSPECTUS SUMMARY</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58">
              <w:r>
                <w:rPr>
                  <w:rStyle w:val="InternetLink"/>
                  <w:rFonts w:ascii="Times New Roman;sans-serif" w:hAnsi="Times New Roman;sans-serif"/>
                  <w:b w:val="false"/>
                  <w:color w:val="0000FF"/>
                  <w:sz w:val="20"/>
                  <w:u w:val="single"/>
                </w:rPr>
                <w:t>1</w:t>
              </w:r>
            </w:hyperlink>
          </w:p>
        </w:tc>
      </w:tr>
      <w:tr>
        <w:trPr/>
        <w:tc>
          <w:tcPr>
            <w:tcW w:w="58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61">
              <w:r>
                <w:rPr>
                  <w:rStyle w:val="InternetLink"/>
                  <w:rFonts w:ascii="Times New Roman;sans-serif" w:hAnsi="Times New Roman;sans-serif"/>
                  <w:b w:val="false"/>
                  <w:color w:val="0000FF"/>
                  <w:sz w:val="20"/>
                  <w:u w:val="single"/>
                </w:rPr>
                <w:t>RISK FACTORS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61">
              <w:r>
                <w:rPr>
                  <w:rStyle w:val="InternetLink"/>
                  <w:rFonts w:ascii="Times New Roman;sans-serif" w:hAnsi="Times New Roman;sans-serif"/>
                  <w:b w:val="false"/>
                  <w:color w:val="0000FF"/>
                  <w:sz w:val="20"/>
                  <w:u w:val="single"/>
                </w:rPr>
                <w:t>5</w:t>
              </w:r>
            </w:hyperlink>
          </w:p>
        </w:tc>
      </w:tr>
      <w:tr>
        <w:trPr/>
        <w:tc>
          <w:tcPr>
            <w:tcW w:w="58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64">
              <w:r>
                <w:rPr>
                  <w:rStyle w:val="InternetLink"/>
                  <w:rFonts w:ascii="Times New Roman;sans-serif" w:hAnsi="Times New Roman;sans-serif"/>
                  <w:b w:val="false"/>
                  <w:color w:val="0000FF"/>
                  <w:sz w:val="20"/>
                  <w:u w:val="single"/>
                </w:rPr>
                <w:t>SPECIAL NOTE REGARDING FORWARD-LOOKING STATEMENTS</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64">
              <w:r>
                <w:rPr>
                  <w:rStyle w:val="InternetLink"/>
                  <w:rFonts w:ascii="Times New Roman;sans-serif" w:hAnsi="Times New Roman;sans-serif"/>
                  <w:b w:val="false"/>
                  <w:color w:val="0000FF"/>
                  <w:sz w:val="20"/>
                  <w:u w:val="single"/>
                </w:rPr>
                <w:t>6</w:t>
              </w:r>
            </w:hyperlink>
          </w:p>
        </w:tc>
      </w:tr>
      <w:tr>
        <w:trPr/>
        <w:tc>
          <w:tcPr>
            <w:tcW w:w="58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67">
              <w:r>
                <w:rPr>
                  <w:rStyle w:val="InternetLink"/>
                  <w:rFonts w:ascii="Times New Roman;sans-serif" w:hAnsi="Times New Roman;sans-serif"/>
                  <w:b w:val="false"/>
                  <w:color w:val="0000FF"/>
                  <w:sz w:val="20"/>
                  <w:u w:val="single"/>
                </w:rPr>
                <w:t>USE OF PROCEEDS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67">
              <w:r>
                <w:rPr>
                  <w:rStyle w:val="InternetLink"/>
                  <w:rFonts w:ascii="Times New Roman;sans-serif" w:hAnsi="Times New Roman;sans-serif"/>
                  <w:b w:val="false"/>
                  <w:color w:val="0000FF"/>
                  <w:sz w:val="20"/>
                  <w:u w:val="single"/>
                </w:rPr>
                <w:t>8</w:t>
              </w:r>
            </w:hyperlink>
          </w:p>
        </w:tc>
      </w:tr>
      <w:tr>
        <w:trPr/>
        <w:tc>
          <w:tcPr>
            <w:tcW w:w="58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70">
              <w:r>
                <w:rPr>
                  <w:rStyle w:val="InternetLink"/>
                  <w:rFonts w:ascii="Times New Roman;sans-serif" w:hAnsi="Times New Roman;sans-serif"/>
                  <w:b w:val="false"/>
                  <w:color w:val="0000FF"/>
                  <w:sz w:val="20"/>
                  <w:u w:val="single"/>
                </w:rPr>
                <w:t>DESCRIPTION OF CAPITAL STOCK</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70">
              <w:r>
                <w:rPr>
                  <w:rStyle w:val="InternetLink"/>
                  <w:rFonts w:ascii="Times New Roman;sans-serif" w:hAnsi="Times New Roman;sans-serif"/>
                  <w:b w:val="false"/>
                  <w:color w:val="0000FF"/>
                  <w:sz w:val="20"/>
                  <w:u w:val="single"/>
                </w:rPr>
                <w:t>9</w:t>
              </w:r>
            </w:hyperlink>
          </w:p>
        </w:tc>
      </w:tr>
      <w:tr>
        <w:trPr/>
        <w:tc>
          <w:tcPr>
            <w:tcW w:w="58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73">
              <w:r>
                <w:rPr>
                  <w:rStyle w:val="InternetLink"/>
                  <w:rFonts w:ascii="Times New Roman;sans-serif" w:hAnsi="Times New Roman;sans-serif"/>
                  <w:b w:val="false"/>
                  <w:color w:val="0000FF"/>
                  <w:sz w:val="20"/>
                  <w:u w:val="single"/>
                </w:rPr>
                <w:t>DESCRIPTION OF DEBT SECURITIES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73">
              <w:r>
                <w:rPr>
                  <w:rStyle w:val="InternetLink"/>
                  <w:rFonts w:ascii="Times New Roman;sans-serif" w:hAnsi="Times New Roman;sans-serif"/>
                  <w:b w:val="false"/>
                  <w:color w:val="0000FF"/>
                  <w:sz w:val="20"/>
                  <w:u w:val="single"/>
                </w:rPr>
                <w:t>13</w:t>
              </w:r>
            </w:hyperlink>
          </w:p>
        </w:tc>
      </w:tr>
      <w:tr>
        <w:trPr/>
        <w:tc>
          <w:tcPr>
            <w:tcW w:w="58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76">
              <w:r>
                <w:rPr>
                  <w:rStyle w:val="InternetLink"/>
                  <w:rFonts w:ascii="Times New Roman;sans-serif" w:hAnsi="Times New Roman;sans-serif"/>
                  <w:b w:val="false"/>
                  <w:color w:val="0000FF"/>
                  <w:sz w:val="20"/>
                  <w:u w:val="single"/>
                </w:rPr>
                <w:t>DESCRIPTION OF WARRANTS</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76">
              <w:r>
                <w:rPr>
                  <w:rStyle w:val="InternetLink"/>
                  <w:rFonts w:ascii="Times New Roman;sans-serif" w:hAnsi="Times New Roman;sans-serif"/>
                  <w:b w:val="false"/>
                  <w:color w:val="0000FF"/>
                  <w:sz w:val="20"/>
                  <w:u w:val="single"/>
                </w:rPr>
                <w:t>20</w:t>
              </w:r>
            </w:hyperlink>
          </w:p>
        </w:tc>
      </w:tr>
      <w:tr>
        <w:trPr/>
        <w:tc>
          <w:tcPr>
            <w:tcW w:w="58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79">
              <w:r>
                <w:rPr>
                  <w:rStyle w:val="InternetLink"/>
                  <w:rFonts w:ascii="Times New Roman;sans-serif" w:hAnsi="Times New Roman;sans-serif"/>
                  <w:b w:val="false"/>
                  <w:color w:val="0000FF"/>
                  <w:sz w:val="20"/>
                  <w:u w:val="single"/>
                </w:rPr>
                <w:t>LEGAL OWNERSHIP OF SECURITIES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79">
              <w:r>
                <w:rPr>
                  <w:rStyle w:val="InternetLink"/>
                  <w:rFonts w:ascii="Times New Roman;sans-serif" w:hAnsi="Times New Roman;sans-serif"/>
                  <w:b w:val="false"/>
                  <w:color w:val="0000FF"/>
                  <w:sz w:val="20"/>
                  <w:u w:val="single"/>
                </w:rPr>
                <w:t>22</w:t>
              </w:r>
            </w:hyperlink>
          </w:p>
        </w:tc>
      </w:tr>
      <w:tr>
        <w:trPr/>
        <w:tc>
          <w:tcPr>
            <w:tcW w:w="58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82">
              <w:r>
                <w:rPr>
                  <w:rStyle w:val="InternetLink"/>
                  <w:rFonts w:ascii="Times New Roman;sans-serif" w:hAnsi="Times New Roman;sans-serif"/>
                  <w:b w:val="false"/>
                  <w:color w:val="0000FF"/>
                  <w:sz w:val="20"/>
                  <w:u w:val="single"/>
                </w:rPr>
                <w:t>SELLING SECURITYHOLDERS</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82">
              <w:r>
                <w:rPr>
                  <w:rStyle w:val="InternetLink"/>
                  <w:rFonts w:ascii="Times New Roman;sans-serif" w:hAnsi="Times New Roman;sans-serif"/>
                  <w:b w:val="false"/>
                  <w:color w:val="0000FF"/>
                  <w:sz w:val="20"/>
                  <w:u w:val="single"/>
                </w:rPr>
                <w:t>25</w:t>
              </w:r>
            </w:hyperlink>
          </w:p>
        </w:tc>
      </w:tr>
      <w:tr>
        <w:trPr/>
        <w:tc>
          <w:tcPr>
            <w:tcW w:w="58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85">
              <w:r>
                <w:rPr>
                  <w:rStyle w:val="InternetLink"/>
                  <w:rFonts w:ascii="Times New Roman;sans-serif" w:hAnsi="Times New Roman;sans-serif"/>
                  <w:b w:val="false"/>
                  <w:color w:val="0000FF"/>
                  <w:sz w:val="20"/>
                  <w:u w:val="single"/>
                </w:rPr>
                <w:t>PLAN OF DISTRIBUTION</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85">
              <w:r>
                <w:rPr>
                  <w:rStyle w:val="InternetLink"/>
                  <w:rFonts w:ascii="Times New Roman;sans-serif" w:hAnsi="Times New Roman;sans-serif"/>
                  <w:b w:val="false"/>
                  <w:color w:val="0000FF"/>
                  <w:sz w:val="20"/>
                  <w:u w:val="single"/>
                </w:rPr>
                <w:t>25</w:t>
              </w:r>
            </w:hyperlink>
          </w:p>
        </w:tc>
      </w:tr>
      <w:tr>
        <w:trPr/>
        <w:tc>
          <w:tcPr>
            <w:tcW w:w="58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88">
              <w:r>
                <w:rPr>
                  <w:rStyle w:val="InternetLink"/>
                  <w:rFonts w:ascii="Times New Roman;sans-serif" w:hAnsi="Times New Roman;sans-serif"/>
                  <w:b w:val="false"/>
                  <w:color w:val="0000FF"/>
                  <w:sz w:val="20"/>
                  <w:u w:val="single"/>
                </w:rPr>
                <w:t>LEGAL MATTERS</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88">
              <w:r>
                <w:rPr>
                  <w:rStyle w:val="InternetLink"/>
                  <w:rFonts w:ascii="Times New Roman;sans-serif" w:hAnsi="Times New Roman;sans-serif"/>
                  <w:b w:val="false"/>
                  <w:color w:val="0000FF"/>
                  <w:sz w:val="20"/>
                  <w:u w:val="single"/>
                </w:rPr>
                <w:t>26</w:t>
              </w:r>
            </w:hyperlink>
          </w:p>
        </w:tc>
      </w:tr>
      <w:tr>
        <w:trPr/>
        <w:tc>
          <w:tcPr>
            <w:tcW w:w="58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91">
              <w:r>
                <w:rPr>
                  <w:rStyle w:val="InternetLink"/>
                  <w:rFonts w:ascii="Times New Roman;sans-serif" w:hAnsi="Times New Roman;sans-serif"/>
                  <w:b w:val="false"/>
                  <w:color w:val="0000FF"/>
                  <w:sz w:val="20"/>
                  <w:u w:val="single"/>
                </w:rPr>
                <w:t>EXPERTS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91">
              <w:r>
                <w:rPr>
                  <w:rStyle w:val="InternetLink"/>
                  <w:rFonts w:ascii="Times New Roman;sans-serif" w:hAnsi="Times New Roman;sans-serif"/>
                  <w:b w:val="false"/>
                  <w:color w:val="0000FF"/>
                  <w:sz w:val="20"/>
                  <w:u w:val="single"/>
                </w:rPr>
                <w:t>26</w:t>
              </w:r>
            </w:hyperlink>
          </w:p>
        </w:tc>
      </w:tr>
      <w:tr>
        <w:trPr/>
        <w:tc>
          <w:tcPr>
            <w:tcW w:w="58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94">
              <w:r>
                <w:rPr>
                  <w:rStyle w:val="InternetLink"/>
                  <w:rFonts w:ascii="Times New Roman;sans-serif" w:hAnsi="Times New Roman;sans-serif"/>
                  <w:b w:val="false"/>
                  <w:color w:val="0000FF"/>
                  <w:sz w:val="20"/>
                  <w:u w:val="single"/>
                </w:rPr>
                <w:t>WHERE YOU CAN FIND ADDITIONAL INFORMATION</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94">
              <w:r>
                <w:rPr>
                  <w:rStyle w:val="InternetLink"/>
                  <w:rFonts w:ascii="Times New Roman;sans-serif" w:hAnsi="Times New Roman;sans-serif"/>
                  <w:b w:val="false"/>
                  <w:color w:val="0000FF"/>
                  <w:sz w:val="20"/>
                  <w:u w:val="single"/>
                </w:rPr>
                <w:t>27</w:t>
              </w:r>
            </w:hyperlink>
          </w:p>
        </w:tc>
      </w:tr>
      <w:tr>
        <w:trPr/>
        <w:tc>
          <w:tcPr>
            <w:tcW w:w="58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97">
              <w:r>
                <w:rPr>
                  <w:rStyle w:val="InternetLink"/>
                  <w:rFonts w:ascii="Times New Roman;sans-serif" w:hAnsi="Times New Roman;sans-serif"/>
                  <w:b w:val="false"/>
                  <w:color w:val="0000FF"/>
                  <w:sz w:val="20"/>
                  <w:u w:val="single"/>
                </w:rPr>
                <w:t>INCORPORATION OF CERTAIN INFORMATION BY REFERENCE</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97">
              <w:r>
                <w:rPr>
                  <w:rStyle w:val="InternetLink"/>
                  <w:rFonts w:ascii="Times New Roman;sans-serif" w:hAnsi="Times New Roman;sans-serif"/>
                  <w:b w:val="false"/>
                  <w:color w:val="0000FF"/>
                  <w:sz w:val="20"/>
                  <w:u w:val="single"/>
                </w:rPr>
                <w:t>28</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S-i</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ABOUT THIS PROSPECTUS SUPPLEMENT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and the accompanying prospectus are part of a “shelf” registration statement on Form S-3 (File No. 333-271635) that we initially filed with the Securities and Exchange Commission (SEC) on May 4, 2023, and that automatically became effective upon filing. This document is in two parts. The first part is this prospectus supplement, which describes the specific terms of this common stock offering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and the selling stockholder have not, and the underwriters have not, authorized anyone to provide any information other than that contained or incorporated by reference in this prospectus supplement, the accompanying prospectus or in any free writing prospectus that we have authorized for use in connection with this offering. We, the selling stockholder and the underwriters take no responsibility for, and can provide no assurance as to the reliability of, any other information that others may give you. The information contained in this prospectus supplement, the accompanying prospectus, any free writing prospectus that we have authorized for use in connection with this offering, including the documents incorporated by reference herein or therein is accurate only as of the respective dates thereof, regardless of the time of delivery of this prospectus supplement and the accompanying prospectus or of any sale of our common stock. It is important for you to read and consider all information contained in this prospectus supplement, the accompanying prospectus and any free writing prospectus that we have authorized for use in connection with this offering, including the documents incorporated by reference herein and therein, in making your investment decision. You should also read and consider the information in the documents to which we have referred you in the sections entitled “Where You Can Find Additional Information” and “Incorporation of Certain Information by Reference” in this prospectus supplement and in the accompanying prospectus.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the selling stockholder and the underwriters are offering to sell, and seeking offers to buy, shares of our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as otherwise indicated herein or as the context otherwise requires, references in this prospectus supplement and accompanying prospectus to “SI-BONE,” “the company,” “we,” “us,” “our” and similar references refer to SI-BONE, Inc., a corporation under the laws of the State of Delaware, and its wholly owned subsidiaries.</w:t>
      </w:r>
      <w:r>
        <w:br w:type="page"/>
      </w:r>
    </w:p>
    <w:p>
      <w:pPr>
        <w:pStyle w:val="TextBody"/>
        <w:spacing w:before="0" w:after="20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S-ii</w:t>
                      </w:r>
                    </w:p>
                  </w:txbxContent>
                </v:textbox>
              </v:rect>
            </w:pict>
          </mc:Fallback>
        </mc:AlternateConten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Trademarks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context indicates otherwise, as used in this prospectus supplement and accompanying prospectus, the terms “SI-BONE,” “iFuse Implant System,” “iFuse-TORQ,” “iFuse Bedrock Granite,” and/or “iFuse” and other iFuse-formative trademarks, as well as other trademarks or service marks of SI-BONE appearing in this prospectus supplement and accompanying prospectus, are the property of SI-BONE. This prospectus supplement and accompanying prospectus contain additional trade names, trademarks, and service marks of ours and of other companies. We do not intend our use or display of other companies’ trade names, trademarks or service marks to imply a relationship with, or endorsement or sponsorship of us by, these other companies.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S-iii</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PROSPECTUS SUPPLEMENT SUMMARY</w:t>
      </w:r>
    </w:p>
    <w:p>
      <w:pPr>
        <w:pStyle w:val="TextBody"/>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This summary highlights selected information appearing elsewhere in this prospectus supplement or accompanying prospectus or incorporated by reference in this prospectus supplement and accompanying prospectus, and does not contain all of the information that you need to consider in making your investment decision. You should carefully read the entire prospectus supplement, accompanying prospectus and any related free writing prospectus, including the risks of investing in our securities discussed under the heading “Risk Factors” contained in this prospectus supplement and any related free writing prospectus, and under similar headings in the other documents that are incorporated by reference into this prospectus supplement and accompanying prospectus. You should also carefully read the information incorporated by reference into this prospectus supplement and accompanying prospectus, including our financial statements, and the exhibits to the registration statement of which this prospectus supplement and accompanying prospectus are a part. </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SI-BONE, Inc.</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medical device company dedicated to solving musculoskeletal disorders of the sacropelvic anatomy. Leveraging our knowledge of pelvic anatomy and biomechanics, we have pioneered proprietary minimally invasive surgical implant systems to address sacroiliac joint dysfunction as well as address unmet clinical needs in pelvic fixation and management of pelvic fractures. Our products include a series of patented titanium implants and the instruments used to implant them. Since launching our first generation iFuse in 2009, we have launched three new implant product lines, iFuse-3D in 2017, iFuse-TORQ in 2021 and iFuse Bedrock Granite in 2022. Within the United States, our products have clearances for applications across sacroiliac joint dysfunction and fusion, adult deformity and degeneration, and pelvic trauma. </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market our products primarily with a direct sales force as well as a number of third-party sales agents and resellers in the U.S., and with a combination of a direct sales force, sales agents and resellers in other countries. As of March 31, 2023, more than 80,000 procedures have been performed by over 3,000 surgeons in the United States and 38 other countries since we introduced iFuse in 2009. </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Market Opportunity</w:t>
      </w:r>
    </w:p>
    <w:p>
      <w:pPr>
        <w:pStyle w:val="TextBody"/>
        <w:spacing w:lineRule="auto" w:line="276"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 sacropelvic solutions company, our products have applications across sacroiliac joint dysfunction and degeneration, spinopelvic fixation, and pelvic fractures. We estimate that our total addressable market in the United States includes up to 470,000 annual surgical procedures, representing a revenue opportunity of approximately $3.7 billion.</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Sacroiliac Joint Dysfunction and Degeneration</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Over 30 million American adults are estimated to have chronic lower back pain. Studies indicate that 15% to 30% of patients with chronic low back pain may have symptoms originating with the sacroiliac joint. Our experience in both clinical trials and commercial settings indicates that at least 30% of these patients may be candidates for surgical treatment with our implants. Based on our market experience and internal estimates, and the assumption that the average person suffering from sacroiliac joint dysfunction has been in pain for five years, we estimate that the potential market for sacroiliac joint fusion in the United States could be approximately 279,000 patients for a potential annual market in the United States of approximately $2.4 billion. Minimally invasive sacroiliac fusion is currently reimbursed by healthcare payors representing more than 300 million covered lives in the U.S.</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Sacroiliac joint patients may have experienced one or more events that have contributed to disruption and/or degeneration of the sacroiliac joint, such as pregnancy, falls, previous lumbar surgery, automobile accidents, and aging, which may cause degeneration of the cushioning in the joint much like other joints. Patients with sacroiliac joint dysfunction frequently experience significant pain simply from sitting, standing, or rolling over in bed. The pain can be exacerbated with activity - when a patient walks or runs. We believe that approximately 65% of people who suffer from sacroiliac pain are women. Although several non-surgical treatments exist for sacroiliac joint pain, including physical therapy, opiates and non-steroidal anti-inflammatory medications, intra-articular injection of </w:t>
      </w:r>
      <w:r>
        <w:br w:type="page"/>
      </w:r>
    </w:p>
    <w:p>
      <w:pPr>
        <w:pStyle w:val="TextBody"/>
        <w:spacing w:before="0" w:after="20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steroid medications and radio frequency ablation, these treatments did not provide long-term pain or disability relief in our randomized controlled clinical trials.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Adult Deformity and Degeneration</w:t>
      </w:r>
    </w:p>
    <w:p>
      <w:pPr>
        <w:pStyle w:val="TextBody"/>
        <w:spacing w:lineRule="auto" w:line="288" w:before="0" w:after="180"/>
        <w:ind w:left="0" w:right="0" w:firstLine="446"/>
        <w:jc w:val="both"/>
        <w:rPr>
          <w:rFonts w:ascii="Times New Roman;sans-serif" w:hAnsi="Times New Roman;sans-serif"/>
          <w:b w:val="false"/>
          <w:color w:val="000000"/>
          <w:sz w:val="20"/>
        </w:rPr>
      </w:pPr>
      <w:r>
        <w:rPr>
          <w:rFonts w:ascii="Times New Roman;sans-serif" w:hAnsi="Times New Roman;sans-serif"/>
          <w:b w:val="false"/>
          <w:color w:val="000000"/>
          <w:sz w:val="20"/>
        </w:rPr>
        <w:t>To strengthen the base of spinal constructs, spine surgeons have been using longer and larger diameter pedicle screws in iliac and sacro-alar iliac trajectories. Third party data has shown that the use of pedicle screws to anchor to the pelvis has delivered sub-optimal patient outcomes resulting in revision surgeries. Acute set screw failure of sacro-alar iliac screws has been reported in approximately 5% of cases. Screw loosening within the sacrum/ilium is another common failure, occurring in 4-27% of cases and screw fracture has been reported in up to 20% of cases. Building on our experience with the Bedrock technique which we introduced in 2019, we introduced iFuse Bedrock Granite, or Granite, a novel, patent-protected device designed for the specific demands of the sacropelvic anatomy at the end of spinal fusion constructs. We believe there are over 30,000 surgeries involving fixation of five or more spinal segments that involve fixation to the pelvis, which we estimate to be an approximately $250 million annual market opportunity.</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believe that there are approximately 400,000 multilevel thoracolumbar, or spinal, fusion procedures performed in the U.S. each year, of which approximately 100,000 involve the fusion of four or fewer segments and terminate at the sacrum. We have increasingly seen surgeons using Granite in these short-construct procedures, which are generally used to treat degenerative spine conditions. We have not previously targeted this market segment or considered it as part of our addressable market opportunity. However, we have already seen adoption in this segment, and we believe with additions to the Granite product family better targeted to this segment, we can more directly address an approximately $700 million market opportunity.</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Pelvic Trauma</w:t>
      </w:r>
    </w:p>
    <w:p>
      <w:pPr>
        <w:pStyle w:val="TextBody"/>
        <w:spacing w:lineRule="auto" w:line="288" w:before="0" w:after="180"/>
        <w:ind w:left="0" w:right="0" w:firstLine="450"/>
        <w:jc w:val="both"/>
        <w:rPr/>
      </w:pPr>
      <w:r>
        <w:rPr>
          <w:rFonts w:ascii="Times New Roman;sans-serif" w:hAnsi="Times New Roman;sans-serif"/>
          <w:b w:val="false"/>
          <w:color w:val="000000"/>
          <w:sz w:val="20"/>
        </w:rPr>
        <w:t>Current treatment options for pelvic fragility fractures are sub-optimal. Sacroplasty has high rates of cement leakage and therefore lacks consistent coverage by payors. Traditional trauma screws do not integrate with bone and therefore loosen in more than 20% of the cases in which they are used. As a result, most patients are prescribed bed rest, involving significant capacity and financial burdens on the health care system, and a one-year mortality rate range of 14%-27%. With the introduction of iFuse-TORQ in 2021, we are specifically targeting the pelvic trauma market, which we estimate to be an approximately $350 million market opportunity</w:t>
      </w:r>
      <w:r>
        <w:rPr>
          <w:rFonts w:ascii="Times New Roman;sans-serif" w:hAnsi="Times New Roman;sans-serif"/>
          <w:b w:val="false"/>
          <w:color w:val="008080"/>
          <w:sz w:val="24"/>
        </w:rPr>
        <w:t>.</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Our Strategy</w:t>
      </w:r>
    </w:p>
    <w:p>
      <w:pPr>
        <w:pStyle w:val="TextBody"/>
        <w:spacing w:lineRule="auto" w:line="288" w:before="0" w:after="180"/>
        <w:ind w:left="0" w:right="0" w:firstLine="34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objective is to maintain and enhance our leadership position in the area of sacroiliac joint fusion by providing clinically proven products and procedure-related training to promote relief of pain and disability in affected patients. To accomplish this objective, we intend to:</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Continue to educate physicians and other healthcare providers, payors and patients globally about the growing body of evidence supporting the safety, durable clinical effectiveness, economic benefit and reduction in opioid use associated with the iFuse procedure;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Educate and train the healthcare community on the prevalence, anatomy, diagnosis and treatment options for the sacroiliac joint, including minimally invasive surgical fusion, and work with and support medical societies to increase their education programs teaching the diagnosis of the sacroiliac joint as part of the differential diagnosis of lower back pain;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Continue to educate spine surgeons on the importance of treatment of the sacroiliac joint and strong pelvic fixation as fundamental aspects of multi-level spinal fusion surgeries, and the role our products can play in these procedures;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Maintain our technological leadership by investing in the creation of new or improved products for surgical treatment of the sacropelvic anatomy, and obtain domestic and international regulatory clearance or approvals to market them in the United States and additional countries;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Continue to grow our existing intellectual property portfolio; and</w:t>
      </w:r>
      <w:r>
        <w:br w:type="page"/>
      </w:r>
    </w:p>
    <w:p>
      <w:pPr>
        <w:pStyle w:val="TextBody"/>
        <w:spacing w:before="0" w:after="200"/>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Expand our surgical capacity, which includes building instrument tray and implant capacity and expanding our commercial infrastructure through a combination of direct sales force and agent infrastructure to support our large and expanded market opportunity. </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Company History </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SI-BONE was founded in 2008 by orthopedist Mark A. Reiley, M.D., the main inventor of iFuse and member of our board of directors, as well as our President, Chief Executive Officer and Chairman, Jeffrey W. Dunn, and orthopedic surgeon Leonard Rudolf, M.D. Dr. Reiley previously invented balloon kyphoplasty and founded Kyphon Inc., which was sold to Medtronic in 2007. He also invented the INBONE total ankle replacement system, which was sold to Wright Medical Technology, Inc. in 2008.</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we had 334 employees, including sales and marketing, product development, general administrative and accounting, both domestically and internationally. As of March 31, 2023, we had a direct field sales organization of 154 in the United States and 12 in Europe. As of March 31, 2023, we had been issued 52 issued U.S. patents and had 29 pending U.S. patent applications, and we owned 16 issued foreign patents and had 18 pending foreign patent applications. </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Risks Associated with our Business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You should read these risks before you invest in our common stock. In particular, our risks include, but are not limited to, the following: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have incurred significant operating losses since inception, we expect to continue to incur operating losses in the future and we may not be able to achieve or sustain future profitability;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Prolonged inflation and supply chain disruptions could result in delayed product launches, lost revenue, higher costs and decreased profit margins;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Disruptions in the supply of the materials and components used in manufacturing our products or the sterilization of our products by third-party suppliers could adversely affect our business, financial condition and results of operations;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hospitals, surgeons and other healthcare providers are unable to obtain coverage and sufficient reimbursement from third-party payors for procedures performed using our products, or if payors reverse existing exclusive or non-exclusive coverage policies relating to our products, adoption and use of our products, or the prices paid for our implants, may decline;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Epidemic diseases, or the perception of their effects, may continue to adversely affect our business, financial condition, results of operations, or cash flows;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We may not be able to convince physicians that iFuse is an attractive alternative to our competitors’ products and that our procedure is an attractive alternative to existing surgical and non-surgical treatments of the sacroiliac joint;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Surgeons and payors may not find our clinical evidence to be compelling, which could limit our sales revenue, and ongoing and future research may prove our products to be less safe and effective than initially anticipated; and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Pricing pressure from our competitors, changes in third-party coverage and reimbursement, healthcare provider consolidation, payor consolidation and the presence of “physician-owned distributorships” may impact our ability to sell our product at prices necessary to support our current business strategies.</w:t>
      </w:r>
      <w:r>
        <w:br w:type="page"/>
      </w:r>
    </w:p>
    <w:p>
      <w:pPr>
        <w:pStyle w:val="TextBody"/>
        <w:spacing w:before="0" w:after="200"/>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S-3</w:t>
                      </w:r>
                    </w:p>
                  </w:txbxContent>
                </v:textbox>
              </v:rect>
            </w:pict>
          </mc:Fallback>
        </mc:AlternateConten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Corporate Information</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were incorporated in March 2008 in Delaware. We completed the initial public offering of our common stock in October 2018. Our principal executive offices are located at 471 El Camino Real, Suite 101, Santa Clara, California 95050 and our telephone number is (408) 207-0700. Our website address is www.si-bone.com. The information on, or that can be accessed through, our website is not part of this prospectus supplement or accompanying prospectus. We have included our website address as an inactive textual reference only.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is currently listed on the Nasdaq Global Market under the symbol “SIBN.” </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The Offering</w:t>
      </w:r>
    </w:p>
    <w:tbl>
      <w:tblPr>
        <w:tblW w:w="10205" w:type="dxa"/>
        <w:jc w:val="center"/>
        <w:tblInd w:w="0" w:type="dxa"/>
        <w:tblCellMar>
          <w:top w:w="28" w:type="dxa"/>
          <w:left w:w="28" w:type="dxa"/>
          <w:bottom w:w="28" w:type="dxa"/>
          <w:right w:w="28" w:type="dxa"/>
        </w:tblCellMar>
      </w:tblPr>
      <w:tblGrid>
        <w:gridCol w:w="760"/>
        <w:gridCol w:w="462"/>
        <w:gridCol w:w="465"/>
        <w:gridCol w:w="2647"/>
        <w:gridCol w:w="2425"/>
        <w:gridCol w:w="3446"/>
      </w:tblGrid>
      <w:tr>
        <w:trPr/>
        <w:tc>
          <w:tcPr>
            <w:tcW w:w="760"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2647" w:type="dxa"/>
            <w:tcBorders/>
            <w:shd w:fill="auto" w:val="clear"/>
            <w:vAlign w:val="center"/>
          </w:tcPr>
          <w:p>
            <w:pPr>
              <w:pStyle w:val="TableContents"/>
              <w:spacing w:before="0" w:after="283"/>
              <w:rPr>
                <w:sz w:val="4"/>
                <w:szCs w:val="4"/>
              </w:rPr>
            </w:pPr>
            <w:r>
              <w:rPr>
                <w:sz w:val="4"/>
                <w:szCs w:val="4"/>
              </w:rPr>
            </w:r>
          </w:p>
        </w:tc>
        <w:tc>
          <w:tcPr>
            <w:tcW w:w="2425" w:type="dxa"/>
            <w:tcBorders/>
            <w:shd w:fill="auto" w:val="clear"/>
            <w:vAlign w:val="center"/>
          </w:tcPr>
          <w:p>
            <w:pPr>
              <w:pStyle w:val="TableContents"/>
              <w:spacing w:before="0" w:after="283"/>
              <w:rPr>
                <w:sz w:val="4"/>
                <w:szCs w:val="4"/>
              </w:rPr>
            </w:pPr>
            <w:r>
              <w:rPr>
                <w:sz w:val="4"/>
                <w:szCs w:val="4"/>
              </w:rPr>
            </w:r>
          </w:p>
        </w:tc>
        <w:tc>
          <w:tcPr>
            <w:tcW w:w="3446" w:type="dxa"/>
            <w:tcBorders/>
            <w:shd w:fill="auto" w:val="clear"/>
            <w:vAlign w:val="center"/>
          </w:tcPr>
          <w:p>
            <w:pPr>
              <w:pStyle w:val="TableContents"/>
              <w:spacing w:before="0" w:after="283"/>
              <w:rPr>
                <w:sz w:val="4"/>
                <w:szCs w:val="4"/>
              </w:rPr>
            </w:pPr>
            <w:r>
              <w:rPr>
                <w:sz w:val="4"/>
                <w:szCs w:val="4"/>
              </w:rPr>
            </w:r>
          </w:p>
        </w:tc>
      </w:tr>
      <w:tr>
        <w:trPr/>
        <w:tc>
          <w:tcPr>
            <w:tcW w:w="16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offered by us</w:t>
            </w:r>
          </w:p>
        </w:tc>
        <w:tc>
          <w:tcPr>
            <w:tcW w:w="8518"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3,502,247 shares (4,068,497 shares of common stock if the underwriters exercise their option to purchase additional shares in full).</w:t>
            </w:r>
          </w:p>
        </w:tc>
      </w:tr>
      <w:tr>
        <w:trPr/>
        <w:tc>
          <w:tcPr>
            <w:tcW w:w="16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offered by the selling stockholder </w:t>
            </w:r>
          </w:p>
        </w:tc>
        <w:tc>
          <w:tcPr>
            <w:tcW w:w="851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272,753 shares of common stock.</w:t>
            </w:r>
          </w:p>
        </w:tc>
      </w:tr>
      <w:tr>
        <w:trPr/>
        <w:tc>
          <w:tcPr>
            <w:tcW w:w="16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to be outstanding immediately after this offering</w:t>
            </w:r>
          </w:p>
        </w:tc>
        <w:tc>
          <w:tcPr>
            <w:tcW w:w="851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38,881,163 shares of common stock (or 39,447,413 shares if the underwriters exercise in full their option to purchase additional shares of common stock from us), including the 272,753 shares of common stock to be issued to the selling stockholder and sold in this offering upon exercise of a stock option held by the selling stockholder.</w:t>
            </w:r>
          </w:p>
        </w:tc>
      </w:tr>
      <w:tr>
        <w:trPr/>
        <w:tc>
          <w:tcPr>
            <w:tcW w:w="16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 to purchase additional common stock</w:t>
            </w:r>
          </w:p>
        </w:tc>
        <w:tc>
          <w:tcPr>
            <w:tcW w:w="851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granted the underwriters an option for a period of 30 days from the date of this prospectus supplement to purchase up to 566,250 of additional shares of common stock.</w:t>
            </w:r>
          </w:p>
        </w:tc>
      </w:tr>
      <w:tr>
        <w:trPr/>
        <w:tc>
          <w:tcPr>
            <w:tcW w:w="16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 of proceeds</w:t>
            </w:r>
          </w:p>
        </w:tc>
        <w:tc>
          <w:tcPr>
            <w:tcW w:w="8518" w:type="dxa"/>
            <w:gridSpan w:val="3"/>
            <w:tcBorders/>
            <w:shd w:fill="auto" w:val="clear"/>
            <w:tcMar>
              <w:top w:w="0" w:type="dxa"/>
              <w:left w:w="0" w:type="dxa"/>
              <w:bottom w:w="0" w:type="dxa"/>
              <w:right w:w="0" w:type="dxa"/>
            </w:tcMar>
            <w:vAlign w:val="center"/>
          </w:tcPr>
          <w:p>
            <w:pPr>
              <w:pStyle w:val="TableContents"/>
              <w:spacing w:lineRule="auto" w:line="240"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that the net proceeds to us from this offering, after deducting underwriting discounts and commissions and estimated offering expenses payable by us, and excluding proceeds from the stock option exercised by the selling stockholder, will be approximately $72.0 million (or approximately $83.7 million if the underwriters exercise in full their option to purchase additional shares of common stock from us). We will not receive any net proceeds from this offering from the sales of common stock by the selling stockholder.</w:t>
            </w:r>
          </w:p>
          <w:p>
            <w:pPr>
              <w:pStyle w:val="TableContents"/>
              <w:spacing w:lineRule="auto" w:line="240" w:before="0" w:after="0"/>
              <w:jc w:val="both"/>
              <w:rPr/>
            </w:pPr>
            <w:r>
              <w:rPr>
                <w:rFonts w:ascii="Times New Roman;sans-serif" w:hAnsi="Times New Roman;sans-serif"/>
                <w:b w:val="false"/>
                <w:color w:val="000000"/>
                <w:sz w:val="20"/>
              </w:rPr>
              <w:t xml:space="preserve">We currently intend to use the net proceeds from this offering to invest in product innovation, clinical evidence and build implants and surgical instrument systems with uses and indications closely related to our current product portfolio and allowing us to address additional market opportunities; support our continued commercial expansion; as well as working capital and general corporate purposes. We may also use a portion of our net proceeds to acquire or invest in complementary products, technologies, or businesses; however, we currently have no agreements or commitments to complete any such transactions. See “Use of Proceeds” on page </w:t>
            </w:r>
            <w:hyperlink w:anchor="i32314d85229c40fc9f5fdea05a30c466_19">
              <w:r>
                <w:rPr>
                  <w:rStyle w:val="InternetLink"/>
                </w:rPr>
                <w:t>S-</w:t>
              </w:r>
            </w:hyperlink>
            <w:hyperlink w:anchor="i32314d85229c40fc9f5fdea05a30c466_19">
              <w:r>
                <w:rPr>
                  <w:rStyle w:val="InternetLink"/>
                </w:rPr>
                <w:t>10</w:t>
              </w:r>
            </w:hyperlink>
            <w:r>
              <w:rPr>
                <w:color w:val="000000"/>
              </w:rPr>
              <w:t xml:space="preserve"> </w:t>
            </w:r>
            <w:r>
              <w:rPr>
                <w:rFonts w:ascii="Times New Roman;sans-serif" w:hAnsi="Times New Roman;sans-serif"/>
                <w:b w:val="false"/>
                <w:color w:val="000000"/>
                <w:sz w:val="20"/>
              </w:rPr>
              <w:t>of this prospectus supplement.</w:t>
            </w:r>
          </w:p>
        </w:tc>
      </w:tr>
      <w:tr>
        <w:trPr/>
        <w:tc>
          <w:tcPr>
            <w:tcW w:w="16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Risk factors</w:t>
            </w:r>
          </w:p>
        </w:tc>
        <w:tc>
          <w:tcPr>
            <w:tcW w:w="85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“Risk Factors” and the other information included in this prospectus supplement and accompanying prospectus for a discussion of factors you should consider carefully before deciding to invest in our common stock.</w:t>
            </w:r>
          </w:p>
        </w:tc>
      </w:tr>
      <w:tr>
        <w:trPr/>
        <w:tc>
          <w:tcPr>
            <w:tcW w:w="16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Global Market trading symbol</w:t>
            </w:r>
          </w:p>
        </w:tc>
        <w:tc>
          <w:tcPr>
            <w:tcW w:w="85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r>
              <w:rPr>
                <w:rFonts w:ascii="Times New Roman;sans-serif" w:hAnsi="Times New Roman;sans-serif"/>
                <w:b w:val="false"/>
                <w:color w:val="000000"/>
                <w:sz w:val="20"/>
              </w:rPr>
              <w:t>SIBN”.</w:t>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shares of common stock to be outstanding after the offering is based on 35,106,163 shares outstanding as of March 31, 2023, and excludes: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1,767,791</w:t>
      </w:r>
      <w:r>
        <w:rPr>
          <w:color w:val="000000"/>
        </w:rPr>
        <w:t xml:space="preserve"> </w:t>
      </w:r>
      <w:r>
        <w:rPr>
          <w:rFonts w:ascii="Times New Roman;sans-serif" w:hAnsi="Times New Roman;sans-serif"/>
          <w:b w:val="false"/>
          <w:color w:val="000000"/>
          <w:sz w:val="20"/>
        </w:rPr>
        <w:t>shares of common stock underlying options outstanding at a weighted average exercise price of $10.23</w:t>
      </w:r>
      <w:r>
        <w:rPr>
          <w:color w:val="000000"/>
        </w:rPr>
        <w:t xml:space="preserve"> </w:t>
      </w:r>
      <w:r>
        <w:rPr>
          <w:rFonts w:ascii="Times New Roman;sans-serif" w:hAnsi="Times New Roman;sans-serif"/>
          <w:b w:val="false"/>
          <w:color w:val="000000"/>
          <w:sz w:val="20"/>
        </w:rPr>
        <w:t>per share;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2,524,777</w:t>
      </w:r>
      <w:r>
        <w:rPr>
          <w:color w:val="000000"/>
        </w:rPr>
        <w:t xml:space="preserve"> </w:t>
      </w:r>
      <w:r>
        <w:rPr>
          <w:rFonts w:ascii="Times New Roman;sans-serif" w:hAnsi="Times New Roman;sans-serif"/>
          <w:b w:val="false"/>
          <w:color w:val="000000"/>
          <w:sz w:val="20"/>
        </w:rPr>
        <w:t>shares of common stock underlying restricted stock units outstanding;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385,122 shares of common stock underlying performance-based restricted stock units outstanding;</w:t>
      </w:r>
      <w:r>
        <w:br w:type="page"/>
      </w:r>
    </w:p>
    <w:p>
      <w:pPr>
        <w:pStyle w:val="TextBody"/>
        <w:spacing w:before="0" w:after="200"/>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S-4</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118,122</w:t>
      </w:r>
      <w:r>
        <w:rPr>
          <w:color w:val="000000"/>
        </w:rPr>
        <w:t xml:space="preserve"> </w:t>
      </w:r>
      <w:r>
        <w:rPr>
          <w:rFonts w:ascii="Times New Roman;sans-serif" w:hAnsi="Times New Roman;sans-serif"/>
          <w:b w:val="false"/>
          <w:color w:val="000000"/>
          <w:sz w:val="20"/>
        </w:rPr>
        <w:t>shares of common stock underlying warrants outstanding at a weighted average exercise price of $13.76</w:t>
      </w:r>
      <w:r>
        <w:rPr>
          <w:color w:val="000000"/>
        </w:rPr>
        <w:t xml:space="preserve"> </w:t>
      </w:r>
      <w:r>
        <w:rPr>
          <w:rFonts w:ascii="Times New Roman;sans-serif" w:hAnsi="Times New Roman;sans-serif"/>
          <w:b w:val="false"/>
          <w:color w:val="000000"/>
          <w:sz w:val="20"/>
        </w:rPr>
        <w:t>per share;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5,617,659 shares of common stock available for future grant under our equity incentive plans, including our employee stock purchase plan.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otherwise indicated, all information in this prospectus supplement assumes: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No exercise of outstanding options and warrants other than the exercise by the selling stockholder of an option to purchase the 272,753 shares of common stock to be sold by the selling stockholder in this offering;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No vesting of outstanding restricted stock units;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No exercise by the underwriters of their option to purchase up additional shares of our common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S-5</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in our common stock involves a high degree of risk. You should carefully consider the risk factors described below and the risk factors incorporated by reference from our Quarterly Report on Form 10-Q for the quarterly period ended March 31, 2023, and all other information contained or incorporated by reference in this prospectus supplement and accompanying prospectus, including our financial statements and the related notes, as may be updated by our subsequent filings under the Securities Exchange Act of 1934, as amended (“Exchange Act”) and in any free writing prospectus that we have authorized for use in connection with this offering before acquiring shares of our common stock. These risks could have a material and adverse impact on our business, results of operations, financial condition and growth prospects, which may cause the trading price of our common stock to decline and you could lose all or part of your investment.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this offering and the ownership of our common stock</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Management will have broad discretion as to the use of the proceeds from this offering, and we may not use the proceeds effectively.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cannot specify with certainty the particular uses of the net proceeds we will receive from this offering. Our management will have broad discretion in the application of the net proceeds from this offering, and could spend the proceeds in ways that do not improve our results of operations or enhance the value of our common stock. Our failure to apply these funds effectively could have a material adverse effect on our business and cause the price of our common stock to decline.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If you purchase shares of common stock in this offering, you will experience immediate dilution in your investment. You will experience further dilution if we issue additional equity securities in future fundraising transactions.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Purchasers of common stock in this offering will pay a price per share in this offering that exceeds the net tangible book value per share of our common stock. Assuming that an aggregate of 3,502,247 shares of common stock are being sold by us at a public offering price of $22.00 per share for aggregate net proceeds to us of approximately $72.0 million, after deducting underwriting discounts and commissions and estimated offering expenses payable by us, and excluding proceeds from the stock option exercised by the selling stockholder, if you purchase shares of our common stock in this offering, you will experience immediate dilution of $17.73 per share, representing the difference between the public offering price and our as adjusted net tangible book value per share as of March 31, 2023, after giving effect to this offering. See the section below titled “Dilution” for a more detailed illustration of the dilution you would incur if you purchase common stock in this offering.</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You may experience further dilution if we issue additional equity securities in future fundraising transactions.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Further, we have a significant number of stock options, restricted stock units and performance-based restricted stock units outstanding. The exercise of outstanding stock options or vesting of restricted stock units and performance-based restricted stock units may result in further dilution of your investment.</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Because we have no current plans to pay cash dividends on our common stock, you may not receive any return on your investment unless you sell your common stock for a price greater than that which you paid for it.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 current plans to pay cash dividends on our common stock. The declaration, amount, and payment of any future dividends will be at the sole discretion of our board of directors. Our board of directors may take into account general and economic conditions, our financial condition and results of operations, our available cash and </w:t>
      </w:r>
      <w:r>
        <w:br w:type="page"/>
      </w:r>
    </w:p>
    <w:p>
      <w:pPr>
        <w:pStyle w:val="TextBody"/>
        <w:spacing w:before="0" w:after="200"/>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S-6</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current and anticipated cash needs, capital requirements, contractual, legal, tax and regulatory restrictions and other such factors as our board of directors may deem relevant.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S-7</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and accompanying prospectus and the documents we have filed with the SEC that are incorporated by reference contain “forward-looking statements” within the meaning of Section 27A of the Securities Act of 1933, as amended, or the Securities Act, and Section 21E of the Securities Exchange Act of 1934, or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continue to diversify our product mix, including identification of new opportunities and access the capital required to fund adequate new inventory of instruments and implants to address these opportunities;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expectation that a significant portion of our revenues will be derived from sales from a small family of products and a single family of procedures;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develop and commercialize additional revenue opportunities, including new indications for use and new devices;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retain and grow our sales team based on the demand for our products;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identify, train, and retain surgeons to perform procedures using our products;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obtain and maintain favorable coverage and reimbursement determinations from third-party payors;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estimates of our market opportunities;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expectations regarding the scope of protection from intellectual property rights covering our products;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developments or disputes concerning our intellectual property or other proprietary rights;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timing of and results from clinical and other trials;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marketing clearances and authorization from the FDA and regulators in other jurisdictions;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timing of regulatory filings and feedback;</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competition in the markets we serve;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expectations of the reliability and performance of our products;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expectations of the benefits to patients, providers, and payors of our products;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factors impacting the supply chains we rely on, including the availability of raw materials and skilled labor serving our suppliers, and the cost of these factors of production which may in turn impact the prices we pay for our devices;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reliance on a limited number of suppliers, including sole source suppliers, which may impact the availability of instruments and materials;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sustain or increase demand for our products;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estimates regarding our costs and risks associated with our international operations and expansion;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expectations regarding our ability to retain and recruit key personnel;</w:t>
      </w:r>
      <w:r>
        <w:br w:type="page"/>
      </w:r>
    </w:p>
    <w:p>
      <w:pPr>
        <w:pStyle w:val="TextBody"/>
        <w:spacing w:before="0" w:after="200"/>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attract and retain employees, including those with specialized skills and experience;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successfully manage the supply chain and operational challenges, as well as governmental responses or mandates, associated with a disease outbreak, including epidemics, pandemics or similar widespread public health concerns;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continuing impact of COVID-19 or other disease outbreaks on the demand for, and timing of, our procedures;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attract and retain a force of third party sales agents who sell our products in the U.S;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expectations regarding acquisitions and strategic operations;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access capital markets;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fund our working capital requirements;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compliance with, and the cost of, federal, state, and foreign regulatory requirements;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factors that may impact our financial results;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anticipated trends and challenges in our business and the markets in which we operate.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under the heading “Risk Factors” contained in this prospectus supplement, in any free writing prospectuses we may authorize for use in connection with this offering, and in our Quarterly Report on Form 10-Q for the quarter ended March 31, 2023, which are incorporated by reference into this prospectus supplement and accompanying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supplement and accompanying prospectus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S-9</w:t>
                      </w:r>
                    </w:p>
                  </w:txbxContent>
                </v:textbox>
              </v:rect>
            </w:pict>
          </mc:Fallback>
        </mc:AlternateContent>
      </w:r>
    </w:p>
    <w:p>
      <w:pPr>
        <w:pStyle w:val="TextBody"/>
        <w:spacing w:lineRule="auto" w:line="331" w:before="0" w:after="180"/>
        <w:jc w:val="center"/>
        <w:rPr>
          <w:rFonts w:ascii="Times New Roman;sans-serif" w:hAnsi="Times New Roman;sans-serif"/>
          <w:b/>
          <w:color w:val="000000"/>
          <w:sz w:val="20"/>
        </w:rPr>
      </w:pPr>
      <w:r>
        <w:rPr>
          <w:rFonts w:ascii="Times New Roman;sans-serif" w:hAnsi="Times New Roman;sans-serif"/>
          <w:b/>
          <w:color w:val="000000"/>
          <w:sz w:val="20"/>
        </w:rPr>
        <w:t>USE OF PROCEEDS</w:t>
      </w:r>
    </w:p>
    <w:p>
      <w:pPr>
        <w:pStyle w:val="TextBody"/>
        <w:spacing w:lineRule="auto" w:line="276" w:before="0" w:after="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estimate that we will receive net proceeds from the sale of common stock by us in this offering of approximately $72.0 million, after deducting underwriting discounts and commissions and estimated offering expenses payable by us, and excluding proceeds from the stock option exercised by the selling stockholder. If the underwriters exercise in full their option to purchase additional common stock from us, we estimate that the net proceeds to us will be approximately $83.7 million, after deducting underwriting discounts and commissions and estimated offering expenses payable by us, and excluding proceeds from the stock option exercised by the selling stockholder. We will not receive any proceeds from this offering from the sales of common stock by the selling stockholder.</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intend to use the net proceeds from this offering to invest in product innovation, clinical evidence and build implants and surgical instrument systems with uses and indications closely related to our current product portfolio and allowing us to address additional market opportunities; support our continued commercial expansion; as well as working capital and general corporate purposes. We may also use a portion of our net proceeds to acquire or invest in complementary products, technologies, or businesses; however, we currently have no agreements or commitments to complete any such transactions.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Pending their use, we plan to invest the net proceeds from this offering in short- and intermediate-term, interest-bearing obligations, investment-grade instruments, certificates of deposit or direct or guaranteed obligations of the U.S. government.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S-10</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CAPITALIZATION</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cash, cash equivalents and investments, long-term borrowings and capitalization as of March 31, 2023:</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on an actual basis; and</w:t>
      </w:r>
    </w:p>
    <w:p>
      <w:pPr>
        <w:pStyle w:val="TextBody"/>
        <w:spacing w:lineRule="auto" w:line="268" w:before="0" w:after="180"/>
        <w:ind w:left="0" w:right="0" w:hanging="360"/>
        <w:jc w:val="both"/>
        <w:rPr/>
      </w:pPr>
      <w:r>
        <w:rPr>
          <w:color w:val="000000"/>
        </w:rPr>
        <w:t>•</w:t>
      </w:r>
      <w:r>
        <w:rPr>
          <w:rFonts w:ascii="Times New Roman;sans-serif" w:hAnsi="Times New Roman;sans-serif"/>
          <w:b w:val="false"/>
          <w:color w:val="000000"/>
          <w:sz w:val="20"/>
        </w:rPr>
        <w:t xml:space="preserve">on an as adjusted basis to give effect to the sale by us of 3,502,247 shares of our common stock in this offering at a public offering price of $22.00 per share, after deducting underwriting discounts and commissions and estimated offering expenses payable by us, and excluding proceeds from the stock option exercised by the selling stockholder as described under "Use of Proceeds," and the exercise by the selling stockholder of an option to purchase the 272,753 shares of common stock to be sold by the selling stockholder in this offering. </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read the data set forth in the table below in conjunction with (a) our consolidated financial statements, including the related notes, and “Management’s Discussion and Analysis of Financial Condition and Results of Operations” from our Annual Report on Form 10-K for the fiscal year ended December 31, 2022, and (b) our condensed consolidated financial statements, including the related notes, and “Management’s Discussion and Analysis of Financial Condition and Results of Operations” from our Quarterly Report on Form 10-Q for the quarterly period ended March 31, 2023, which are incorporated by reference into this prospectus supplement and accompanying prospectus. </w:t>
      </w:r>
    </w:p>
    <w:tbl>
      <w:tblPr>
        <w:tblW w:w="10205" w:type="dxa"/>
        <w:jc w:val="left"/>
        <w:tblInd w:w="0" w:type="dxa"/>
        <w:tblCellMar>
          <w:top w:w="28" w:type="dxa"/>
          <w:left w:w="28" w:type="dxa"/>
          <w:bottom w:w="28" w:type="dxa"/>
          <w:right w:w="28" w:type="dxa"/>
        </w:tblCellMar>
      </w:tblPr>
      <w:tblGrid>
        <w:gridCol w:w="2849"/>
        <w:gridCol w:w="2341"/>
        <w:gridCol w:w="2350"/>
        <w:gridCol w:w="211"/>
        <w:gridCol w:w="826"/>
        <w:gridCol w:w="109"/>
        <w:gridCol w:w="109"/>
        <w:gridCol w:w="109"/>
        <w:gridCol w:w="109"/>
        <w:gridCol w:w="211"/>
        <w:gridCol w:w="826"/>
        <w:gridCol w:w="155"/>
      </w:tblGrid>
      <w:tr>
        <w:trPr/>
        <w:tc>
          <w:tcPr>
            <w:tcW w:w="2849" w:type="dxa"/>
            <w:tcBorders/>
            <w:shd w:fill="auto" w:val="clear"/>
            <w:vAlign w:val="center"/>
          </w:tcPr>
          <w:p>
            <w:pPr>
              <w:pStyle w:val="TableContents"/>
              <w:spacing w:before="0" w:after="283"/>
              <w:rPr>
                <w:sz w:val="4"/>
                <w:szCs w:val="4"/>
              </w:rPr>
            </w:pPr>
            <w:r>
              <w:rPr>
                <w:sz w:val="4"/>
                <w:szCs w:val="4"/>
              </w:rPr>
            </w:r>
          </w:p>
        </w:tc>
        <w:tc>
          <w:tcPr>
            <w:tcW w:w="2341"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6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r>
      <w:tr>
        <w:trPr/>
        <w:tc>
          <w:tcPr>
            <w:tcW w:w="75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(In thousands, except share and per share amounts)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Adjusted </w:t>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5,000,000 shares authorized; 0 shares issued and outstanding, actual and as adjusted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100,000,000 shares authorized; 35,106,163 shares issued and outstanding, actual, 38,881,163 shares issued and outstanding as adjusted</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533,841 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(368,230)</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stockholders' equity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165,915 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capitalization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201,853 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shares of common stock to be outstanding after the offering is based on 35,106,163 shares outstanding as of March 31, 2023, and excludes: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1,767,791</w:t>
      </w:r>
      <w:r>
        <w:rPr>
          <w:color w:val="000000"/>
        </w:rPr>
        <w:t xml:space="preserve"> </w:t>
      </w:r>
      <w:r>
        <w:rPr>
          <w:rFonts w:ascii="Times New Roman;sans-serif" w:hAnsi="Times New Roman;sans-serif"/>
          <w:b w:val="false"/>
          <w:color w:val="000000"/>
          <w:sz w:val="20"/>
        </w:rPr>
        <w:t>shares of common stock underlying options outstanding at a weighted average exercise price of $10.23</w:t>
      </w:r>
      <w:r>
        <w:rPr>
          <w:color w:val="000000"/>
        </w:rPr>
        <w:t xml:space="preserve"> </w:t>
      </w:r>
      <w:r>
        <w:rPr>
          <w:rFonts w:ascii="Times New Roman;sans-serif" w:hAnsi="Times New Roman;sans-serif"/>
          <w:b w:val="false"/>
          <w:color w:val="000000"/>
          <w:sz w:val="20"/>
        </w:rPr>
        <w:t>per share;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2,524,777</w:t>
      </w:r>
      <w:r>
        <w:rPr>
          <w:color w:val="000000"/>
        </w:rPr>
        <w:t xml:space="preserve"> </w:t>
      </w:r>
      <w:r>
        <w:rPr>
          <w:rFonts w:ascii="Times New Roman;sans-serif" w:hAnsi="Times New Roman;sans-serif"/>
          <w:b w:val="false"/>
          <w:color w:val="000000"/>
          <w:sz w:val="20"/>
        </w:rPr>
        <w:t>shares of common stock underlying restricted stock units outstanding;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385,122 shares of common stock underlying performance-based restricted stock units outstanding;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118,122</w:t>
      </w:r>
      <w:r>
        <w:rPr>
          <w:color w:val="000000"/>
        </w:rPr>
        <w:t xml:space="preserve"> </w:t>
      </w:r>
      <w:r>
        <w:rPr>
          <w:rFonts w:ascii="Times New Roman;sans-serif" w:hAnsi="Times New Roman;sans-serif"/>
          <w:b w:val="false"/>
          <w:color w:val="000000"/>
          <w:sz w:val="20"/>
        </w:rPr>
        <w:t>shares of common stock underlying warrants outstanding at a weighted average exercise price of $13.76</w:t>
      </w:r>
      <w:r>
        <w:rPr>
          <w:color w:val="000000"/>
        </w:rPr>
        <w:t xml:space="preserve"> </w:t>
      </w:r>
      <w:r>
        <w:rPr>
          <w:rFonts w:ascii="Times New Roman;sans-serif" w:hAnsi="Times New Roman;sans-serif"/>
          <w:b w:val="false"/>
          <w:color w:val="000000"/>
          <w:sz w:val="20"/>
        </w:rPr>
        <w:t>per share; and</w:t>
      </w:r>
      <w:r>
        <w:br w:type="page"/>
      </w:r>
    </w:p>
    <w:p>
      <w:pPr>
        <w:pStyle w:val="TextBody"/>
        <w:spacing w:before="0" w:after="200"/>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S-11</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5,617,659 shares of common stock available for future grant under our equity incentive plans, including our employee stock purchase plan.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above discussion assumes no exercise by the underwriters of their option to purchase additional shares of our common stock from us.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S-12</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DILUTION</w:t>
      </w:r>
    </w:p>
    <w:p>
      <w:pPr>
        <w:pStyle w:val="TextBody"/>
        <w:spacing w:lineRule="auto" w:line="26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you invest in our common stock, your interest will be diluted immediately to the extent of the difference between the public offering price and the adjusted net tangible book value per share of our common stock after this offering. Net tangible book value on March 31, 2023, was approximately $94.0 million, or $2.68 per share. “Net tangible book value” is total assets minus the sum of liabilities, goodwill and intangible assets. “Net tangible book value per share” is net tangible book value divided by the total number of shares outstanding. Net tangible book value per share after this offering gives effect to the sale by us of 3,502,247 shares of our common stock in this offering at the public offering price of $22.00 per share, after deducting underwriting discounts and commissions and estimated offering expenses payable by us and excluding proceeds from the stock option exercised by the selling stockholder, and the issuance of the shares upon the exercise by the selling stockholder of an option to purchase the 272,753 shares of common stock to be sold by the selling stockholder in this offering. Our as adjusted net tangible book value as of March 31, 2023, after giving effect to this offering as described above, would have been approximately $165.9 million, or $4.27 per share of common stock. This represents an immediate increase in net tangible book value of $1.59 per share to our existing stockholders and an immediate dilution in net tangible book value of $17.73 per share to investors participating in this offering. The following table illustrates this dilution per share to investors participating in this offering: </w:t>
      </w:r>
    </w:p>
    <w:tbl>
      <w:tblPr>
        <w:tblW w:w="9129" w:type="dxa"/>
        <w:jc w:val="center"/>
        <w:tblInd w:w="0" w:type="dxa"/>
        <w:tblCellMar>
          <w:top w:w="28" w:type="dxa"/>
          <w:left w:w="28" w:type="dxa"/>
          <w:bottom w:w="28" w:type="dxa"/>
          <w:right w:w="28" w:type="dxa"/>
        </w:tblCellMar>
      </w:tblPr>
      <w:tblGrid>
        <w:gridCol w:w="2529"/>
        <w:gridCol w:w="2227"/>
        <w:gridCol w:w="2234"/>
        <w:gridCol w:w="211"/>
        <w:gridCol w:w="511"/>
        <w:gridCol w:w="109"/>
        <w:gridCol w:w="109"/>
        <w:gridCol w:w="109"/>
        <w:gridCol w:w="109"/>
        <w:gridCol w:w="211"/>
        <w:gridCol w:w="616"/>
        <w:gridCol w:w="154"/>
      </w:tblGrid>
      <w:tr>
        <w:trPr/>
        <w:tc>
          <w:tcPr>
            <w:tcW w:w="2529" w:type="dxa"/>
            <w:tcBorders/>
            <w:shd w:fill="auto" w:val="clear"/>
            <w:vAlign w:val="center"/>
          </w:tcPr>
          <w:p>
            <w:pPr>
              <w:pStyle w:val="TableContents"/>
              <w:spacing w:before="0" w:after="283"/>
              <w:rPr>
                <w:sz w:val="4"/>
                <w:szCs w:val="4"/>
              </w:rPr>
            </w:pPr>
            <w:r>
              <w:rPr>
                <w:sz w:val="4"/>
                <w:szCs w:val="4"/>
              </w:rPr>
            </w:r>
          </w:p>
        </w:tc>
        <w:tc>
          <w:tcPr>
            <w:tcW w:w="2227" w:type="dxa"/>
            <w:tcBorders/>
            <w:shd w:fill="auto" w:val="clear"/>
            <w:vAlign w:val="center"/>
          </w:tcPr>
          <w:p>
            <w:pPr>
              <w:pStyle w:val="TableContents"/>
              <w:spacing w:before="0" w:after="283"/>
              <w:rPr>
                <w:sz w:val="4"/>
                <w:szCs w:val="4"/>
              </w:rPr>
            </w:pPr>
            <w:r>
              <w:rPr>
                <w:sz w:val="4"/>
                <w:szCs w:val="4"/>
              </w:rPr>
            </w:r>
          </w:p>
        </w:tc>
        <w:tc>
          <w:tcPr>
            <w:tcW w:w="22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Public offering price per share</w:t>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tangible book value per share as of March 31, 2023</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net tangible book value per share attributable to new investors in offering</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adjusted net tangible book value per share after giving effect to the offering</w:t>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Dilution per share to new investors</w:t>
            </w:r>
          </w:p>
        </w:tc>
        <w:tc>
          <w:tcPr>
            <w:tcW w:w="8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underwriters’ option to purchase additional shares in this offering from us is exercised in full, the as adjusted net tangible book value would be $4.50 per share, and the dilution to new investors participating in this offering would be $17.50 per share.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shares of common stock to be outstanding after the offering is based on 35,106,163 shares outstanding as of March 31, 2023, and excludes: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1,767,791</w:t>
      </w:r>
      <w:r>
        <w:rPr>
          <w:color w:val="000000"/>
        </w:rPr>
        <w:t xml:space="preserve"> </w:t>
      </w:r>
      <w:r>
        <w:rPr>
          <w:rFonts w:ascii="Times New Roman;sans-serif" w:hAnsi="Times New Roman;sans-serif"/>
          <w:b w:val="false"/>
          <w:color w:val="000000"/>
          <w:sz w:val="20"/>
        </w:rPr>
        <w:t>shares of common stock underlying options outstanding at a weighted average exercise price of $10.23</w:t>
      </w:r>
      <w:r>
        <w:rPr>
          <w:color w:val="000000"/>
        </w:rPr>
        <w:t xml:space="preserve"> </w:t>
      </w:r>
      <w:r>
        <w:rPr>
          <w:rFonts w:ascii="Times New Roman;sans-serif" w:hAnsi="Times New Roman;sans-serif"/>
          <w:b w:val="false"/>
          <w:color w:val="000000"/>
          <w:sz w:val="20"/>
        </w:rPr>
        <w:t>per share;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2,524,777</w:t>
      </w:r>
      <w:r>
        <w:rPr>
          <w:color w:val="000000"/>
        </w:rPr>
        <w:t xml:space="preserve"> </w:t>
      </w:r>
      <w:r>
        <w:rPr>
          <w:rFonts w:ascii="Times New Roman;sans-serif" w:hAnsi="Times New Roman;sans-serif"/>
          <w:b w:val="false"/>
          <w:color w:val="000000"/>
          <w:sz w:val="20"/>
        </w:rPr>
        <w:t>shares of common stock underlying restricted stock units outstanding;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385,122 shares of common stock underlying performance-based restricted stock units outstanding;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118,122</w:t>
      </w:r>
      <w:r>
        <w:rPr>
          <w:color w:val="000000"/>
        </w:rPr>
        <w:t xml:space="preserve"> </w:t>
      </w:r>
      <w:r>
        <w:rPr>
          <w:rFonts w:ascii="Times New Roman;sans-serif" w:hAnsi="Times New Roman;sans-serif"/>
          <w:b w:val="false"/>
          <w:color w:val="000000"/>
          <w:sz w:val="20"/>
        </w:rPr>
        <w:t>shares of common stock underlying warrants outstanding at a weighted average exercise price of $13.76</w:t>
      </w:r>
      <w:r>
        <w:rPr>
          <w:color w:val="000000"/>
        </w:rPr>
        <w:t xml:space="preserve"> </w:t>
      </w:r>
      <w:r>
        <w:rPr>
          <w:rFonts w:ascii="Times New Roman;sans-serif" w:hAnsi="Times New Roman;sans-serif"/>
          <w:b w:val="false"/>
          <w:color w:val="000000"/>
          <w:sz w:val="20"/>
        </w:rPr>
        <w:t>per share;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5,617,659 shares of common stock available for future grant under our equity incentive plans, including our employee stock purchase plan.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above discussion assumes no exercise by the underwriters of their option to purchase additional shares of common stock from us.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any outstanding options are exercised or restricted stock units vest, there will be further dilution to new investors.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S-13</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SELLING STOCKHOLDER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the number of shares of our common stock as of March 31, 2023, held for the account of, and the numbers of shares being sold, by the selling stockholder. Percentage ownership is based on 35,106,163 shares of our common stock outstanding on March 31, 2023.</w:t>
      </w:r>
    </w:p>
    <w:tbl>
      <w:tblPr>
        <w:tblW w:w="10205" w:type="dxa"/>
        <w:jc w:val="center"/>
        <w:tblInd w:w="0" w:type="dxa"/>
        <w:tblCellMar>
          <w:top w:w="28" w:type="dxa"/>
          <w:left w:w="28" w:type="dxa"/>
          <w:bottom w:w="28" w:type="dxa"/>
          <w:right w:w="28" w:type="dxa"/>
        </w:tblCellMar>
      </w:tblPr>
      <w:tblGrid>
        <w:gridCol w:w="651"/>
        <w:gridCol w:w="570"/>
        <w:gridCol w:w="574"/>
        <w:gridCol w:w="109"/>
        <w:gridCol w:w="109"/>
        <w:gridCol w:w="109"/>
        <w:gridCol w:w="1034"/>
        <w:gridCol w:w="1034"/>
        <w:gridCol w:w="1036"/>
        <w:gridCol w:w="109"/>
        <w:gridCol w:w="109"/>
        <w:gridCol w:w="109"/>
        <w:gridCol w:w="370"/>
        <w:gridCol w:w="370"/>
        <w:gridCol w:w="371"/>
        <w:gridCol w:w="109"/>
        <w:gridCol w:w="109"/>
        <w:gridCol w:w="109"/>
        <w:gridCol w:w="355"/>
        <w:gridCol w:w="321"/>
        <w:gridCol w:w="321"/>
        <w:gridCol w:w="321"/>
        <w:gridCol w:w="321"/>
        <w:gridCol w:w="321"/>
        <w:gridCol w:w="382"/>
        <w:gridCol w:w="382"/>
        <w:gridCol w:w="490"/>
      </w:tblGrid>
      <w:tr>
        <w:trPr/>
        <w:tc>
          <w:tcPr>
            <w:tcW w:w="651"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r>
      <w:tr>
        <w:trPr/>
        <w:tc>
          <w:tcPr>
            <w:tcW w:w="179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Selling Stockholder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 Beneficially Owned Prior to the Offering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 Being</w:t>
              <w:br/>
              <w:t>Offered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 Beneficially Owned After the Offering</w:t>
            </w:r>
          </w:p>
        </w:tc>
      </w:tr>
      <w:tr>
        <w:trPr/>
        <w:tc>
          <w:tcPr>
            <w:tcW w:w="179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w:t>
            </w:r>
          </w:p>
        </w:tc>
        <w:tc>
          <w:tcPr>
            <w:tcW w:w="9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8"/>
              </w:rPr>
              <w:t>Percent    </w:t>
            </w:r>
          </w:p>
        </w:tc>
      </w:tr>
      <w:tr>
        <w:trPr/>
        <w:tc>
          <w:tcPr>
            <w:tcW w:w="17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Jeffrey W. Dunn</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836,672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272,753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563,919</w:t>
            </w:r>
          </w:p>
        </w:tc>
        <w:tc>
          <w:tcPr>
            <w:tcW w:w="9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254" w:type="dxa"/>
            <w:gridSpan w:val="3"/>
            <w:tcBorders/>
            <w:shd w:fill="auto" w:val="clear"/>
            <w:vAlign w:val="center"/>
          </w:tcPr>
          <w:p>
            <w:pPr>
              <w:pStyle w:val="TableContents"/>
              <w:spacing w:before="0" w:after="283"/>
              <w:rPr>
                <w:sz w:val="4"/>
                <w:szCs w:val="4"/>
              </w:rPr>
            </w:pPr>
            <w:r>
              <w:rPr>
                <w:sz w:val="4"/>
                <w:szCs w:val="4"/>
              </w:rPr>
            </w:r>
          </w:p>
        </w:tc>
      </w:tr>
      <w:tr>
        <w:trPr/>
        <w:tc>
          <w:tcPr>
            <w:tcW w:w="17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25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spacing w:lineRule="auto" w:line="288" w:before="0" w:after="18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(1)Jeffrey W. Dunn is Chairman of our Board of Directors. Mr. Dunn served as our Executive Chairman from April 19, 2021 through May 1, 2023, as Chairman of our Board of Directors since our inception in April 2008 until April 2021, and as our President and Chief Executive Officer from April 2008 until April 2021. The shares to be sold by Mr. Dunn will be issued upon exercise of a stock option held by Mr. Dunn. Shares beneficially owned include shares Mr. Dunn has the right to acquire within 60 days.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S-14</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MATERIAL U.S. FEDERAL INCOME TAX CONSEQUENCES TO NON-U.S. HOLDERS OF OUR COMMON STOCK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material U.S. federal income tax consequences to non-U.S. holders (as defined below) of the ownership, and disposition of our common stock issued pursuant to this offering. This discussion is not a complete analysis of all potential U.S. federal income tax consequences relating thereto, does not address the potential application of the Medicare contribution tax on net investment income, the alternative minimum tax or the application of special tax accounting rules pursuant to Section 451(b) of the Code to accrual method taxpayers, and does not address any estate or gift tax consequences or any tax consequences arising under any state, local, or foreign tax laws, or any other U.S. federal tax laws. This discussion is based on the Code and applicable Treasury Regulations promulgated thereunder, judicial decisions and published rulings and administrative pronouncements of the Internal Revenue Service, or IRS,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U.S. expatriates and former citizens or long-term residents of the United States;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partnerships or other entities or arrangements treated as pass-through or disregarded entities for U.S. federal income tax purposes (and investors therein);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controlled foreign corporations;”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passive foreign investment companies;”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regulated investment companies;”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real estate investment trusts;”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corporations that accumulate earnings to avoid U.S. federal income tax;</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banks, financial institutions, investment funds, insurance companies, brokers, dealers, or traders in securities;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tax-exempt organizations and governmental organizations;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tax-qualified retirement plans;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persons that have a functional currency other than the U.S. dollar for U.S. federal income tax purposes;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persons deemed to sell our common stock under the constructive sale provisions of the Code;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persons that own, or have owned, actually or constructively, more than 5% of our outstanding common stock;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persons who acquire our common stock through the exercise of a compensatory option or otherwise as compensation;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persons who have elected to or are required to mark securities to market; and</w:t>
      </w:r>
      <w:r>
        <w:br w:type="page"/>
      </w:r>
    </w:p>
    <w:p>
      <w:pPr>
        <w:pStyle w:val="TextBody"/>
        <w:spacing w:before="0" w:after="200"/>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S-15</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persons holding our common stock as part of a hedging or conversion transaction or straddle, or synthetic security, or a constructive sale, or other risk reduction strategy or integrated investment.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an entity or arrangement that is classified as a partnership for U.S. federal income tax purposes holds our common stock, the U.S. federal income tax treatment of a partner in the partnership will generally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pStyle w:val="TextBody"/>
        <w:spacing w:lineRule="auto" w:line="288" w:before="0" w:after="18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 xml:space="preserve">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FOREIGN TAX LAWS AND ANY OTHER U.S. FEDERAL TAX LAWS, INCLUDING ANY RECENT OR PROPOSED CHANGE IN APPLICABLE LAWS. </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Definition of Non-U.S. Holder</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this discussion, a non-U.S. holder is any beneficial owner of our common stock that is not a “U.S. person” or a partnership (including any entity or arrangement treated as a partnership) for U.S. federal income tax purposes. A U.S. person is any person that, for U.S. federal income tax purposes, is or is treated as any of the following: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an individual who is a citizen or resident of the United States;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corporation (or entity treated as a corporation for U.S. federal income tax purposes) created or organized in or under the laws of the United States, any state thereof or the District of Columbia;</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an estate, the income of which is subject to U.S. federal income tax regardless of its source; or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a trust if (1) its administration is subject to the primary supervision of a U.S. court and one or more U.S. persons have the authority to control all substantial decisions of the trust or (2) that has a valid election in effect under applicable U.S. Treasury Regulations to be treated as a U.S. person. </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Distributions on Our Common Stock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paid and do not anticipate paying dividends.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the section titled “-Gain on Disposition of Our Common Stock” below.</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discussions below regarding effectively connected income, backup withholding and Sections 1471 through 1474 of the Code (commonly referred to as FATCA),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our paying agent with a valid IRS Form W-8BEN or IRS Form W-8BEN-E (or applicable successor form) and certifying such holder’s qualification for the reduced rate.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r>
        <w:br w:type="page"/>
      </w:r>
    </w:p>
    <w:p>
      <w:pPr>
        <w:pStyle w:val="TextBody"/>
        <w:spacing w:before="0" w:after="200"/>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S-16</w:t>
                      </w:r>
                    </w:p>
                  </w:txbxContent>
                </v:textbox>
              </v:rect>
            </w:pict>
          </mc:Fallback>
        </mc:AlternateConten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Non-U.S. holders that do not provide the required certification on a timely basis, but that qualify for a reduced treaty rate, may obtain a refund of any excess amounts withheld by timely filing an appropriate claim for refund with the IRS.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 non-U.S. holder holds our common stock in connection with the conduct of a trade or business in the United States, and dividends paid on our common stock are effectively connected with such non-U.S. holder’s U.S. trade or business (and are attributable to such non-U.S. holder’s permanent establishment or fixed base in the United States if required by an applicable tax treaty), the non-U.S. holder will be exempt from U.S. federal withholding tax. To claim the exemption, the non-U.S. holder must generally furnish a valid IRS Form W-8ECI (or applicable successor form) to the applicable withholding agent. However, any such effectively connected dividends paid on our common stock generally will be subject to U.S. federal income tax on a net income basis at the regular U.S. federal income tax rates in the same manner as if such non-U.S.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Gain on Disposition of Our Common Stock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discussions below regarding backup withholding and FATCA, a non-U.S. holder generally will not be subject to U.S. federal income tax on any gain realized on the sale or other disposition of our common stock, unless: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gain is effectively connected with the non-U.S. holder’s conduct of a trade or business in the United States, and if required by an applicable income tax treaty, is attributable to a permanent establishment or fixed base maintained by the non-U.S. holder in the United States;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non-U.S. holder is a nonresident alien individual who is present in the United States for 183 days or more during the taxable year of the disposition, and certain other requirements are met; or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and our common stock is not regularly traded on an established securities market during the calendar year in which the sale or other disposition occurs.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Determining whether we are a USRPHC depends on the fair market value of our U.S. real property interests relative to the fair market value of our worldwide real property interests and our other assets used or held for use in a trade or business. We believe that we are not currently and do not anticipate becoming a USRPHC for U.S. federal income tax purposes, although there can be no assurance we will not in the future become a USRPHC.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Gain described in the first bullet point above generally will be subject to U.S. federal income tax on a net income basis at the regular U.S. federal income tax rates in the same manner as if such non-U.S.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Information Reporting and Backup Withholding</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Annual reports are required to be filed with the IRS and provided to each non-U.S. holder indicating the amount of distributions on our common stock paid to such non-U.S. holder, the name and address of the recipient, and the amount of any tax withheld with respect to those distributions. These information reporting requirements apply even </w:t>
      </w:r>
      <w:r>
        <w:br w:type="page"/>
      </w:r>
    </w:p>
    <w:p>
      <w:pPr>
        <w:pStyle w:val="TextBody"/>
        <w:spacing w:before="0" w:after="200"/>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no withholding was required because the distributions were effectively connected with the non-U.S.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Distributions paid by us (or our paying agents) to a non-U.S. holder may also be subject to U.S. federal backup withholding, currently imposed at a rate of 24%. Backup withholding (and for gross proceeds of a disposition of our common stock, information reporting) generally will not apply to payments to a non-U.S. holder of distributions on or the gross proceeds of a disposition of our common stock provided the non-U.S. holder furnishes the required certification for its non-U.S. status, such as by providing a valid IRS Form W-8BEN, IRS Form W-8BEN-E, or IRS Form W-8ECI, or otherwise establishes an exemption. Backup withholding may apply if the payor has actual knowledge, or reason to know, that the non-U.S. holder is a U.S. person who is not an exempt recipient.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Foreign Accounts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imposes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Non-U.S. holders should consult their own tax advisors regarding the possible implications of FATCA on their investment in our common stock.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Withholding under FATCA applies to payments of dividends on our common stock. The U.S. Treasury released proposed Treasury Regulations which, if finalized in their present form, would eliminate the federal withholding tax of 30% applicable to the gross proceeds of a sale or other disposition of our common stock. In its preamble to such proposed Treasury Regulations, the U.S. Treasury stated that taxpayers may generally rely on the proposed regulations until final regulations are issued.</w:t>
      </w:r>
    </w:p>
    <w:p>
      <w:pPr>
        <w:pStyle w:val="TextBody"/>
        <w:spacing w:lineRule="auto" w:line="288" w:before="0" w:after="180"/>
        <w:ind w:left="0" w:right="0" w:firstLine="495"/>
        <w:rPr>
          <w:rFonts w:ascii="Times New Roman;sans-serif" w:hAnsi="Times New Roman;sans-serif"/>
          <w:b/>
          <w:color w:val="000000"/>
          <w:sz w:val="20"/>
        </w:rPr>
      </w:pPr>
      <w:r>
        <w:rPr>
          <w:rFonts w:ascii="Times New Roman;sans-serif" w:hAnsi="Times New Roman;sans-serif"/>
          <w:b/>
          <w:color w:val="000000"/>
          <w:sz w:val="20"/>
        </w:rPr>
        <w:t>EACH PROSPECTIVE INVESTOR SHOULD CONSULT ITS OWN TAX ADVISOR REGARDING THE TAX CONSEQUENCES OF PURCHASING, HOLDING AND DISPOSING OF OUR COMMON STOCK, INCLUDING THE CONSEQUENCES OF ANY RECENT OR PROPOSED CHANGE IN APPLICABLE LAW.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S-18</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UNDERWRITING</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BofA Securities, Inc., Morgan Stanley &amp; Co. LLC and Jefferies LLC are acting as representatives of each of the underwriters named below. Subject to the terms and conditions set forth in an underwriting agreement among us, the selling stockholder and the underwriters, we and the selling stockholder have agreed to sell to the underwriters, and each of the underwriters has agreed, severally and not jointly, to purchase from us and the selling stockholder the number of shares of common stock set forth opposite its name below.</w:t>
      </w:r>
    </w:p>
    <w:tbl>
      <w:tblPr>
        <w:tblW w:w="4320" w:type="dxa"/>
        <w:jc w:val="center"/>
        <w:tblInd w:w="0" w:type="dxa"/>
        <w:tblCellMar>
          <w:top w:w="28" w:type="dxa"/>
          <w:left w:w="28" w:type="dxa"/>
          <w:bottom w:w="28" w:type="dxa"/>
          <w:right w:w="28" w:type="dxa"/>
        </w:tblCellMar>
      </w:tblPr>
      <w:tblGrid>
        <w:gridCol w:w="859"/>
        <w:gridCol w:w="754"/>
        <w:gridCol w:w="757"/>
        <w:gridCol w:w="109"/>
        <w:gridCol w:w="109"/>
        <w:gridCol w:w="109"/>
        <w:gridCol w:w="488"/>
        <w:gridCol w:w="488"/>
        <w:gridCol w:w="647"/>
      </w:tblGrid>
      <w:tr>
        <w:trPr/>
        <w:tc>
          <w:tcPr>
            <w:tcW w:w="859"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r>
      <w:tr>
        <w:trPr/>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Underwriters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r>
      <w:tr>
        <w:trPr/>
        <w:tc>
          <w:tcPr>
            <w:tcW w:w="23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BofA Securities,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1,321,250 </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Morgan Stanley &amp; Co.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1,132,500 </w:t>
            </w:r>
          </w:p>
        </w:tc>
        <w:tc>
          <w:tcPr>
            <w:tcW w:w="6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Jefferies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566,250 </w:t>
            </w:r>
          </w:p>
        </w:tc>
        <w:tc>
          <w:tcPr>
            <w:tcW w:w="6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Canaccord Genuity LLC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377,500 </w:t>
            </w:r>
          </w:p>
        </w:tc>
        <w:tc>
          <w:tcPr>
            <w:tcW w:w="6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Cantor Fitzgerald &amp; Co.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377,500 </w:t>
            </w:r>
          </w:p>
        </w:tc>
        <w:tc>
          <w:tcPr>
            <w:tcW w:w="6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3,775,000 </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and the selling stockholder have agreed to indemnify the underwriters against certain liabilities, including liabilities under the Securities Act, or to contribute to payments the underwriters may be required to make in respect of those liabilities.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underwriters are offering the shares, subject to prior sale, when, as and if sold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pStyle w:val="TextBody"/>
        <w:spacing w:lineRule="auto" w:line="288" w:before="0" w:after="180"/>
        <w:rPr/>
      </w:pPr>
      <w:r>
        <w:rPr>
          <w:rFonts w:ascii="Times New Roman;sans-serif" w:hAnsi="Times New Roman;sans-serif"/>
          <w:b/>
          <w:color w:val="231F20"/>
          <w:sz w:val="20"/>
        </w:rPr>
        <w:t>Commissions</w:t>
      </w:r>
      <w:r>
        <w:rPr>
          <w:color w:val="231F20"/>
        </w:rPr>
        <w:t xml:space="preserve"> </w:t>
      </w:r>
      <w:r>
        <w:rPr>
          <w:rFonts w:ascii="Times New Roman;sans-serif" w:hAnsi="Times New Roman;sans-serif"/>
          <w:b/>
          <w:color w:val="231F20"/>
          <w:sz w:val="20"/>
        </w:rPr>
        <w:t>and Discounts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representatives have advised us that the underwriters propose initially to offer the shares to the public at the public offering price set forth on the cover page of this prospectus supplement and to dealers at that price less a concession not in excess of $0.792 per share. After the initial offering, the public offering price, concession or any other term of this offering may be changed.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public offering price, underwriting discount and proceeds before expenses to us and the selling stockholder. The information assumes either no exercise or full exercise by the underwriters of their option to purchase additional shares.</w:t>
      </w:r>
    </w:p>
    <w:tbl>
      <w:tblPr>
        <w:tblW w:w="9401" w:type="dxa"/>
        <w:jc w:val="left"/>
        <w:tblInd w:w="0" w:type="dxa"/>
        <w:tblCellMar>
          <w:top w:w="28" w:type="dxa"/>
          <w:left w:w="28" w:type="dxa"/>
          <w:bottom w:w="28" w:type="dxa"/>
          <w:right w:w="28" w:type="dxa"/>
        </w:tblCellMar>
      </w:tblPr>
      <w:tblGrid>
        <w:gridCol w:w="1795"/>
        <w:gridCol w:w="1581"/>
        <w:gridCol w:w="1588"/>
        <w:gridCol w:w="211"/>
        <w:gridCol w:w="616"/>
        <w:gridCol w:w="109"/>
        <w:gridCol w:w="109"/>
        <w:gridCol w:w="109"/>
        <w:gridCol w:w="109"/>
        <w:gridCol w:w="211"/>
        <w:gridCol w:w="1081"/>
        <w:gridCol w:w="109"/>
        <w:gridCol w:w="109"/>
        <w:gridCol w:w="109"/>
        <w:gridCol w:w="109"/>
        <w:gridCol w:w="211"/>
        <w:gridCol w:w="1081"/>
        <w:gridCol w:w="154"/>
      </w:tblGrid>
      <w:tr>
        <w:trPr/>
        <w:tc>
          <w:tcPr>
            <w:tcW w:w="1795" w:type="dxa"/>
            <w:tcBorders/>
            <w:shd w:fill="auto" w:val="clear"/>
            <w:vAlign w:val="center"/>
          </w:tcPr>
          <w:p>
            <w:pPr>
              <w:pStyle w:val="TableContents"/>
              <w:spacing w:before="0" w:after="283"/>
              <w:rPr>
                <w:sz w:val="4"/>
                <w:szCs w:val="4"/>
              </w:rPr>
            </w:pPr>
            <w:r>
              <w:rPr>
                <w:sz w:val="4"/>
                <w:szCs w:val="4"/>
              </w:rPr>
            </w:r>
          </w:p>
        </w:tc>
        <w:tc>
          <w:tcPr>
            <w:tcW w:w="1581" w:type="dxa"/>
            <w:tcBorders/>
            <w:shd w:fill="auto" w:val="clear"/>
            <w:vAlign w:val="center"/>
          </w:tcPr>
          <w:p>
            <w:pPr>
              <w:pStyle w:val="TableContents"/>
              <w:spacing w:before="0" w:after="283"/>
              <w:rPr>
                <w:sz w:val="4"/>
                <w:szCs w:val="4"/>
              </w:rPr>
            </w:pPr>
            <w:r>
              <w:rPr>
                <w:sz w:val="4"/>
                <w:szCs w:val="4"/>
              </w:rPr>
            </w:r>
          </w:p>
        </w:tc>
        <w:tc>
          <w:tcPr>
            <w:tcW w:w="15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Without Option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With Option</w:t>
            </w:r>
          </w:p>
        </w:tc>
      </w:tr>
      <w:tr>
        <w:trPr/>
        <w:tc>
          <w:tcPr>
            <w:tcW w:w="496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Public offering price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95,507,500 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Underwriting discount to be paid by us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4,622,966 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5,370,416 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Underwriting discount to be paid by the selling stockholder</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Proceeds, before expenses, to us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72,426,468 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84,136,518 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Proceeds, before expenses, to the selling stockholder</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5,640,532 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5,640,532 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496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496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r>
        <w:trPr/>
        <w:tc>
          <w:tcPr>
            <w:tcW w:w="4964"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450"/>
        <w:jc w:val="both"/>
        <w:rPr/>
      </w:pPr>
      <w:r>
        <w:rPr>
          <w:rFonts w:ascii="Times New Roman;sans-serif" w:hAnsi="Times New Roman;sans-serif"/>
          <w:b w:val="false"/>
          <w:color w:val="000000"/>
          <w:sz w:val="20"/>
        </w:rPr>
        <w:t>Our offering</w:t>
      </w:r>
      <w:r>
        <w:rPr>
          <w:color w:val="000000"/>
        </w:rPr>
        <w:t xml:space="preserve"> </w:t>
      </w:r>
      <w:r>
        <w:rPr>
          <w:rFonts w:ascii="Times New Roman;sans-serif" w:hAnsi="Times New Roman;sans-serif"/>
          <w:b w:val="false"/>
          <w:color w:val="000000"/>
          <w:sz w:val="20"/>
        </w:rPr>
        <w:t>expenses,</w:t>
      </w:r>
      <w:r>
        <w:rPr>
          <w:color w:val="000000"/>
        </w:rPr>
        <w:t xml:space="preserve"> </w:t>
      </w:r>
      <w:r>
        <w:rPr>
          <w:rFonts w:ascii="Times New Roman;sans-serif" w:hAnsi="Times New Roman;sans-serif"/>
          <w:b w:val="false"/>
          <w:color w:val="000000"/>
          <w:sz w:val="20"/>
        </w:rPr>
        <w:t>not including</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underwriting</w:t>
      </w:r>
      <w:r>
        <w:rPr>
          <w:color w:val="000000"/>
        </w:rPr>
        <w:t xml:space="preserve"> </w:t>
      </w:r>
      <w:r>
        <w:rPr>
          <w:rFonts w:ascii="Times New Roman;sans-serif" w:hAnsi="Times New Roman;sans-serif"/>
          <w:b w:val="false"/>
          <w:color w:val="000000"/>
          <w:sz w:val="20"/>
        </w:rPr>
        <w:t>discount,</w:t>
      </w:r>
      <w:r>
        <w:rPr>
          <w:color w:val="000000"/>
        </w:rPr>
        <w:t xml:space="preserve"> </w:t>
      </w:r>
      <w:r>
        <w:rPr>
          <w:rFonts w:ascii="Times New Roman;sans-serif" w:hAnsi="Times New Roman;sans-serif"/>
          <w:b w:val="false"/>
          <w:color w:val="000000"/>
          <w:sz w:val="20"/>
        </w:rPr>
        <w:t>are</w:t>
      </w:r>
      <w:r>
        <w:rPr>
          <w:color w:val="000000"/>
        </w:rPr>
        <w:t xml:space="preserve"> </w:t>
      </w:r>
      <w:r>
        <w:rPr>
          <w:rFonts w:ascii="Times New Roman;sans-serif" w:hAnsi="Times New Roman;sans-serif"/>
          <w:b w:val="false"/>
          <w:color w:val="000000"/>
          <w:sz w:val="20"/>
        </w:rPr>
        <w:t>estimated</w:t>
      </w:r>
      <w:r>
        <w:rPr>
          <w:color w:val="000000"/>
        </w:rPr>
        <w:t xml:space="preserve"> </w:t>
      </w:r>
      <w:r>
        <w:rPr>
          <w:rFonts w:ascii="Times New Roman;sans-serif" w:hAnsi="Times New Roman;sans-serif"/>
          <w:b w:val="false"/>
          <w:color w:val="000000"/>
          <w:sz w:val="20"/>
        </w:rPr>
        <w:t>at</w:t>
      </w:r>
      <w:r>
        <w:rPr>
          <w:color w:val="000000"/>
        </w:rPr>
        <w:t xml:space="preserve"> </w:t>
      </w:r>
      <w:r>
        <w:rPr>
          <w:rFonts w:ascii="Times New Roman;sans-serif" w:hAnsi="Times New Roman;sans-serif"/>
          <w:b w:val="false"/>
          <w:color w:val="000000"/>
          <w:sz w:val="20"/>
        </w:rPr>
        <w:t>$470,000.</w:t>
      </w:r>
      <w:r>
        <w:rPr>
          <w:color w:val="000000"/>
        </w:rPr>
        <w:t xml:space="preserve"> </w:t>
      </w:r>
      <w:r>
        <w:rPr>
          <w:rFonts w:ascii="Times New Roman;sans-serif" w:hAnsi="Times New Roman;sans-serif"/>
          <w:b w:val="false"/>
          <w:color w:val="000000"/>
          <w:sz w:val="20"/>
        </w:rPr>
        <w:t>We have agreed</w:t>
      </w:r>
      <w:r>
        <w:rPr>
          <w:color w:val="000000"/>
        </w:rPr>
        <w:t xml:space="preserve"> </w:t>
      </w:r>
      <w:r>
        <w:rPr>
          <w:rFonts w:ascii="Times New Roman;sans-serif" w:hAnsi="Times New Roman;sans-serif"/>
          <w:b w:val="false"/>
          <w:color w:val="000000"/>
          <w:sz w:val="20"/>
        </w:rPr>
        <w:t>to reimburse</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underwriters</w:t>
      </w:r>
      <w:r>
        <w:rPr>
          <w:color w:val="000000"/>
        </w:rPr>
        <w:t xml:space="preserve"> </w:t>
      </w:r>
      <w:r>
        <w:rPr>
          <w:rFonts w:ascii="Times New Roman;sans-serif" w:hAnsi="Times New Roman;sans-serif"/>
          <w:b w:val="false"/>
          <w:color w:val="000000"/>
          <w:sz w:val="20"/>
        </w:rPr>
        <w:t>for</w:t>
      </w:r>
      <w:r>
        <w:rPr>
          <w:color w:val="000000"/>
        </w:rPr>
        <w:t xml:space="preserve"> </w:t>
      </w:r>
      <w:r>
        <w:rPr>
          <w:rFonts w:ascii="Times New Roman;sans-serif" w:hAnsi="Times New Roman;sans-serif"/>
          <w:b w:val="false"/>
          <w:color w:val="000000"/>
          <w:sz w:val="20"/>
        </w:rPr>
        <w:t>FINRA expenses</w:t>
      </w:r>
      <w:r>
        <w:rPr>
          <w:color w:val="000000"/>
        </w:rPr>
        <w:t xml:space="preserve"> </w:t>
      </w:r>
      <w:r>
        <w:rPr>
          <w:rFonts w:ascii="Times New Roman;sans-serif" w:hAnsi="Times New Roman;sans-serif"/>
          <w:b w:val="false"/>
          <w:color w:val="000000"/>
          <w:sz w:val="20"/>
        </w:rPr>
        <w:t>in an amount</w:t>
      </w:r>
      <w:r>
        <w:rPr>
          <w:color w:val="000000"/>
        </w:rPr>
        <w:t xml:space="preserve"> </w:t>
      </w:r>
      <w:r>
        <w:rPr>
          <w:rFonts w:ascii="Times New Roman;sans-serif" w:hAnsi="Times New Roman;sans-serif"/>
          <w:b w:val="false"/>
          <w:color w:val="000000"/>
          <w:sz w:val="20"/>
        </w:rPr>
        <w:t>not to exceed</w:t>
      </w:r>
      <w:r>
        <w:rPr>
          <w:color w:val="000000"/>
        </w:rPr>
        <w:t xml:space="preserve"> </w:t>
      </w:r>
      <w:r>
        <w:rPr>
          <w:rFonts w:ascii="Times New Roman;sans-serif" w:hAnsi="Times New Roman;sans-serif"/>
          <w:b w:val="false"/>
          <w:color w:val="000000"/>
          <w:sz w:val="20"/>
        </w:rPr>
        <w:t>$30,000.</w:t>
      </w:r>
      <w:r>
        <w:br w:type="page"/>
      </w:r>
    </w:p>
    <w:p>
      <w:pPr>
        <w:pStyle w:val="TextBody"/>
        <w:spacing w:before="0" w:after="200"/>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S-19</w:t>
                      </w:r>
                    </w:p>
                  </w:txbxContent>
                </v:textbox>
              </v:rect>
            </w:pict>
          </mc:Fallback>
        </mc:AlternateContent>
      </w:r>
    </w:p>
    <w:p>
      <w:pPr>
        <w:pStyle w:val="TextBody"/>
        <w:spacing w:lineRule="auto" w:line="288" w:before="0" w:after="180"/>
        <w:rPr/>
      </w:pPr>
      <w:r>
        <w:rPr>
          <w:rFonts w:ascii="Times New Roman;sans-serif" w:hAnsi="Times New Roman;sans-serif"/>
          <w:b/>
          <w:color w:val="231F20"/>
          <w:sz w:val="20"/>
        </w:rPr>
        <w:t>Option</w:t>
      </w:r>
      <w:r>
        <w:rPr>
          <w:color w:val="231F20"/>
        </w:rPr>
        <w:t xml:space="preserve"> </w:t>
      </w:r>
      <w:r>
        <w:rPr>
          <w:rFonts w:ascii="Times New Roman;sans-serif" w:hAnsi="Times New Roman;sans-serif"/>
          <w:b/>
          <w:color w:val="231F20"/>
          <w:sz w:val="20"/>
        </w:rPr>
        <w:t>to Purchase Additional</w:t>
      </w:r>
      <w:r>
        <w:rPr>
          <w:color w:val="231F20"/>
        </w:rPr>
        <w:t xml:space="preserve"> </w:t>
      </w:r>
      <w:r>
        <w:rPr>
          <w:rFonts w:ascii="Times New Roman;sans-serif" w:hAnsi="Times New Roman;sans-serif"/>
          <w:b/>
          <w:color w:val="231F20"/>
          <w:sz w:val="20"/>
        </w:rPr>
        <w:t>Shares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granted an option to the underwriters, exercisable for 30 days after the date of this prospectus supplement, to purchase up to 566,250 additional shares of our common stock at the public offering price, less the underwriting discount. This option is exercisable, in whole or in part, for a period of 30 days from the date of the underwriting agreement. If the underwriters exercise this option, each will be obligated, subject to conditions contained in the underwriting agreement, to purchase a number of additional shares proportionate to that underwriter’s initial amount reflected in the above table.</w:t>
      </w:r>
    </w:p>
    <w:p>
      <w:pPr>
        <w:pStyle w:val="TextBody"/>
        <w:spacing w:lineRule="auto" w:line="288" w:before="0" w:after="180"/>
        <w:rPr/>
      </w:pPr>
      <w:r>
        <w:rPr>
          <w:rFonts w:ascii="Times New Roman;sans-serif" w:hAnsi="Times New Roman;sans-serif"/>
          <w:b/>
          <w:color w:val="231F20"/>
          <w:sz w:val="20"/>
        </w:rPr>
        <w:t>No Sales</w:t>
      </w:r>
      <w:r>
        <w:rPr>
          <w:color w:val="231F20"/>
        </w:rPr>
        <w:t xml:space="preserve"> </w:t>
      </w:r>
      <w:r>
        <w:rPr>
          <w:rFonts w:ascii="Times New Roman;sans-serif" w:hAnsi="Times New Roman;sans-serif"/>
          <w:b/>
          <w:color w:val="231F20"/>
          <w:sz w:val="20"/>
        </w:rPr>
        <w:t>of Similar</w:t>
      </w:r>
      <w:r>
        <w:rPr>
          <w:color w:val="231F20"/>
        </w:rPr>
        <w:t xml:space="preserve"> </w:t>
      </w:r>
      <w:r>
        <w:rPr>
          <w:rFonts w:ascii="Times New Roman;sans-serif" w:hAnsi="Times New Roman;sans-serif"/>
          <w:b/>
          <w:color w:val="231F20"/>
          <w:sz w:val="20"/>
        </w:rPr>
        <w:t>Securities</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our directors, officers and the selling stockholder have agreed that, without the prior written consent of BofA Securities, Inc. and Morgan Stanley &amp; Co. LLC on behalf of the underwriters, we will not and they will not publicly disclose an intention to, during the period ending 60 days after the date of this prospectus (the “restricted period”):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enter into any swap or other arrangement that transfers to another, in whole or in part, any of the economic consequences of ownership of the common stock; whether any such transaction described above is to be settled by delivery of common stock or such other securities, in cash or otherwise. In addition, we have agreed that we will not file any registration statement with the Securities and Exchange Commission relating to the offering of any shares of common stock or any securities convertible into or exercisable or exchangeable for common stock, subject to certain exceptions, and each such other person agrees that, without the prior written consent of BofA Securities, Inc. and Morgan Stanley &amp; Co. LLC, on behalf of the underwriters, such other person will not, during the restricted period, make any demand for, or exercise any right with respect to, the registration of any shares of common stock or any security convertible into or exercisable or exchangeable for common stock.</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restrictions described in the immediately preceding paragraph with respect to our directors, officers and the selling stockholder do not apply to:</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transactions by a security holder relating to shares of common stock or other securities acquired in open market transactions after the closing of this offering; provided that no filing under Section 16(a) of the Exchange Act is required or voluntarily made during the restricted period in connection with subsequent sales of common stock or other securities acquired in such open market transactions;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transfers of shares of common stock or any security convertible into or exercisable or exchangeable for common stock (i) as a bona fide gift, (ii) to an immediate family member or a trust for the direct or indirect benefit of the transferor or such immediate family member of the transferor, (iii) to any corporation, partnership, limited liability company, investment fund, or other entity controlled or managed, or under common control or management by the transferor or the immediate family of the transferor, or (iv) by will, other testamentary document or intestate succession to the legal representative, heir, beneficiary, or a member of the immediate family of the transferor, provided in each case that (a) each distributee or transferee signs and delivers a lock-up letter and (b) no filing under Section 16(a) of the Exchange Act reporting a reduction in beneficial ownership of shares shall be required or voluntarily made during the restricted period (other than a filing on a Form 5);</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distributions or transfers of shares of common stock or any security convertible into or exercisable or exchangeable for common stock to general or limited partners, members, or stockholders of the transferor, provided that (i) each distributee or transferee shall sign and deliver a lock-up letter and (ii) no filing under Section 16(a) of the Exchange Act, reporting a reduction in beneficial ownership of shares of common </w:t>
      </w:r>
      <w:r>
        <w:br w:type="page"/>
      </w:r>
    </w:p>
    <w:p>
      <w:pPr>
        <w:pStyle w:val="TextBody"/>
        <w:spacing w:before="0" w:after="200"/>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stock, shall be required or shall be voluntarily made during the restricted period (other than a filing on a Form 5);</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person or us regarding the establishment of such plan, such announcement or filing shall include a statement to the effect that no transfer of common stock may be made under such plan during the restricted period;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exercise of options to purchase shares of common stock granted under any stock incentive plan or stock purchase plan described in this prospectus, provided that (i) the underlying shares shall continue to be subject to the restrictions on transfer set forth in the lock-up agreement and (ii) any filing under Section 16 of the Exchange Act made during the restricted period shall clearly indicate that (A) the filing relates to the circumstances described above and (B) no securities were sold by the person, and (iii) the person does not otherwise voluntarily effect any other public filing or report regarding such transfers during the restricted period;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receipt from us of shares of common stock upon (A) the exercise or settlement of options or restricted stock units granted under a stock incentive plan or other equity award plan, which plan is described in this prospectus or (B) the exercise of warrants outstanding and which are described in the this prospectus, or (ii) the transfer of shares of common stock or any securities convertible into common stock to us upon a vesting or settlement event of our securities or upon the exercise of options or warrants to purchase our securities on a “cashless” or “net exercise” basis to the extent permitted by the instruments representing such options or warrants (and any transfer to us necessary to generate such amount of cash needed for the payment of taxes, including estimated taxes, due as a result of such vesting or exercise whether by means of a “net settlement” or otherwise) so long as such “cashless exercise” or “net exercise” is effected solely by the surrender of outstanding options or warrants (or the common stock issuable upon the exercise thereof) to us and our cancellation of all or a portion thereof to pay the exercise price and/or withholding tax and remittance obligations, provided that (1) in the case of (i), the shares received upon exercise or settlement of the option, restricted stock unit, or warrant are subject to the terms of the lock-up agreement and (2) to the extent a filing under Section 16 of the Exchange Act is required to be made during the restricted period as a result of transfers, it shall clearly indicate that (A) the filing relates to the circumstances described above and (B) no securities were sold by the transferor in the open market, and (3) the transferor does not otherwise voluntarily effect any other public filing or report regarding such transfers during the restricted period;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transfer of shares of common stock or any security convertible into or exercisable or exchangeable for common stock to us pursuant to agreements under which we have the option to repurchase such shares or a right of first refusal with respect to transfers of such shares, provided that (1) to the extent a filing under Section 16 of the Exchange Act is required to be made during the restricted period as a result of such transfers, it shall clearly indicate that (A) the filing relates to the circumstances described above and (B) no securities were sold by the transferor in the open market, and (2) the transferor does not otherwise voluntarily effect any other public filing or report regarding such transfers during the restricted period;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transfer of shares of common stock or any security convertible into or exercisable or exchangeable for common stock that occurs pursuant to a qualified domestic order or in connection with a divorce settlement, provided that (i) each transferee shall sign and deliver a lock-up agreement, (ii) any filing under Section 16 of the Exchange Act made during the restricted period shall clearly indicate in the footnotes thereto that (A) the filing relates to the circumstances described above and (B) no securities were sold by the transferor, and (iii) the transferor does not otherwise voluntarily effect any other public filing or report regarding such transfers during the restricted period;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sale or transfer of shares of common stock under a plan established pursuant to Rule 10b5-1 under the Exchange Act (a “10b5-1 Plan”) that is existing prior to this offering; provided, that, to the extent a public </w:t>
      </w:r>
      <w:r>
        <w:br w:type="page"/>
      </w:r>
    </w:p>
    <w:p>
      <w:pPr>
        <w:pStyle w:val="TextBody"/>
        <w:spacing w:before="0" w:after="200"/>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report, filing or announcement under the Exchange Act, if any, is required by, or voluntarily made by or on behalf of, such person or us regarding such transfer, such report, filing or announcement shall include a statement that such transfer is in accordance with an established 10b5-1 Plan;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sale of shares of common stock solely in connection with the payment of taxes due with respect to the vesting of restricted stock or restricted stock units granted under a stock incentive plan or pursuant to a contractual employment arrangement described or incorporated by reference in this prospectus, insofar as such restricted stock or restricted stock units are outstanding as of the date of the prospectus, </w:t>
      </w:r>
      <w:r>
        <w:rPr>
          <w:rFonts w:ascii="Times New Roman;sans-serif" w:hAnsi="Times New Roman;sans-serif"/>
          <w:b w:val="false"/>
          <w:i/>
          <w:color w:val="000000"/>
          <w:sz w:val="20"/>
        </w:rPr>
        <w:t>provided</w:t>
      </w:r>
      <w:r>
        <w:rPr>
          <w:color w:val="000000"/>
        </w:rPr>
        <w:t> </w:t>
      </w:r>
      <w:r>
        <w:rPr>
          <w:rFonts w:ascii="Times New Roman;sans-serif" w:hAnsi="Times New Roman;sans-serif"/>
          <w:b w:val="false"/>
          <w:color w:val="000000"/>
          <w:sz w:val="20"/>
        </w:rPr>
        <w:t>that no filing under Section 16(a) of the Exchange Act shall be voluntarily made during the restricted period and any filing under Section 16(a) of the Exchange Act that is required to be made shall include a note indicating that such sale was solely in connection with the payment of taxes due with respect to the vesting of such restricted stock or restricted stock units; 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any sale of shares of our common stock to the underwriters by the transferor pursuant to the underwriting agreement.</w:t>
      </w:r>
    </w:p>
    <w:p>
      <w:pPr>
        <w:pStyle w:val="TextBody"/>
        <w:spacing w:lineRule="auto" w:line="268" w:before="0" w:after="180"/>
        <w:ind w:left="0" w:right="0" w:hanging="360"/>
        <w:jc w:val="both"/>
        <w:rPr/>
      </w:pPr>
      <w:r>
        <w:rPr>
          <w:color w:val="000000"/>
        </w:rPr>
        <w:t>•</w:t>
      </w:r>
      <w:r>
        <w:rPr>
          <w:rFonts w:ascii="Times New Roman;sans-serif" w:hAnsi="Times New Roman;sans-serif"/>
          <w:b w:val="false"/>
          <w:color w:val="000000"/>
          <w:sz w:val="20"/>
        </w:rPr>
        <w:t xml:space="preserve">Notwithstanding the foregoing, we may the sell or issue shares of our common stock not to exceed 5% of our outstanding common stock in connection with our acquisition of one or more businesses, products or technologies (whether by means of merger, stock purchase, asset purchase or otherwise) or in connection with joint ventures, commercial relationships or other strategic transactions,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that the recipient agrees to enter into a lockup agreement similar to the lockup agreements entered into by our directors and officers.</w:t>
      </w:r>
    </w:p>
    <w:p>
      <w:pPr>
        <w:pStyle w:val="TextBody"/>
        <w:spacing w:lineRule="auto" w:line="268" w:before="0" w:after="0"/>
        <w:ind w:left="0" w:right="0" w:firstLine="360"/>
        <w:rPr/>
      </w:pPr>
      <w:r>
        <w:rPr>
          <w:rFonts w:ascii="Times New Roman;sans-serif" w:hAnsi="Times New Roman;sans-serif"/>
          <w:b w:val="false"/>
          <w:color w:val="000000"/>
          <w:sz w:val="20"/>
        </w:rPr>
        <w:t>BofA Securities,</w:t>
      </w:r>
      <w:r>
        <w:rPr>
          <w:color w:val="000000"/>
        </w:rPr>
        <w:t xml:space="preserve"> </w:t>
      </w:r>
      <w:r>
        <w:rPr>
          <w:rFonts w:ascii="Times New Roman;sans-serif" w:hAnsi="Times New Roman;sans-serif"/>
          <w:b w:val="false"/>
          <w:color w:val="000000"/>
          <w:sz w:val="20"/>
        </w:rPr>
        <w:t>Inc. and Morgan Stanley &amp; Co. LLC, acting together in their sole</w:t>
      </w:r>
      <w:r>
        <w:rPr>
          <w:color w:val="000000"/>
        </w:rPr>
        <w:t xml:space="preserve"> </w:t>
      </w:r>
      <w:r>
        <w:rPr>
          <w:rFonts w:ascii="Times New Roman;sans-serif" w:hAnsi="Times New Roman;sans-serif"/>
          <w:b w:val="false"/>
          <w:color w:val="000000"/>
          <w:sz w:val="20"/>
        </w:rPr>
        <w:t>discretion,</w:t>
      </w:r>
      <w:r>
        <w:rPr>
          <w:color w:val="000000"/>
        </w:rPr>
        <w:t xml:space="preserve"> </w:t>
      </w:r>
      <w:r>
        <w:rPr>
          <w:rFonts w:ascii="Times New Roman;sans-serif" w:hAnsi="Times New Roman;sans-serif"/>
          <w:b w:val="false"/>
          <w:color w:val="000000"/>
          <w:sz w:val="20"/>
        </w:rPr>
        <w:t>may</w:t>
      </w:r>
      <w:r>
        <w:rPr>
          <w:color w:val="000000"/>
        </w:rPr>
        <w:t xml:space="preserve"> </w:t>
      </w:r>
      <w:r>
        <w:rPr>
          <w:rFonts w:ascii="Times New Roman;sans-serif" w:hAnsi="Times New Roman;sans-serif"/>
          <w:b w:val="false"/>
          <w:color w:val="000000"/>
          <w:sz w:val="20"/>
        </w:rPr>
        <w:t>release</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shares of common stock</w:t>
      </w:r>
      <w:r>
        <w:rPr>
          <w:color w:val="000000"/>
        </w:rPr>
        <w:t xml:space="preserve"> </w:t>
      </w:r>
      <w:r>
        <w:rPr>
          <w:rFonts w:ascii="Times New Roman;sans-serif" w:hAnsi="Times New Roman;sans-serif"/>
          <w:b w:val="false"/>
          <w:color w:val="000000"/>
          <w:sz w:val="20"/>
        </w:rPr>
        <w:t>subject</w:t>
      </w:r>
      <w:r>
        <w:rPr>
          <w:color w:val="000000"/>
        </w:rPr>
        <w:t xml:space="preserve"> </w:t>
      </w:r>
      <w:r>
        <w:rPr>
          <w:rFonts w:ascii="Times New Roman;sans-serif" w:hAnsi="Times New Roman;sans-serif"/>
          <w:b w:val="false"/>
          <w:color w:val="000000"/>
          <w:sz w:val="20"/>
        </w:rPr>
        <w:t>to the lock-up</w:t>
      </w:r>
      <w:r>
        <w:rPr>
          <w:color w:val="000000"/>
        </w:rPr>
        <w:t xml:space="preserve"> </w:t>
      </w:r>
      <w:r>
        <w:rPr>
          <w:rFonts w:ascii="Times New Roman;sans-serif" w:hAnsi="Times New Roman;sans-serif"/>
          <w:b w:val="false"/>
          <w:color w:val="000000"/>
          <w:sz w:val="20"/>
        </w:rPr>
        <w:t>agreement</w:t>
      </w:r>
      <w:r>
        <w:rPr>
          <w:color w:val="000000"/>
        </w:rPr>
        <w:t xml:space="preserve"> </w:t>
      </w:r>
      <w:r>
        <w:rPr>
          <w:rFonts w:ascii="Times New Roman;sans-serif" w:hAnsi="Times New Roman;sans-serif"/>
          <w:b w:val="false"/>
          <w:color w:val="000000"/>
          <w:sz w:val="20"/>
        </w:rPr>
        <w:t>described</w:t>
      </w:r>
      <w:r>
        <w:rPr>
          <w:color w:val="000000"/>
        </w:rPr>
        <w:t xml:space="preserve"> </w:t>
      </w:r>
      <w:r>
        <w:rPr>
          <w:rFonts w:ascii="Times New Roman;sans-serif" w:hAnsi="Times New Roman;sans-serif"/>
          <w:b w:val="false"/>
          <w:color w:val="000000"/>
          <w:sz w:val="20"/>
        </w:rPr>
        <w:t>above in whole or in part</w:t>
      </w:r>
      <w:r>
        <w:rPr>
          <w:color w:val="000000"/>
        </w:rPr>
        <w:t xml:space="preserve"> </w:t>
      </w:r>
      <w:r>
        <w:rPr>
          <w:rFonts w:ascii="Times New Roman;sans-serif" w:hAnsi="Times New Roman;sans-serif"/>
          <w:b w:val="false"/>
          <w:color w:val="000000"/>
          <w:sz w:val="20"/>
        </w:rPr>
        <w:t>at</w:t>
      </w:r>
      <w:r>
        <w:rPr>
          <w:color w:val="000000"/>
        </w:rPr>
        <w:t xml:space="preserve"> </w:t>
      </w:r>
      <w:r>
        <w:rPr>
          <w:rFonts w:ascii="Times New Roman;sans-serif" w:hAnsi="Times New Roman;sans-serif"/>
          <w:b w:val="false"/>
          <w:color w:val="000000"/>
          <w:sz w:val="20"/>
        </w:rPr>
        <w:t>any time.</w:t>
      </w:r>
    </w:p>
    <w:p>
      <w:pPr>
        <w:pStyle w:val="TextBody"/>
        <w:spacing w:lineRule="auto" w:line="288" w:before="0" w:after="180"/>
        <w:rPr>
          <w:rFonts w:ascii="Times New Roman;sans-serif" w:hAnsi="Times New Roman;sans-serif"/>
          <w:b/>
          <w:color w:val="231F20"/>
          <w:sz w:val="20"/>
        </w:rPr>
      </w:pPr>
      <w:r>
        <w:rPr>
          <w:rFonts w:ascii="Times New Roman;sans-serif" w:hAnsi="Times New Roman;sans-serif"/>
          <w:b/>
          <w:color w:val="231F20"/>
          <w:sz w:val="20"/>
        </w:rPr>
        <w:t>Listing</w:t>
      </w:r>
    </w:p>
    <w:p>
      <w:pPr>
        <w:pStyle w:val="TextBody"/>
        <w:spacing w:lineRule="auto" w:line="288" w:before="0" w:after="180"/>
        <w:ind w:left="0" w:right="0" w:firstLine="720"/>
        <w:rPr/>
      </w:pPr>
      <w:r>
        <w:rPr>
          <w:rFonts w:ascii="Times New Roman;sans-serif" w:hAnsi="Times New Roman;sans-serif"/>
          <w:b w:val="false"/>
          <w:color w:val="000000"/>
          <w:sz w:val="20"/>
        </w:rPr>
        <w:t>Our common</w:t>
      </w:r>
      <w:r>
        <w:rPr>
          <w:color w:val="000000"/>
        </w:rPr>
        <w:t xml:space="preserve"> </w:t>
      </w:r>
      <w:r>
        <w:rPr>
          <w:rFonts w:ascii="Times New Roman;sans-serif" w:hAnsi="Times New Roman;sans-serif"/>
          <w:b w:val="false"/>
          <w:color w:val="000000"/>
          <w:sz w:val="20"/>
        </w:rPr>
        <w:t>stock</w:t>
      </w:r>
      <w:r>
        <w:rPr>
          <w:color w:val="000000"/>
        </w:rPr>
        <w:t xml:space="preserve"> </w:t>
      </w:r>
      <w:r>
        <w:rPr>
          <w:rFonts w:ascii="Times New Roman;sans-serif" w:hAnsi="Times New Roman;sans-serif"/>
          <w:b w:val="false"/>
          <w:color w:val="000000"/>
          <w:sz w:val="20"/>
        </w:rPr>
        <w:t>is</w:t>
      </w:r>
      <w:r>
        <w:rPr>
          <w:color w:val="000000"/>
        </w:rPr>
        <w:t xml:space="preserve"> </w:t>
      </w:r>
      <w:r>
        <w:rPr>
          <w:rFonts w:ascii="Times New Roman;sans-serif" w:hAnsi="Times New Roman;sans-serif"/>
          <w:b w:val="false"/>
          <w:color w:val="000000"/>
          <w:sz w:val="20"/>
        </w:rPr>
        <w:t>listed</w:t>
      </w:r>
      <w:r>
        <w:rPr>
          <w:color w:val="000000"/>
        </w:rPr>
        <w:t xml:space="preserve"> </w:t>
      </w:r>
      <w:r>
        <w:rPr>
          <w:rFonts w:ascii="Times New Roman;sans-serif" w:hAnsi="Times New Roman;sans-serif"/>
          <w:b w:val="false"/>
          <w:color w:val="000000"/>
          <w:sz w:val="20"/>
        </w:rPr>
        <w:t>on the</w:t>
      </w:r>
      <w:r>
        <w:rPr>
          <w:color w:val="000000"/>
        </w:rPr>
        <w:t xml:space="preserve"> </w:t>
      </w:r>
      <w:r>
        <w:rPr>
          <w:rFonts w:ascii="Times New Roman;sans-serif" w:hAnsi="Times New Roman;sans-serif"/>
          <w:b w:val="false"/>
          <w:color w:val="000000"/>
          <w:sz w:val="20"/>
        </w:rPr>
        <w:t>Nasdaq Global Market</w:t>
      </w:r>
      <w:r>
        <w:rPr>
          <w:color w:val="000000"/>
        </w:rPr>
        <w:t xml:space="preserve"> </w:t>
      </w:r>
      <w:r>
        <w:rPr>
          <w:rFonts w:ascii="Times New Roman;sans-serif" w:hAnsi="Times New Roman;sans-serif"/>
          <w:b w:val="false"/>
          <w:color w:val="000000"/>
          <w:sz w:val="20"/>
        </w:rPr>
        <w:t>under</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symbol</w:t>
      </w:r>
      <w:r>
        <w:rPr>
          <w:color w:val="000000"/>
        </w:rPr>
        <w:t xml:space="preserve"> “</w:t>
      </w:r>
      <w:r>
        <w:rPr>
          <w:rFonts w:ascii="Times New Roman;sans-serif" w:hAnsi="Times New Roman;sans-serif"/>
          <w:b w:val="false"/>
          <w:color w:val="000000"/>
          <w:sz w:val="20"/>
        </w:rPr>
        <w:t>SIBN.”</w:t>
      </w:r>
    </w:p>
    <w:p>
      <w:pPr>
        <w:pStyle w:val="TextBody"/>
        <w:spacing w:lineRule="auto" w:line="288" w:before="0" w:after="180"/>
        <w:rPr>
          <w:rFonts w:ascii="Times New Roman;sans-serif" w:hAnsi="Times New Roman;sans-serif"/>
          <w:b/>
          <w:color w:val="231F20"/>
          <w:sz w:val="20"/>
        </w:rPr>
      </w:pPr>
      <w:r>
        <w:rPr>
          <w:rFonts w:ascii="Times New Roman;sans-serif" w:hAnsi="Times New Roman;sans-serif"/>
          <w:b/>
          <w:color w:val="231F20"/>
          <w:sz w:val="20"/>
        </w:rPr>
        <w:t>Price Stabilization, Short Positions and Penalty Bids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Until the distribution of the shares is completed, SEC rules may limit underwriters and selling group members from bidding for and purchasing our common stock. However, the representatives may engage in transactions that stabilize the price of our common stock, such as bids or purchases to peg, fix or maintain that price.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Stabilizing transactions consist of various bids for or purchases of shares of common stock made by the underwriters in the open market prior to the completion of this offering.</w:t>
      </w:r>
    </w:p>
    <w:p>
      <w:pPr>
        <w:pStyle w:val="TextBody"/>
        <w:spacing w:before="0" w:after="180"/>
        <w:ind w:left="0" w:right="0" w:firstLine="720"/>
        <w:jc w:val="both"/>
        <w:rPr/>
      </w:pPr>
      <w:r>
        <w:rPr/>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r>
        <w:br w:type="page"/>
      </w:r>
    </w:p>
    <w:p>
      <w:pPr>
        <w:pStyle w:val="TextBody"/>
        <w:spacing w:before="0" w:after="200"/>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S-22</w:t>
                      </w:r>
                    </w:p>
                  </w:txbxContent>
                </v:textbox>
              </v:rect>
            </w:pict>
          </mc:Fallback>
        </mc:AlternateConten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NYSE, in the over-the-counter market or otherwise.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pStyle w:val="TextBody"/>
        <w:spacing w:lineRule="auto" w:line="288" w:before="0" w:after="180"/>
        <w:rPr/>
      </w:pPr>
      <w:r>
        <w:rPr>
          <w:rFonts w:ascii="Times New Roman;sans-serif" w:hAnsi="Times New Roman;sans-serif"/>
          <w:b/>
          <w:color w:val="231F20"/>
          <w:sz w:val="20"/>
        </w:rPr>
        <w:t>Electronic</w:t>
      </w:r>
      <w:r>
        <w:rPr>
          <w:color w:val="231F20"/>
        </w:rPr>
        <w:t xml:space="preserve"> </w:t>
      </w:r>
      <w:r>
        <w:rPr>
          <w:rFonts w:ascii="Times New Roman;sans-serif" w:hAnsi="Times New Roman;sans-serif"/>
          <w:b/>
          <w:color w:val="231F20"/>
          <w:sz w:val="20"/>
        </w:rPr>
        <w:t>Distribution</w:t>
      </w:r>
    </w:p>
    <w:p>
      <w:pPr>
        <w:pStyle w:val="TextBody"/>
        <w:spacing w:lineRule="auto" w:line="288" w:before="0" w:after="180"/>
        <w:ind w:left="0" w:right="0" w:firstLine="720"/>
        <w:jc w:val="both"/>
        <w:rPr/>
      </w:pPr>
      <w:r>
        <w:rPr>
          <w:rFonts w:ascii="Times New Roman;sans-serif" w:hAnsi="Times New Roman;sans-serif"/>
          <w:b w:val="false"/>
          <w:color w:val="000000"/>
          <w:sz w:val="20"/>
        </w:rPr>
        <w:t>In connection</w:t>
      </w:r>
      <w:r>
        <w:rPr>
          <w:color w:val="000000"/>
        </w:rPr>
        <w:t xml:space="preserve"> </w:t>
      </w:r>
      <w:r>
        <w:rPr>
          <w:rFonts w:ascii="Times New Roman;sans-serif" w:hAnsi="Times New Roman;sans-serif"/>
          <w:b w:val="false"/>
          <w:color w:val="000000"/>
          <w:sz w:val="20"/>
        </w:rPr>
        <w:t>with this</w:t>
      </w:r>
      <w:r>
        <w:rPr>
          <w:color w:val="000000"/>
        </w:rPr>
        <w:t xml:space="preserve"> </w:t>
      </w:r>
      <w:r>
        <w:rPr>
          <w:rFonts w:ascii="Times New Roman;sans-serif" w:hAnsi="Times New Roman;sans-serif"/>
          <w:b w:val="false"/>
          <w:color w:val="000000"/>
          <w:sz w:val="20"/>
        </w:rPr>
        <w:t>offering,</w:t>
      </w:r>
      <w:r>
        <w:rPr>
          <w:color w:val="000000"/>
        </w:rPr>
        <w:t xml:space="preserve"> </w:t>
      </w:r>
      <w:r>
        <w:rPr>
          <w:rFonts w:ascii="Times New Roman;sans-serif" w:hAnsi="Times New Roman;sans-serif"/>
          <w:b w:val="false"/>
          <w:color w:val="000000"/>
          <w:sz w:val="20"/>
        </w:rPr>
        <w:t>certain</w:t>
      </w:r>
      <w:r>
        <w:rPr>
          <w:color w:val="000000"/>
        </w:rPr>
        <w:t xml:space="preserve"> </w:t>
      </w:r>
      <w:r>
        <w:rPr>
          <w:rFonts w:ascii="Times New Roman;sans-serif" w:hAnsi="Times New Roman;sans-serif"/>
          <w:b w:val="false"/>
          <w:color w:val="000000"/>
          <w:sz w:val="20"/>
        </w:rPr>
        <w:t>of the</w:t>
      </w:r>
      <w:r>
        <w:rPr>
          <w:color w:val="000000"/>
        </w:rPr>
        <w:t xml:space="preserve"> </w:t>
      </w:r>
      <w:r>
        <w:rPr>
          <w:rFonts w:ascii="Times New Roman;sans-serif" w:hAnsi="Times New Roman;sans-serif"/>
          <w:b w:val="false"/>
          <w:color w:val="000000"/>
          <w:sz w:val="20"/>
        </w:rPr>
        <w:t>underwriters</w:t>
      </w:r>
      <w:r>
        <w:rPr>
          <w:color w:val="000000"/>
        </w:rPr>
        <w:t xml:space="preserve"> </w:t>
      </w:r>
      <w:r>
        <w:rPr>
          <w:rFonts w:ascii="Times New Roman;sans-serif" w:hAnsi="Times New Roman;sans-serif"/>
          <w:b w:val="false"/>
          <w:color w:val="000000"/>
          <w:sz w:val="20"/>
        </w:rPr>
        <w:t>or securities</w:t>
      </w:r>
      <w:r>
        <w:rPr>
          <w:color w:val="000000"/>
        </w:rPr>
        <w:t xml:space="preserve"> </w:t>
      </w:r>
      <w:r>
        <w:rPr>
          <w:rFonts w:ascii="Times New Roman;sans-serif" w:hAnsi="Times New Roman;sans-serif"/>
          <w:b w:val="false"/>
          <w:color w:val="000000"/>
          <w:sz w:val="20"/>
        </w:rPr>
        <w:t>dealers</w:t>
      </w:r>
      <w:r>
        <w:rPr>
          <w:color w:val="000000"/>
        </w:rPr>
        <w:t xml:space="preserve"> </w:t>
      </w:r>
      <w:r>
        <w:rPr>
          <w:rFonts w:ascii="Times New Roman;sans-serif" w:hAnsi="Times New Roman;sans-serif"/>
          <w:b w:val="false"/>
          <w:color w:val="000000"/>
          <w:sz w:val="20"/>
        </w:rPr>
        <w:t>may</w:t>
      </w:r>
      <w:r>
        <w:rPr>
          <w:color w:val="000000"/>
        </w:rPr>
        <w:t xml:space="preserve"> </w:t>
      </w:r>
      <w:r>
        <w:rPr>
          <w:rFonts w:ascii="Times New Roman;sans-serif" w:hAnsi="Times New Roman;sans-serif"/>
          <w:b w:val="false"/>
          <w:color w:val="000000"/>
          <w:sz w:val="20"/>
        </w:rPr>
        <w:t>distribute prospectuses</w:t>
      </w:r>
      <w:r>
        <w:rPr>
          <w:color w:val="000000"/>
        </w:rPr>
        <w:t xml:space="preserve"> </w:t>
      </w:r>
      <w:r>
        <w:rPr>
          <w:rFonts w:ascii="Times New Roman;sans-serif" w:hAnsi="Times New Roman;sans-serif"/>
          <w:b w:val="false"/>
          <w:color w:val="000000"/>
          <w:sz w:val="20"/>
        </w:rPr>
        <w:t>by electronic</w:t>
      </w:r>
      <w:r>
        <w:rPr>
          <w:color w:val="000000"/>
        </w:rPr>
        <w:t xml:space="preserve"> </w:t>
      </w:r>
      <w:r>
        <w:rPr>
          <w:rFonts w:ascii="Times New Roman;sans-serif" w:hAnsi="Times New Roman;sans-serif"/>
          <w:b w:val="false"/>
          <w:color w:val="000000"/>
          <w:sz w:val="20"/>
        </w:rPr>
        <w:t>means,</w:t>
      </w:r>
      <w:r>
        <w:rPr>
          <w:color w:val="000000"/>
        </w:rPr>
        <w:t xml:space="preserve"> </w:t>
      </w:r>
      <w:r>
        <w:rPr>
          <w:rFonts w:ascii="Times New Roman;sans-serif" w:hAnsi="Times New Roman;sans-serif"/>
          <w:b w:val="false"/>
          <w:color w:val="000000"/>
          <w:sz w:val="20"/>
        </w:rPr>
        <w:t>such as e-mail.</w:t>
      </w:r>
    </w:p>
    <w:p>
      <w:pPr>
        <w:pStyle w:val="TextBody"/>
        <w:spacing w:lineRule="auto" w:line="288" w:before="0" w:after="180"/>
        <w:rPr/>
      </w:pPr>
      <w:r>
        <w:rPr>
          <w:rFonts w:ascii="Times New Roman;sans-serif" w:hAnsi="Times New Roman;sans-serif"/>
          <w:b/>
          <w:color w:val="231F20"/>
          <w:sz w:val="20"/>
        </w:rPr>
        <w:t>Other</w:t>
      </w:r>
      <w:r>
        <w:rPr>
          <w:color w:val="231F20"/>
        </w:rPr>
        <w:t xml:space="preserve"> </w:t>
      </w:r>
      <w:r>
        <w:rPr>
          <w:rFonts w:ascii="Times New Roman;sans-serif" w:hAnsi="Times New Roman;sans-serif"/>
          <w:b/>
          <w:color w:val="231F20"/>
          <w:sz w:val="20"/>
        </w:rPr>
        <w:t>Relationships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Notice to Prospective Investors in the European Economic Area</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(a)to any legal entity which is a qualified investor as defined under the Prospectus Regulation;</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(b)to fewer than 150 natural or legal persons (other than qualified investors as defined under the Prospectus Regulation), subject to obtaining the prior consent of the representatives for any such offer; or</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(c)in any other circumstances falling within Article 1(4) of the Prospectus Regulation,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provided that no such offer of shares shall require us or any underwriter to publish a prospectus pursuant to Article 3 of the Prospectus Regulation or supplement a prospectus pursuant to Article 23 of the Prospectus Regulation.</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Each person in a Relevant State who initially acquires any shares or to whom any offer is made will be deemed to have represented, acknowledged and agreed to and with us and the representatives that it is a qualified investor within the meaning of the Prospectus Regulation.</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w:t>
      </w:r>
      <w:r>
        <w:br w:type="page"/>
      </w:r>
    </w:p>
    <w:p>
      <w:pPr>
        <w:pStyle w:val="TextBody"/>
        <w:spacing w:before="0" w:after="200"/>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representatives has been obtained to each such proposed offer or resale.</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above selling restriction is in addition to any other selling restrictions set out below.</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Notice to Prospective Investors in the United Kingdom</w:t>
      </w:r>
    </w:p>
    <w:p>
      <w:pPr>
        <w:pStyle w:val="TextBody"/>
        <w:spacing w:lineRule="auto" w:line="288" w:before="0" w:after="180"/>
        <w:ind w:left="0" w:right="0" w:firstLine="720"/>
        <w:jc w:val="both"/>
        <w:rPr/>
      </w:pPr>
      <w:r>
        <w:rPr>
          <w:rFonts w:ascii="Times New Roman;sans-serif" w:hAnsi="Times New Roman;sans-serif"/>
          <w:b w:val="false"/>
          <w:color w:val="000000"/>
          <w:sz w:val="20"/>
        </w:rPr>
        <w:t>No shares</w:t>
      </w:r>
      <w:r>
        <w:rPr>
          <w:color w:val="000000"/>
        </w:rPr>
        <w:t xml:space="preserve"> </w:t>
      </w:r>
      <w:r>
        <w:rPr>
          <w:rFonts w:ascii="Times New Roman;sans-serif" w:hAnsi="Times New Roman;sans-serif"/>
          <w:b w:val="false"/>
          <w:color w:val="000000"/>
          <w:sz w:val="20"/>
        </w:rPr>
        <w:t>have been offered</w:t>
      </w:r>
      <w:r>
        <w:rPr>
          <w:color w:val="000000"/>
        </w:rPr>
        <w:t xml:space="preserve"> </w:t>
      </w:r>
      <w:r>
        <w:rPr>
          <w:rFonts w:ascii="Times New Roman;sans-serif" w:hAnsi="Times New Roman;sans-serif"/>
          <w:b w:val="false"/>
          <w:color w:val="000000"/>
          <w:sz w:val="20"/>
        </w:rPr>
        <w:t>or will</w:t>
      </w:r>
      <w:r>
        <w:rPr>
          <w:color w:val="000000"/>
        </w:rPr>
        <w:t xml:space="preserve"> </w:t>
      </w:r>
      <w:r>
        <w:rPr>
          <w:rFonts w:ascii="Times New Roman;sans-serif" w:hAnsi="Times New Roman;sans-serif"/>
          <w:b w:val="false"/>
          <w:color w:val="000000"/>
          <w:sz w:val="20"/>
        </w:rPr>
        <w:t>be offered</w:t>
      </w:r>
      <w:r>
        <w:rPr>
          <w:color w:val="000000"/>
        </w:rPr>
        <w:t xml:space="preserve"> </w:t>
      </w:r>
      <w:r>
        <w:rPr>
          <w:rFonts w:ascii="Times New Roman;sans-serif" w:hAnsi="Times New Roman;sans-serif"/>
          <w:b w:val="false"/>
          <w:color w:val="000000"/>
          <w:sz w:val="20"/>
        </w:rPr>
        <w:t>pursuant to the offering to the public in the United Kingdom prior to the publication of a prospectus in relation to the shares which has been approved by the Financial Conduct Authority,</w:t>
      </w:r>
      <w:r>
        <w:rPr>
          <w:color w:val="000000"/>
        </w:rPr>
        <w:t xml:space="preserve"> </w:t>
      </w:r>
      <w:r>
        <w:rPr>
          <w:rFonts w:ascii="Times New Roman;sans-serif" w:hAnsi="Times New Roman;sans-serif"/>
          <w:b w:val="false"/>
          <w:color w:val="000000"/>
          <w:sz w:val="20"/>
        </w:rPr>
        <w:t>except</w:t>
      </w:r>
      <w:r>
        <w:rPr>
          <w:color w:val="000000"/>
        </w:rPr>
        <w:t xml:space="preserve"> </w:t>
      </w:r>
      <w:r>
        <w:rPr>
          <w:rFonts w:ascii="Times New Roman;sans-serif" w:hAnsi="Times New Roman;sans-serif"/>
          <w:b w:val="false"/>
          <w:color w:val="000000"/>
          <w:sz w:val="20"/>
        </w:rPr>
        <w:t>that</w:t>
      </w:r>
      <w:r>
        <w:rPr>
          <w:color w:val="000000"/>
        </w:rPr>
        <w:t xml:space="preserve"> </w:t>
      </w:r>
      <w:r>
        <w:rPr>
          <w:rFonts w:ascii="Times New Roman;sans-serif" w:hAnsi="Times New Roman;sans-serif"/>
          <w:b w:val="false"/>
          <w:color w:val="000000"/>
          <w:sz w:val="20"/>
        </w:rPr>
        <w:t>offers</w:t>
      </w:r>
      <w:r>
        <w:rPr>
          <w:color w:val="000000"/>
        </w:rPr>
        <w:t xml:space="preserve"> </w:t>
      </w:r>
      <w:r>
        <w:rPr>
          <w:rFonts w:ascii="Times New Roman;sans-serif" w:hAnsi="Times New Roman;sans-serif"/>
          <w:b w:val="false"/>
          <w:color w:val="000000"/>
          <w:sz w:val="20"/>
        </w:rPr>
        <w:t>of shares</w:t>
      </w:r>
      <w:r>
        <w:rPr>
          <w:color w:val="000000"/>
        </w:rPr>
        <w:t xml:space="preserve"> </w:t>
      </w:r>
      <w:r>
        <w:rPr>
          <w:rFonts w:ascii="Times New Roman;sans-serif" w:hAnsi="Times New Roman;sans-serif"/>
          <w:b w:val="false"/>
          <w:color w:val="000000"/>
          <w:sz w:val="20"/>
        </w:rPr>
        <w:t>may</w:t>
      </w:r>
      <w:r>
        <w:rPr>
          <w:color w:val="000000"/>
        </w:rPr>
        <w:t xml:space="preserve"> </w:t>
      </w:r>
      <w:r>
        <w:rPr>
          <w:rFonts w:ascii="Times New Roman;sans-serif" w:hAnsi="Times New Roman;sans-serif"/>
          <w:b w:val="false"/>
          <w:color w:val="000000"/>
          <w:sz w:val="20"/>
        </w:rPr>
        <w:t>be made</w:t>
      </w:r>
      <w:r>
        <w:rPr>
          <w:color w:val="000000"/>
        </w:rPr>
        <w:t xml:space="preserve"> </w:t>
      </w:r>
      <w:r>
        <w:rPr>
          <w:rFonts w:ascii="Times New Roman;sans-serif" w:hAnsi="Times New Roman;sans-serif"/>
          <w:b w:val="false"/>
          <w:color w:val="000000"/>
          <w:sz w:val="20"/>
        </w:rPr>
        <w:t>to the</w:t>
      </w:r>
      <w:r>
        <w:rPr>
          <w:color w:val="000000"/>
        </w:rPr>
        <w:t xml:space="preserve"> </w:t>
      </w:r>
      <w:r>
        <w:rPr>
          <w:rFonts w:ascii="Times New Roman;sans-serif" w:hAnsi="Times New Roman;sans-serif"/>
          <w:b w:val="false"/>
          <w:color w:val="000000"/>
          <w:sz w:val="20"/>
        </w:rPr>
        <w:t>public</w:t>
      </w:r>
      <w:r>
        <w:rPr>
          <w:color w:val="000000"/>
        </w:rPr>
        <w:t xml:space="preserve"> </w:t>
      </w:r>
      <w:r>
        <w:rPr>
          <w:rFonts w:ascii="Times New Roman;sans-serif" w:hAnsi="Times New Roman;sans-serif"/>
          <w:b w:val="false"/>
          <w:color w:val="000000"/>
          <w:sz w:val="20"/>
        </w:rPr>
        <w:t>in the</w:t>
      </w:r>
      <w:r>
        <w:rPr>
          <w:color w:val="000000"/>
        </w:rPr>
        <w:t xml:space="preserve"> </w:t>
      </w:r>
      <w:r>
        <w:rPr>
          <w:rFonts w:ascii="Times New Roman;sans-serif" w:hAnsi="Times New Roman;sans-serif"/>
          <w:b w:val="false"/>
          <w:color w:val="000000"/>
          <w:sz w:val="20"/>
        </w:rPr>
        <w:t>United</w:t>
      </w:r>
      <w:r>
        <w:rPr>
          <w:color w:val="000000"/>
        </w:rPr>
        <w:t xml:space="preserve"> </w:t>
      </w:r>
      <w:r>
        <w:rPr>
          <w:rFonts w:ascii="Times New Roman;sans-serif" w:hAnsi="Times New Roman;sans-serif"/>
          <w:b w:val="false"/>
          <w:color w:val="000000"/>
          <w:sz w:val="20"/>
        </w:rPr>
        <w:t>Kingdom at</w:t>
      </w:r>
      <w:r>
        <w:rPr>
          <w:color w:val="000000"/>
        </w:rPr>
        <w:t xml:space="preserve"> </w:t>
      </w:r>
      <w:r>
        <w:rPr>
          <w:rFonts w:ascii="Times New Roman;sans-serif" w:hAnsi="Times New Roman;sans-serif"/>
          <w:b w:val="false"/>
          <w:color w:val="000000"/>
          <w:sz w:val="20"/>
        </w:rPr>
        <w:t>any time</w:t>
      </w:r>
      <w:r>
        <w:rPr>
          <w:color w:val="000000"/>
        </w:rPr>
        <w:t xml:space="preserve"> </w:t>
      </w:r>
      <w:r>
        <w:rPr>
          <w:rFonts w:ascii="Times New Roman;sans-serif" w:hAnsi="Times New Roman;sans-serif"/>
          <w:b w:val="false"/>
          <w:color w:val="000000"/>
          <w:sz w:val="20"/>
        </w:rPr>
        <w:t>under</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following</w:t>
      </w:r>
      <w:r>
        <w:rPr>
          <w:color w:val="000000"/>
        </w:rPr>
        <w:t xml:space="preserve"> </w:t>
      </w:r>
      <w:r>
        <w:rPr>
          <w:rFonts w:ascii="Times New Roman;sans-serif" w:hAnsi="Times New Roman;sans-serif"/>
          <w:b w:val="false"/>
          <w:color w:val="000000"/>
          <w:sz w:val="20"/>
        </w:rPr>
        <w:t>exemptions</w:t>
      </w:r>
      <w:r>
        <w:rPr>
          <w:color w:val="000000"/>
        </w:rPr>
        <w:t xml:space="preserve"> </w:t>
      </w:r>
      <w:r>
        <w:rPr>
          <w:rFonts w:ascii="Times New Roman;sans-serif" w:hAnsi="Times New Roman;sans-serif"/>
          <w:b w:val="false"/>
          <w:color w:val="000000"/>
          <w:sz w:val="20"/>
        </w:rPr>
        <w:t>under</w:t>
      </w:r>
      <w:r>
        <w:rPr>
          <w:color w:val="000000"/>
        </w:rPr>
        <w:t xml:space="preserve"> </w:t>
      </w:r>
      <w:r>
        <w:rPr>
          <w:rFonts w:ascii="Times New Roman;sans-serif" w:hAnsi="Times New Roman;sans-serif"/>
          <w:b w:val="false"/>
          <w:color w:val="000000"/>
          <w:sz w:val="20"/>
        </w:rPr>
        <w:t>the U.K.</w:t>
      </w:r>
      <w:r>
        <w:rPr>
          <w:color w:val="000000"/>
        </w:rPr>
        <w:t xml:space="preserve"> </w:t>
      </w:r>
      <w:r>
        <w:rPr>
          <w:rFonts w:ascii="Times New Roman;sans-serif" w:hAnsi="Times New Roman;sans-serif"/>
          <w:b w:val="false"/>
          <w:color w:val="000000"/>
          <w:sz w:val="20"/>
        </w:rPr>
        <w:t>Prospectus</w:t>
      </w:r>
      <w:r>
        <w:rPr>
          <w:color w:val="000000"/>
        </w:rPr>
        <w:t xml:space="preserve"> </w:t>
      </w:r>
      <w:r>
        <w:rPr>
          <w:rFonts w:ascii="Times New Roman;sans-serif" w:hAnsi="Times New Roman;sans-serif"/>
          <w:b w:val="false"/>
          <w:color w:val="000000"/>
          <w:sz w:val="20"/>
        </w:rPr>
        <w:t>Regulation:</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(a)to any legal entity which is a qualified investor as defined under Article 2 of the U.K. Prospectus Regulation;</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(b)to fewer than 150 natural or legal persons (other than qualified investors as defined under the U.K. Prospectus Regulation), subject to obtaining the prior consent of the representatives for any such offer; or</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(c)in any other circumstances falling within Section 86 of the Financial Services Markets Act 2000 (as amended, the “FSMA”);</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provided that no such offer of shares shall require us or any representative to publish a prospectus pursuant to Section 85 of the FSMA or supplement a prospectus pursuant to Article 23 of the U.K. Prospectus Regulation.</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Each person in the United Kingdom who initially acquires any shares or to whom any offer is made will be deemed to have represented, acknowledged and agreed to and with us and the representatives that it is a qualified investor within the meaning of Article 2 of the U.K. Prospectus Regulation.</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case of any shares being offered to a financial intermediary as that term is used in Article 1(4) of the U.K. Prospectus Regulation, each financial intermediary will also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the United Kingdom to qualified investors as so defined or in circumstances in which the prior consent of the representatives has been obtained to each such proposed offer or resale.</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purposes of this provision: the expression an “offer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pStyle w:val="TextBody"/>
        <w:spacing w:lineRule="auto" w:line="288" w:before="0" w:after="180"/>
        <w:jc w:val="both"/>
        <w:rPr/>
      </w:pPr>
      <w:r>
        <w:rPr>
          <w:rFonts w:ascii="Times New Roman;sans-serif" w:hAnsi="Times New Roman;sans-serif"/>
          <w:b/>
          <w:color w:val="231F20"/>
          <w:sz w:val="20"/>
        </w:rPr>
        <w:t>Notice</w:t>
      </w:r>
      <w:r>
        <w:rPr>
          <w:color w:val="231F20"/>
        </w:rPr>
        <w:t xml:space="preserve"> </w:t>
      </w:r>
      <w:r>
        <w:rPr>
          <w:rFonts w:ascii="Times New Roman;sans-serif" w:hAnsi="Times New Roman;sans-serif"/>
          <w:b/>
          <w:color w:val="231F20"/>
          <w:sz w:val="20"/>
        </w:rPr>
        <w:t>to Prospective</w:t>
      </w:r>
      <w:r>
        <w:rPr>
          <w:color w:val="231F20"/>
        </w:rPr>
        <w:t xml:space="preserve"> </w:t>
      </w:r>
      <w:r>
        <w:rPr>
          <w:rFonts w:ascii="Times New Roman;sans-serif" w:hAnsi="Times New Roman;sans-serif"/>
          <w:b/>
          <w:color w:val="231F20"/>
          <w:sz w:val="20"/>
        </w:rPr>
        <w:t>Investors</w:t>
      </w:r>
      <w:r>
        <w:rPr>
          <w:color w:val="231F20"/>
        </w:rPr>
        <w:t xml:space="preserve"> </w:t>
      </w:r>
      <w:r>
        <w:rPr>
          <w:rFonts w:ascii="Times New Roman;sans-serif" w:hAnsi="Times New Roman;sans-serif"/>
          <w:b/>
          <w:color w:val="231F20"/>
          <w:sz w:val="20"/>
        </w:rPr>
        <w:t>in Switzerland</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shares may not be publicly offered in Switzerland and will not be listed on the SIX Swiss Exchange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w:t>
      </w:r>
      <w:r>
        <w:br w:type="page"/>
      </w:r>
    </w:p>
    <w:p>
      <w:pPr>
        <w:pStyle w:val="TextBody"/>
        <w:spacing w:before="0" w:after="200"/>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prospectus supplement nor any other offering or marketing material relating to the shares or this offering may be publicly distributed or otherwise made publicly available in Switzerland.</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Neither this prospectus supplement nor any other offering or marketing material relating to this offering, our company or the shares have been or will be filed with or approved by any Swiss regulatory authority. In particular, this prospectus supplement will not be filed with, and the offer of shares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Notice to Prospective Investors in the Dubai International Financial Centre</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relates to an Exempt Offer in accordance with the Offered Securities Rules of the Dubai Financial Services Authority (the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Notice to Prospective Investors in Australia</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 placement document, prospectus, product disclosure statement or other disclosure document has been lodged with the Australian Securities and Investments Commission in relation to this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shares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Notice to Prospective Investors in Hong Kong</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w:t>
      </w:r>
      <w:r>
        <w:br w:type="page"/>
      </w:r>
    </w:p>
    <w:p>
      <w:pPr>
        <w:pStyle w:val="TextBody"/>
        <w:spacing w:before="0" w:after="200"/>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Notice to Prospective Investors in Japan</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Notice to Prospective Investors in Singapore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supplement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supplement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Where the shares are subscribed or purchased under Section 275 of the SFA by a relevant person which is:</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 corporation (which is not an accredited investor (as defined in Section 4A of the SFA)) the sole business of which is to hold investments and the entire share capital of which is owned by one or more individuals, each of whom is an accredited investor; or</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(a)to an institutional investor or to a relevant person defined in Section 275(2) of the SFA, or to any person arising from an offer referred to in Section 275(1A) or Section 276(4)(i)(B) of the SFA;</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(b)where no consideration is or will be given for the transfer;</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(c)where the transfer is by operation of law;</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(d)as specified in Section 276(7) of the SFA; or</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(e)as specified in Regulation 32 of the Securities and Futures (Offers of Investment) (Shares and Debentures) Regulations 2005.</w:t>
      </w:r>
      <w:r>
        <w:br w:type="page"/>
      </w:r>
    </w:p>
    <w:p>
      <w:pPr>
        <w:pStyle w:val="TextBody"/>
        <w:spacing w:before="0" w:after="200"/>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S-26</w:t>
                      </w:r>
                    </w:p>
                  </w:txbxContent>
                </v:textbox>
              </v:rect>
            </w:pict>
          </mc:Fallback>
        </mc:AlternateContent>
      </w:r>
    </w:p>
    <w:p>
      <w:pPr>
        <w:pStyle w:val="TextBody"/>
        <w:spacing w:lineRule="auto" w:line="288" w:before="0" w:after="180"/>
        <w:ind w:left="0" w:right="0" w:firstLine="120"/>
        <w:jc w:val="both"/>
        <w:rPr>
          <w:rFonts w:ascii="Times New Roman;sans-serif" w:hAnsi="Times New Roman;sans-serif"/>
          <w:b/>
          <w:color w:val="000000"/>
          <w:sz w:val="20"/>
        </w:rPr>
      </w:pPr>
      <w:r>
        <w:rPr>
          <w:rFonts w:ascii="Times New Roman;sans-serif" w:hAnsi="Times New Roman;sans-serif"/>
          <w:b/>
          <w:color w:val="000000"/>
          <w:sz w:val="20"/>
        </w:rPr>
        <w:t>Notice to Prospective Investors in Canada</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legislation in certain provinces or territories of Canada may provide a purchaser with remedies for rescission or damages if this prospectus supplement (including any amendment 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3A.3 of National Instrument 33-105 Underwriting Conflicts (NI 33-105), the underwriters are not required to comply with the disclosure requirements of NI 33-105 regarding underwriter conflicts of interest in connection with this offering.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S-27</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Cooley LLP will pass upon the validity of the securities offered by this prospectus supplement. Latham &amp; Watkins LLP is representing the underwriters in this offering.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EXPERTS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incorporated in this prospectus supplement by reference to the Annual Report on Form 10-K for the year ended December 31, 2022, have been so incorporated in reliance on the report of PricewaterhouseCoopers LLP, an independent registered public accounting firm, given on the authority of said firm as experts in auditing and accounting.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WHERE YOU CAN FIND ADDITIONAL INFORMATION</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This prospectus supplement is part of the registration statement on Form S-3 we filed with the SEC under the Securities Act and does not contain all the information set forth in the registration statement. Whenever a reference is made in this prospectus supplement or accompanying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and accompanying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Times New Roman;sans-serif" w:hAnsi="Times New Roman;sans-serif"/>
          <w:b w:val="false"/>
          <w:color w:val="0000FF"/>
          <w:sz w:val="20"/>
          <w:u w:val="single"/>
        </w:rPr>
        <w:t>www.sec.gov</w:t>
      </w:r>
      <w:r>
        <w:rPr>
          <w:rFonts w:ascii="Times New Roman;sans-serif" w:hAnsi="Times New Roman;sans-serif"/>
          <w:b w:val="false"/>
          <w:color w:val="000000"/>
          <w:sz w:val="20"/>
        </w:rPr>
        <w:t>. The information on the SEC’s web site is not part of this prospectus supplement or the accompanying prospectus, and any references to this web site or any other web site are inactive textual references only.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S-28</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INCORPORATION OF CERTAIN INFORMATION BY REFERENCE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and accompanying prospectus. Information in this prospectus supplement supersedes information in the accompanying prospectus supplement or incorporated by reference that we filed with the SEC prior to the date of this prospectus supplement, while information that we file later with the SEC will automatically update and supersede the information in this prospectus supplement and accompanying prospectus. We incorporate by reference into this prospectus supplement and accompanying prospectus and the registration statement of which this prospectus is a part the information or documents listed below that we have filed with the SEC (Commission File No. 001-38701)):</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w:t>
      </w:r>
      <w:hyperlink r:id="rId3">
        <w:r>
          <w:rPr>
            <w:rStyle w:val="InternetLink"/>
            <w:rFonts w:ascii="Times New Roman;sans-serif" w:hAnsi="Times New Roman;sans-serif"/>
            <w:b w:val="false"/>
            <w:strike w:val="false"/>
            <w:dstrike w:val="false"/>
            <w:color w:val="000000"/>
            <w:sz w:val="20"/>
            <w:u w:val="none"/>
            <w:effect w:val="none"/>
          </w:rPr>
          <w:t>Annual Report on Form 10-K, for the year ended December 31, 2022</w:t>
        </w:r>
      </w:hyperlink>
      <w:r>
        <w:rPr>
          <w:rFonts w:ascii="Times New Roman;sans-serif" w:hAnsi="Times New Roman;sans-serif"/>
          <w:b w:val="false"/>
          <w:color w:val="000000"/>
          <w:sz w:val="20"/>
        </w:rPr>
        <w:t xml:space="preserve">, filed with the SEC on March 2, 2023;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w:t>
      </w:r>
      <w:hyperlink r:id="rId4">
        <w:r>
          <w:rPr>
            <w:rStyle w:val="InternetLink"/>
            <w:rFonts w:ascii="Times New Roman;sans-serif" w:hAnsi="Times New Roman;sans-serif"/>
            <w:b w:val="false"/>
            <w:strike w:val="false"/>
            <w:dstrike w:val="false"/>
            <w:color w:val="000000"/>
            <w:sz w:val="20"/>
            <w:u w:val="none"/>
            <w:effect w:val="none"/>
          </w:rPr>
          <w:t>Quarterly Report on Form 10-Q</w:t>
        </w:r>
      </w:hyperlink>
      <w:r>
        <w:rPr>
          <w:rFonts w:ascii="Times New Roman;sans-serif" w:hAnsi="Times New Roman;sans-serif"/>
          <w:b w:val="false"/>
          <w:color w:val="000000"/>
          <w:sz w:val="20"/>
        </w:rPr>
        <w:t xml:space="preserve"> filed with the SEC on May 2, 2023;</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Current Report on Form 8-K filed with the SEC on </w:t>
      </w:r>
      <w:hyperlink r:id="rId5">
        <w:r>
          <w:rPr>
            <w:rStyle w:val="InternetLink"/>
            <w:rFonts w:ascii="Times New Roman;sans-serif" w:hAnsi="Times New Roman;sans-serif"/>
            <w:b w:val="false"/>
            <w:strike w:val="false"/>
            <w:dstrike w:val="false"/>
            <w:color w:val="000000"/>
            <w:sz w:val="20"/>
            <w:u w:val="none"/>
            <w:effect w:val="none"/>
          </w:rPr>
          <w:t>January 9, 2023</w:t>
        </w:r>
      </w:hyperlink>
      <w:r>
        <w:rPr>
          <w:rFonts w:ascii="Times New Roman;sans-serif" w:hAnsi="Times New Roman;sans-serif"/>
          <w:b w:val="false"/>
          <w:color w:val="000000"/>
          <w:sz w:val="20"/>
        </w:rPr>
        <w:t xml:space="preserve"> (other than Item 2.02, Item 7.01 and related exhibits);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w:t>
      </w:r>
      <w:hyperlink r:id="rId6">
        <w:r>
          <w:rPr>
            <w:rStyle w:val="InternetLink"/>
            <w:rFonts w:ascii="Times New Roman;sans-serif" w:hAnsi="Times New Roman;sans-serif"/>
            <w:b w:val="false"/>
            <w:strike w:val="false"/>
            <w:dstrike w:val="false"/>
            <w:color w:val="000000"/>
            <w:sz w:val="20"/>
            <w:u w:val="none"/>
            <w:effect w:val="none"/>
          </w:rPr>
          <w:t>Definitive Proxy Statement on Schedule 14A, filed with the SEC on April 21, 2023</w:t>
        </w:r>
      </w:hyperlink>
      <w:r>
        <w:rPr>
          <w:rFonts w:ascii="Times New Roman;sans-serif" w:hAnsi="Times New Roman;sans-serif"/>
          <w:b w:val="false"/>
          <w:color w:val="000000"/>
          <w:sz w:val="20"/>
        </w:rPr>
        <w:t xml:space="preserve"> (but only with respect to information required by Part III of our Annual Report on Form 10-K for the year ended December 31, 2022);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description of our common stock set forth in our registration statement on </w:t>
      </w:r>
      <w:hyperlink r:id="rId7">
        <w:r>
          <w:rPr>
            <w:rStyle w:val="InternetLink"/>
            <w:rFonts w:ascii="Times New Roman;sans-serif" w:hAnsi="Times New Roman;sans-serif"/>
            <w:b w:val="false"/>
            <w:strike w:val="false"/>
            <w:dstrike w:val="false"/>
            <w:color w:val="000000"/>
            <w:sz w:val="20"/>
            <w:u w:val="none"/>
            <w:effect w:val="none"/>
          </w:rPr>
          <w:t>Form 8-A, filed with the SEC on October 11, 2018</w:t>
        </w:r>
      </w:hyperlink>
      <w:r>
        <w:rPr>
          <w:rFonts w:ascii="Times New Roman;sans-serif" w:hAnsi="Times New Roman;sans-serif"/>
          <w:b w:val="false"/>
          <w:color w:val="000000"/>
          <w:sz w:val="20"/>
        </w:rPr>
        <w:t xml:space="preserve">, including any amendment or report filed for the purpose of updating such description, including </w:t>
      </w:r>
      <w:hyperlink r:id="rId8">
        <w:r>
          <w:rPr>
            <w:rStyle w:val="InternetLink"/>
            <w:rFonts w:ascii="Times New Roman;sans-serif" w:hAnsi="Times New Roman;sans-serif"/>
            <w:b w:val="false"/>
            <w:strike w:val="false"/>
            <w:dstrike w:val="false"/>
            <w:color w:val="000000"/>
            <w:sz w:val="20"/>
            <w:u w:val="none"/>
            <w:effect w:val="none"/>
          </w:rPr>
          <w:t>Exhibit 4.3</w:t>
        </w:r>
      </w:hyperlink>
      <w:r>
        <w:rPr>
          <w:rFonts w:ascii="Times New Roman;sans-serif" w:hAnsi="Times New Roman;sans-serif"/>
          <w:b w:val="false"/>
          <w:color w:val="000000"/>
          <w:sz w:val="20"/>
        </w:rPr>
        <w:t xml:space="preserve"> to our Quarterly Report on Form 10-Q for the quarter ended March 31, 2020 filed with the SEC on May 5, 2020.</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until we file a post-effective amendment that indicates the termination of the offering of the securities made by this prospectus supplement and accompanying prospectus, which will become a part of this prospectus supplement and accompanying prospectus from the date that such documents are filed with the SEC. Information in such future filings updates and supplements the information provided in this prospectus supplement and accompanying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 We will furnish without charge to each person, including any beneficial owner, to whom a prospectus supplement and accompanying prospectus is delivered, upon written or oral request, a copy of any or all of the documents incorporated by reference into this prospectus supplement and accompanying prospectus but not delivered with the prospectus supplement and accompanying prospectus, including exhibits that are specifically incorporated by reference into such documents. You should direct any requests for documents to:</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SI-BONE, Inc.</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471 El Camino Real, Suite 101</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Santa Clara, California 95050</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Attn: Corporate Secretary</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(408) 207</w:t>
        <w:noBreakHyphen/>
        <w:t>0700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S-29</w:t>
                      </w:r>
                    </w:p>
                  </w:txbxContent>
                </v:textbox>
              </v:rect>
            </w:pict>
          </mc:Fallback>
        </mc:AlternateContent>
      </w:r>
    </w:p>
    <w:p>
      <w:pPr>
        <w:pStyle w:val="TextBody"/>
        <w:spacing w:lineRule="auto" w:line="288" w:before="0" w:after="180"/>
        <w:jc w:val="center"/>
        <w:rPr>
          <w:rFonts w:ascii="Times New Roman;sans-serif" w:hAnsi="Times New Roman;sans-serif"/>
          <w:b/>
          <w:color w:val="000000"/>
          <w:sz w:val="32"/>
        </w:rPr>
      </w:pPr>
      <w:r>
        <w:rPr>
          <w:rFonts w:ascii="Times New Roman;sans-serif" w:hAnsi="Times New Roman;sans-serif"/>
          <w:b/>
          <w:color w:val="000000"/>
          <w:sz w:val="32"/>
        </w:rPr>
        <w:t>Prospectus</w:t>
      </w:r>
    </w:p>
    <w:p>
      <w:pPr>
        <w:pStyle w:val="TextBody"/>
        <w:spacing w:lineRule="auto" w:line="288" w:before="0" w:after="180"/>
        <w:jc w:val="center"/>
        <w:rPr/>
      </w:pPr>
      <w:r>
        <w:rPr>
          <w:color w:val="000000"/>
        </w:rPr>
        <w:t> </w:t>
      </w:r>
      <w:r>
        <w:rPr/>
        <w:drawing>
          <wp:inline distT="0" distB="63500" distL="0" distR="0">
            <wp:extent cx="2381250" cy="1362075"/>
            <wp:effectExtent l="0" t="0" r="0" b="0"/>
            <wp:docPr id="3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 descr=""/>
                    <pic:cNvPicPr>
                      <a:picLocks noChangeAspect="1" noChangeArrowheads="1"/>
                    </pic:cNvPicPr>
                  </pic:nvPicPr>
                  <pic:blipFill>
                    <a:blip r:embed="rId9"/>
                    <a:stretch>
                      <a:fillRect/>
                    </a:stretch>
                  </pic:blipFill>
                  <pic:spPr bwMode="auto">
                    <a:xfrm>
                      <a:off x="0" y="0"/>
                      <a:ext cx="2381250" cy="1362075"/>
                    </a:xfrm>
                    <a:prstGeom prst="rect">
                      <a:avLst/>
                    </a:prstGeom>
                  </pic:spPr>
                </pic:pic>
              </a:graphicData>
            </a:graphic>
          </wp:inline>
        </w:drawing>
      </w:r>
    </w:p>
    <w:p>
      <w:pPr>
        <w:pStyle w:val="TextBody"/>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Common Stock</w:t>
      </w:r>
    </w:p>
    <w:p>
      <w:pPr>
        <w:pStyle w:val="TextBody"/>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Preferred Stock</w:t>
      </w:r>
    </w:p>
    <w:p>
      <w:pPr>
        <w:pStyle w:val="TextBody"/>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Debt Securities</w:t>
      </w:r>
    </w:p>
    <w:p>
      <w:pPr>
        <w:pStyle w:val="TextBody"/>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Warrants</w:t>
      </w:r>
    </w:p>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From time to time, we or selling securityholders may offer and sell any combination of the securities described in this prospectus, either individually or in combination. We or selling securityholders may also offer common stock or preferred stock upon conversion of debt securities, common stock upon conversion of preferred stock, or common stock, preferred stock or debt securities upon the exercise of warrants.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Global Market under the symbol “SIBN.” On May 3, 2023, the last reported sale price of our common stock was $24.27 per share. The applicable prospectus supplement will contain information, where applicable, as to other listings, if any, on The Nasdaq Global Market or other securities exchange of the securities covered by the applicable prospectus supplement.</w:t>
      </w:r>
    </w:p>
    <w:p>
      <w:pPr>
        <w:pStyle w:val="TextBody"/>
        <w:spacing w:lineRule="auto" w:line="288" w:before="0" w:after="180"/>
        <w:ind w:left="0" w:right="0" w:firstLine="360"/>
        <w:jc w:val="both"/>
        <w:rPr/>
      </w:pPr>
      <w:r>
        <w:rPr>
          <w:rFonts w:ascii="Times New Roman;sans-serif" w:hAnsi="Times New Roman;sans-serif"/>
          <w:b/>
          <w:i/>
          <w:color w:val="000000"/>
          <w:sz w:val="20"/>
        </w:rPr>
        <w:t>Investing in our securities involves a high degree of risk. Before making an investment decision, you should review carefully the risks described under the heading “</w:t>
      </w:r>
      <w:hyperlink w:anchor="i32314d85229c40fc9f5fdea05a30c466_61">
        <w:r>
          <w:rPr>
            <w:rStyle w:val="InternetLink"/>
            <w:rFonts w:ascii="Times New Roman;sans-serif" w:hAnsi="Times New Roman;sans-serif"/>
            <w:b/>
            <w:i/>
            <w:color w:val="0000FF"/>
            <w:sz w:val="20"/>
            <w:u w:val="single"/>
          </w:rPr>
          <w:t>Risk Factors</w:t>
        </w:r>
      </w:hyperlink>
      <w:r>
        <w:rPr>
          <w:color w:val="000000"/>
        </w:rPr>
        <w:t xml:space="preserve">” </w:t>
      </w:r>
      <w:r>
        <w:rPr>
          <w:rFonts w:ascii="Times New Roman;sans-serif" w:hAnsi="Times New Roman;sans-serif"/>
          <w:b/>
          <w:i/>
          <w:color w:val="000000"/>
          <w:sz w:val="20"/>
        </w:rPr>
        <w:t xml:space="preserve">on page </w:t>
      </w:r>
      <w:hyperlink w:anchor="i32314d85229c40fc9f5fdea05a30c466_61">
        <w:r>
          <w:rPr>
            <w:rStyle w:val="InternetLink"/>
            <w:rFonts w:ascii="Times New Roman;sans-serif" w:hAnsi="Times New Roman;sans-serif"/>
            <w:b/>
            <w:i/>
            <w:color w:val="0000FF"/>
            <w:sz w:val="20"/>
            <w:u w:val="single"/>
          </w:rPr>
          <w:t>5</w:t>
        </w:r>
      </w:hyperlink>
      <w:r>
        <w:rPr>
          <w:color w:val="000000"/>
        </w:rPr>
        <w:t xml:space="preserve"> </w:t>
      </w:r>
      <w:r>
        <w:rPr>
          <w:rFonts w:ascii="Times New Roman;sans-serif" w:hAnsi="Times New Roman;sans-serif"/>
          <w:b/>
          <w:i/>
          <w:color w:val="000000"/>
          <w:sz w:val="20"/>
        </w:rPr>
        <w:t>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This prospectus may not be used to consummate a sale of securities unless accompanied by a prospectus supplement.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securities may be sold directly by us to investors, through agents designated from time to time or to or through underwriters or dealers, on a continuous or delayed basis. The supplements to this prospectus will provide the specific terms of the plan of distribution. If any agents or underwriters are involved in the sale of any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we expect to receive from such sale will also be set forth in a prospectus supplement. Unless the applicable prospectus supplement provides otherwise, we will not receive any proceeds from the sale of securities by selling securityholders.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Neither the Securities and Exchange Commission nor any state securities commission has approved or disapproved of these securities or determined if this prospectus is truthful or complete. Any representation to the contrary is a criminal offense.</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jc w:val="center"/>
        <w:rPr>
          <w:rFonts w:ascii="Times New Roman;sans-serif" w:hAnsi="Times New Roman;sans-serif"/>
          <w:b w:val="false"/>
          <w:color w:val="000000"/>
          <w:sz w:val="20"/>
        </w:rPr>
      </w:pPr>
      <w:r>
        <w:rPr>
          <w:rFonts w:ascii="Times New Roman;sans-serif" w:hAnsi="Times New Roman;sans-serif"/>
          <w:b w:val="false"/>
          <w:color w:val="000000"/>
          <w:sz w:val="20"/>
        </w:rPr>
        <w:t>The date of this prospectus is May 4,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6" name="Frame3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00"/>
                        <w:jc w:val="center"/>
                        <w:rPr/>
                      </w:pPr>
                      <w:r>
                        <w:rPr/>
                      </w:r>
                    </w:p>
                  </w:txbxContent>
                </v:textbox>
              </v:rect>
            </w:pict>
          </mc:Fallback>
        </mc:AlternateContent>
      </w:r>
    </w:p>
    <w:p>
      <w:pPr>
        <w:pStyle w:val="TextBody"/>
        <w:spacing w:lineRule="auto" w:line="331" w:before="0" w:after="24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6361" w:type="dxa"/>
        <w:jc w:val="center"/>
        <w:tblInd w:w="0" w:type="dxa"/>
        <w:tblCellMar>
          <w:top w:w="28" w:type="dxa"/>
          <w:left w:w="28" w:type="dxa"/>
          <w:bottom w:w="28" w:type="dxa"/>
          <w:right w:w="28" w:type="dxa"/>
        </w:tblCellMar>
      </w:tblPr>
      <w:tblGrid>
        <w:gridCol w:w="2118"/>
        <w:gridCol w:w="1864"/>
        <w:gridCol w:w="1868"/>
        <w:gridCol w:w="149"/>
        <w:gridCol w:w="149"/>
        <w:gridCol w:w="213"/>
      </w:tblGrid>
      <w:tr>
        <w:trPr/>
        <w:tc>
          <w:tcPr>
            <w:tcW w:w="2118" w:type="dxa"/>
            <w:tcBorders/>
            <w:shd w:fill="auto" w:val="clear"/>
            <w:vAlign w:val="center"/>
          </w:tcPr>
          <w:p>
            <w:pPr>
              <w:pStyle w:val="TableContents"/>
              <w:spacing w:before="0" w:after="283"/>
              <w:rPr>
                <w:sz w:val="4"/>
                <w:szCs w:val="4"/>
              </w:rPr>
            </w:pPr>
            <w:r>
              <w:rPr>
                <w:sz w:val="4"/>
                <w:szCs w:val="4"/>
              </w:rPr>
            </w:r>
          </w:p>
        </w:tc>
        <w:tc>
          <w:tcPr>
            <w:tcW w:w="1864" w:type="dxa"/>
            <w:tcBorders/>
            <w:shd w:fill="auto" w:val="clear"/>
            <w:vAlign w:val="center"/>
          </w:tcPr>
          <w:p>
            <w:pPr>
              <w:pStyle w:val="TableContents"/>
              <w:spacing w:before="0" w:after="283"/>
              <w:rPr>
                <w:sz w:val="4"/>
                <w:szCs w:val="4"/>
              </w:rPr>
            </w:pPr>
            <w:r>
              <w:rPr>
                <w:sz w:val="4"/>
                <w:szCs w:val="4"/>
              </w:rPr>
            </w:r>
          </w:p>
        </w:tc>
        <w:tc>
          <w:tcPr>
            <w:tcW w:w="186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5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5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55">
              <w:r>
                <w:rPr>
                  <w:rStyle w:val="InternetLink"/>
                  <w:rFonts w:ascii="Times New Roman;sans-serif" w:hAnsi="Times New Roman;sans-serif"/>
                  <w:b w:val="false"/>
                  <w:color w:val="0000FF"/>
                  <w:sz w:val="20"/>
                  <w:u w:val="single"/>
                </w:rPr>
                <w:t>ABOUT THIS PROSPECTUS</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49">
              <w:r>
                <w:rPr>
                  <w:rStyle w:val="InternetLink"/>
                  <w:rFonts w:ascii="Times New Roman;sans-serif" w:hAnsi="Times New Roman;sans-serif"/>
                  <w:b w:val="false"/>
                  <w:color w:val="0000FF"/>
                  <w:sz w:val="20"/>
                  <w:u w:val="single"/>
                </w:rPr>
                <w:t>ii</w:t>
              </w:r>
            </w:hyperlink>
          </w:p>
        </w:tc>
      </w:tr>
      <w:tr>
        <w:trPr/>
        <w:tc>
          <w:tcPr>
            <w:tcW w:w="58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58">
              <w:r>
                <w:rPr>
                  <w:rStyle w:val="InternetLink"/>
                  <w:rFonts w:ascii="Times New Roman;sans-serif" w:hAnsi="Times New Roman;sans-serif"/>
                  <w:b w:val="false"/>
                  <w:color w:val="0000FF"/>
                  <w:sz w:val="20"/>
                  <w:u w:val="single"/>
                </w:rPr>
                <w:t>PROSPECTUS SUMMARY</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58">
              <w:r>
                <w:rPr>
                  <w:rStyle w:val="InternetLink"/>
                  <w:rFonts w:ascii="Times New Roman;sans-serif" w:hAnsi="Times New Roman;sans-serif"/>
                  <w:b w:val="false"/>
                  <w:color w:val="0000FF"/>
                  <w:sz w:val="20"/>
                  <w:u w:val="single"/>
                </w:rPr>
                <w:t>1</w:t>
              </w:r>
            </w:hyperlink>
          </w:p>
        </w:tc>
      </w:tr>
      <w:tr>
        <w:trPr/>
        <w:tc>
          <w:tcPr>
            <w:tcW w:w="58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61">
              <w:r>
                <w:rPr>
                  <w:rStyle w:val="InternetLink"/>
                  <w:rFonts w:ascii="Times New Roman;sans-serif" w:hAnsi="Times New Roman;sans-serif"/>
                  <w:b w:val="false"/>
                  <w:color w:val="0000FF"/>
                  <w:sz w:val="20"/>
                  <w:u w:val="single"/>
                </w:rPr>
                <w:t>RISK FACTORS</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61">
              <w:r>
                <w:rPr>
                  <w:rStyle w:val="InternetLink"/>
                  <w:rFonts w:ascii="Times New Roman;sans-serif" w:hAnsi="Times New Roman;sans-serif"/>
                  <w:b w:val="false"/>
                  <w:color w:val="0000FF"/>
                  <w:sz w:val="20"/>
                  <w:u w:val="single"/>
                </w:rPr>
                <w:t>5</w:t>
              </w:r>
            </w:hyperlink>
          </w:p>
        </w:tc>
      </w:tr>
      <w:tr>
        <w:trPr/>
        <w:tc>
          <w:tcPr>
            <w:tcW w:w="58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64">
              <w:r>
                <w:rPr>
                  <w:rStyle w:val="InternetLink"/>
                  <w:rFonts w:ascii="Times New Roman;sans-serif" w:hAnsi="Times New Roman;sans-serif"/>
                  <w:b w:val="false"/>
                  <w:color w:val="0000FF"/>
                  <w:sz w:val="20"/>
                  <w:u w:val="single"/>
                </w:rPr>
                <w:t>SPECIAL NOTE REGARDING FORWARD-LOOKING STATEMENTS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64">
              <w:r>
                <w:rPr>
                  <w:rStyle w:val="InternetLink"/>
                  <w:rFonts w:ascii="Times New Roman;sans-serif" w:hAnsi="Times New Roman;sans-serif"/>
                  <w:b w:val="false"/>
                  <w:color w:val="0000FF"/>
                  <w:sz w:val="20"/>
                  <w:u w:val="single"/>
                </w:rPr>
                <w:t>6</w:t>
              </w:r>
            </w:hyperlink>
          </w:p>
        </w:tc>
      </w:tr>
      <w:tr>
        <w:trPr/>
        <w:tc>
          <w:tcPr>
            <w:tcW w:w="58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67">
              <w:r>
                <w:rPr>
                  <w:rStyle w:val="InternetLink"/>
                  <w:rFonts w:ascii="Times New Roman;sans-serif" w:hAnsi="Times New Roman;sans-serif"/>
                  <w:b w:val="false"/>
                  <w:color w:val="0000FF"/>
                  <w:sz w:val="20"/>
                  <w:u w:val="single"/>
                </w:rPr>
                <w:t>USE OF PROCEEDS</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67">
              <w:r>
                <w:rPr>
                  <w:rStyle w:val="InternetLink"/>
                  <w:rFonts w:ascii="Times New Roman;sans-serif" w:hAnsi="Times New Roman;sans-serif"/>
                  <w:b w:val="false"/>
                  <w:color w:val="0000FF"/>
                  <w:sz w:val="20"/>
                  <w:u w:val="single"/>
                </w:rPr>
                <w:t>8</w:t>
              </w:r>
            </w:hyperlink>
          </w:p>
        </w:tc>
      </w:tr>
      <w:tr>
        <w:trPr/>
        <w:tc>
          <w:tcPr>
            <w:tcW w:w="58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70">
              <w:r>
                <w:rPr>
                  <w:rStyle w:val="InternetLink"/>
                  <w:rFonts w:ascii="Times New Roman;sans-serif" w:hAnsi="Times New Roman;sans-serif"/>
                  <w:b w:val="false"/>
                  <w:color w:val="0000FF"/>
                  <w:sz w:val="20"/>
                  <w:u w:val="single"/>
                </w:rPr>
                <w:t>DESCRIPTION OF CAPITAL STOCK</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70">
              <w:r>
                <w:rPr>
                  <w:rStyle w:val="InternetLink"/>
                  <w:rFonts w:ascii="Times New Roman;sans-serif" w:hAnsi="Times New Roman;sans-serif"/>
                  <w:b w:val="false"/>
                  <w:color w:val="0000FF"/>
                  <w:sz w:val="20"/>
                  <w:u w:val="single"/>
                </w:rPr>
                <w:t>9</w:t>
              </w:r>
            </w:hyperlink>
          </w:p>
        </w:tc>
      </w:tr>
      <w:tr>
        <w:trPr/>
        <w:tc>
          <w:tcPr>
            <w:tcW w:w="58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73">
              <w:r>
                <w:rPr>
                  <w:rStyle w:val="InternetLink"/>
                  <w:rFonts w:ascii="Times New Roman;sans-serif" w:hAnsi="Times New Roman;sans-serif"/>
                  <w:b w:val="false"/>
                  <w:color w:val="0000FF"/>
                  <w:sz w:val="20"/>
                  <w:u w:val="single"/>
                </w:rPr>
                <w:t>DESCRIPTION OF DEBT SECURITIES</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73">
              <w:r>
                <w:rPr>
                  <w:rStyle w:val="InternetLink"/>
                  <w:rFonts w:ascii="Times New Roman;sans-serif" w:hAnsi="Times New Roman;sans-serif"/>
                  <w:b w:val="false"/>
                  <w:color w:val="0000FF"/>
                  <w:sz w:val="20"/>
                  <w:u w:val="single"/>
                </w:rPr>
                <w:t>13</w:t>
              </w:r>
            </w:hyperlink>
          </w:p>
        </w:tc>
      </w:tr>
      <w:tr>
        <w:trPr/>
        <w:tc>
          <w:tcPr>
            <w:tcW w:w="58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76">
              <w:r>
                <w:rPr>
                  <w:rStyle w:val="InternetLink"/>
                  <w:rFonts w:ascii="Times New Roman;sans-serif" w:hAnsi="Times New Roman;sans-serif"/>
                  <w:b w:val="false"/>
                  <w:color w:val="0000FF"/>
                  <w:sz w:val="20"/>
                  <w:u w:val="single"/>
                </w:rPr>
                <w:t>DESCRIPTION OF WARRANTS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76">
              <w:r>
                <w:rPr>
                  <w:rStyle w:val="InternetLink"/>
                  <w:rFonts w:ascii="Times New Roman;sans-serif" w:hAnsi="Times New Roman;sans-serif"/>
                  <w:b w:val="false"/>
                  <w:color w:val="0000FF"/>
                  <w:sz w:val="20"/>
                  <w:u w:val="single"/>
                </w:rPr>
                <w:t>20</w:t>
              </w:r>
            </w:hyperlink>
          </w:p>
        </w:tc>
      </w:tr>
      <w:tr>
        <w:trPr/>
        <w:tc>
          <w:tcPr>
            <w:tcW w:w="58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79">
              <w:r>
                <w:rPr>
                  <w:rStyle w:val="InternetLink"/>
                  <w:rFonts w:ascii="Times New Roman;sans-serif" w:hAnsi="Times New Roman;sans-serif"/>
                  <w:b w:val="false"/>
                  <w:color w:val="0000FF"/>
                  <w:sz w:val="20"/>
                  <w:u w:val="single"/>
                </w:rPr>
                <w:t>LEGAL OWNERSHIP OF SECURITIES</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79">
              <w:r>
                <w:rPr>
                  <w:rStyle w:val="InternetLink"/>
                  <w:rFonts w:ascii="Times New Roman;sans-serif" w:hAnsi="Times New Roman;sans-serif"/>
                  <w:b w:val="false"/>
                  <w:color w:val="0000FF"/>
                  <w:sz w:val="20"/>
                  <w:u w:val="single"/>
                </w:rPr>
                <w:t>22</w:t>
              </w:r>
            </w:hyperlink>
          </w:p>
        </w:tc>
      </w:tr>
      <w:tr>
        <w:trPr/>
        <w:tc>
          <w:tcPr>
            <w:tcW w:w="58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82">
              <w:r>
                <w:rPr>
                  <w:rStyle w:val="InternetLink"/>
                  <w:rFonts w:ascii="Times New Roman;sans-serif" w:hAnsi="Times New Roman;sans-serif"/>
                  <w:b w:val="false"/>
                  <w:color w:val="0000FF"/>
                  <w:sz w:val="20"/>
                  <w:u w:val="single"/>
                </w:rPr>
                <w:t>SELLING SECURITYHOLDERS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82">
              <w:r>
                <w:rPr>
                  <w:rStyle w:val="InternetLink"/>
                  <w:rFonts w:ascii="Times New Roman;sans-serif" w:hAnsi="Times New Roman;sans-serif"/>
                  <w:b w:val="false"/>
                  <w:color w:val="0000FF"/>
                  <w:sz w:val="20"/>
                  <w:u w:val="single"/>
                </w:rPr>
                <w:t>25</w:t>
              </w:r>
            </w:hyperlink>
          </w:p>
        </w:tc>
      </w:tr>
      <w:tr>
        <w:trPr/>
        <w:tc>
          <w:tcPr>
            <w:tcW w:w="58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85">
              <w:r>
                <w:rPr>
                  <w:rStyle w:val="InternetLink"/>
                  <w:rFonts w:ascii="Times New Roman;sans-serif" w:hAnsi="Times New Roman;sans-serif"/>
                  <w:b w:val="false"/>
                  <w:color w:val="0000FF"/>
                  <w:sz w:val="20"/>
                  <w:u w:val="single"/>
                </w:rPr>
                <w:t>PLAN OF DISTRIBUTION</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85">
              <w:r>
                <w:rPr>
                  <w:rStyle w:val="InternetLink"/>
                  <w:rFonts w:ascii="Times New Roman;sans-serif" w:hAnsi="Times New Roman;sans-serif"/>
                  <w:b w:val="false"/>
                  <w:color w:val="0000FF"/>
                  <w:sz w:val="20"/>
                  <w:u w:val="single"/>
                </w:rPr>
                <w:t>25</w:t>
              </w:r>
            </w:hyperlink>
          </w:p>
        </w:tc>
      </w:tr>
      <w:tr>
        <w:trPr/>
        <w:tc>
          <w:tcPr>
            <w:tcW w:w="58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88">
              <w:r>
                <w:rPr>
                  <w:rStyle w:val="InternetLink"/>
                  <w:rFonts w:ascii="Times New Roman;sans-serif" w:hAnsi="Times New Roman;sans-serif"/>
                  <w:b w:val="false"/>
                  <w:color w:val="0000FF"/>
                  <w:sz w:val="20"/>
                  <w:u w:val="single"/>
                </w:rPr>
                <w:t>LEGAL MATTERS</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88">
              <w:r>
                <w:rPr>
                  <w:rStyle w:val="InternetLink"/>
                  <w:rFonts w:ascii="Times New Roman;sans-serif" w:hAnsi="Times New Roman;sans-serif"/>
                  <w:b w:val="false"/>
                  <w:color w:val="0000FF"/>
                  <w:sz w:val="20"/>
                  <w:u w:val="single"/>
                </w:rPr>
                <w:t>26</w:t>
              </w:r>
            </w:hyperlink>
          </w:p>
        </w:tc>
      </w:tr>
      <w:tr>
        <w:trPr/>
        <w:tc>
          <w:tcPr>
            <w:tcW w:w="58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91">
              <w:r>
                <w:rPr>
                  <w:rStyle w:val="InternetLink"/>
                  <w:rFonts w:ascii="Times New Roman;sans-serif" w:hAnsi="Times New Roman;sans-serif"/>
                  <w:b w:val="false"/>
                  <w:color w:val="0000FF"/>
                  <w:sz w:val="20"/>
                  <w:u w:val="single"/>
                </w:rPr>
                <w:t>EXPERTS</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91">
              <w:r>
                <w:rPr>
                  <w:rStyle w:val="InternetLink"/>
                  <w:rFonts w:ascii="Times New Roman;sans-serif" w:hAnsi="Times New Roman;sans-serif"/>
                  <w:b w:val="false"/>
                  <w:color w:val="0000FF"/>
                  <w:sz w:val="20"/>
                  <w:u w:val="single"/>
                </w:rPr>
                <w:t>26</w:t>
              </w:r>
            </w:hyperlink>
          </w:p>
        </w:tc>
      </w:tr>
      <w:tr>
        <w:trPr/>
        <w:tc>
          <w:tcPr>
            <w:tcW w:w="58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94">
              <w:r>
                <w:rPr>
                  <w:rStyle w:val="InternetLink"/>
                  <w:rFonts w:ascii="Times New Roman;sans-serif" w:hAnsi="Times New Roman;sans-serif"/>
                  <w:b w:val="false"/>
                  <w:color w:val="0000FF"/>
                  <w:sz w:val="20"/>
                  <w:u w:val="single"/>
                </w:rPr>
                <w:t>WHERE YOU CAN FIND ADDITIONAL INFORMATION</w:t>
              </w:r>
            </w:hyperlink>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94">
              <w:r>
                <w:rPr>
                  <w:rStyle w:val="InternetLink"/>
                  <w:rFonts w:ascii="Times New Roman;sans-serif" w:hAnsi="Times New Roman;sans-serif"/>
                  <w:b w:val="false"/>
                  <w:color w:val="0000FF"/>
                  <w:sz w:val="20"/>
                  <w:u w:val="single"/>
                </w:rPr>
                <w:t>27</w:t>
              </w:r>
            </w:hyperlink>
          </w:p>
        </w:tc>
      </w:tr>
      <w:tr>
        <w:trPr/>
        <w:tc>
          <w:tcPr>
            <w:tcW w:w="58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32314d85229c40fc9f5fdea05a30c466_97">
              <w:r>
                <w:rPr>
                  <w:rStyle w:val="InternetLink"/>
                  <w:rFonts w:ascii="Times New Roman;sans-serif" w:hAnsi="Times New Roman;sans-serif"/>
                  <w:b w:val="false"/>
                  <w:color w:val="0000FF"/>
                  <w:sz w:val="20"/>
                  <w:u w:val="single"/>
                </w:rPr>
                <w:t>INCORPORATION OF CERTAIN INFORMATION BY REFERENCE</w:t>
              </w:r>
            </w:hyperlink>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32314d85229c40fc9f5fdea05a30c466_97">
              <w:r>
                <w:rPr>
                  <w:rStyle w:val="InternetLink"/>
                  <w:rFonts w:ascii="Times New Roman;sans-serif" w:hAnsi="Times New Roman;sans-serif"/>
                  <w:b w:val="false"/>
                  <w:color w:val="0000FF"/>
                  <w:sz w:val="20"/>
                  <w:u w:val="single"/>
                </w:rPr>
                <w:t>28</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ABOUT THIS PROSPECTUS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is part of a registration statement on Form S-3 that we filed with the Securities and Exchange Commission, or SEC, using a “shelf” registration process as a “well-known seasoned issuer” as defined in Rule 405 under the Securities Act of 1933, as amended, or the Securities Act. Under this shelf registration statement, we or selling securityholders may, from time to time, offer and sell, either individually or in combination, in one or more offerings, any combination of the securities described in this prospectus. There is no limit on the aggregate amount of the securities that we or selling securityholders may offer pursuant to the registration statement of which this prospectus is a part.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provides you with a general description of the securities we or selling securityholders may offer. Each time we or selling securityholders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pStyle w:val="TextBody"/>
        <w:spacing w:lineRule="auto" w:line="288" w:before="0" w:after="180"/>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This prospectus may not be used to consummate a sale of securities unless it is accompanied by a prospectus supplement.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rely only on the information contained in, or incorporated by reference into, this prospectus and any applicable prospectus supplement, along with the information contained in any free writing prospectuses we have authorized for use in connection with a specific offering. We have not authorized anyone to provide you with different or additional information. You must not rely upon any information or representation not contained or incorporated by reference in this prospectus, the accompanying prospectus supplement or in any related free writing prospectus that we may authorize to be provided to you. This prospectus is an offer to sell only the securities offered hereby, but only under circumstances and in jurisdictions where it is lawful to do so.</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those dates.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the applicable prospectus supplement and any related free writing prospectus, and under similar headings in the other documents that are incorporated by reference into this prospectus. Accordingly, investors should not place undue reliance on this information.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Additional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PROSPECTUS SUMMARY</w:t>
      </w:r>
    </w:p>
    <w:p>
      <w:pPr>
        <w:pStyle w:val="TextBody"/>
        <w:spacing w:lineRule="auto" w:line="288" w:before="0" w:after="18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summary highlights selected information appearing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SI-BONE, Inc.</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76" w:before="0" w:after="180"/>
        <w:ind w:left="0" w:right="0" w:firstLine="450"/>
        <w:jc w:val="both"/>
        <w:rPr/>
      </w:pPr>
      <w:r>
        <w:rPr>
          <w:rFonts w:ascii="Times New Roman;sans-serif" w:hAnsi="Times New Roman;sans-serif"/>
          <w:b w:val="false"/>
          <w:color w:val="000000"/>
          <w:sz w:val="20"/>
        </w:rPr>
        <w:t>We are a medical device company dedicated to solving musculoskeletal disorders of the sacropelvic anatomy. Leveraging our knowledge of pelvic anatomy and biomechanics,</w:t>
      </w:r>
      <w:r>
        <w:rPr>
          <w:color w:val="000000"/>
        </w:rPr>
        <w:t xml:space="preserve"> </w:t>
      </w:r>
      <w:r>
        <w:rPr>
          <w:rFonts w:ascii="Times New Roman;sans-serif" w:hAnsi="Times New Roman;sans-serif"/>
          <w:b w:val="false"/>
          <w:color w:val="000000"/>
          <w:sz w:val="20"/>
        </w:rPr>
        <w:t xml:space="preserve">we have pioneered proprietary minimally invasive surgical implant systems to address sacroiliac joint dysfunction as well as address unmet clinical needs in pelvic fixation and management of pelvic fractures. Our products include a series of patented titanium implants and the instruments used to implant them. Since launching our first generation iFuse in 2009, we have launched three new implant product lines, iFuse-3D in 2017, iFuse-TORQ in 2021 and iFuse Bedrock Granite in 2022. Within the United States, our products have clearances for applications across sacroiliac joint dysfunction and fusion, adult deformity and degeneration, and pelvic trauma. </w:t>
      </w:r>
    </w:p>
    <w:p>
      <w:pPr>
        <w:pStyle w:val="TextBody"/>
        <w:spacing w:lineRule="auto" w:line="26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market our products primarily with a direct sales force as well as a number of third-party sales agents and resellers in the U.S., and with a combination of a direct sales force, sales agents and resellers in other countries. As of March 31, 2023, more than 80,000 procedures have been performed by over 3,000 surgeons in the United States and 38 other countries since we introduced iFuse in 2009. </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Corporate Information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were incorporated in March 2008 in Delaware. We completed the initial public offering of our common stock in October 2018. Our principal executive offices are located at 471 El Camino Real, Suite 101, Santa Clara, California 95050 and our telephone number is (408) 207-0700. Our website address is www.si-bone.com. The information on, or that can be accessed through, our website is not part of this prospectus. We have included our website address as an inactive textual reference only.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is listed on the Nasdaq Global Market under the symbol “SIBN.” </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The Securities We or the Selling Securityholders May Offer</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or selling securityholders may offer shares of our common stock and preferred stock, various series of debt securities and/or warrants to purchase any of such securities, either individually or in combination, from time to time under this prospectus, together with the applicable prospectus supplement and any related free writing prospectus, at prices and on terms to be determined by market conditions at the time of any offering. There is no limit on the aggregate amount of the securities that we or selling securityholders may offer pursuant to the registration statement of which this prospectus is a part. We or selling securityholders may also offer common stock, preferred stock and/or debt securities upon the exercise of warrants. This prospectus provides you with a general description of the securities we may offer. Each time we or selling securityholders offer a type or series of securities under this prospectus, we will provide a prospectus supplement that will describe the specific amounts, prices and other important terms of the securities, including, to the extent applicable: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designation or classification;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aggregate principal amount or aggregate offering price;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maturity date, if applicable;</w:t>
      </w:r>
      <w:r>
        <w:br w:type="page"/>
      </w:r>
    </w:p>
    <w:p>
      <w:pPr>
        <w:pStyle w:val="TextBody"/>
        <w:spacing w:before="0" w:after="20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original issue discount, if any;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rates and times of payment of interest or dividends, if any;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redemption, conversion, exercise, exchange or sinking fund terms, if any;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conversion or exchange prices or rates, if any, and, if applicable, any provisions for changes to or adjustments in the conversion or exchange prices or rates and in the securities or other property receivable upon conversion or exchange;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ranking;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restrictive covenants, if any;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voting or other rights, if any;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material or special U.S. federal income tax considerations, if any.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applicable prospectus supplement and any related free writing prospectus that we may authorize to be provided to you may also add, update or change any of the information contained in this prospectus or in the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THIS PROSPECTUS MAY NOT BE USED TO CONSUMMATE A SALE OF SECURITIES UNLESS IT IS ACCOMPANIED BY A PROSPECTUS SUPPLEMENT.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or selling securityholders may sell the securities directly to investors or to or through agents, underwriters or dealers. We, the selling securityholders and our or their agents or underwriters, reserve the right to accept or reject all or part of any proposed purchase of securities. If we or selling securityholders do offer securities to or through agents or underwriters, we will include in the applicable prospectus supplement: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names of those agents or underwriters;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applicable fees, discounts and commissions to be paid to them;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details regarding over-allotment options, if any;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the net proceeds to us. </w:t>
      </w:r>
    </w:p>
    <w:p>
      <w:pPr>
        <w:pStyle w:val="TextBody"/>
        <w:spacing w:lineRule="auto" w:line="288" w:before="0" w:after="180"/>
        <w:ind w:left="0" w:right="0" w:firstLine="360"/>
        <w:jc w:val="both"/>
        <w:rPr/>
      </w:pPr>
      <w:r>
        <w:rPr>
          <w:rFonts w:ascii="Times New Roman;sans-serif" w:hAnsi="Times New Roman;sans-serif"/>
          <w:b w:val="false"/>
          <w:i/>
          <w:color w:val="000000"/>
          <w:sz w:val="20"/>
        </w:rPr>
        <w:t>Common Stock</w:t>
      </w:r>
      <w:r>
        <w:rPr>
          <w:rFonts w:ascii="Times New Roman;sans-serif" w:hAnsi="Times New Roman;sans-serif"/>
          <w:b w:val="false"/>
          <w:color w:val="000000"/>
          <w:sz w:val="20"/>
        </w:rPr>
        <w:t>. We may issue, and any selling securityholders may sell, shares of our common stock from time to time.</w:t>
      </w:r>
      <w:r>
        <w:rPr>
          <w:color w:val="000000"/>
        </w:rPr>
        <w:t xml:space="preserve"> </w:t>
      </w:r>
      <w:r>
        <w:rPr>
          <w:rFonts w:ascii="Times New Roman;sans-serif" w:hAnsi="Times New Roman;sans-serif"/>
          <w:b w:val="false"/>
          <w:color w:val="000000"/>
          <w:sz w:val="20"/>
        </w:rPr>
        <w:t>The holders of our common stock are entitled to one vote for each share held of record on all matters submitted to a vote of stockholders. Subject to preferences that may be applicable to any outstanding shares of preferred stock, the holders of common stock are entitled to receive ratably such dividends as may be declared by our board of directors out of legally available funds. Upon our liquidation, dissolution or winding up, holders of our common stock are entitled to share ratably in all assets remaining after payment of liabilities and the liquidation preferences of any outstanding shares of preferred stock. Holders of common stock have no preemptive rights and no right to convert their common stock into any other securities. There are no redemption or sinking fund provisions applicable to our common stock. In this prospectus, we have summarized certain general features of the common stock under “Description of Capital Stock - Common Stock.”  We urge you, however, to read the applicable prospectus supplement (and any related free writing prospectus that we may authorize to be provided to you) related to any common stock being offered.</w:t>
      </w:r>
    </w:p>
    <w:p>
      <w:pPr>
        <w:pStyle w:val="TextBody"/>
        <w:spacing w:lineRule="auto" w:line="288" w:before="0" w:after="180"/>
        <w:ind w:left="0" w:right="0" w:firstLine="360"/>
        <w:jc w:val="both"/>
        <w:rPr/>
      </w:pPr>
      <w:r>
        <w:rPr>
          <w:rFonts w:ascii="Times New Roman;sans-serif" w:hAnsi="Times New Roman;sans-serif"/>
          <w:b w:val="false"/>
          <w:i/>
          <w:color w:val="000000"/>
          <w:sz w:val="20"/>
        </w:rPr>
        <w:t>Preferred Stock</w:t>
      </w:r>
      <w:r>
        <w:rPr>
          <w:rFonts w:ascii="Times New Roman;sans-serif" w:hAnsi="Times New Roman;sans-serif"/>
          <w:b w:val="false"/>
          <w:color w:val="000000"/>
          <w:sz w:val="20"/>
        </w:rPr>
        <w:t xml:space="preserve">. We may issue shares of our preferred stock from time to time, in one or more series, and any selling securityholders may sell such shares from time to time. Our board of directors will determine the designations, voting powers, preferences and rights of the preferred stock, as well as the qualifications, limitations or restrictions thereof, including dividend rights, conversion rights, preemptive rights, terms of redemption or repurchase, liquidation preferences, sinking fund terms and the number of shares constituting any series or the </w:t>
      </w:r>
      <w:r>
        <w:br w:type="page"/>
      </w:r>
    </w:p>
    <w:p>
      <w:pPr>
        <w:pStyle w:val="TextBody"/>
        <w:spacing w:before="0" w:after="20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designation of any series. Convertible preferred stock will be convertible into our common stock or exchangeable for other securities. Conversion may be mandatory or at your option and would be at prescribed conversion rates.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sell any series of preferred stock under this prospectus, 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“Description of Capital Stock -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pStyle w:val="TextBody"/>
        <w:spacing w:lineRule="auto" w:line="288" w:before="0" w:after="180"/>
        <w:ind w:left="0" w:right="0" w:firstLine="360"/>
        <w:jc w:val="both"/>
        <w:rPr/>
      </w:pPr>
      <w:r>
        <w:rPr>
          <w:rFonts w:ascii="Times New Roman;sans-serif" w:hAnsi="Times New Roman;sans-serif"/>
          <w:b w:val="false"/>
          <w:i/>
          <w:color w:val="000000"/>
          <w:sz w:val="20"/>
        </w:rPr>
        <w:t>Debt Securities.</w:t>
      </w:r>
      <w:r>
        <w:rPr>
          <w:color w:val="000000"/>
        </w:rPr>
        <w:t xml:space="preserve"> </w:t>
      </w:r>
      <w:r>
        <w:rPr>
          <w:rFonts w:ascii="Times New Roman;sans-serif" w:hAnsi="Times New Roman;sans-serif"/>
          <w:b w:val="false"/>
          <w:color w:val="000000"/>
          <w:sz w:val="20"/>
        </w:rPr>
        <w:t>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your option and would be at prescribed conversion rates.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under “Description of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extBody"/>
        <w:spacing w:lineRule="auto" w:line="288" w:before="0" w:after="180"/>
        <w:ind w:left="0" w:right="0" w:firstLine="360"/>
        <w:jc w:val="both"/>
        <w:rPr/>
      </w:pPr>
      <w:r>
        <w:rPr>
          <w:rFonts w:ascii="Times New Roman;sans-serif" w:hAnsi="Times New Roman;sans-serif"/>
          <w:b w:val="false"/>
          <w:i/>
          <w:color w:val="000000"/>
          <w:sz w:val="20"/>
        </w:rPr>
        <w:t>Warrants.</w:t>
      </w:r>
      <w:r>
        <w:rPr>
          <w:color w:val="000000"/>
        </w:rPr>
        <w:t xml:space="preserve"> </w:t>
      </w:r>
      <w:r>
        <w:rPr>
          <w:rFonts w:ascii="Times New Roman;sans-serif" w:hAnsi="Times New Roman;sans-serif"/>
          <w:b w:val="false"/>
          <w:color w:val="000000"/>
          <w:sz w:val="20"/>
        </w:rPr>
        <w:t>We may issue warrants for the purchase of common stock, preferred stock and/or debt securities in one or more series. We may issue warrants independently or in combination with common stock, preferred stock and/or debt securities. In this prospectus, we have summarized certain general features of the warrants under “Description of Warrants.” We urge you, however, to read the applicable prospectus supplement (and any related free writing prospectus that we may authorize to be provided to you) related to the particular series of warrants being offered, as well as any warrant agreements and warrant certificates that contain the terms of the warrants. 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warrants issued under this prospectus may be evidenced by warrant certificates. Warrants also may be issued under an applicable warrant agreement that we enter into with a warrant agent. We will indicate the name and address of the warrant agent, if applicable, in the prospectus supplement relating to the particular series of warrants being offered.</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Use of Proceeds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w:t>
      </w:r>
      <w:r>
        <w:br w:type="page"/>
      </w:r>
    </w:p>
    <w:p>
      <w:pPr>
        <w:pStyle w:val="TextBody"/>
        <w:spacing w:before="0" w:after="20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0"/>
        </w:rPr>
        <w:t>purposes. We will not receive any proceeds from the sale of securities by any selling securityholders.</w:t>
      </w:r>
      <w:r>
        <w:rPr>
          <w:color w:val="000000"/>
        </w:rPr>
        <w:t xml:space="preserve"> </w:t>
      </w:r>
      <w:r>
        <w:rPr>
          <w:rFonts w:ascii="Times New Roman;sans-serif" w:hAnsi="Times New Roman;sans-serif"/>
          <w:b w:val="false"/>
          <w:color w:val="000000"/>
          <w:sz w:val="20"/>
        </w:rPr>
        <w:t>See “Use of Proceeds” in this prospectus.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Nasdaq Global Market Listing</w:t>
      </w:r>
    </w:p>
    <w:p>
      <w:pPr>
        <w:pStyle w:val="TextBody"/>
        <w:spacing w:lineRule="auto" w:line="288" w:before="0" w:after="180"/>
        <w:ind w:left="0" w:right="0" w:firstLine="360"/>
        <w:jc w:val="both"/>
        <w:rPr/>
      </w:pPr>
      <w:r>
        <w:rPr>
          <w:rFonts w:ascii="Times New Roman;sans-serif" w:hAnsi="Times New Roman;sans-serif"/>
          <w:b w:val="false"/>
          <w:color w:val="000000"/>
          <w:sz w:val="20"/>
        </w:rPr>
        <w:t>Our common stock is listed on the Nasdaq Global Market</w:t>
      </w:r>
      <w:r>
        <w:rPr>
          <w:color w:val="000000"/>
        </w:rPr>
        <w:t xml:space="preserve"> </w:t>
      </w:r>
      <w:r>
        <w:rPr>
          <w:rFonts w:ascii="Times New Roman;sans-serif" w:hAnsi="Times New Roman;sans-serif"/>
          <w:b w:val="false"/>
          <w:color w:val="000000"/>
          <w:sz w:val="20"/>
        </w:rPr>
        <w:t>under the symbol “SIBN.” The applicable prospectus supplement will contain information, where applicable, as to other listings, if any, on the Nasdaq Global Market or other securities exchange of the securities covered by the applicable prospectus supplement.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entitled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entitled “Special Note Regarding Forward-Looking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prospectus and the documents we have filed with the SEC that are incorporated by reference contain “forward-looking statements” within the meaning of Section 27A of the Securities Act of 1933, as amended, or the Securities Act, and Section 21E of the Securities Exchange Act of 1934, or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continue to diversify our product mix, including identification of new opportunities and access the capital required to fund adequate new inventory of instruments and implants to address these opportunities;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expectation that a significant portion of our revenues will be derived from sales from a small family of products and a single family of procedures;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develop and commercialize additional revenue opportunities, including new indications for use and new devices;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retain and grow our sales team based on the demand for our products;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identify, train, and retain surgeons to perform procedures using our products;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obtain and maintain favorable coverage and reimbursement determinations from third-party payors;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estimates of our market opportunities;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expectations regarding the scope of protection from intellectual property rights covering our products;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developments or disputes concerning our intellectual property or other proprietary rights;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timing of and results from clinical and other trials;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marketing clearances and authorization from the FDA and regulators in other jurisdictions;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timing of regulatory filings and feedback;</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competition in the markets we serve;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expectations of the reliability and performance of our products;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expectations of the benefits to patients, providers, and payors of our products;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factors impacting the supply chains we rely on, including the availability of raw materials and skilled labor serving our suppliers, and the cost of these factors of production which may in turn impact the prices we pay for our devices;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reliance on a limited number of suppliers, including sole source suppliers, which may impact the availability of instruments and materials;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sustain or increase demand for our products;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estimates regarding our costs and risks associated with our international operations and expansion;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expectations regarding our ability to retain and recruit key personnel;</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attract and retain employees, including those with specialized skills and experience;</w:t>
      </w:r>
      <w:r>
        <w:br w:type="page"/>
      </w:r>
    </w:p>
    <w:p>
      <w:pPr>
        <w:pStyle w:val="TextBody"/>
        <w:spacing w:before="0" w:after="20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successfully manage the supply chain and operational challenges, as well as governmental responses or mandates, associated with a disease outbreak, including epidemics, pandemics or similar widespread public health concerns;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continuing impact of COVID-19 or other disease outbreaks on the demand for, and timing of, our procedures;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attract and retain a force of third party sales agents who sell our products in the U.S;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expectations regarding acquisitions and strategic operations;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access capital markets;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fund our working capital requirements;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compliance with, and the cost of, federal, state, and foreign regulatory requirements;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factors that may impact our financial results;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anticipated trends and challenges in our business and the markets in which we operate.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under the heading “Risk Factors” contained in the applicable prospectus supplement, in any free writing prospectuses we may authorize for use in connection with a specific offering, and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any applicable prospectus supplement,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USE OF PROCEEDS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which may include costs of funding future acquisitions or for any other purpose we describe in the applicable prospectus supplement.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not receive any proceeds from the sale of securities by any selling securityholder.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DESCRIPTION OF CAPITAL STOCK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authorized capital stock consists of 100,000,000 shares of common stock, $0.0001 par value per share, and 5,000,000 shares of preferred stock, $0.0001 par value per share. A description of material terms and provisions of our certificate of incorporation and bylaws affecting the rights of holders of our capital stock is set forth below. The description is intended as a summary, and is qualified in its entirety by reference to our certificate of incorporation and the bylaws.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Dividend Rights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Voting Rights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our common stock are entitled to one vote per share. Stockholders do not have the ability to cumulate votes for the election of directors. Our amended and restated certificate of incorporation and amended and restated bylaws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No Preemptive or Similar Rights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not entitled to preemptive rights and is not subject to conversion, redemption, or sinking fund provisions.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Right to Receive Liquidation Distributions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authorizes our board of directors,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of our company or other corporate action.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We will describe in the applicable prospectus supplement the terms of the series of preferred stock being offered, including, to the extent applicable: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title and stated value;</w:t>
      </w:r>
      <w:r>
        <w:br w:type="page"/>
      </w:r>
    </w:p>
    <w:p>
      <w:pPr>
        <w:pStyle w:val="TextBody"/>
        <w:spacing w:before="0" w:after="20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number of shares we are offering;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liquidation preference per share;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purchase price;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dividend rate, period and payment date and method of calculation for dividends;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whether dividends will be cumulative or non-cumulative and, if cumulative, the date from which dividends will accumulate;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procedures for any auction and remarketing, if applicable;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provisions for a sinking fund, if applicable;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provisions for redemption or repurchase, if applicable, and any restrictions on our ability to exercise those redemption and repurchase rights;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any listing of the preferred stock on any securities exchange or market;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whether the preferred stock will be convertible into our common stock, and, if applicable, the conversion price, or how it will be calculated, and the conversion period;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whether the preferred stock will be exchangeable into debt securities, and, if applicable, the exchange price, or how it will be calculated, and the exchange period;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voting rights of the preferred stock;</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preemptive rights, if any;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restrictions on transfer, sale or other assignment;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whether interests in the preferred stock will be represented by depositary shares;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discussion of material United States federal income tax considerations applicable to the preferred stock;</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relative ranking and preferences of the preferred stock as to dividend rights and rights if we liquidate, dissolve or wind up our affairs;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any limitations on the issuance of any class or series of preferred stock ranking senior to or on a parity with the series of preferred stock as to dividend rights and rights if we liquidate, dissolve or wind up our affairs;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any other specific terms, preferences, rights or limitations of, or restrictions on, the preferred stock.</w:t>
      </w:r>
    </w:p>
    <w:p>
      <w:pPr>
        <w:pStyle w:val="TextBody"/>
        <w:spacing w:lineRule="auto" w:line="288" w:before="0" w:after="180"/>
        <w:jc w:val="both"/>
        <w:rPr/>
      </w:pPr>
      <w:r>
        <w:rPr>
          <w:color w:val="000000"/>
        </w:rPr>
        <w:t> </w:t>
      </w:r>
      <w:r>
        <w:rPr>
          <w:rFonts w:ascii="Times New Roman;sans-serif" w:hAnsi="Times New Roman;sans-serif"/>
          <w:b/>
          <w:color w:val="000000"/>
          <w:sz w:val="20"/>
        </w:rPr>
        <w:t>Anti-takeover Effects of Provisions of our Certificate of Incorporation and Bylaws and Delaware Law</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Delaware Law</w:t>
      </w:r>
    </w:p>
    <w:p>
      <w:pPr>
        <w:pStyle w:val="TextBody"/>
        <w:spacing w:lineRule="auto" w:line="288" w:before="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transaction is approved by the board of directors prior to the time that the interested stockholder became an interested stockholder;</w:t>
      </w:r>
      <w:r>
        <w:br w:type="page"/>
      </w:r>
    </w:p>
    <w:p>
      <w:pPr>
        <w:pStyle w:val="TextBody"/>
        <w:spacing w:before="0" w:after="20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222222"/>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w:t>
      </w:r>
      <w:r>
        <w:rPr>
          <w:rFonts w:ascii="Times New Roman;sans-serif" w:hAnsi="Times New Roman;sans-serif"/>
          <w:b w:val="false"/>
          <w:color w:val="000000"/>
          <w:sz w:val="20"/>
        </w:rPr>
        <w:t>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pStyle w:val="TextBody"/>
        <w:spacing w:lineRule="auto" w:line="288" w:before="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Certificate of Incorporation and Bylaws Provisions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our amended and restated bylaws include a number of provisions that may have the effect of deterring hostile takeovers or delaying or preventing changes in control of our management team, including the following:</w:t>
      </w:r>
    </w:p>
    <w:p>
      <w:pPr>
        <w:pStyle w:val="TextBody"/>
        <w:spacing w:lineRule="auto" w:line="288" w:before="0" w:after="180"/>
        <w:ind w:left="0" w:right="0" w:hanging="360"/>
        <w:jc w:val="both"/>
        <w:rPr/>
      </w:pPr>
      <w:r>
        <w:rPr>
          <w:color w:val="000000"/>
        </w:rPr>
        <w:t>•</w:t>
      </w:r>
      <w:r>
        <w:rPr>
          <w:rFonts w:ascii="Times New Roman;sans-serif" w:hAnsi="Times New Roman;sans-serif"/>
          <w:b w:val="false"/>
          <w:i/>
          <w:color w:val="000000"/>
          <w:sz w:val="20"/>
        </w:rPr>
        <w:t>Board of Directors Vacancies</w:t>
      </w:r>
      <w:r>
        <w:rPr>
          <w:rFonts w:ascii="Times New Roman;sans-serif" w:hAnsi="Times New Roman;sans-serif"/>
          <w:b w:val="false"/>
          <w:color w:val="000000"/>
          <w:sz w:val="20"/>
        </w:rPr>
        <w:t>. Our amended and restated certificate of incorporation and amended and restated bylaws authorize our board of directors to fill vacant directorships, including newly-created seats. In addition, the number of directors constituting our board of directors is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pStyle w:val="TextBody"/>
        <w:spacing w:lineRule="auto" w:line="288" w:before="0" w:after="180"/>
        <w:ind w:left="0" w:right="0" w:hanging="360"/>
        <w:jc w:val="both"/>
        <w:rPr/>
      </w:pPr>
      <w:r>
        <w:rPr>
          <w:color w:val="000000"/>
        </w:rPr>
        <w:t>•</w:t>
      </w:r>
      <w:r>
        <w:rPr>
          <w:rFonts w:ascii="Times New Roman;sans-serif" w:hAnsi="Times New Roman;sans-serif"/>
          <w:b w:val="false"/>
          <w:i/>
          <w:color w:val="000000"/>
          <w:sz w:val="20"/>
        </w:rPr>
        <w:t>Classified Board</w:t>
      </w:r>
      <w:r>
        <w:rPr>
          <w:rFonts w:ascii="Times New Roman;sans-serif" w:hAnsi="Times New Roman;sans-serif"/>
          <w:b w:val="false"/>
          <w:color w:val="000000"/>
          <w:sz w:val="20"/>
        </w:rPr>
        <w:t>. Our amended and restated certificate of incorporation and amended and restated bylaws provide that our board of directors is classified into three classes of directors, each of whom will hold office for a three-year term. In addition, directors may only be removed from the board of directors for cause and only by the approval of a majority of our then-outstanding shares of our common stock. The existence of a classified board could delay a successful tender offeror from obtaining majority control of our board of directors, and the prospect of that delay might deter a potential offeror.</w:t>
      </w:r>
    </w:p>
    <w:p>
      <w:pPr>
        <w:pStyle w:val="TextBody"/>
        <w:spacing w:lineRule="auto" w:line="288" w:before="0" w:after="180"/>
        <w:ind w:left="0" w:right="0" w:hanging="360"/>
        <w:jc w:val="both"/>
        <w:rPr/>
      </w:pPr>
      <w:r>
        <w:rPr>
          <w:color w:val="000000"/>
        </w:rPr>
        <w:t>•</w:t>
      </w:r>
      <w:r>
        <w:rPr>
          <w:rFonts w:ascii="Times New Roman;sans-serif" w:hAnsi="Times New Roman;sans-serif"/>
          <w:b w:val="false"/>
          <w:i/>
          <w:color w:val="000000"/>
          <w:sz w:val="20"/>
        </w:rPr>
        <w:t>Stockholder Action; Special Meeting of Stockholders</w:t>
      </w:r>
      <w:r>
        <w:rPr>
          <w:rFonts w:ascii="Times New Roman;sans-serif" w:hAnsi="Times New Roman;sans-serif"/>
          <w:b w:val="false"/>
          <w:color w:val="000000"/>
          <w:sz w:val="20"/>
        </w:rPr>
        <w:t>. Our amended and restated certificate of incorporation provides that stockholders are not able to take action by written consent, and are only be able to take action at annual or special meetings of our stockholders. Stockholders are not be permitted to cumulate their votes for the election of directors. Our amended and restated bylaws further provide that special meetings of our stockholders may be called only by a majority vote of our entire board of directors, the chairman of our board of directors, or our chief executive officer.</w:t>
      </w:r>
    </w:p>
    <w:p>
      <w:pPr>
        <w:pStyle w:val="TextBody"/>
        <w:spacing w:lineRule="auto" w:line="288" w:before="0" w:after="180"/>
        <w:ind w:left="0" w:right="0" w:hanging="360"/>
        <w:jc w:val="both"/>
        <w:rPr/>
      </w:pPr>
      <w:r>
        <w:rPr>
          <w:color w:val="000000"/>
        </w:rPr>
        <w:t>•</w:t>
      </w:r>
      <w:r>
        <w:rPr>
          <w:rFonts w:ascii="Times New Roman;sans-serif" w:hAnsi="Times New Roman;sans-serif"/>
          <w:b w:val="false"/>
          <w:i/>
          <w:color w:val="000000"/>
          <w:sz w:val="20"/>
        </w:rPr>
        <w:t>Advance Notice Requirements for Stockholder Proposals and Director Nominations</w:t>
      </w:r>
      <w:r>
        <w:rPr>
          <w:rFonts w:ascii="Times New Roman;sans-serif" w:hAnsi="Times New Roman;sans-serif"/>
          <w:b w:val="false"/>
          <w:color w:val="000000"/>
          <w:sz w:val="20"/>
        </w:rPr>
        <w:t>. Our amended and restated bylaws provide advance notice procedures for stockholders seeking to bring business before our annual meeting of stockholders, or to nominate candidates for election as directors at any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pStyle w:val="TextBody"/>
        <w:spacing w:lineRule="auto" w:line="288" w:before="0" w:after="180"/>
        <w:ind w:left="0" w:right="0" w:hanging="360"/>
        <w:jc w:val="both"/>
        <w:rPr/>
      </w:pPr>
      <w:r>
        <w:rPr>
          <w:color w:val="000000"/>
        </w:rPr>
        <w:t>•</w:t>
      </w:r>
      <w:r>
        <w:rPr>
          <w:rFonts w:ascii="Times New Roman;sans-serif" w:hAnsi="Times New Roman;sans-serif"/>
          <w:b w:val="false"/>
          <w:i/>
          <w:color w:val="000000"/>
          <w:sz w:val="20"/>
        </w:rPr>
        <w:t>Issuance of Undesignated Preferred Stock</w:t>
      </w:r>
      <w:r>
        <w:rPr>
          <w:rFonts w:ascii="Times New Roman;sans-serif" w:hAnsi="Times New Roman;sans-serif"/>
          <w:b w:val="false"/>
          <w:color w:val="000000"/>
          <w:sz w:val="20"/>
        </w:rPr>
        <w:t xml:space="preserve">. Our board of directors have the authority, without further action by the holders of common stock, to issue up to 5,000,000 shares of undesignated preferred stock with rights and preferences, including voting rights, designated from time to time by the board of directors. The </w:t>
      </w:r>
      <w:r>
        <w:br w:type="page"/>
      </w:r>
    </w:p>
    <w:p>
      <w:pPr>
        <w:pStyle w:val="TextBody"/>
        <w:spacing w:before="0" w:after="20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existence of authorized but unissued shares of preferred stock enable our board of directors to render more difficult or to discourage an attempt to obtain control of us by means of a merger, tender offer, proxy contest, or otherwise.</w:t>
      </w:r>
    </w:p>
    <w:p>
      <w:pPr>
        <w:pStyle w:val="TextBody"/>
        <w:spacing w:lineRule="auto" w:line="288" w:before="0" w:after="180"/>
        <w:jc w:val="both"/>
        <w:rPr/>
      </w:pPr>
      <w:r>
        <w:rPr>
          <w:color w:val="000000"/>
        </w:rPr>
        <w:t> </w:t>
      </w:r>
      <w:r>
        <w:rPr>
          <w:rFonts w:ascii="Times New Roman;sans-serif" w:hAnsi="Times New Roman;sans-serif"/>
          <w:b/>
          <w:color w:val="000000"/>
          <w:sz w:val="20"/>
        </w:rPr>
        <w:t>Choice of Forum</w:t>
      </w:r>
    </w:p>
    <w:p>
      <w:pPr>
        <w:pStyle w:val="TextBody"/>
        <w:spacing w:lineRule="auto" w:line="288" w:before="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the Court of Chancery of the State of Delaware is the exclusive forum for any derivative action or proceeding brought on our behalf; any action asserting a breach of fiduciary duty by any director, officer, or other employee to us or our stockholders; any action asserting a claim against us arising pursuant to the Delaware General Corporation Law, our amended and restated certificate of incorporation or our amended and restated bylaws, or any action asserting a claim against us or any director or officer or other employee that is governed by the internal affairs doctrine. The provision does not apply to suits brought to enforce a duty or liability created by the Exchange Act.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further provides that the federal district courts of the United States of America is be the exclusive forum for resolving any complaint asserting a cause of action arising under the Securities Act. We do not currently intend to enforce the federal forum selection provision unless a recent Delaware Chancery Court decision invalidating such a clause is appealed and the Delaware Supreme Court reverses the decision.</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Listing on the Nasdaq Global Market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Global Market the symbol “SIBN.” The applicable prospectus supplement will contain information, where applicable, as to any other listing, if any, on the Nasdaq Global Market or any securities market or other exchange of the preferred stock covered by such prospectus supplement.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DESCRIPTION OF DEBT SECURITIES </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issue the debt securities under the indenture that we will enter into with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describe in the applicable prospectus supplement the terms of the series of debt securities being offered, including: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the title of the series of debt securities;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any limit upon the aggregate principal amount that may be issued;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the maturity date or dates;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form of the debt securities of the series;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applicability of any guarantees;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whether or not the debt securities will be secured or unsecured, and the terms of any secured debt;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whether the debt securities rank as senior debt, senior subordinated debt, subordinated debt or any combination thereof, and the terms of any subordination;</w:t>
      </w:r>
      <w:r>
        <w:br w:type="page"/>
      </w:r>
    </w:p>
    <w:p>
      <w:pPr>
        <w:pStyle w:val="TextBody"/>
        <w:spacing w:before="0" w:after="200"/>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right, if any, to defer payment of interest and the maximum length of any such deferral period;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denominations in which we will issue the series of debt securities, if other than denominations of $1,000 and any integral multiple thereof;</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whether the debt securities of the series shall be issued in whole or in part in the form of a global security or securities;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terms and conditions, if any, upon which such global security or securities may be exchanged in whole or in part for other individual securities, and the depositary for such global security or securities;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if other than the full principal amount thereof, the portion of the principal amount of debt securities of the series which shall be payable upon declaration of acceleration of the maturity thereof;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additions to or changes in the covenants applicable to the particular debt securities being issued, including, among others, the consolidation, merger or sale covenant;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additions to or changes in or deletions of the provisions relating to covenant defeasance and legal defeasance;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additions to or changes in the provisions relating to satisfaction and discharge of the indenture;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additions to or changes in the provisions relating to the modification of the indenture both with and without the consent of holders of debt securities issued under the indenture;</w:t>
      </w:r>
      <w:r>
        <w:br w:type="page"/>
      </w:r>
    </w:p>
    <w:p>
      <w:pPr>
        <w:pStyle w:val="TextBody"/>
        <w:spacing w:before="0" w:after="200"/>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currency of payment of debt securities if other than U.S. dollars and the manner of determining the equivalent amount in U.S. dollars;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whether interest will be payable in cash or additional debt securities at our or the holders’ option and the terms and conditions upon which the election may be made;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terms and conditions, if any, upon which we will pay amounts in addition to the stated interest, premium, if any and principal amounts of the debt securities of the series to any holder that is not a “United States person” for federal tax purposes;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any restrictions on transfer, sale or assignment of the debt securities of the series;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Conversion or Exchange Rights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Consolidation, Merger or Sale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Events of Default under the Indenture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we provide otherwise in the prospectus supplement applicable to a particular series of debt securities, the following are events of default under the indenture with respect to any series of debt securities that we may issue: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if specified events of bankruptcy, insolvency or reorganization occur.</w:t>
      </w:r>
      <w:r>
        <w:br w:type="page"/>
      </w:r>
    </w:p>
    <w:p>
      <w:pPr>
        <w:pStyle w:val="TextBody"/>
        <w:spacing w:before="0" w:after="20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direction so given by the holder is not in conflict with any law or the applicable indenture;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subject to its duties under the Trust Indenture Act, the trustee need not take any action that might involve it in personal liability or might be unduly prejudicial to the holders not involved in the proceeding.</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holder of the debt securities of any series will have the right to institute a proceeding under the indenture or to appoint a receiver or trustee, or to seek other remedies only if:</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holder has given written notice to the trustee of a continuing event of default with respect to that series;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holders of at least 25% in aggregate principal amount of the outstanding debt securities of that series have made written request,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such holders have offered to the trustee indemnity satisfactory to it against the costs, expenses and liabilities to be incurred by the trustee in compliance with the request;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These limitations do not apply to a suit instituted by a holder of debt securities if we default in the payment of the principal, premium, if any, or interest on, the debt securities.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periodically file statements with the trustee regarding our compliance with specified covenants in the indenture.</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Modification of Indenture; Waiver</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and the trustee may change an indenture without the consent of any holders with respect to specific matters: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to cure any ambiguity, defect or inconsistency in the indenture or in the debt securities of any series;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to comply with the provisions described above under “Description of Debt Securities-Consolidation, Merger or Sale;”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to provide for uncertificated debt securities in addition to or in place of certificated debt securities;</w:t>
      </w:r>
      <w:r>
        <w:br w:type="page"/>
      </w:r>
    </w:p>
    <w:p>
      <w:pPr>
        <w:pStyle w:val="TextBody"/>
        <w:spacing w:before="0" w:after="200"/>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to add to, delete from or revise the conditions, limitations, and restrictions on the authorized amount, terms, or purposes of issue, authentication and delivery of debt securities, as set forth in the indenture;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to make any change that does not adversely affect the interests of any holder of debt securities of any series in any material respect;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to evidence and provide for the acceptance of appointment under any indenture by a successor trustee; 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to comply with any requirements of the SEC in connection with the qualification of any indenture under the Trust Indenture Act.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extending the fixed maturity of any debt securities of any series;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reducing the principal amount, reducing the rate of or extending the time of payment of interest, or reducing any premium payable upon the redemption of any series of any debt securities; 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reducing the percentage of debt securities, the holders of which are required to consent to any amendment, supplement, modification or waiver.</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Discharge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indenture provides that we can elect to be discharged from our obligations with respect to one or more series of debt securities, except for specified obligations, including obligations to:</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provide for payment;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register the transfer or exchange of debt securities of the series;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replace stolen, lost or mutilated debt securities of the series;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pay principal of and premium and interest on any debt securities of the series;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maintain paying agencies;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hold monies for payment in trust;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recover excess money held by the trustee;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compensate and indemnify the trustee;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appoint any successor trustee.</w:t>
      </w:r>
      <w:r>
        <w:br w:type="page"/>
      </w:r>
    </w:p>
    <w:p>
      <w:pPr>
        <w:pStyle w:val="TextBody"/>
        <w:spacing w:before="0" w:after="20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exercise our rights to be discharged, we must deposit with the trustee money or government obligations sufficient to pay all the principal of, any premium, if any, and interest on, the debt securities of the series on the dates payments are due.</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Form, Exchange and Transfer</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 entry securities will be set forth in the applicable prospectus supplement.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we elect to redeem the debt securities of any series, we will not be required to:</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register the transfer of or exchange any debt securities so selected for redemption, in whole or in part, except the unredeemed portion of any debt securities we are redeeming in part.</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Information Concerning the Trustee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Payment and Paying Agents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r>
        <w:br w:type="page"/>
      </w:r>
    </w:p>
    <w:p>
      <w:pPr>
        <w:pStyle w:val="TextBody"/>
        <w:spacing w:before="0" w:after="20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Governing Law</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and the debt securities will be governed by and construed in accordance with the internal laws of the State of New York, except to the extent that the Trust Indenture Act of 1939 is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DESCRIPTION OF WARRANTS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description, together with the additional information we may include in any applicable prospectus supplements and in any related free writing prospectuses that we may authorize to be distributed to you, summarizes the material terms and provisions of the warrants that we may offer under this prospectus, which may consist of warrants to purchase common stock, preferred stock or debt securities and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describe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prospectuses, and the complete form of warrant and/or the warrant agreement and warrant certificate, as applicable, and any supplemental agreements, that contain the terms of the warrants.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will describe in the applicable prospectus supplement the terms of the series of warrants being offered, including: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offering price and aggregate number of warrants offered;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currency for which the warrants may be purchased;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applicable, the designation and terms of the securities with which the warrants are issued and the number of warrants issued with each such security or each principal amount of such security;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 the case of warrants to purchase debt securities, the principal amount of debt securities purchasable upon exercise of one warrant and the price at, and currency in which, this principal amount of debt securities may be purchased upon such exercise;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effect of any merger, consolidation, sale or other disposition of our business on the warrant agreements and the warrants;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terms of any rights to redeem or call the warrants;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any provisions for changes to or adjustments in the exercise price or number of securities issuable upon exercise of the warrants;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dates on which the right to exercise the warrants will commence and expire;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manner in which the warrant agreements and warrants may be modified;</w:t>
      </w:r>
      <w:r>
        <w:br w:type="page"/>
      </w:r>
    </w:p>
    <w:p>
      <w:pPr>
        <w:pStyle w:val="TextBody"/>
        <w:spacing w:before="0" w:after="200"/>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discussion of any material or special U.S. federal income tax considerations of holding or exercising the warrants;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terms of the securities issuable upon exercise of the warrants;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any other specific terms, preferences, rights or limitations of or restrictions on the warrants.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Before exercising their warrants, holders of warrants will not have any of the rights of holders of the securities purchasable upon such exercise, including: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 the case of warrants to purchase debt securities, the right to receive payments of principal of, or premium, if any, or interest on, the debt securities purchasable upon exercise or to enforce covenants in the applicable indenture; 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 the case of warrants to purchase common stock or preferred stock, the right to receive dividends, if any, or, payments upon our liquidation, dissolution or winding up or to exercise voting rights, if any.</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Exercise of Warrants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Governing Law</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we otherwise specify in the applicable prospectus supplement, the warrants and any warrant agreements will be governed by and construed in accordance with the laws of the State of New York.</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Enforceability of Rights by Holders of Warrants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LEGAL OWNERSHIP OF SECURITIES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Book-Entry Holders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Street Name Holders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Legal Holders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w:t>
      </w:r>
      <w:r>
        <w:br w:type="page"/>
      </w:r>
    </w:p>
    <w:p>
      <w:pPr>
        <w:pStyle w:val="TextBody"/>
        <w:spacing w:before="0" w:after="200"/>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Special Considerations For Indirect Holders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you hold securities through a bank, broker or other financial institution, either in book-entry form or in street name, you should check with your own institution to find out: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how it handles securities payments and notices;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whether it imposes fees or charges;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how it would handle a request for the holders’ consent, if ever required;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whether and how you can instruct it to send you securities registered in your own name so you can be a holder, if that is permitted in the future;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how it would exercise rights under the securities if there were a default or other event triggering the need for holders to act to protect their interests;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if the securities are in book-entry form, how the depositary’s rules and procedures will affect these matters.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Global Securities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global security is a security that represents one or any other number of individual securities held by a depositary. Generally, all securities represented by the same global securities will have the same terms.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global security may not be transferred to or registered in the name of anyone other than the depositary, its nominee or a successor depositary, unless special termination situations arise. We describe those situations below under the section entitled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Special Considerations For Global Securities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rights of an indirect holder relating to a global security will be governed by the account rules of the investor’s financial institution and of the depositary, as well as general laws relating to securities transfers. We do </w:t>
      </w:r>
      <w:r>
        <w:br w:type="page"/>
      </w:r>
    </w:p>
    <w:p>
      <w:pPr>
        <w:pStyle w:val="TextBody"/>
        <w:spacing w:before="0" w:after="200"/>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not recognize an indirect holder as a holder of securities and instead deal only with the depositary that holds the global security.</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securities are issued only in the form of a global security, an investor should be aware of the following: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 investor cannot cause the securities to be registered in his or her name, and cannot obtain non-global certificates for his or her interest in the securities, except in the special situations we describe below;</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 investor will be an indirect holder and must look to his or her own bank or broker for payments on the securities and protection of his or her legal rights relating to the securities, as we describe above;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 investor may not be able to sell interests in the securities to some insurance companies and to other institutions that are required by law to own their securities in non-book-entry form;</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 investor may not be able to pledge his or her interest in a global security in circumstances where certificates representing the securities must be delivered to the lender or other beneficiary of the pledge in order for the pledge to be effective;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depositary’s policies, which may change from time to time, will govern payments, transfers, exchanges and other matters relating to an investor’s interest in a global security;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and any applicable trustee have no responsibility for any aspect of the depositary’s actions or for its records of ownership interests in a global security, nor do we or any applicable trustee supervise the depositary in any way;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depositary may, and we understand that DTC will, require that those who purchase and sell interests in a global security within its book-entry system use immediately available funds, and your broker or bank may require you to do so as well;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financial institutions that participate in the depositary’s book-entry system, and through which an investor holds its interest in a global security, may also have their own policies affecting payments, notices and other matters relating to the securities.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may be more than one financial intermediary in the chain of ownership for an investor. We do not monitor and are not responsible for the actions of any of those intermediaries.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Special Situations When a Global Security Will Be Terminated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we provide otherwise in the applicable prospectus supplement, the global security will terminate when the following special situations occur: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the depositary notifies us that it is unwilling, unable or no longer qualified to continue as depositary for that global security and we do not appoint another institution to act as depositary within 90 days;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if we notify any applicable trustee that we wish to terminate that global security; 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if an event of default has occurred with regard to securities represented by that global security and has not been cured or waived.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applicable prospectus supplement may also list additional situations for terminating a global security that would apply only to the particular series of securities covered by the applicable prospectus supplement. When a </w:t>
      </w:r>
      <w:r>
        <w:br w:type="page"/>
      </w:r>
    </w:p>
    <w:p>
      <w:pPr>
        <w:pStyle w:val="TextBody"/>
        <w:spacing w:before="0" w:after="200"/>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global security terminates, the depositary, and not we or any applicable trustee, is responsible for deciding the names of the institutions that will be the initial direct holders.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SELLING SECURITYHOLDERS</w:t>
      </w:r>
    </w:p>
    <w:p>
      <w:pPr>
        <w:pStyle w:val="TextBody"/>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Selling securityholders are persons or entities that, directly or indirectly, have acquired or will acquire from time to time, our securities. If the registration statement of which this prospectus forms a part is used by selling securityholders for the resale of any securities, information about such selling securityholders, their beneficial ownership of our securities and their relationship with us will be set forth in a prospectus supplement.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PLAN OF DISTRIBUTION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or the selling securityholders may sell the securities from time to time pursuant to underwritten public offerings, direct sales to the public, negotiated transactions, block trades or a combination of these methods. We or the selling securityholders may sell the securities to or through underwriters or dealers, through agents, or directly to one or more purchasers. We or the selling securityholders may distribute securities from time to time in one or more transactions: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at a fixed price or prices, which may be changed;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at market prices prevailing at the time of sale;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at prices related to such prevailing market prices; 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at negotiated prices.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prospectus supplement or supplements (and any related free writing prospectus that we may authorize to be provided to you) will describe the terms of the offering of the securities, including, to the extent applicable: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name or names of the underwriters, if any;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purchase price of the securities or other consideration therefor, and the proceeds, if any, we will receive from the sale;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any over-allotment options under which underwriters may purchase additional securities from us;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any agency fees or underwriting discounts and other items constituting agents’ or underwriters’ compensation;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any public offering price;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any discounts or concessions allowed or reallowed or paid to dealers;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any securities exchange or market on which the securities may be listed.</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Only underwriters named in the prospectus supplement will be underwriters of the securities offered by the prospectus supplement.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the selling securityholders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or the selling securityholders may use underwriters with whom we have a material relationship. We will describe in the prospectus supplement, naming the underwriter, the nature of any such relationship.</w:t>
      </w:r>
      <w:r>
        <w:br w:type="page"/>
      </w:r>
    </w:p>
    <w:p>
      <w:pPr>
        <w:pStyle w:val="TextBody"/>
        <w:spacing w:before="0" w:after="200"/>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or the selling securityholders may sell securities directly or through agents we designate from time to time. We will name any agent involved in the offering and sale of securities and we will describe any commissions we or the selling securityholders will pay the agent in the prospectus supplement. Unless the prospectus supplement states otherwise, our or the selling securityholders’ agent will act on a best-efforts basis for the period of its appointment.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or the selling securityholders may authorize agents or underwriters to solicit offers by certain types of institutional investors to purchase securities from us or the selling securityholders at the public offering price set forth in the prospectus supplement pursuant to delayed delivery contracts providing for payment and delivery on a specified date in the future. We will describe the conditions to these contracts and the commissions we or the selling securityholders must pay for solicitation of these contracts in the prospectus supplement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or the selling securityholders may provide agents and underwriters with indemnification against civil liabilities, including liabilities under the Securities Act, or contribution with respect to payments that the agents or underwriters may make with respect to these liabilities. Agents and underwriters may engage in transactions with, or perform services for, us or the selling securityholders in the ordinary course of business.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we or the selling securityholders may offer, other than common stock, may be new issues and may have no established trading market. Any underwriters may make a market in these securities, but will not be obligated to do so and may discontinue any market making at any time without notice. We cannot guarantee the liquidity of the trading markets for any securities.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underwriters or agents that are qualified market makers on the Nasdaq Global Market may engage in passive market making transactions in the common stock on the Nasdaq Global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compliance with guidelines of the Financial Industry Regulatory Authority, or FINRA, the maximum consideration or discount to be received by any FINRA member or independent broker dealer may not exceed 8% of the aggregate amount of the securities offered pursuant to this prospectus and any applicable prospectus supplement.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Cooley LLP will pass upon the validity of the securities offered by this prospectus, and any supplement thereto, unless otherwise indicated in the applicable prospectus supplement. Additional legal matters may be passed upon for us or any underwriters, dealers or agents, by counsel that we will name in the applicable prospectus supplement.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EXPERTS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statements incorporated in this Prospectus by reference to the Annual Report on Form 10-K for the year ended December 31, 2022, have been so incorporated in reliance on the report of PricewaterhouseCoopers </w:t>
      </w:r>
      <w:r>
        <w:br w:type="page"/>
      </w:r>
    </w:p>
    <w:p>
      <w:pPr>
        <w:pStyle w:val="TextBody"/>
        <w:spacing w:before="0" w:after="200"/>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LLP, an independent registered public accounting firm, given on the authority of said firm as experts in auditing and accounting.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WHERE YOU CAN FIND ADDITIONAL INFORMATION</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Times New Roman;sans-serif" w:hAnsi="Times New Roman;sans-serif"/>
          <w:b w:val="false"/>
          <w:color w:val="0000FF"/>
          <w:sz w:val="20"/>
          <w:u w:val="single"/>
        </w:rPr>
        <w:t>www.sec.gov</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INCORPORATION OF CERTAIN INFORMATION BY REFERENCE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001-38701)):</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w:t>
      </w:r>
      <w:hyperlink r:id="rId10">
        <w:r>
          <w:rPr>
            <w:rStyle w:val="InternetLink"/>
            <w:rFonts w:ascii="Times New Roman;sans-serif" w:hAnsi="Times New Roman;sans-serif"/>
            <w:b w:val="false"/>
            <w:color w:val="0000FF"/>
            <w:sz w:val="20"/>
            <w:u w:val="single"/>
          </w:rPr>
          <w:t>Annual Report on Form 10-K, for the year ended December 31, 2022</w:t>
        </w:r>
      </w:hyperlink>
      <w:r>
        <w:rPr>
          <w:rFonts w:ascii="Times New Roman;sans-serif" w:hAnsi="Times New Roman;sans-serif"/>
          <w:b w:val="false"/>
          <w:color w:val="000000"/>
          <w:sz w:val="20"/>
        </w:rPr>
        <w:t xml:space="preserve">, filed with the SEC on March 2, 2023;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w:t>
      </w:r>
      <w:hyperlink r:id="rId11">
        <w:r>
          <w:rPr>
            <w:rStyle w:val="InternetLink"/>
            <w:rFonts w:ascii="Times New Roman;sans-serif" w:hAnsi="Times New Roman;sans-serif"/>
            <w:b w:val="false"/>
            <w:color w:val="0000FF"/>
            <w:sz w:val="20"/>
            <w:u w:val="single"/>
          </w:rPr>
          <w:t>Quarterly Report on Form 10-Q</w:t>
        </w:r>
      </w:hyperlink>
      <w:r>
        <w:rPr>
          <w:color w:val="000000"/>
        </w:rPr>
        <w:t xml:space="preserve"> </w:t>
      </w:r>
      <w:r>
        <w:rPr>
          <w:rFonts w:ascii="Times New Roman;sans-serif" w:hAnsi="Times New Roman;sans-serif"/>
          <w:b w:val="false"/>
          <w:color w:val="000000"/>
          <w:sz w:val="20"/>
        </w:rPr>
        <w:t>filed with the SEC on May 2, 2023;</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Current Report on Form 8-K filed with the SEC on </w:t>
      </w:r>
      <w:hyperlink r:id="rId12">
        <w:r>
          <w:rPr>
            <w:rStyle w:val="InternetLink"/>
            <w:rFonts w:ascii="Times New Roman;sans-serif" w:hAnsi="Times New Roman;sans-serif"/>
            <w:b w:val="false"/>
            <w:color w:val="0000FF"/>
            <w:sz w:val="20"/>
            <w:u w:val="single"/>
          </w:rPr>
          <w:t>January 9, 2023</w:t>
        </w:r>
      </w:hyperlink>
      <w:r>
        <w:rPr>
          <w:color w:val="000000"/>
        </w:rPr>
        <w:t xml:space="preserve"> </w:t>
      </w:r>
      <w:r>
        <w:rPr>
          <w:rFonts w:ascii="Times New Roman;sans-serif" w:hAnsi="Times New Roman;sans-serif"/>
          <w:b w:val="false"/>
          <w:color w:val="000000"/>
          <w:sz w:val="20"/>
        </w:rPr>
        <w:t>(other than Item 2.02, Item 7.01 and related exhibits);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Our </w:t>
      </w:r>
      <w:hyperlink r:id="rId13">
        <w:r>
          <w:rPr>
            <w:rStyle w:val="InternetLink"/>
            <w:rFonts w:ascii="Times New Roman;sans-serif" w:hAnsi="Times New Roman;sans-serif"/>
            <w:b w:val="false"/>
            <w:color w:val="0000FF"/>
            <w:sz w:val="20"/>
            <w:u w:val="single"/>
          </w:rPr>
          <w:t>Definitive Proxy Statement on Schedule 14A</w:t>
        </w:r>
      </w:hyperlink>
      <w:r>
        <w:rPr>
          <w:rFonts w:ascii="Times New Roman;sans-serif" w:hAnsi="Times New Roman;sans-serif"/>
          <w:b w:val="false"/>
          <w:color w:val="000000"/>
          <w:sz w:val="20"/>
        </w:rPr>
        <w:t>, filed with the SEC on April 21, 2023 (but only with respect to information required by Part III of our Annual Report on Form 10-K for the year ended December 31, 2022);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description of our common stock set forth in our registration statement on </w:t>
      </w:r>
      <w:hyperlink r:id="rId14">
        <w:r>
          <w:rPr>
            <w:rStyle w:val="InternetLink"/>
            <w:rFonts w:ascii="Times New Roman;sans-serif" w:hAnsi="Times New Roman;sans-serif"/>
            <w:b w:val="false"/>
            <w:color w:val="0000FF"/>
            <w:sz w:val="20"/>
            <w:u w:val="single"/>
          </w:rPr>
          <w:t>Form 8-A, filed with the SEC on October 11, 2018</w:t>
        </w:r>
      </w:hyperlink>
      <w:r>
        <w:rPr>
          <w:rFonts w:ascii="Times New Roman;sans-serif" w:hAnsi="Times New Roman;sans-serif"/>
          <w:b w:val="false"/>
          <w:color w:val="000000"/>
          <w:sz w:val="20"/>
        </w:rPr>
        <w:t xml:space="preserve">, including any amendment or report filed for the purpose of updating such description, including </w:t>
      </w:r>
      <w:hyperlink r:id="rId15">
        <w:r>
          <w:rPr>
            <w:rStyle w:val="InternetLink"/>
            <w:rFonts w:ascii="Times New Roman;sans-serif" w:hAnsi="Times New Roman;sans-serif"/>
            <w:b w:val="false"/>
            <w:color w:val="0000FF"/>
            <w:sz w:val="20"/>
            <w:u w:val="single"/>
          </w:rPr>
          <w:t>Exhibit 4.3</w:t>
        </w:r>
      </w:hyperlink>
      <w:r>
        <w:rPr>
          <w:color w:val="000000"/>
        </w:rPr>
        <w:t xml:space="preserve"> </w:t>
      </w:r>
      <w:r>
        <w:rPr>
          <w:rFonts w:ascii="Times New Roman;sans-serif" w:hAnsi="Times New Roman;sans-serif"/>
          <w:b w:val="false"/>
          <w:color w:val="000000"/>
          <w:sz w:val="20"/>
        </w:rPr>
        <w:t>to our Quarterly Report on Form 10-Q for the quarter ended March 31, 2020 filed with the SEC on May 5, 2020.</w:t>
      </w:r>
    </w:p>
    <w:p>
      <w:pPr>
        <w:pStyle w:val="TextBody"/>
        <w:spacing w:lineRule="auto" w:line="288" w:before="0" w:after="180"/>
        <w:ind w:left="0" w:right="0" w:firstLine="450"/>
        <w:jc w:val="both"/>
        <w:rPr/>
      </w:pPr>
      <w:r>
        <w:rPr>
          <w:color w:val="000000"/>
        </w:rPr>
        <w:t> </w:t>
      </w:r>
      <w:r>
        <w:rPr>
          <w:rFonts w:ascii="Times New Roman;sans-serif" w:hAnsi="Times New Roman;sans-serif"/>
          <w:b w:val="false"/>
          <w:color w:val="000000"/>
          <w:sz w:val="20"/>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until we file a post-effective amendment that indicates the termination of the offering of the securities made by this prospectus, which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 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SI-BONE, Inc.</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471 El Camino Real, Suite 101</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Santa Clara, California 95050</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Attn: Corporate Secretary</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(408) 207</w:t>
        <w:noBreakHyphen/>
        <w:t>0700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00"/>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331"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jc w:val="center"/>
        <w:rPr/>
      </w:pPr>
      <w:r>
        <w:rPr/>
      </w:r>
    </w:p>
    <w:p>
      <w:pPr>
        <w:pStyle w:val="TextBody"/>
        <w:spacing w:before="0" w:after="0"/>
        <w:jc w:val="center"/>
        <w:rPr/>
      </w:pPr>
      <w:r>
        <w:rPr/>
      </w:r>
    </w:p>
    <w:p>
      <w:pPr>
        <w:pStyle w:val="TextBody"/>
        <w:spacing w:lineRule="auto" w:line="417" w:before="0" w:after="0"/>
        <w:jc w:val="center"/>
        <w:rPr>
          <w:rFonts w:ascii="Times New Roman;sans-serif" w:hAnsi="Times New Roman;sans-serif"/>
          <w:b/>
          <w:color w:val="000000"/>
          <w:sz w:val="28"/>
        </w:rPr>
      </w:pPr>
      <w:r>
        <w:rPr>
          <w:rFonts w:ascii="Times New Roman;sans-serif" w:hAnsi="Times New Roman;sans-serif"/>
          <w:b/>
          <w:color w:val="000000"/>
          <w:sz w:val="28"/>
        </w:rPr>
        <w:t>3,775,000 Shares</w:t>
      </w:r>
    </w:p>
    <w:p>
      <w:pPr>
        <w:pStyle w:val="TextBody"/>
        <w:spacing w:before="0" w:after="0"/>
        <w:jc w:val="center"/>
        <w:rPr/>
      </w:pPr>
      <w:r>
        <w:rPr/>
      </w:r>
    </w:p>
    <w:p>
      <w:pPr>
        <w:pStyle w:val="TextBody"/>
        <w:spacing w:before="0" w:after="0"/>
        <w:jc w:val="center"/>
        <w:rPr/>
      </w:pPr>
      <w:r>
        <w:rPr/>
        <w:drawing>
          <wp:inline distT="0" distB="63500" distL="0" distR="0">
            <wp:extent cx="2381250" cy="1362075"/>
            <wp:effectExtent l="0" t="0" r="0" b="0"/>
            <wp:docPr id="6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 descr=""/>
                    <pic:cNvPicPr>
                      <a:picLocks noChangeAspect="1" noChangeArrowheads="1"/>
                    </pic:cNvPicPr>
                  </pic:nvPicPr>
                  <pic:blipFill>
                    <a:blip r:embed="rId16"/>
                    <a:stretch>
                      <a:fillRect/>
                    </a:stretch>
                  </pic:blipFill>
                  <pic:spPr bwMode="auto">
                    <a:xfrm>
                      <a:off x="0" y="0"/>
                      <a:ext cx="2381250" cy="1362075"/>
                    </a:xfrm>
                    <a:prstGeom prst="rect">
                      <a:avLst/>
                    </a:prstGeom>
                  </pic:spPr>
                </pic:pic>
              </a:graphicData>
            </a:graphic>
          </wp:inline>
        </w:drawing>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240"/>
        <w:jc w:val="center"/>
        <w:rPr>
          <w:rFonts w:ascii="Times New Roman;sans-serif" w:hAnsi="Times New Roman;sans-serif"/>
          <w:b/>
          <w:color w:val="000000"/>
          <w:sz w:val="28"/>
        </w:rPr>
      </w:pPr>
      <w:r>
        <w:rPr>
          <w:rFonts w:ascii="Times New Roman;sans-serif" w:hAnsi="Times New Roman;sans-serif"/>
          <w:b/>
          <w:color w:val="000000"/>
          <w:sz w:val="28"/>
        </w:rPr>
        <w:t>Common Stock</w:t>
      </w:r>
    </w:p>
    <w:p>
      <w:pPr>
        <w:pStyle w:val="TextBody"/>
        <w:spacing w:before="0" w:after="240"/>
        <w:jc w:val="center"/>
        <w:rPr/>
      </w:pPr>
      <w:r>
        <w:rPr/>
      </w:r>
    </w:p>
    <w:p>
      <w:pPr>
        <w:pStyle w:val="TextBody"/>
        <w:spacing w:lineRule="auto" w:line="288" w:before="0" w:after="240"/>
        <w:jc w:val="center"/>
        <w:rPr>
          <w:rFonts w:ascii="Times New Roman;sans-serif" w:hAnsi="Times New Roman;sans-serif"/>
          <w:b/>
          <w:color w:val="000000"/>
          <w:sz w:val="28"/>
        </w:rPr>
      </w:pPr>
      <w:r>
        <w:rPr>
          <w:rFonts w:ascii="Times New Roman;sans-serif" w:hAnsi="Times New Roman;sans-serif"/>
          <w:b/>
          <w:color w:val="000000"/>
          <w:sz w:val="28"/>
        </w:rPr>
        <w:t>Prospectus Supplement</w:t>
      </w:r>
    </w:p>
    <w:tbl>
      <w:tblPr>
        <w:tblW w:w="6585" w:type="dxa"/>
        <w:jc w:val="center"/>
        <w:tblInd w:w="0" w:type="dxa"/>
        <w:tblCellMar>
          <w:top w:w="28" w:type="dxa"/>
          <w:left w:w="28" w:type="dxa"/>
          <w:bottom w:w="28" w:type="dxa"/>
          <w:right w:w="28" w:type="dxa"/>
        </w:tblCellMar>
      </w:tblPr>
      <w:tblGrid>
        <w:gridCol w:w="919"/>
        <w:gridCol w:w="807"/>
        <w:gridCol w:w="809"/>
        <w:gridCol w:w="859"/>
        <w:gridCol w:w="859"/>
        <w:gridCol w:w="861"/>
        <w:gridCol w:w="431"/>
        <w:gridCol w:w="431"/>
        <w:gridCol w:w="609"/>
      </w:tblGrid>
      <w:tr>
        <w:trPr/>
        <w:tc>
          <w:tcPr>
            <w:tcW w:w="919"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36"/>
              </w:rPr>
            </w:pPr>
            <w:r>
              <w:rPr>
                <w:rFonts w:ascii="Times New Roman;sans-serif" w:hAnsi="Times New Roman;sans-serif"/>
                <w:b/>
                <w:color w:val="000000"/>
                <w:sz w:val="36"/>
              </w:rPr>
              <w:t>BofA Securities</w:t>
            </w:r>
          </w:p>
        </w:tc>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36"/>
              </w:rPr>
            </w:pPr>
            <w:r>
              <w:rPr>
                <w:rFonts w:ascii="Times New Roman;sans-serif" w:hAnsi="Times New Roman;sans-serif"/>
                <w:b/>
                <w:color w:val="000000"/>
                <w:sz w:val="36"/>
              </w:rPr>
              <w:t>Morgan Stanley</w:t>
            </w:r>
          </w:p>
        </w:tc>
        <w:tc>
          <w:tcPr>
            <w:tcW w:w="147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36"/>
              </w:rPr>
            </w:pPr>
            <w:r>
              <w:rPr>
                <w:rFonts w:ascii="Times New Roman;sans-serif" w:hAnsi="Times New Roman;sans-serif"/>
                <w:b/>
                <w:color w:val="000000"/>
                <w:sz w:val="36"/>
              </w:rPr>
              <w:t>Jefferies</w:t>
            </w:r>
          </w:p>
        </w:tc>
      </w:tr>
      <w:tr>
        <w:trPr/>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8"/>
              </w:rPr>
            </w:pPr>
            <w:r>
              <w:rPr>
                <w:rFonts w:ascii="Times New Roman;sans-serif" w:hAnsi="Times New Roman;sans-serif"/>
                <w:b/>
                <w:color w:val="000000"/>
                <w:sz w:val="28"/>
              </w:rPr>
              <w:t>Canaccord Genuity</w:t>
            </w:r>
          </w:p>
        </w:tc>
        <w:tc>
          <w:tcPr>
            <w:tcW w:w="2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8"/>
              </w:rPr>
            </w:pPr>
            <w:r>
              <w:rPr>
                <w:rFonts w:ascii="Times New Roman;sans-serif" w:hAnsi="Times New Roman;sans-serif"/>
                <w:b/>
                <w:color w:val="000000"/>
                <w:sz w:val="28"/>
              </w:rPr>
              <w:t>Cantor</w:t>
            </w:r>
          </w:p>
        </w:tc>
      </w:tr>
    </w:tbl>
    <w:p>
      <w:pPr>
        <w:pStyle w:val="TextBody"/>
        <w:spacing w:before="0" w:after="240"/>
        <w:ind w:left="0" w:right="0" w:firstLine="360"/>
        <w:jc w:val="center"/>
        <w:rPr/>
      </w:pPr>
      <w:r>
        <w:rPr/>
      </w:r>
    </w:p>
    <w:p>
      <w:pPr>
        <w:pStyle w:val="TextBody"/>
        <w:spacing w:before="0" w:after="240"/>
        <w:ind w:left="0" w:right="0" w:firstLine="360"/>
        <w:jc w:val="center"/>
        <w:rPr/>
      </w:pPr>
      <w:r>
        <w:rPr/>
      </w:r>
    </w:p>
    <w:p>
      <w:pPr>
        <w:pStyle w:val="TextBody"/>
        <w:spacing w:before="0" w:after="240"/>
        <w:ind w:left="0" w:right="0" w:firstLine="360"/>
        <w:jc w:val="center"/>
        <w:rPr/>
      </w:pPr>
      <w:r>
        <w:rPr/>
      </w:r>
    </w:p>
    <w:p>
      <w:pPr>
        <w:pStyle w:val="TextBody"/>
        <w:spacing w:lineRule="auto" w:line="417"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May 4, 2023</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107</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85pt;mso-position-horizontal:left;mso-position-horizontal-relative:text">
                <v:textbox>
                  <w:txbxContent>
                    <w:p>
                      <w:pPr>
                        <w:pStyle w:val="TextBody"/>
                        <w:spacing w:before="0" w:after="200"/>
                        <w:jc w:val="center"/>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Calculation of Filing Fee Table </w:t>
      </w:r>
    </w:p>
    <w:p>
      <w:pPr>
        <w:pStyle w:val="TextBody"/>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424(b)(5)</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(Form Type) </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SI-BONE, Inc.</w:t>
      </w:r>
    </w:p>
    <w:p>
      <w:pPr>
        <w:pStyle w:val="TextBody"/>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(Exact Name of Registrant as Specified in its Charter) </w:t>
      </w:r>
    </w:p>
    <w:p>
      <w:pPr>
        <w:pStyle w:val="TextBody"/>
        <w:spacing w:lineRule="auto" w:line="288" w:before="0" w:after="6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Table 1: Newly Registered and Carry Forward Securities </w:t>
      </w:r>
    </w:p>
    <w:tbl>
      <w:tblPr>
        <w:tblW w:w="11113" w:type="dxa"/>
        <w:jc w:val="left"/>
        <w:tblInd w:w="0" w:type="dxa"/>
        <w:tblCellMar>
          <w:top w:w="28" w:type="dxa"/>
          <w:left w:w="28" w:type="dxa"/>
          <w:bottom w:w="28" w:type="dxa"/>
          <w:right w:w="28" w:type="dxa"/>
        </w:tblCellMar>
      </w:tblPr>
      <w:tblGrid>
        <w:gridCol w:w="439"/>
        <w:gridCol w:w="302"/>
        <w:gridCol w:w="145"/>
        <w:gridCol w:w="235"/>
        <w:gridCol w:w="235"/>
        <w:gridCol w:w="236"/>
        <w:gridCol w:w="280"/>
        <w:gridCol w:w="235"/>
        <w:gridCol w:w="236"/>
        <w:gridCol w:w="315"/>
        <w:gridCol w:w="315"/>
        <w:gridCol w:w="316"/>
        <w:gridCol w:w="290"/>
        <w:gridCol w:w="290"/>
        <w:gridCol w:w="291"/>
        <w:gridCol w:w="280"/>
        <w:gridCol w:w="280"/>
        <w:gridCol w:w="281"/>
        <w:gridCol w:w="425"/>
        <w:gridCol w:w="290"/>
        <w:gridCol w:w="291"/>
        <w:gridCol w:w="289"/>
        <w:gridCol w:w="289"/>
        <w:gridCol w:w="293"/>
        <w:gridCol w:w="335"/>
        <w:gridCol w:w="335"/>
        <w:gridCol w:w="336"/>
        <w:gridCol w:w="250"/>
        <w:gridCol w:w="250"/>
        <w:gridCol w:w="251"/>
        <w:gridCol w:w="250"/>
        <w:gridCol w:w="250"/>
        <w:gridCol w:w="251"/>
        <w:gridCol w:w="250"/>
        <w:gridCol w:w="250"/>
        <w:gridCol w:w="251"/>
        <w:gridCol w:w="285"/>
        <w:gridCol w:w="285"/>
        <w:gridCol w:w="406"/>
      </w:tblGrid>
      <w:tr>
        <w:trPr/>
        <w:tc>
          <w:tcPr>
            <w:tcW w:w="43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r>
      <w:tr>
        <w:trPr/>
        <w:tc>
          <w:tcPr>
            <w:tcW w:w="886"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r>
      <w:tr>
        <w:trPr/>
        <w:tc>
          <w:tcPr>
            <w:tcW w:w="88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Security Type</w:t>
            </w:r>
          </w:p>
        </w:tc>
        <w:tc>
          <w:tcPr>
            <w:tcW w:w="75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Security Class Title</w:t>
            </w:r>
          </w:p>
        </w:tc>
        <w:tc>
          <w:tcPr>
            <w:tcW w:w="94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Fee</w:t>
              <w:br/>
              <w:t>Calculation</w:t>
              <w:br/>
              <w:t>or Carry</w:t>
              <w:br/>
              <w:t>Forward</w:t>
              <w:br/>
              <w:t>Rule</w:t>
            </w:r>
          </w:p>
        </w:tc>
        <w:tc>
          <w:tcPr>
            <w:tcW w:w="87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Amount Registered</w:t>
            </w:r>
          </w:p>
        </w:tc>
        <w:tc>
          <w:tcPr>
            <w:tcW w:w="84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Proposed Maximum</w:t>
              <w:br/>
              <w:t>Offering Price Per Share</w:t>
            </w:r>
          </w:p>
        </w:tc>
        <w:tc>
          <w:tcPr>
            <w:tcW w:w="100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Maximum Aggregate</w:t>
              <w:br/>
              <w:t>Offering Price</w:t>
            </w:r>
          </w:p>
        </w:tc>
        <w:tc>
          <w:tcPr>
            <w:tcW w:w="87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Fee Rate</w:t>
            </w:r>
          </w:p>
        </w:tc>
        <w:tc>
          <w:tcPr>
            <w:tcW w:w="100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0"/>
              <w:jc w:val="center"/>
              <w:rPr/>
            </w:pPr>
            <w:r>
              <w:rPr>
                <w:rFonts w:ascii="Times New Roman;sans-serif" w:hAnsi="Times New Roman;sans-serif"/>
                <w:b/>
                <w:color w:val="000000"/>
                <w:sz w:val="16"/>
              </w:rPr>
              <w:t xml:space="preserve">Amount of Registration Fee </w:t>
            </w:r>
            <w:r>
              <w:rPr>
                <w:rFonts w:ascii="Times New Roman;sans-serif" w:hAnsi="Times New Roman;sans-serif"/>
                <w:b/>
                <w:color w:val="000000"/>
                <w:sz w:val="10"/>
              </w:rPr>
              <w:t>(1)</w:t>
            </w:r>
          </w:p>
        </w:tc>
        <w:tc>
          <w:tcPr>
            <w:tcW w:w="75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Carry Forward Form Type</w:t>
            </w:r>
          </w:p>
        </w:tc>
        <w:tc>
          <w:tcPr>
            <w:tcW w:w="75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Carry Forward File Number</w:t>
            </w:r>
          </w:p>
        </w:tc>
        <w:tc>
          <w:tcPr>
            <w:tcW w:w="75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Carry Forward Initial Effective Date</w:t>
            </w:r>
          </w:p>
        </w:tc>
        <w:tc>
          <w:tcPr>
            <w:tcW w:w="976"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Filing Fee</w:t>
              <w:br/>
              <w:t>Previously</w:t>
              <w:br/>
              <w:t>Paid In</w:t>
              <w:br/>
              <w:t>Connection</w:t>
              <w:br/>
              <w:t>with</w:t>
              <w:br/>
              <w:t>Unsold</w:t>
              <w:br/>
              <w:t>Securities</w:t>
              <w:br/>
              <w:t>to</w:t>
              <w:br/>
              <w:t>be Carried</w:t>
              <w:br/>
              <w:t>Forward</w:t>
            </w:r>
          </w:p>
        </w:tc>
      </w:tr>
      <w:tr>
        <w:trPr/>
        <w:tc>
          <w:tcPr>
            <w:tcW w:w="11113" w:type="dxa"/>
            <w:gridSpan w:val="39"/>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Newly Registered Securities</w:t>
            </w:r>
          </w:p>
        </w:tc>
      </w:tr>
      <w:tr>
        <w:trPr/>
        <w:tc>
          <w:tcPr>
            <w:tcW w:w="88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Fees to be Paid</w:t>
            </w:r>
          </w:p>
        </w:tc>
        <w:tc>
          <w:tcPr>
            <w:tcW w:w="7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Equity</w:t>
            </w:r>
          </w:p>
        </w:tc>
        <w:tc>
          <w:tcPr>
            <w:tcW w:w="7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94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Rule 456(o) and 457(r)</w:t>
            </w:r>
          </w:p>
        </w:tc>
        <w:tc>
          <w:tcPr>
            <w:tcW w:w="87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0"/>
              <w:jc w:val="center"/>
              <w:rPr/>
            </w:pPr>
            <w:r>
              <w:rPr>
                <w:rFonts w:ascii="Times New Roman;sans-serif" w:hAnsi="Times New Roman;sans-serif"/>
                <w:b w:val="false"/>
                <w:color w:val="000000"/>
                <w:sz w:val="16"/>
              </w:rPr>
              <w:t>4,341,250</w:t>
            </w:r>
            <w:r>
              <w:rPr>
                <w:rFonts w:ascii="Times New Roman;sans-serif" w:hAnsi="Times New Roman;sans-serif"/>
                <w:b w:val="false"/>
                <w:color w:val="000000"/>
                <w:sz w:val="10"/>
              </w:rPr>
              <w:t>(2)</w:t>
            </w:r>
          </w:p>
        </w:tc>
        <w:tc>
          <w:tcPr>
            <w:tcW w:w="84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$22.00</w:t>
            </w:r>
          </w:p>
        </w:tc>
        <w:tc>
          <w:tcPr>
            <w:tcW w:w="10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$95,507,500</w:t>
            </w:r>
          </w:p>
        </w:tc>
        <w:tc>
          <w:tcPr>
            <w:tcW w:w="87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0.0001102</w:t>
            </w:r>
          </w:p>
        </w:tc>
        <w:tc>
          <w:tcPr>
            <w:tcW w:w="10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$10,525</w:t>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88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Fees Previously Paid</w:t>
            </w:r>
          </w:p>
        </w:tc>
        <w:tc>
          <w:tcPr>
            <w:tcW w:w="70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75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94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87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84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100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87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100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751"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sz w:val="4"/>
                <w:szCs w:val="4"/>
              </w:rPr>
            </w:pPr>
            <w:r>
              <w:rPr>
                <w:sz w:val="4"/>
                <w:szCs w:val="4"/>
              </w:rPr>
            </w:r>
          </w:p>
        </w:tc>
      </w:tr>
      <w:tr>
        <w:trPr/>
        <w:tc>
          <w:tcPr>
            <w:tcW w:w="11113" w:type="dxa"/>
            <w:gridSpan w:val="39"/>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Carry Forward Securities</w:t>
            </w:r>
          </w:p>
        </w:tc>
      </w:tr>
      <w:tr>
        <w:trPr/>
        <w:tc>
          <w:tcPr>
            <w:tcW w:w="88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Carry Forward Securities</w:t>
            </w:r>
          </w:p>
        </w:tc>
        <w:tc>
          <w:tcPr>
            <w:tcW w:w="7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75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94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87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color w:val="000000"/>
              </w:rPr>
            </w:pPr>
            <w:r>
              <w:rPr>
                <w:color w:val="000000"/>
              </w:rPr>
              <w:t>—</w:t>
            </w:r>
          </w:p>
        </w:tc>
        <w:tc>
          <w:tcPr>
            <w:tcW w:w="84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87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7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75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976"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83"/>
              <w:jc w:val="center"/>
              <w:rPr>
                <w:color w:val="000000"/>
              </w:rPr>
            </w:pPr>
            <w:r>
              <w:rPr>
                <w:color w:val="000000"/>
              </w:rPr>
              <w:t>—</w:t>
            </w:r>
          </w:p>
        </w:tc>
      </w:tr>
      <w:tr>
        <w:trPr/>
        <w:tc>
          <w:tcPr>
            <w:tcW w:w="88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274" w:type="dxa"/>
            <w:gridSpan w:val="1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Offering Amounts</w:t>
            </w:r>
          </w:p>
        </w:tc>
        <w:tc>
          <w:tcPr>
            <w:tcW w:w="84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$95,507,500</w:t>
            </w:r>
          </w:p>
        </w:tc>
        <w:tc>
          <w:tcPr>
            <w:tcW w:w="87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$10,525</w:t>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88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274" w:type="dxa"/>
            <w:gridSpan w:val="1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Fees Previously Paid</w:t>
            </w:r>
          </w:p>
        </w:tc>
        <w:tc>
          <w:tcPr>
            <w:tcW w:w="84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88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274" w:type="dxa"/>
            <w:gridSpan w:val="1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Fee Offsets</w:t>
            </w:r>
          </w:p>
        </w:tc>
        <w:tc>
          <w:tcPr>
            <w:tcW w:w="84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886"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3274" w:type="dxa"/>
            <w:gridSpan w:val="1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Net Fee Due</w:t>
            </w:r>
          </w:p>
        </w:tc>
        <w:tc>
          <w:tcPr>
            <w:tcW w:w="841"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$10,525</w:t>
            </w:r>
          </w:p>
        </w:tc>
        <w:tc>
          <w:tcPr>
            <w:tcW w:w="751"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(1) Calculated in accordance with Rules 457(o) and 457(r) under the Securities Act of 1933, as amended (the “Securities Act”). In accordance with Rules 456(b) and 457(r) of the Securities Act, the registrant initially deferred payment of all of the registration fee for Registration Statement No. 333-271635 filed by the registrant on May 4, 2023.</w:t>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 xml:space="preserve">(2) Includes 566,250 shares of common stock that the underwriters have an option to purchase. </w:t>
      </w:r>
      <w:r>
        <w:br w:type="page"/>
      </w:r>
    </w:p>
    <w:p>
      <w:pPr>
        <w:pStyle w:val="TextBody"/>
        <w:spacing w:before="0" w:after="283"/>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459839/000145983923000020/sibn-20221231.htm" TargetMode="External"/><Relationship Id="rId4" Type="http://schemas.openxmlformats.org/officeDocument/2006/relationships/hyperlink" Target="https://www.sec.gov/ix?doc=/Archives/edgar/data/0001459839/000145983923000063/sibn-20230331.htm" TargetMode="External"/><Relationship Id="rId5" Type="http://schemas.openxmlformats.org/officeDocument/2006/relationships/hyperlink" Target="https://www.sec.gov/ix?doc=/Archives/edgar/data/1459839/000145983923000003/sibn-20230106.htm" TargetMode="External"/><Relationship Id="rId6" Type="http://schemas.openxmlformats.org/officeDocument/2006/relationships/hyperlink" Target="https://www.sec.gov/Archives/edgar/data/1459839/000145983923000036/sibn2023proxystatement.htm" TargetMode="External"/><Relationship Id="rId7" Type="http://schemas.openxmlformats.org/officeDocument/2006/relationships/hyperlink" Target="https://www.sec.gov/Archives/edgar/data/1459839/000119312518297571/d486750d8a12b.htm" TargetMode="External"/><Relationship Id="rId8" Type="http://schemas.openxmlformats.org/officeDocument/2006/relationships/hyperlink" Target="https://www.sec.gov/Archives/edgar/data/1459839/000145983920000047/exhibit43descriptionof.htm" TargetMode="External"/><Relationship Id="rId9" Type="http://schemas.openxmlformats.org/officeDocument/2006/relationships/image" Target="media/image2.jpeg"/><Relationship Id="rId10" Type="http://schemas.openxmlformats.org/officeDocument/2006/relationships/hyperlink" Target="https://www.sec.gov/ix?doc=/Archives/edgar/data/1459839/000145983923000020/sibn-20221231.htm" TargetMode="External"/><Relationship Id="rId11" Type="http://schemas.openxmlformats.org/officeDocument/2006/relationships/hyperlink" Target="https://www.sec.gov/ix?doc=/Archives/edgar/data/0001459839/000145983923000063/sibn-20230331.htm" TargetMode="External"/><Relationship Id="rId12" Type="http://schemas.openxmlformats.org/officeDocument/2006/relationships/hyperlink" Target="https://www.sec.gov/ix?doc=/Archives/edgar/data/1459839/000145983923000003/sibn-20230106.htm" TargetMode="External"/><Relationship Id="rId13" Type="http://schemas.openxmlformats.org/officeDocument/2006/relationships/hyperlink" Target="https://www.sec.gov/Archives/edgar/data/1459839/000145983923000036/sibn2023proxystatement.htm" TargetMode="External"/><Relationship Id="rId14" Type="http://schemas.openxmlformats.org/officeDocument/2006/relationships/hyperlink" Target="http://www.sec.gov/Archives/edgar/data/1459839/000119312518297571/d486750d8a12b.htm" TargetMode="External"/><Relationship Id="rId15" Type="http://schemas.openxmlformats.org/officeDocument/2006/relationships/hyperlink" Target="https://www.sec.gov/Archives/edgar/data/1459839/000145983920000047/exhibit43descriptionof.htm" TargetMode="External"/><Relationship Id="rId16" Type="http://schemas.openxmlformats.org/officeDocument/2006/relationships/image" Target="media/image3.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66</Pages>
  <Words>31757</Words>
  <CharactersWithSpaces>200553</CharactersWithSpaces>
  <Paragraphs>1088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