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LAURA</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785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856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3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11/16/2020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1,677</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23.8189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133,584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11/16/2020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621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23.8189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132,963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11/16/2020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919</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23.8189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132,044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11/16/2020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708</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23.8189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131,336</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44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72,176 shares issuable on the settlement of restricted stock units granted to the Reporting Person. Each restricted stock unit represents a contingent right to receive one share of the Issuer's common stock.</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Laura A.</w:t>
        <w:tab/>
        <w:t>11/18/2020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2020-11-18T16:46:12Z</dcterms:created>
  <dcterms:modified xsi:type="dcterms:W3CDTF">2020-11-18T16:46:12Z</dcterms:modified>
</cp:coreProperties>
</file>