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677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6775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Freund John Gordon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SKYLINE VENTURES</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525 UNIVERSITY AVENUE, SUITE 1350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94301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SI-BONE,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SIBN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4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06/26/2024</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207"/>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06/26/2024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8,791</w:t>
            </w:r>
            <w:r>
              <w:rPr>
                <w:rFonts w:ascii="Times New Roman" w:cs="Times New Roman" w:eastAsia="Times New Roman" w:hAnsi="Times New Roman"/>
                <w:sz w:val="22"/>
                <w:szCs w:val="22"/>
                <w:color w:val="008000"/>
                <w:vertAlign w:val="superscript"/>
              </w:rPr>
              <w:t>(1)</w:t>
            </w: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right"/>
              <w:ind w:right="4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20" w:type="dxa"/>
            <w:vAlign w:val="bottom"/>
            <w:tcBorders>
              <w:bottom w:val="single" w:sz="8" w:color="2C2C2C"/>
            </w:tcBorders>
          </w:tcPr>
          <w:p>
            <w:pPr>
              <w:jc w:val="center"/>
              <w:ind w:right="174"/>
              <w:spacing w:after="0"/>
              <w:rPr>
                <w:sz w:val="20"/>
                <w:szCs w:val="20"/>
                <w:color w:val="auto"/>
              </w:rPr>
            </w:pPr>
            <w:r>
              <w:rPr>
                <w:rFonts w:ascii="Times New Roman" w:cs="Times New Roman" w:eastAsia="Times New Roman" w:hAnsi="Times New Roman"/>
                <w:sz w:val="17"/>
                <w:szCs w:val="17"/>
                <w:color w:val="0000FF"/>
              </w:rPr>
              <w:t>34,626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John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Freund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0000FF"/>
              </w:rPr>
              <w:t>103,899</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Partnership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IV, LP</w:t>
            </w:r>
            <w:r>
              <w:rPr>
                <w:rFonts w:ascii="Times New Roman" w:cs="Times New Roman" w:eastAsia="Times New Roman" w:hAnsi="Times New Roman"/>
                <w:sz w:val="22"/>
                <w:szCs w:val="22"/>
                <w:color w:val="008000"/>
                <w:vertAlign w:val="superscript"/>
              </w:rPr>
              <w:t>(3)</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20"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8,791 shares issuable on the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John Freund Family Partnership IV, L.P. ("Family LP"). Reporting Person, a member of Issuer's board of directors, is a general partner of Family LP and may be deemed to have voting and investment power with respect to the securities held by Family LP. Reporting Person disclaims beneficial ownership of such securities, except to the extent of his pecuniary interest therein.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John G.</w:t>
        <w:tab/>
        <w:t>06/27/2024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Freund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96771"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2024-06-27T17:19:16Z</dcterms:created>
  <dcterms:modified xsi:type="dcterms:W3CDTF">2024-06-27T17:19:16Z</dcterms:modified>
</cp:coreProperties>
</file>