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0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058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364"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right"/>
              <w:ind w:right="31"/>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05/28/2019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73,042</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05/28/2019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3,968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4.32</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77,010</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05/28/2019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3,968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15.9667</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73,042</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05/28/2019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2,518</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15.9667</w:t>
            </w:r>
            <w:r>
              <w:rPr>
                <w:rFonts w:ascii="Arial" w:cs="Arial" w:eastAsia="Arial" w:hAnsi="Arial"/>
                <w:sz w:val="22"/>
                <w:szCs w:val="22"/>
                <w:color w:val="008000"/>
                <w:w w:val="85"/>
                <w:vertAlign w:val="superscript"/>
              </w:rPr>
              <w:t>(3)</w:t>
            </w:r>
          </w:p>
        </w:tc>
        <w:tc>
          <w:tcPr>
            <w:tcW w:w="1260" w:type="dxa"/>
            <w:vAlign w:val="bottom"/>
            <w:tcBorders>
              <w:bottom w:val="single" w:sz="8" w:color="2C2C2C"/>
            </w:tcBorders>
            <w:gridSpan w:val="3"/>
          </w:tcPr>
          <w:p>
            <w:pPr>
              <w:jc w:val="right"/>
              <w:ind w:right="278"/>
              <w:spacing w:after="0"/>
              <w:rPr>
                <w:sz w:val="20"/>
                <w:szCs w:val="20"/>
                <w:color w:val="auto"/>
              </w:rPr>
            </w:pPr>
            <w:r>
              <w:rPr>
                <w:rFonts w:ascii="Arial" w:cs="Arial" w:eastAsia="Arial" w:hAnsi="Arial"/>
                <w:sz w:val="18"/>
                <w:szCs w:val="18"/>
                <w:color w:val="0000FF"/>
              </w:rPr>
              <w:t>70,524</w:t>
            </w:r>
            <w:r>
              <w:rPr>
                <w:rFonts w:ascii="Arial" w:cs="Arial" w:eastAsia="Arial" w:hAnsi="Arial"/>
                <w:sz w:val="22"/>
                <w:szCs w:val="22"/>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05/28/2019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2,518</w:t>
            </w:r>
          </w:p>
        </w:tc>
        <w:tc>
          <w:tcPr>
            <w:tcW w:w="820" w:type="dxa"/>
            <w:vAlign w:val="bottom"/>
            <w:vMerge w:val="restart"/>
          </w:tcPr>
          <w:p>
            <w:pPr>
              <w:jc w:val="right"/>
              <w:ind w:right="19"/>
              <w:spacing w:after="0"/>
              <w:rPr>
                <w:sz w:val="20"/>
                <w:szCs w:val="20"/>
                <w:color w:val="auto"/>
              </w:rPr>
            </w:pPr>
            <w:r>
              <w:rPr>
                <w:rFonts w:ascii="Arial" w:cs="Arial" w:eastAsia="Arial" w:hAnsi="Arial"/>
                <w:sz w:val="14"/>
                <w:szCs w:val="14"/>
                <w:color w:val="0000FF"/>
              </w:rPr>
              <w:t>05/26/2016</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05/25/2025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2,518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180,214</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05/28/2019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3,968</w:t>
            </w:r>
          </w:p>
        </w:tc>
        <w:tc>
          <w:tcPr>
            <w:tcW w:w="820" w:type="dxa"/>
            <w:vAlign w:val="bottom"/>
            <w:vMerge w:val="restart"/>
          </w:tcPr>
          <w:p>
            <w:pPr>
              <w:jc w:val="right"/>
              <w:ind w:right="259"/>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05/25/2025</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3,968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176,246</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jc w:val="right"/>
              <w:ind w:right="31"/>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25,078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$15.70 to $16.17,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May 26, 2015, subject to Reporting Person's continued service through each relevant vesting date. The shares subject to this option may be exercised prior to vesting, subject to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05/30/2019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2019-12-24T07:55:36Z</dcterms:created>
  <dcterms:modified xsi:type="dcterms:W3CDTF">2019-12-24T07:55:36Z</dcterms:modified>
</cp:coreProperties>
</file>