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Reckling W Carlton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01/03/2020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63"/>
        <w:spacing w:after="0"/>
        <w:rPr>
          <w:sz w:val="20"/>
          <w:szCs w:val="20"/>
          <w:color w:val="auto"/>
        </w:rPr>
      </w:pPr>
      <w:r>
        <w:rPr>
          <w:rFonts w:ascii="Arial" w:cs="Arial" w:eastAsia="Arial" w:hAnsi="Arial"/>
          <w:sz w:val="18"/>
          <w:szCs w:val="18"/>
          <w:color w:val="0000FF"/>
        </w:rPr>
        <w:t>CMO and VP, Medical Affairs</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SANTA CLARA 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95050</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01/03/2020</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32,430</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44,170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2"/>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shares issuable on settlement of restricted stock units granted to the Reporting Person. Each restricted stock unit represents a contingent right to receive one shares of the Issuer's common stock. The shares subject to the restricted stock unit will be vesting over four years beginning on January 1, 2020 and will be released in quarterly installments commencing on May 15, 2020, subject to the Reporting Person's continued service through each relevant vesting date.</w:t>
      </w:r>
    </w:p>
    <w:p>
      <w:pPr>
        <w:spacing w:after="0" w:line="30"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40,717 shares issuable on settlement of restricted stock units granted to the Reporting Person. Each restricted stock unit represents a contingent right to receive one shares of the Issuer's common stock.</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W.</w:t>
      </w:r>
      <w:r>
        <w:rPr>
          <w:sz w:val="20"/>
          <w:szCs w:val="20"/>
          <w:color w:val="auto"/>
        </w:rPr>
        <w:tab/>
      </w:r>
      <w:r>
        <w:rPr>
          <w:rFonts w:ascii="Arial" w:cs="Arial" w:eastAsia="Arial" w:hAnsi="Arial"/>
          <w:sz w:val="15"/>
          <w:szCs w:val="15"/>
          <w:color w:val="0000FF"/>
        </w:rPr>
        <w:t>01/07/2020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Carlton Reckling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645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6454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55111"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2020-01-07T14:53:23Z</dcterms:created>
  <dcterms:modified xsi:type="dcterms:W3CDTF">2020-01-07T14:53:23Z</dcterms:modified>
</cp:coreProperties>
</file>