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DUNN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799"/>
        <w:gridCol w:w="452"/>
        <w:gridCol w:w="880"/>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13.775</w:t>
            </w:r>
            <w:r>
              <w:rPr>
                <w:rFonts w:ascii="Times;serif" w:hAnsi="Times;serif"/>
                <w:color w:val="008000"/>
                <w:position w:val="7"/>
                <w:sz w:val="16"/>
                <w:sz w:val="20"/>
                <w:shd w:fill="FFFFFF" w:val="clear"/>
              </w:rPr>
              <w:t>(2)</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12,536</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111,933</w:t>
            </w:r>
            <w:r>
              <w:rPr>
                <w:rFonts w:ascii="Times;serif" w:hAnsi="Times;serif"/>
                <w:color w:val="008000"/>
                <w:position w:val="7"/>
                <w:sz w:val="16"/>
                <w:sz w:val="20"/>
                <w:shd w:fill="FFFFFF" w:val="clear"/>
              </w:rPr>
              <w:t>(4)</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$13.69 USD to $13.87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12,056 shares issuable on the settlement of restricted stock units granted to the Reporting Person.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the transfer of shares from the Reporting Person to The Jeffrey W. Dunn Living Trust dated May 17,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by The Jeffrey W. Dunn Living Trust Dated May 17, 2012.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 Attorney-in-Fact for Jeffrey W. Dunn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35986" TargetMode="External"/><Relationship Id="rId5" Type="http://schemas.openxmlformats.org/officeDocument/2006/relationships/hyperlink" Target="http://www.sec.gov/cgi-bin/browse-edgar?action=getcompany&amp;CIK=00014598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773</Words>
  <Characters>4127</Characters>
  <CharactersWithSpaces>4835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