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June 30,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SI-BONE, INC. </w:t>
      </w:r>
    </w:p>
    <w:p>
      <w:pPr>
        <w:pStyle w:val="TextBody"/>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60" w:after="283"/>
        <w:jc w:val="center"/>
        <w:rPr/>
      </w:pPr>
      <w:r>
        <w:rPr>
          <w:color w:val="000000"/>
        </w:rPr>
        <w:t> </w:t>
      </w:r>
      <w:r>
        <w:rPr>
          <w:rFonts w:ascii="Times New Roman;sans-serif" w:hAnsi="Times New Roman;sans-serif"/>
          <w:b/>
          <w:color w:val="000000"/>
          <w:sz w:val="16"/>
        </w:rPr>
        <w:t>Registrant's telephone number, including area code</w:t>
      </w:r>
      <w:r>
        <w:rPr>
          <w:rFonts w:ascii="Times New Roman;sans-serif" w:hAnsi="Times New Roman;sans-serif"/>
          <w:b w:val="false"/>
          <w:color w:val="000000"/>
          <w:sz w:val="16"/>
        </w:rPr>
        <w:t xml:space="preserve">: </w:t>
      </w:r>
      <w:r>
        <w:rPr>
          <w:rFonts w:ascii="Times New Roman;sans-serif" w:hAnsi="Times New Roman;sans-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outstanding of the registrant’s Common Stock was 40,197,135 as of August 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3">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3">
              <w:r>
                <w:rPr>
                  <w:rStyle w:val="InternetLink"/>
                  <w:rFonts w:ascii="Times New Roman;sans-serif" w:hAnsi="Times New Roman;sans-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3">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6">
              <w:r>
                <w:rPr>
                  <w:rStyle w:val="InternetLink"/>
                  <w:rFonts w:ascii="Times New Roman;sans-serif" w:hAnsi="Times New Roman;sans-serif"/>
                  <w:b w:val="false"/>
                  <w:color w:val="0000FF"/>
                  <w:sz w:val="20"/>
                  <w:u w:val="single"/>
                </w:rPr>
                <w:t>Condensed Consolidated Balance Sheets</w:t>
              </w:r>
            </w:hyperlink>
            <w:r>
              <w:rPr>
                <w:color w:val="000000"/>
              </w:rPr>
              <w:t xml:space="preserve"> </w:t>
            </w:r>
            <w:hyperlink w:anchor="ie071640fe47e4d619f2d6f0ab42592ce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e071640fe47e4d619f2d6f0ab42592ce_19">
              <w:r>
                <w:rPr>
                  <w:rStyle w:val="InternetLink"/>
                  <w:rFonts w:ascii="Times New Roman;sans-serif" w:hAnsi="Times New Roman;sans-serif"/>
                  <w:b w:val="false"/>
                  <w:color w:val="0000FF"/>
                  <w:sz w:val="20"/>
                  <w:u w:val="single"/>
                </w:rPr>
                <w:t>Condensed Consolidated Statements of Operations and Comprehensive Loss</w:t>
              </w:r>
            </w:hyperlink>
            <w:r>
              <w:rPr>
                <w:color w:val="000000"/>
              </w:rPr>
              <w:t xml:space="preserve"> </w:t>
            </w:r>
            <w:hyperlink w:anchor="ie071640fe47e4d619f2d6f0ab42592ce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9">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22">
              <w:r>
                <w:rPr>
                  <w:rStyle w:val="InternetLink"/>
                  <w:rFonts w:ascii="Times New Roman;sans-serif" w:hAnsi="Times New Roman;sans-serif"/>
                  <w:b w:val="false"/>
                  <w:color w:val="0000FF"/>
                  <w:sz w:val="20"/>
                  <w:u w:val="single"/>
                </w:rPr>
                <w:t>Condensed Consolidated Statements of Changes in Stockholders' Equity</w:t>
              </w:r>
            </w:hyperlink>
            <w:r>
              <w:rPr>
                <w:color w:val="000000"/>
              </w:rPr>
              <w:t xml:space="preserve"> </w:t>
            </w:r>
            <w:hyperlink w:anchor="ie071640fe47e4d619f2d6f0ab42592ce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22">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25">
              <w:r>
                <w:rPr>
                  <w:rStyle w:val="InternetLink"/>
                  <w:rFonts w:ascii="Times New Roman;sans-serif" w:hAnsi="Times New Roman;sans-serif"/>
                  <w:b w:val="false"/>
                  <w:color w:val="0000FF"/>
                  <w:sz w:val="20"/>
                  <w:u w:val="single"/>
                </w:rPr>
                <w:t>Condensed Consolidated Statements of Cash Flows</w:t>
              </w:r>
            </w:hyperlink>
            <w:r>
              <w:rPr>
                <w:color w:val="000000"/>
              </w:rPr>
              <w:t xml:space="preserve"> </w:t>
            </w:r>
            <w:hyperlink w:anchor="ie071640fe47e4d619f2d6f0ab42592ce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25">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28">
              <w:r>
                <w:rPr>
                  <w:rStyle w:val="InternetLink"/>
                  <w:rFonts w:ascii="Times New Roman;sans-serif" w:hAnsi="Times New Roman;sans-serif"/>
                  <w:b w:val="false"/>
                  <w:color w:val="0000FF"/>
                  <w:sz w:val="20"/>
                  <w:u w:val="single"/>
                </w:rPr>
                <w:t>Notes to Condensed Consolidated Financial Statements</w:t>
              </w:r>
            </w:hyperlink>
            <w:r>
              <w:rPr>
                <w:color w:val="000000"/>
              </w:rPr>
              <w:t xml:space="preserve"> </w:t>
            </w:r>
            <w:hyperlink w:anchor="ie071640fe47e4d619f2d6f0ab42592ce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28">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64">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64">
              <w:r>
                <w:rPr>
                  <w:rStyle w:val="InternetLink"/>
                  <w:rFonts w:ascii="Times New Roman;sans-serif" w:hAnsi="Times New Roman;sans-serif"/>
                  <w:b w:val="false"/>
                  <w:color w:val="0000FF"/>
                  <w:sz w:val="20"/>
                  <w:u w:val="single"/>
                </w:rPr>
                <w:t>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00">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00">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00">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03">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03">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03">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09">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09">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09">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12">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12">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12">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15">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15">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15">
              <w:r>
                <w:rPr>
                  <w:rStyle w:val="InternetLink"/>
                  <w:rFonts w:ascii="Times New Roman;sans-serif" w:hAnsi="Times New Roman;sans-serif"/>
                  <w:b w:val="false"/>
                  <w:color w:val="0000FF"/>
                  <w:sz w:val="20"/>
                  <w:u w:val="single"/>
                </w:rPr>
                <w:t>71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18">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18">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18">
              <w:r>
                <w:rPr>
                  <w:rStyle w:val="InternetLink"/>
                  <w:rFonts w:ascii="Times New Roman;sans-serif" w:hAnsi="Times New Roman;sans-serif"/>
                  <w:b w:val="false"/>
                  <w:color w:val="0000FF"/>
                  <w:sz w:val="20"/>
                  <w:u w:val="single"/>
                </w:rPr>
                <w:t>71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21">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21">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21">
              <w:r>
                <w:rPr>
                  <w:rStyle w:val="InternetLink"/>
                  <w:rFonts w:ascii="Times New Roman;sans-serif" w:hAnsi="Times New Roman;sans-serif"/>
                  <w:b w:val="false"/>
                  <w:color w:val="0000FF"/>
                  <w:sz w:val="20"/>
                  <w:u w:val="single"/>
                </w:rPr>
                <w:t>71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24">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24">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24">
              <w:r>
                <w:rPr>
                  <w:rStyle w:val="InternetLink"/>
                  <w:rFonts w:ascii="Times New Roman;sans-serif" w:hAnsi="Times New Roman;sans-serif"/>
                  <w:b w:val="false"/>
                  <w:color w:val="0000FF"/>
                  <w:sz w:val="20"/>
                  <w:u w:val="single"/>
                </w:rPr>
                <w:t>71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27">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27">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27">
              <w:r>
                <w:rPr>
                  <w:rStyle w:val="InternetLink"/>
                  <w:rFonts w:ascii="Times New Roman;sans-serif" w:hAnsi="Times New Roman;sans-serif"/>
                  <w:b w:val="false"/>
                  <w:color w:val="0000FF"/>
                  <w:sz w:val="20"/>
                  <w:u w:val="single"/>
                </w:rPr>
                <w:t>72</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071640fe47e4d619f2d6f0ab42592ce_130">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1640fe47e4d619f2d6f0ab42592ce_130">
              <w:r>
                <w:rPr>
                  <w:rStyle w:val="InternetLink"/>
                  <w:rFonts w:ascii="Times New Roman;sans-serif" w:hAnsi="Times New Roman;sans-serif"/>
                  <w:b w:val="false"/>
                  <w:color w:val="0000FF"/>
                  <w:sz w:val="20"/>
                  <w:u w:val="single"/>
                </w:rPr>
                <w:t>73</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of our market opportunities;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and results from clinical and other trials;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bidi w:val="0"/>
        <w:spacing w:before="180" w:after="283"/>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1"/>
        <w:gridCol w:w="2263"/>
        <w:gridCol w:w="2191"/>
        <w:gridCol w:w="211"/>
        <w:gridCol w:w="830"/>
        <w:gridCol w:w="109"/>
        <w:gridCol w:w="109"/>
        <w:gridCol w:w="109"/>
        <w:gridCol w:w="109"/>
        <w:gridCol w:w="251"/>
        <w:gridCol w:w="986"/>
        <w:gridCol w:w="186"/>
      </w:tblGrid>
      <w:tr>
        <w:trPr/>
        <w:tc>
          <w:tcPr>
            <w:tcW w:w="285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$500 and $400,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40,087,765 and 34,731,577 shares issued and outstanding,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8"/>
        <w:gridCol w:w="1097"/>
        <w:gridCol w:w="1022"/>
        <w:gridCol w:w="240"/>
        <w:gridCol w:w="841"/>
        <w:gridCol w:w="109"/>
        <w:gridCol w:w="109"/>
        <w:gridCol w:w="109"/>
        <w:gridCol w:w="109"/>
        <w:gridCol w:w="240"/>
        <w:gridCol w:w="841"/>
        <w:gridCol w:w="109"/>
        <w:gridCol w:w="109"/>
        <w:gridCol w:w="109"/>
        <w:gridCol w:w="109"/>
        <w:gridCol w:w="109"/>
        <w:gridCol w:w="109"/>
        <w:gridCol w:w="134"/>
        <w:gridCol w:w="134"/>
        <w:gridCol w:w="347"/>
        <w:gridCol w:w="942"/>
        <w:gridCol w:w="134"/>
        <w:gridCol w:w="109"/>
        <w:gridCol w:w="109"/>
        <w:gridCol w:w="109"/>
        <w:gridCol w:w="240"/>
        <w:gridCol w:w="841"/>
        <w:gridCol w:w="157"/>
      </w:tblGrid>
      <w:tr>
        <w:trPr/>
        <w:tc>
          <w:tcPr>
            <w:tcW w:w="157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565" w:type="dxa"/>
            <w:gridSpan w:val="6"/>
            <w:tcBorders/>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37,864,185 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34,052,692 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36,399,309 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33,923,229 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43"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48"/>
        <w:gridCol w:w="111"/>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34,731,577 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35,106,163</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from public offerings, net of underwriting discounts, commissions and offering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40,087,765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556,541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(379,436)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177,407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33,674,085 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21"/>
        <w:gridCol w:w="535"/>
        <w:gridCol w:w="536"/>
        <w:gridCol w:w="109"/>
        <w:gridCol w:w="109"/>
        <w:gridCol w:w="109"/>
        <w:gridCol w:w="548"/>
        <w:gridCol w:w="548"/>
        <w:gridCol w:w="109"/>
        <w:gridCol w:w="109"/>
        <w:gridCol w:w="109"/>
        <w:gridCol w:w="109"/>
        <w:gridCol w:w="211"/>
        <w:gridCol w:w="271"/>
        <w:gridCol w:w="109"/>
        <w:gridCol w:w="109"/>
        <w:gridCol w:w="109"/>
        <w:gridCol w:w="109"/>
        <w:gridCol w:w="211"/>
        <w:gridCol w:w="841"/>
        <w:gridCol w:w="109"/>
        <w:gridCol w:w="109"/>
        <w:gridCol w:w="109"/>
        <w:gridCol w:w="109"/>
        <w:gridCol w:w="211"/>
        <w:gridCol w:w="481"/>
        <w:gridCol w:w="109"/>
        <w:gridCol w:w="109"/>
        <w:gridCol w:w="109"/>
        <w:gridCol w:w="109"/>
        <w:gridCol w:w="211"/>
        <w:gridCol w:w="848"/>
        <w:gridCol w:w="109"/>
        <w:gridCol w:w="109"/>
        <w:gridCol w:w="109"/>
        <w:gridCol w:w="109"/>
        <w:gridCol w:w="211"/>
        <w:gridCol w:w="841"/>
        <w:gridCol w:w="109"/>
        <w:gridCol w:w="109"/>
        <w:gridCol w:w="155"/>
      </w:tblGrid>
      <w:tr>
        <w:trPr/>
        <w:tc>
          <w:tcPr>
            <w:tcW w:w="8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33,872,363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435,590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122,438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34,221,614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442,570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(331,772)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110,833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24" w:type="dxa"/>
        <w:jc w:val="center"/>
        <w:tblInd w:w="0" w:type="dxa"/>
        <w:tblLayout w:type="fixed"/>
        <w:tblCellMar>
          <w:top w:w="28" w:type="dxa"/>
          <w:left w:w="28" w:type="dxa"/>
          <w:bottom w:w="28" w:type="dxa"/>
          <w:right w:w="28" w:type="dxa"/>
        </w:tblCellMar>
      </w:tblPr>
      <w:tblGrid>
        <w:gridCol w:w="2061"/>
        <w:gridCol w:w="1808"/>
        <w:gridCol w:w="1816"/>
        <w:gridCol w:w="196"/>
        <w:gridCol w:w="736"/>
        <w:gridCol w:w="109"/>
        <w:gridCol w:w="109"/>
        <w:gridCol w:w="109"/>
        <w:gridCol w:w="109"/>
        <w:gridCol w:w="196"/>
        <w:gridCol w:w="721"/>
        <w:gridCol w:w="154"/>
      </w:tblGrid>
      <w:tr>
        <w:trPr/>
        <w:tc>
          <w:tcPr>
            <w:tcW w:w="206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discount and premium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public offering, net of discounts and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exercise of stock options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and cash equivalents at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Unpaid purchases of property and equipment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public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 The second generation iFuse implant, iFuse-3D, was introduced in 2017 followed by iFuse-TORQ in 2021 and iFuse Bedrock Granite in 2022.</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the Company did not receive any proceeds from the sale by the selling stockholder.</w:t>
      </w:r>
    </w:p>
    <w:p>
      <w:pPr>
        <w:pStyle w:val="TextBody"/>
        <w:bidi w:val="0"/>
        <w:spacing w:lineRule="auto" w:line="288" w:before="18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two major financial institutions in the U.S. Deposits in these banks may exceed the federally insured limits or any other insurance provided on such deposits, if any. The Company had accounts with Silicon Valley Bank (“SVB”). On March 10, 2023, California regulators shut down SVB and the FDIC was appointed as SVB’s receiver. On March 26, 2023, the FDIC announced that it had entered into a purchase and assumption agreement with First-Citizens Bank &amp; Trust Company (“First-Citizens”) under which all deposits of the former Silicon Valley Bank were assumed by First-Citizens.</w:t>
      </w:r>
      <w:r>
        <w:rPr>
          <w:color w:val="000000"/>
        </w:rPr>
        <w:t xml:space="preserve"> </w:t>
      </w:r>
      <w:r>
        <w:rPr>
          <w:rFonts w:ascii="Times New Roman;sans-serif" w:hAnsi="Times New Roman;sans-serif"/>
          <w:b w:val="false"/>
          <w:color w:val="000000"/>
          <w:sz w:val="20"/>
        </w:rPr>
        <w:t>First-Citizens acquired the rights as lender under the Company’s Loan and Security Agreement as amended. To date, the Company has not experienced any losses on its deposits of cash, cash equivalents and marketable securities and continues to have access to these funds.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continuing risk and uncertainties resulting from COVID-19. The COVID-19 pandemic impacted the Company’s supply chain and also caused delays or cancellations of the Company’s procedures. Future outbreaks of COVID-19 or other public health concerns could contribute to health systems diverting resources to respond to COVID-19 which could lead to scheduling delays or cancellations of the Company’s procedures. Future outbreaks could also cause or exacerbate supply chain shortages.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such the Company's future results of operations and liquidity could be adversely impacted by a variety of factors related to uncertainties in the financial services industry and new or ongoing impacts of the COVID-19 pandemic, including those discussed in the section titled "Risk Factors" in this report. As of the date of issuance of these condensed consolidated financial statements, the extent to which the COVID-19 pandemic, economic disruption that has resulted from the pandemic and measures taken to stabilize economies during the pandemic, global supply chain issues and uncertainties of the financial services industry may materially impact the Company's financial condition, liquidity, or results of operations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2022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2023 are not necessarily indicative of the results to be expected for the year ending December 31, 2023 or for any other interim period or for any other future year.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should be read in conjunction with the audited financial statements and related notes thereto for the year ended December 31, 2022 contained in the Company’s Annual Report on Form 10-K filed with the SEC on March 2,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Significant Accounting Policies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Annual Report on Form 10-K for the year ended December 31, 2022. The Company updated the accounting policies related to the property and equipment and revenue recognition, as follows:</w:t>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Property and Equipment </w:t>
      </w:r>
    </w:p>
    <w:p>
      <w:pPr>
        <w:pStyle w:val="TextBody"/>
        <w:bidi w:val="0"/>
        <w:spacing w:lineRule="auto" w:line="268" w:before="0" w:after="0"/>
        <w:jc w:val="both"/>
        <w:rPr/>
      </w:pPr>
      <w:r>
        <w:rPr>
          <w:rFonts w:ascii="Times New Roman;sans-serif" w:hAnsi="Times New Roman;sans-serif"/>
          <w:b w:val="false"/>
          <w:color w:val="000000"/>
          <w:sz w:val="20"/>
        </w:rPr>
        <w:t xml:space="preserve">Construction in progress includes assets that have not yet been placed into service including the cost of individual components of an instrument tray. Once an instrument tray is placed into service, the Company transfers its carrying value into machinery and equipment and begins depreciating the cost of the instrument tray over its useful life. </w:t>
      </w:r>
      <w:r>
        <w:rPr>
          <w:rFonts w:ascii="Times New Roman;sans-serif" w:hAnsi="Times New Roman;sans-serif"/>
          <w:b w:val="false"/>
          <w:color w:val="000000"/>
          <w:sz w:val="20"/>
          <w:shd w:fill="FFFFFF" w:val="clear"/>
        </w:rPr>
        <w:t>Leasehold improvements are amortized over the lesser of their useful lives or the life of the lease.</w:t>
      </w:r>
      <w:r>
        <w:rPr>
          <w:color w:val="000000"/>
        </w:rPr>
        <w:t xml:space="preserve"> </w:t>
      </w:r>
      <w:r>
        <w:rPr>
          <w:rFonts w:ascii="Times New Roman;sans-serif" w:hAnsi="Times New Roman;sans-serif"/>
          <w:b w:val="false"/>
          <w:color w:val="000000"/>
          <w:sz w:val="20"/>
          <w:shd w:fill="FFFFFF" w:val="clear"/>
        </w:rPr>
        <w:t>Upon the sale or retirement of these assets, the cost and related accumulated depreciation are removed from the consolidated balance sheet and the resulting gain or loss is recognized in the consolidated statement of operations. Maintenance and repairs are charged to operations as incurred.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derived from the sale of its products to medical groups and hospitals through its direct sales force and third-party sales agents and resellers throughout the U.S. and Europe. The Company receives payment for its implants consumed during the surgery and does not receive additional or separate consideration for the use of the instrument tray furnished by the Company for the surgeon’s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Historically, there had been no significant price discounts.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pStyle w:val="TextBody"/>
        <w:bidi w:val="0"/>
        <w:spacing w:before="0" w:after="0"/>
        <w:jc w:val="both"/>
        <w:rPr/>
      </w:pPr>
      <w:r>
        <w:rPr/>
      </w:r>
    </w:p>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40"/>
        <w:ind w:left="0" w:right="0" w:firstLine="495"/>
        <w:jc w:val="both"/>
        <w:rPr/>
      </w:pPr>
      <w:r>
        <w:rPr>
          <w:rFonts w:ascii="Times New Roman;sans-serif" w:hAnsi="Times New Roman;sans-serif"/>
          <w:b w:val="false"/>
          <w:color w:val="000000"/>
          <w:sz w:val="20"/>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r>
        <w:rPr>
          <w:rFonts w:ascii="Times New Roman;sans-serif" w:hAnsi="Times New Roman;sans-serif"/>
          <w:b w:val="false"/>
          <w:color w:val="008080"/>
          <w:sz w:val="24"/>
        </w:rPr>
        <w: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tbl>
      <w:tblPr>
        <w:tblW w:w="7185" w:type="dxa"/>
        <w:jc w:val="left"/>
        <w:tblInd w:w="0" w:type="dxa"/>
        <w:tblLayout w:type="fixed"/>
        <w:tblCellMar>
          <w:top w:w="28" w:type="dxa"/>
          <w:left w:w="28" w:type="dxa"/>
          <w:bottom w:w="28" w:type="dxa"/>
          <w:right w:w="28" w:type="dxa"/>
        </w:tblCellMar>
      </w:tblPr>
      <w:tblGrid>
        <w:gridCol w:w="435"/>
        <w:gridCol w:w="381"/>
        <w:gridCol w:w="383"/>
        <w:gridCol w:w="214"/>
        <w:gridCol w:w="732"/>
        <w:gridCol w:w="110"/>
        <w:gridCol w:w="110"/>
        <w:gridCol w:w="110"/>
        <w:gridCol w:w="110"/>
        <w:gridCol w:w="214"/>
        <w:gridCol w:w="732"/>
        <w:gridCol w:w="110"/>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7"/>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recently issued accounting standards are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before="0" w:after="0"/>
        <w:ind w:left="0" w:right="0" w:firstLine="540"/>
        <w:jc w:val="both"/>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3" w:type="dxa"/>
        <w:jc w:val="center"/>
        <w:tblInd w:w="0" w:type="dxa"/>
        <w:tblLayout w:type="fixed"/>
        <w:tblCellMar>
          <w:top w:w="28" w:type="dxa"/>
          <w:left w:w="28" w:type="dxa"/>
          <w:bottom w:w="28" w:type="dxa"/>
          <w:right w:w="28" w:type="dxa"/>
        </w:tblCellMar>
      </w:tblPr>
      <w:tblGrid>
        <w:gridCol w:w="834"/>
        <w:gridCol w:w="735"/>
        <w:gridCol w:w="740"/>
        <w:gridCol w:w="267"/>
        <w:gridCol w:w="914"/>
        <w:gridCol w:w="138"/>
        <w:gridCol w:w="109"/>
        <w:gridCol w:w="109"/>
        <w:gridCol w:w="109"/>
        <w:gridCol w:w="413"/>
        <w:gridCol w:w="796"/>
        <w:gridCol w:w="215"/>
        <w:gridCol w:w="109"/>
        <w:gridCol w:w="109"/>
        <w:gridCol w:w="109"/>
        <w:gridCol w:w="391"/>
        <w:gridCol w:w="892"/>
        <w:gridCol w:w="202"/>
        <w:gridCol w:w="109"/>
        <w:gridCol w:w="109"/>
        <w:gridCol w:w="109"/>
        <w:gridCol w:w="347"/>
        <w:gridCol w:w="1185"/>
        <w:gridCol w:w="253"/>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six months ended June 30, 2023 and 2022,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June 30, 2023 and December 31, 2022.</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present accrued interest receivable separately from short-term and long-term investments on its condensed consolidated balance sheets. Accrued interest receivable was $0.1 million as of June 30, 2023,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June 30, 2023 or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394"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inventory consisted of finished goods of $18.6 million and work-in-progress of $1.9 million. As of December 31, 2022, inventory consisted of finished goods of $15.6 million and work-in-progress and components of $1.7 million.</w:t>
      </w:r>
    </w:p>
    <w:p>
      <w:pPr>
        <w:pStyle w:val="TextBody"/>
        <w:bidi w:val="0"/>
        <w:spacing w:lineRule="auto" w:line="288" w:before="240" w:after="180"/>
        <w:ind w:left="0" w:right="0" w:firstLine="495"/>
        <w:jc w:val="left"/>
        <w:rPr/>
      </w:pPr>
      <w:r>
        <w:rPr>
          <w:rFonts w:ascii="Times New Roman;sans-serif" w:hAnsi="Times New Roman;sans-serif"/>
          <w:b/>
          <w:i/>
          <w:color w:val="000000"/>
          <w:sz w:val="20"/>
        </w:rPr>
        <w:t>Property and Equipment, net:</w:t>
      </w:r>
      <w:r>
        <w:rPr>
          <w:color w:val="000000"/>
        </w:rPr>
        <w:t>    </w:t>
      </w:r>
    </w:p>
    <w:tbl>
      <w:tblPr>
        <w:tblW w:w="7227" w:type="dxa"/>
        <w:jc w:val="left"/>
        <w:tblInd w:w="0" w:type="dxa"/>
        <w:tblLayout w:type="fixed"/>
        <w:tblCellMar>
          <w:top w:w="28" w:type="dxa"/>
          <w:left w:w="28" w:type="dxa"/>
          <w:bottom w:w="28" w:type="dxa"/>
          <w:right w:w="28" w:type="dxa"/>
        </w:tblCellMar>
      </w:tblPr>
      <w:tblGrid>
        <w:gridCol w:w="1505"/>
        <w:gridCol w:w="1321"/>
        <w:gridCol w:w="1329"/>
        <w:gridCol w:w="234"/>
        <w:gridCol w:w="800"/>
        <w:gridCol w:w="121"/>
        <w:gridCol w:w="109"/>
        <w:gridCol w:w="109"/>
        <w:gridCol w:w="109"/>
        <w:gridCol w:w="309"/>
        <w:gridCol w:w="1056"/>
        <w:gridCol w:w="225"/>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ans-serif" w:hAnsi="Times New Roman;sans-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Surgical equipment and instrument trays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color w:val="000000"/>
        </w:rPr>
      </w:pPr>
      <w:r>
        <w:rPr>
          <w:color w:val="000000"/>
        </w:rPr>
        <w:t>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construction in progress pertains to the cost of individual components of a custom instrument set used for surgical placement of the Company's products that have not yet been placed into service of $3.9 million and construction costs related to the Company's lease for research and development and warehouse space in Santa Clara and software costs of $4.1 million. Depreciation expense was $1.2 million and $0.8 million for the three months ended June 30, 2023 and 2022, respectively. Depreciation expense was $2.3 million and $1.5 million for the six months ended June 30, 2023 and 2022, respectively.</w:t>
      </w:r>
    </w:p>
    <w:p>
      <w:pPr>
        <w:pStyle w:val="TextBody"/>
        <w:bidi w:val="0"/>
        <w:spacing w:lineRule="auto" w:line="288" w:before="240" w:after="180"/>
        <w:ind w:left="0" w:right="0" w:firstLine="495"/>
        <w:jc w:val="left"/>
        <w:rPr/>
      </w:pPr>
      <w:r>
        <w:rPr>
          <w:rFonts w:ascii="Times New Roman;sans-serif" w:hAnsi="Times New Roman;sans-serif"/>
          <w:b/>
          <w:i/>
          <w:color w:val="000000"/>
          <w:sz w:val="20"/>
          <w:shd w:fill="FFFFFF" w:val="clear"/>
        </w:rPr>
        <w:t>Accrued Liabilities and Other</w:t>
      </w:r>
      <w:r>
        <w:rPr>
          <w:rFonts w:ascii="Times New Roman;sans-serif" w:hAnsi="Times New Roman;sans-serif"/>
          <w:b w:val="false"/>
          <w:color w:val="000000"/>
          <w:sz w:val="20"/>
          <w:shd w:fill="FFFFFF" w:val="clear"/>
        </w:rPr>
        <w:t>:</w:t>
      </w:r>
    </w:p>
    <w:tbl>
      <w:tblPr>
        <w:tblW w:w="6777" w:type="dxa"/>
        <w:jc w:val="left"/>
        <w:tblInd w:w="0" w:type="dxa"/>
        <w:tblLayout w:type="fixed"/>
        <w:tblCellMar>
          <w:top w:w="28" w:type="dxa"/>
          <w:left w:w="28" w:type="dxa"/>
          <w:bottom w:w="28" w:type="dxa"/>
          <w:right w:w="28" w:type="dxa"/>
        </w:tblCellMar>
      </w:tblPr>
      <w:tblGrid>
        <w:gridCol w:w="1343"/>
        <w:gridCol w:w="1178"/>
        <w:gridCol w:w="1184"/>
        <w:gridCol w:w="234"/>
        <w:gridCol w:w="800"/>
        <w:gridCol w:w="121"/>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Accrued professional services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80" w:after="18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movement in the allowance for credit losses was as follows:</w:t>
      </w:r>
    </w:p>
    <w:tbl>
      <w:tblPr>
        <w:tblW w:w="5711" w:type="dxa"/>
        <w:jc w:val="left"/>
        <w:tblInd w:w="0" w:type="dxa"/>
        <w:tblLayout w:type="fixed"/>
        <w:tblCellMar>
          <w:top w:w="28" w:type="dxa"/>
          <w:left w:w="28" w:type="dxa"/>
          <w:bottom w:w="28" w:type="dxa"/>
          <w:right w:w="28" w:type="dxa"/>
        </w:tblCellMar>
      </w:tblPr>
      <w:tblGrid>
        <w:gridCol w:w="956"/>
        <w:gridCol w:w="840"/>
        <w:gridCol w:w="843"/>
        <w:gridCol w:w="310"/>
        <w:gridCol w:w="685"/>
        <w:gridCol w:w="160"/>
        <w:gridCol w:w="109"/>
        <w:gridCol w:w="109"/>
        <w:gridCol w:w="109"/>
        <w:gridCol w:w="402"/>
        <w:gridCol w:w="891"/>
        <w:gridCol w:w="297"/>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a non-cancelable operating lease for its office building spaces in Gallarate, Italy which expires in August 2027.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leases vehicles under operating lease arrangements for certain of its personnel in Europe which expire at various times throughout 2023 to 2027.</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shd w:fill="FFFFFF" w:val="clear"/>
        </w:rPr>
        <w:t>Supplemental information related to lease expense and valuation of the lease assets and lease liabilit</w:t>
      </w:r>
      <w:r>
        <w:rPr>
          <w:rFonts w:ascii="Times New Roman;sans-serif" w:hAnsi="Times New Roman;sans-serif"/>
          <w:b w:val="false"/>
          <w:color w:val="000000"/>
          <w:sz w:val="20"/>
        </w:rPr>
        <w:t>ies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0"/>
        <w:gridCol w:w="1426"/>
        <w:gridCol w:w="1435"/>
        <w:gridCol w:w="400"/>
        <w:gridCol w:w="285"/>
        <w:gridCol w:w="286"/>
        <w:gridCol w:w="141"/>
        <w:gridCol w:w="141"/>
        <w:gridCol w:w="141"/>
        <w:gridCol w:w="477"/>
        <w:gridCol w:w="404"/>
        <w:gridCol w:w="408"/>
        <w:gridCol w:w="109"/>
        <w:gridCol w:w="109"/>
        <w:gridCol w:w="109"/>
        <w:gridCol w:w="264"/>
        <w:gridCol w:w="210"/>
        <w:gridCol w:w="211"/>
        <w:gridCol w:w="129"/>
        <w:gridCol w:w="129"/>
        <w:gridCol w:w="129"/>
        <w:gridCol w:w="264"/>
        <w:gridCol w:w="284"/>
        <w:gridCol w:w="287"/>
        <w:gridCol w:w="109"/>
        <w:gridCol w:w="109"/>
        <w:gridCol w:w="109"/>
        <w:gridCol w:w="109"/>
        <w:gridCol w:w="109"/>
        <w:gridCol w:w="162"/>
      </w:tblGrid>
      <w:tr>
        <w:trPr/>
        <w:tc>
          <w:tcPr>
            <w:tcW w:w="172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p>
            <w:pPr>
              <w:pStyle w:val="TableContents"/>
              <w:bidi w:val="0"/>
              <w:spacing w:before="0" w:after="0"/>
              <w:jc w:val="left"/>
              <w:rPr/>
            </w:pPr>
            <w:r>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June 30, 2023 was as follows:</w:t>
      </w:r>
    </w:p>
    <w:tbl>
      <w:tblPr>
        <w:tblW w:w="3929" w:type="dxa"/>
        <w:jc w:val="left"/>
        <w:tblInd w:w="0" w:type="dxa"/>
        <w:tblLayout w:type="fixed"/>
        <w:tblCellMar>
          <w:top w:w="28" w:type="dxa"/>
          <w:left w:w="28" w:type="dxa"/>
          <w:bottom w:w="28" w:type="dxa"/>
          <w:right w:w="28" w:type="dxa"/>
        </w:tblCellMar>
      </w:tblPr>
      <w:tblGrid>
        <w:gridCol w:w="960"/>
        <w:gridCol w:w="846"/>
        <w:gridCol w:w="848"/>
        <w:gridCol w:w="274"/>
        <w:gridCol w:w="801"/>
        <w:gridCol w:w="200"/>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no operating lease liabilities that had not commenced.</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wherein the Company is required to purchase the amounts forecasted in a blanket purchase order. The contractual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 future cash commitments and liabilities under agreements with third parties and exclude orders for goods and services entered into in the normal course of business that are not enforceable or legally binding. These outstanding commitments amounted to $0.4 million and $0.8 million as of June 30, 2023 and December 31, 2022, respectively.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8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periods presented:</w:t>
      </w:r>
    </w:p>
    <w:tbl>
      <w:tblPr>
        <w:tblW w:w="9431" w:type="dxa"/>
        <w:jc w:val="left"/>
        <w:tblInd w:w="0" w:type="dxa"/>
        <w:tblLayout w:type="fixed"/>
        <w:tblCellMar>
          <w:top w:w="28" w:type="dxa"/>
          <w:left w:w="28" w:type="dxa"/>
          <w:bottom w:w="28" w:type="dxa"/>
          <w:right w:w="28" w:type="dxa"/>
        </w:tblCellMar>
      </w:tblPr>
      <w:tblGrid>
        <w:gridCol w:w="2303"/>
        <w:gridCol w:w="2025"/>
        <w:gridCol w:w="2031"/>
        <w:gridCol w:w="234"/>
        <w:gridCol w:w="800"/>
        <w:gridCol w:w="121"/>
        <w:gridCol w:w="109"/>
        <w:gridCol w:w="109"/>
        <w:gridCol w:w="109"/>
        <w:gridCol w:w="309"/>
        <w:gridCol w:w="1056"/>
        <w:gridCol w:w="225"/>
      </w:tblGrid>
      <w:tr>
        <w:trPr/>
        <w:tc>
          <w:tcPr>
            <w:tcW w:w="230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 and final fee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Unaccreted value of final fee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fee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2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On January 6, 2023, the Company entered into a First Amendment to Loan and Security Agreement (the “Amendment”) with SVB, which amended the Company's SVB Term Loan pursuant to which the Company had a term loan facility in an aggregate principal amount of $35.0 million (the “Original Loan Agreement” and with the Amendment, collectively the “Amended Loan Agreement”). Upon entry into the Amended Loan Agreement, the Company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On March 14, 2023 all of SVB’s assets and liabilities, including all of SVB’s rights as the lender pursuant to the Amended Loan Agreement, were assigned to Silicon Valley Bridge Bank.</w:t>
      </w:r>
      <w:r>
        <w:rPr>
          <w:color w:val="000000"/>
        </w:rPr>
        <w:t xml:space="preserve"> </w:t>
      </w:r>
      <w:r>
        <w:rPr>
          <w:rFonts w:ascii="Times New Roman;sans-serif" w:hAnsi="Times New Roman;sans-serif"/>
          <w:b w:val="false"/>
          <w:color w:val="000000"/>
          <w:sz w:val="20"/>
        </w:rPr>
        <w:t xml:space="preserve">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the Company’s request. The Term Loan matures on December 1, 2027 (the “Term Loan Maturity Date”). Interest on the Term Loan will be payable monthly at a floating annual rate set at the greater of the prime rate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the Company does not maintain an adjusted quick ratio of at least 1.5 to 1.0, then falling below such threshold will allow First-Citizens to apply accounts receivable collections to outstanding Revolver borrowings. The Company will pay a total commitment fee of $187,500 on account of the Revolver payable in installments, but fully earned at close. The Company will also be required to pay a fee of $150,000 if it terminates the Amended Loan Agreement or Revolver prior to Revolver Maturity Date. No termination fee would be due if the Revolver is replaced with a new facility with First-Citizens. No amounts were outstanding under the Revolver as of June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Amended Loan Agreement as a debt modification. Accordingly, the remaining unamortized debt issuance costs related to the Original Loan Agreement together with any lender fees incurred in connection with the entry of the Amended Loan Agreement are amortized to interest expense using the straight-line method over the new term of the loan through December 2027.</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related to the First-Citizens Term Loan for the three and six months ended June 30, 2023 was 8.9% and 8.8%, respectively. The effective interest rate related to the SVB Term Loan for the three and six months ended June 30, 2022 was 6.9% and 6.6%, respectively.</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and final fee payments under the Fist-Citizens Term Loan as of June 30, 2023:</w:t>
      </w:r>
    </w:p>
    <w:tbl>
      <w:tblPr>
        <w:tblW w:w="4483" w:type="dxa"/>
        <w:jc w:val="left"/>
        <w:tblInd w:w="0" w:type="dxa"/>
        <w:tblLayout w:type="fixed"/>
        <w:tblCellMar>
          <w:top w:w="28" w:type="dxa"/>
          <w:left w:w="28" w:type="dxa"/>
          <w:bottom w:w="28" w:type="dxa"/>
          <w:right w:w="28" w:type="dxa"/>
        </w:tblCellMar>
      </w:tblPr>
      <w:tblGrid>
        <w:gridCol w:w="1161"/>
        <w:gridCol w:w="1022"/>
        <w:gridCol w:w="1026"/>
        <w:gridCol w:w="247"/>
        <w:gridCol w:w="847"/>
        <w:gridCol w:w="180"/>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and final fee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First-Citizens's security interest over the collateral, a material adverse change, the occurrence of a default under certain other indebtedness of the Company and its subsidiaries, the rendering of certain types of judgments against the Company and its subsidiaries, the revocation of certain government approvals, violation of covenants, and incorrectness of representations and warranties in any material respect. In addition, the Amended Loan Agreement contains a financial covenant which requires the Company to maintain, at all times when the Financial Covenant Measuring Period is in effect, certain net revenue levels as agreed upon by the Company and First-Citizens. If the Company does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Revolver, require the immediate payment of all amounts outstanding under the Amended Loan Agreement, and foreclose on all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the Company violated one of the terms of the credit facility by opening bank accounts with another financial institution and transferring funds from SVB. The Company entered into a letter agreement with Silicon Valley Bridge Bank waiving enforcement of this covenant and providing the Company the right to hold a portion of its cash at other financial institutions. A future violation of any covenants could result in a default under the Amended Loan Agreement that would permit First-Citizens to restrict the Company’s ability to further access the Revolving Line of Credit for loans and require the immediate repayment of any outstanding loans under the agreement. As of June 30, 2023, the Company was in compliance with all debt covenants, provided, however, that in order to access future credit advances under the Revolving Line of Credit, the Company will be required to transfer certain cash management accounts back to First-Citizens. As of June 30, 2023, the Company had cash management accounts with a financial institution other than First-Citizens and instructed its customers to direct payments to these separate operating accounts. Until such operating accounts are closed and the funds moved back to cash collateral accounts held at First-Citizens, the Company will be unable to obtain credit advances under the Revolver.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Incentive Compensation Plans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stock option activity for the six months ended June 30, 2023:</w:t>
      </w:r>
    </w:p>
    <w:tbl>
      <w:tblPr>
        <w:tblW w:w="6206" w:type="dxa"/>
        <w:jc w:val="left"/>
        <w:tblInd w:w="0" w:type="dxa"/>
        <w:tblLayout w:type="fixed"/>
        <w:tblCellMar>
          <w:top w:w="28" w:type="dxa"/>
          <w:left w:w="28" w:type="dxa"/>
          <w:bottom w:w="28" w:type="dxa"/>
          <w:right w:w="28" w:type="dxa"/>
        </w:tblCellMar>
      </w:tblPr>
      <w:tblGrid>
        <w:gridCol w:w="1180"/>
        <w:gridCol w:w="1036"/>
        <w:gridCol w:w="1039"/>
        <w:gridCol w:w="109"/>
        <w:gridCol w:w="109"/>
        <w:gridCol w:w="109"/>
        <w:gridCol w:w="488"/>
        <w:gridCol w:w="488"/>
        <w:gridCol w:w="331"/>
        <w:gridCol w:w="109"/>
        <w:gridCol w:w="109"/>
        <w:gridCol w:w="109"/>
        <w:gridCol w:w="290"/>
        <w:gridCol w:w="290"/>
        <w:gridCol w:w="410"/>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Exercise </w:t>
              <w:br/>
              <w:t>Price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(618,192)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21.23</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1,269,147 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10.57</w:t>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unrecognized compensation cost related to stock options is insignificant and is expected to be recognized over a period of approximately 0.1 years.</w: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three and six months ended June 30, 2023 and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40"/>
        <w:ind w:left="0" w:right="0" w:firstLine="495"/>
        <w:jc w:val="both"/>
        <w:rPr/>
      </w:pPr>
      <w:r>
        <w:rPr>
          <w:rFonts w:ascii="Times New Roman;sans-serif" w:hAnsi="Times New Roman;sans-serif"/>
          <w:b w:val="false"/>
          <w:color w:val="000000"/>
          <w:sz w:val="20"/>
        </w:rPr>
        <w:t>RSUs are share awards that entitle the holder to receive freely tradable shares of the Company’s common stock upon vesting. RSUs generally vest over two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As of June 30, 2023, the unr</w:t>
      </w:r>
      <w:r>
        <w:rPr>
          <w:rFonts w:ascii="Times New Roman;sans-serif" w:hAnsi="Times New Roman;sans-serif"/>
          <w:b w:val="false"/>
          <w:color w:val="000000"/>
          <w:sz w:val="20"/>
          <w:shd w:fill="FFFFFF" w:val="clear"/>
        </w:rPr>
        <w:t xml:space="preserve">ecognized compensation cost related to the RSUs was $38.4 million, which is expected to be recognized over a period of approximately 2.6 years.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175"/>
        <w:gridCol w:w="1016"/>
        <w:gridCol w:w="1019"/>
        <w:gridCol w:w="109"/>
        <w:gridCol w:w="109"/>
        <w:gridCol w:w="109"/>
        <w:gridCol w:w="109"/>
        <w:gridCol w:w="109"/>
        <w:gridCol w:w="109"/>
        <w:gridCol w:w="492"/>
        <w:gridCol w:w="271"/>
        <w:gridCol w:w="507"/>
        <w:gridCol w:w="196"/>
        <w:gridCol w:w="619"/>
        <w:gridCol w:w="196"/>
        <w:gridCol w:w="196"/>
        <w:gridCol w:w="196"/>
        <w:gridCol w:w="209"/>
        <w:gridCol w:w="203"/>
        <w:gridCol w:w="198"/>
        <w:gridCol w:w="109"/>
        <w:gridCol w:w="109"/>
        <w:gridCol w:w="109"/>
        <w:gridCol w:w="240"/>
        <w:gridCol w:w="239"/>
        <w:gridCol w:w="236"/>
        <w:gridCol w:w="109"/>
        <w:gridCol w:w="109"/>
        <w:gridCol w:w="109"/>
        <w:gridCol w:w="210"/>
        <w:gridCol w:w="203"/>
        <w:gridCol w:w="198"/>
        <w:gridCol w:w="109"/>
        <w:gridCol w:w="109"/>
        <w:gridCol w:w="109"/>
        <w:gridCol w:w="215"/>
        <w:gridCol w:w="215"/>
        <w:gridCol w:w="321"/>
      </w:tblGrid>
      <w:tr>
        <w:trPr/>
        <w:tc>
          <w:tcPr>
            <w:tcW w:w="117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June 30, </w:t>
            </w:r>
          </w:p>
        </w:tc>
        <w:tc>
          <w:tcPr>
            <w:tcW w:w="3058" w:type="dxa"/>
            <w:gridSpan w:val="18"/>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5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78" w:type="dxa"/>
            <w:gridSpan w:val="6"/>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78" w:type="dxa"/>
            <w:gridSpan w:val="6"/>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58"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40"/>
        <w:ind w:left="0" w:right="0" w:firstLine="495"/>
        <w:jc w:val="both"/>
        <w:rPr/>
      </w:pPr>
      <w:r>
        <w:rPr>
          <w:rFonts w:ascii="Times New Roman;sans-serif" w:hAnsi="Times New Roman;sans-serif"/>
          <w:b w:val="false"/>
          <w:color w:val="000000"/>
          <w:sz w:val="20"/>
          <w:shd w:fill="FFFFFF" w:val="clear"/>
        </w:rPr>
        <w:t xml:space="preserve">As of June 30, 2023, the unrecognized compensation cost related to the PSUs was $3.4 million, which is expected to </w:t>
      </w:r>
      <w:r>
        <w:rPr>
          <w:rFonts w:ascii="Times New Roman;sans-serif" w:hAnsi="Times New Roman;sans-serif"/>
          <w:b w:val="false"/>
          <w:color w:val="000000"/>
          <w:sz w:val="20"/>
        </w:rPr>
        <w:t>be recognized over a period of approximately 2.2 years.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RSU and PSU activity for the six months ended June 30, 2023:</w:t>
      </w:r>
    </w:p>
    <w:tbl>
      <w:tblPr>
        <w:tblW w:w="10205" w:type="dxa"/>
        <w:jc w:val="left"/>
        <w:tblInd w:w="0" w:type="dxa"/>
        <w:tblLayout w:type="fixed"/>
        <w:tblCellMar>
          <w:top w:w="28" w:type="dxa"/>
          <w:left w:w="28" w:type="dxa"/>
          <w:bottom w:w="28" w:type="dxa"/>
          <w:right w:w="28" w:type="dxa"/>
        </w:tblCellMar>
      </w:tblPr>
      <w:tblGrid>
        <w:gridCol w:w="813"/>
        <w:gridCol w:w="714"/>
        <w:gridCol w:w="716"/>
        <w:gridCol w:w="109"/>
        <w:gridCol w:w="109"/>
        <w:gridCol w:w="109"/>
        <w:gridCol w:w="468"/>
        <w:gridCol w:w="381"/>
        <w:gridCol w:w="383"/>
        <w:gridCol w:w="109"/>
        <w:gridCol w:w="109"/>
        <w:gridCol w:w="109"/>
        <w:gridCol w:w="701"/>
        <w:gridCol w:w="701"/>
        <w:gridCol w:w="703"/>
        <w:gridCol w:w="109"/>
        <w:gridCol w:w="109"/>
        <w:gridCol w:w="109"/>
        <w:gridCol w:w="396"/>
        <w:gridCol w:w="381"/>
        <w:gridCol w:w="383"/>
        <w:gridCol w:w="109"/>
        <w:gridCol w:w="109"/>
        <w:gridCol w:w="109"/>
        <w:gridCol w:w="628"/>
        <w:gridCol w:w="628"/>
        <w:gridCol w:w="901"/>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1,794,928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1,138,406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12.33</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(490,097)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2,320,750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14.74</w:t>
            </w:r>
          </w:p>
        </w:tc>
      </w:tr>
    </w:tbl>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The fair value of the ESPP shares is estimated using the Black-Scholes option pricing model, which is being amortized over the requisite service period. The Company issued </w:t>
      </w:r>
      <w:r>
        <w:rPr>
          <w:rFonts w:ascii="Times New Roman;sans-serif" w:hAnsi="Times New Roman;sans-serif"/>
          <w:b w:val="false"/>
          <w:color w:val="000000"/>
          <w:sz w:val="20"/>
          <w:shd w:fill="FFFFFF" w:val="clear"/>
        </w:rPr>
        <w:t>130,867</w:t>
      </w:r>
      <w:r>
        <w:rPr>
          <w:color w:val="000000"/>
        </w:rPr>
        <w:t xml:space="preserve"> </w:t>
      </w:r>
      <w:r>
        <w:rPr>
          <w:rFonts w:ascii="Times New Roman;sans-serif" w:hAnsi="Times New Roman;sans-serif"/>
          <w:b w:val="false"/>
          <w:color w:val="000000"/>
          <w:sz w:val="20"/>
        </w:rPr>
        <w:t xml:space="preserve">and 112,773 shares under ESPP, representing approximately $1.5 million and $1.2 million in employee contributions for the six months ended June 30, 2023 and 2022, respectively. As of June 30, 2023 and December 31, 2022, total accumulated ESPP related employee payroll deductions amounted to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 xml:space="preserve">and $0.3 million, respectively, which were included within accrued compensation and related expenses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 of stock-based compensation expense amounts included in the condensed consolidated statements of operations:</w:t>
      </w:r>
    </w:p>
    <w:tbl>
      <w:tblPr>
        <w:tblW w:w="7616" w:type="dxa"/>
        <w:jc w:val="left"/>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a warrant holder exercised warrants, and the Company issued 22,603 net shares of common stock through a cashless exercise of the warrants in accordance with the conversion terms. The table below summarizes common stock warrants activity for the six months ended June 30, 2023:</w:t>
      </w:r>
    </w:p>
    <w:tbl>
      <w:tblPr>
        <w:tblW w:w="10205" w:type="dxa"/>
        <w:jc w:val="left"/>
        <w:tblInd w:w="0" w:type="dxa"/>
        <w:tblLayout w:type="fixed"/>
        <w:tblCellMar>
          <w:top w:w="28" w:type="dxa"/>
          <w:left w:w="28" w:type="dxa"/>
          <w:bottom w:w="28" w:type="dxa"/>
          <w:right w:w="28" w:type="dxa"/>
        </w:tblCellMar>
      </w:tblPr>
      <w:tblGrid>
        <w:gridCol w:w="291"/>
        <w:gridCol w:w="256"/>
        <w:gridCol w:w="258"/>
        <w:gridCol w:w="109"/>
        <w:gridCol w:w="109"/>
        <w:gridCol w:w="109"/>
        <w:gridCol w:w="311"/>
        <w:gridCol w:w="311"/>
        <w:gridCol w:w="312"/>
        <w:gridCol w:w="109"/>
        <w:gridCol w:w="109"/>
        <w:gridCol w:w="109"/>
        <w:gridCol w:w="488"/>
        <w:gridCol w:w="386"/>
        <w:gridCol w:w="387"/>
        <w:gridCol w:w="109"/>
        <w:gridCol w:w="109"/>
        <w:gridCol w:w="109"/>
        <w:gridCol w:w="213"/>
        <w:gridCol w:w="623"/>
        <w:gridCol w:w="110"/>
        <w:gridCol w:w="109"/>
        <w:gridCol w:w="109"/>
        <w:gridCol w:w="109"/>
        <w:gridCol w:w="291"/>
        <w:gridCol w:w="291"/>
        <w:gridCol w:w="292"/>
        <w:gridCol w:w="109"/>
        <w:gridCol w:w="109"/>
        <w:gridCol w:w="109"/>
        <w:gridCol w:w="458"/>
        <w:gridCol w:w="288"/>
        <w:gridCol w:w="289"/>
        <w:gridCol w:w="109"/>
        <w:gridCol w:w="109"/>
        <w:gridCol w:w="109"/>
        <w:gridCol w:w="267"/>
        <w:gridCol w:w="267"/>
        <w:gridCol w:w="268"/>
        <w:gridCol w:w="109"/>
        <w:gridCol w:w="109"/>
        <w:gridCol w:w="109"/>
        <w:gridCol w:w="408"/>
        <w:gridCol w:w="348"/>
        <w:gridCol w:w="503"/>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June 30, 2023</w:t>
            </w:r>
          </w:p>
        </w:tc>
      </w:tr>
      <w:tr>
        <w:trPr/>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Net Loss Per Share of Common Stock</w:t>
      </w:r>
    </w:p>
    <w:p>
      <w:pPr>
        <w:pStyle w:val="TextBody"/>
        <w:bidi w:val="0"/>
        <w:spacing w:lineRule="auto" w:line="288" w:before="240" w:after="24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602"/>
        <w:gridCol w:w="1406"/>
        <w:gridCol w:w="1410"/>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6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37,864,185 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34,052,692 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36,399,309 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33,923,229 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7060"/>
                <wp:effectExtent l="0" t="0" r="0" b="0"/>
                <wp:wrapNone/>
                <wp:docPr id="22" name="Frame2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8714" w:type="dxa"/>
        <w:jc w:val="left"/>
        <w:tblInd w:w="0" w:type="dxa"/>
        <w:tblLayout w:type="fixed"/>
        <w:tblCellMar>
          <w:top w:w="28" w:type="dxa"/>
          <w:left w:w="28" w:type="dxa"/>
          <w:bottom w:w="28" w:type="dxa"/>
          <w:right w:w="28" w:type="dxa"/>
        </w:tblCellMar>
      </w:tblPr>
      <w:tblGrid>
        <w:gridCol w:w="748"/>
        <w:gridCol w:w="659"/>
        <w:gridCol w:w="662"/>
        <w:gridCol w:w="678"/>
        <w:gridCol w:w="298"/>
        <w:gridCol w:w="271"/>
        <w:gridCol w:w="271"/>
        <w:gridCol w:w="271"/>
        <w:gridCol w:w="271"/>
        <w:gridCol w:w="678"/>
        <w:gridCol w:w="298"/>
        <w:gridCol w:w="271"/>
        <w:gridCol w:w="109"/>
        <w:gridCol w:w="109"/>
        <w:gridCol w:w="109"/>
        <w:gridCol w:w="483"/>
        <w:gridCol w:w="242"/>
        <w:gridCol w:w="242"/>
        <w:gridCol w:w="242"/>
        <w:gridCol w:w="242"/>
        <w:gridCol w:w="242"/>
        <w:gridCol w:w="661"/>
        <w:gridCol w:w="315"/>
        <w:gridCol w:w="342"/>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1,269,147</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1,269,147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1,956,017 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2,320,750</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2,320,750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2,172,377 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38,727</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3,713,763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4,306,204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 </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2020, the Company entered into a joint development agreement (the “Development Agreement”) with SeaSpine Orthopedics Corporation (“SeaSpine”), which merged with Orthofix Medical, Inc.,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six months ended June 30, 2023, the Company did not incur any</w:t>
      </w:r>
      <w:r>
        <w:rPr>
          <w:color w:val="000000"/>
          <w:shd w:fill="FFFFFF" w:val="clear"/>
        </w:rPr>
        <w:t xml:space="preserve"> </w:t>
      </w:r>
      <w:r>
        <w:rPr>
          <w:rFonts w:ascii="Times New Roman;sans-serif" w:hAnsi="Times New Roman;sans-serif"/>
          <w:b w:val="false"/>
          <w:color w:val="000000"/>
          <w:sz w:val="20"/>
          <w:shd w:fill="FFFFFF" w:val="clear"/>
        </w:rPr>
        <w:t>reimbursement charges from SeaSpine. For the six months ended June 30, 2022, the Company expensed approximately $6,000 of the reimbursement charges from SeaSpine. The reimbursement charges were recorded within research and development expense in the condensed consolidated statements of operations</w:t>
      </w:r>
      <w:r>
        <w:rPr>
          <w:rFonts w:ascii="Times New Roman;sans-serif" w:hAnsi="Times New Roman;sans-serif"/>
          <w:b w:val="false"/>
          <w:color w:val="000000"/>
          <w:sz w:val="20"/>
        </w:rPr>
        <w:t xml:space="preserve">. </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rPr>
        <w:t xml:space="preserve">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w:t>
      </w:r>
      <w:r>
        <w:rPr>
          <w:rFonts w:ascii="Times New Roman;sans-serif" w:hAnsi="Times New Roman;sans-serif"/>
          <w:b w:val="false"/>
          <w:color w:val="000000"/>
          <w:sz w:val="20"/>
          <w:shd w:fill="FFFFFF" w:val="clear"/>
        </w:rPr>
        <w:t>expiration of all royalty terms, unless earlier terminated by either party, as provided for by the Development Agreement. The Company recorded $0.1 million of royalty for the three and six months ended June 30, 2023. The Company recorded an immaterial amount of royalty for the three and six months ended June 30, 2022.</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shd w:fill="FFFFFF" w:val="clear"/>
        </w:rPr>
        <w:t>The outstanding liability to SeaSpine as of June 30, 2023 and December 31, 2022 was both approximately $0.1 million, and was recorded</w:t>
      </w:r>
      <w:r>
        <w:rPr>
          <w:color w:val="000000"/>
        </w:rPr>
        <w:t xml:space="preserve"> </w:t>
      </w:r>
      <w:r>
        <w:rPr>
          <w:rFonts w:ascii="Times New Roman;sans-serif" w:hAnsi="Times New Roman;sans-serif"/>
          <w:b w:val="false"/>
          <w:color w:val="000000"/>
          <w:sz w:val="20"/>
        </w:rPr>
        <w:t xml:space="preserve">within accrued liabilities and other in the condensed consolidated balance sheet.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7060"/>
                <wp:effectExtent l="0" t="0" r="0" b="0"/>
                <wp:wrapNone/>
                <wp:docPr id="23" name="Frame2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2023 and 2022. The Company continues to maintain a full valuation allowance against its net deferred tax assets due to the uncertainty surrounding realization of such assets.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an Organization for Economic Co-operation and Development Inclusive Framework, countries that agreed to enact a two-pillar solution aim to address the challenges arising from the digitalization of the world economy (Pillar Two). Pillar Two sets out a global minimum Effective Tax Rate (ETR) rules to ensure that large multinational businesses with consolidated revenue over €750M are subject to a minimum ETR of 15% on income arising in low-tax jurisdictions. Rules under Pillar Two are expected to be enacted beginning January 1, 2024. The Company will continue to monitor the impact of Pillar Two; however, the Pillar Two is currently not applicable as the Company does not meet the threshold of having consolidated revenue over €750M.</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compared to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2,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this Quarterly Report on Form 10-Q,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iFuse, iFuse-3D and iFuse-TORQ have clearances for applications across sacroiliac joint dysfunction and fusion, adult deformity and degeneration, and pelvic trauma. </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in the U.S., and with a combination of a direct sales force, and sales agents and resellers in other countries. As of June 30, 2023, more than 85,000 procedures have been performed by over 3,300 surgeons in the United States and 38 other countries since we introduced iFuse in 2009. </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from the offering of 3,775,000 shares of our common stock, and the exercise of underwriter's option to purchase an additional 566,250 shares of our common stock, at a public offering price of $22.00 per share. Of these shares, 272,753 shares were offered by the selling stockholder, and we did not receive any proceeds from the sale by the selling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COVID-19 pandemic, and the healthcare and economic disruptions it caused, may continue to pose future risks with the emergence of new variants. Even with the public health actions that have been taken to reduce the spread of the virus, the market could experience disruptions with respect to demand for our procedures, or the ability of healthcare facilities to provide our elective procedures to patients.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Elevated infection rates and measures taken to reduce infection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2022 as evidenced by case deferrals attributed to COVID-19.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existence and further duration of the COVID-19 pandemic may also further exacerbate certain risks as described in “Part II- Item 1A - Risk Factors”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surgeon penetration, launch new products, address human capital needs and gain operational efficiencies. </w:t>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surgeon engagement and deliver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consigning instrument trays and implants at selective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consigned to customer facilities. As we grow, and as adoption of our solutions continues to mature, our overall surgical capacity may become an important driver of the amount of revenue that we can generate.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U.S. sales force consisted of 85 territory sales managers and 66 clinical support specialists directly employed by us and 141 third-party sales agents, compared to 85 territory sales managers and 76 clinical support specialists directly employed by us and 73 third-party sales agents as of June 30, 2022. As of June 30, 2023, our international sales force consisted of 12 sales representatives directly employed by us and a total of 31 third-party sales agents and resellers, compared to 18 sales representatives directly employed by us and a total of 30 third-party sales agents and resellers as of June 30, 2022.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steady increase in the numbers of minimally invasive procedures, including sacroiliac joint fusion procedures, being performed at ASCs, we continue to actively engage the ASCs to educate them on our clinical evidence, exclusive commercial payor coverage and focus on driving improved education and pathways between pain physicians and surgeons. As of June 30, 2023, over 20 percent of procedures for sacroiliac joint dysfunction using our products were performed at ASCs.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surgeons in their area who perform minimally invasive SI-Joint procedures through our Find-a-Doctor website tool. Through a variety of channels, including search, social and display, we have deployed a number of campaigns and are continually optimizing to maximize patient awareness and to connect patients with surgeons. Our data-driven approach enables us to focus our investment on the most cost-effective programs. </w:t>
      </w:r>
    </w:p>
    <w:p>
      <w:pPr>
        <w:pStyle w:val="TextBody"/>
        <w:bidi w:val="0"/>
        <w:spacing w:lineRule="auto" w:line="288" w:before="24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Surgeon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surgeons and other healthcare professionals about the clinical merits and patient benefits of our solutions will be important to grow surgeon adoption. Our medical affairs team works closely with our sales team to increase surgeon engagement and activation. Surgeon activity includes both the number of surgeons performing our procedures as well as the number of procedures performed per surgeon. In addition to training new surgeons, we have several initiatives to re-engage inactive surgeons.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combination of hands-on cadaveric and dry-lab training, as well as SI-BONE SImulator - a portable, radiation-free, haptics and computer-based simulator for training purposes, and optimize our programs to improve adoption rate, time to first case and ultimately surgeon productivity.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2022, in the U.S. more than 2,400 and 1,900 surgeons, respectively, have been trained on our solutions and have treated at least one patient. Outside the U.S., as of June 30, 2023 and 2022, more than 940 and 800 surgeons, respectively, have been trained on iFuse and have treated at least one patient. We will continue to pursue approximately 5,100 target surgeons in the U.S., as well as international surgeons to train and retrain in the future. Since launching our academic training program in August 2018, we have trained residents and fellows in over 220 academic programs in the U.S., resulting in the training of over 1,400 surgical residents and fellows.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surgeons with a comprehensive set of alternatives, and positions us as the top choice for surgeons for sacropelvic solutions. We also offer an allograft bone implant called iFuse-Bone for surgeons who believe that this kind of implant can be important to obtaining fusion.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completed enrollment in SILVIA, a two-year prospective international multi center randomized controlled trial of two different methods for pelvic fixation in adult patients undergoing long-construct spinal fusion. We anticipate the results for the primary endpoint in 2024.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 We are working with a select group of physicians on STACI, a prospective study on the use of iFuse TORQ in patients with sacroiliac joint dysfunction. The purpose of STACI is to provide post-market information on the safety and effectiveness of minimally invasive sacroiliac joint fusion procedures performed with TORQ.</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R&amp;D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six months ended June 30, 2023, we spent $6.9 million on R&amp;D, equating to 11% of our revenue.</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recruit, develop and retain highly skilled talent is a significant determinant of our success. To facilitate talent attraction, retention, and development, we strive to make SI-BONE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 which they live and work.</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as well as fair and equitable pay to our employees, we remain focused on enhancing employee retention and job satisfaction. To that effect, we have created a feedback framework to monitor and respond to employee sentiment on an ongoing basis. Leveraging the insights from this feedback, we are focused on implementing strategies to enhance productivity and increase employee empowerment to drive quick decision making and prioritization across the organization. Additionally, we offer ongoing learning and leadership training opportunities that support growth and development. In 2022 we conducted a formal management training program and implemented a new career development program which includes a formalized framework that reflects how an employee can advance their career within the company. Through our engagement programs and voluntary and giving activities, we are also focused on building connections between our employees, their families, and our communities to create a more meaningful and fulfilling workplace. We experienced a decrease in voluntary employee attrition during 2022, which we believe was at least in part to due to our actions to improve employee experience.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our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At the end of June 30, 2023, our trailing twelve-month average revenue per territory in the U.S. was approximately $1.4 million dollars.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have made significant investments in instrument sets used to perform surgeries. Our goal is to deploy instrument sets to the market where the demand exists to increase our asset utilization rates over time and use capital more effectively by having our instrument sets used in more surgeries in any given time period. Given supply chain disruptions impacting the industry, we are working closely with our suppliers to reduce lead time for our implants to ensure we can support our expanding surgeon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seasonality, and the impact of COVID-19.</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insurance coverage limits. However, taken as a whole, seasonality does not have a material impact on our financial results from year to year.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March 2020, the impact of COVID-19 on our revenue has varied by period and region based on various factors, including stage of containment, resurgence of variants, success of regional vaccination campaigns, and associated government and hospital actions around elective procedures, and the direct and indirect impacts of economic and financial measures taken to mitigate the economic impacts of the pandemic.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third-party manufacturers for production of our implants and instrument sets. Cost of goods sold consists primarily of costs of the components of implants and instruments, instrument set depreciation, royalties, scrap and inventory obsolescence, as well as distribution-related expenses such as logistics and shipping costs. Our cost of goods sold has historically increased as case levels increase.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sales agents. </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Term Loan.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accompanying condensed consolidated financial statements:</w:t>
      </w:r>
    </w:p>
    <w:tbl>
      <w:tblPr>
        <w:tblW w:w="10797" w:type="dxa"/>
        <w:jc w:val="left"/>
        <w:tblInd w:w="0" w:type="dxa"/>
        <w:tblLayout w:type="fixed"/>
        <w:tblCellMar>
          <w:top w:w="28" w:type="dxa"/>
          <w:left w:w="28" w:type="dxa"/>
          <w:bottom w:w="28" w:type="dxa"/>
          <w:right w:w="28" w:type="dxa"/>
        </w:tblCellMar>
      </w:tblPr>
      <w:tblGrid>
        <w:gridCol w:w="745"/>
        <w:gridCol w:w="277"/>
        <w:gridCol w:w="26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316"/>
      </w:tblGrid>
      <w:tr>
        <w:trPr/>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41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U.S. Revenue by geography is based on billing address of the customer. The table below summarizes our revenue by geography:</w:t>
      </w:r>
    </w:p>
    <w:tbl>
      <w:tblPr>
        <w:tblW w:w="10617" w:type="dxa"/>
        <w:jc w:val="left"/>
        <w:tblInd w:w="0" w:type="dxa"/>
        <w:tblLayout w:type="fixed"/>
        <w:tblCellMar>
          <w:top w:w="28" w:type="dxa"/>
          <w:left w:w="28" w:type="dxa"/>
          <w:bottom w:w="28" w:type="dxa"/>
          <w:right w:w="28" w:type="dxa"/>
        </w:tblCellMar>
      </w:tblPr>
      <w:tblGrid>
        <w:gridCol w:w="435"/>
        <w:gridCol w:w="381"/>
        <w:gridCol w:w="355"/>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3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June 30, 2023 and 2022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6934"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85"/>
        <w:gridCol w:w="285"/>
        <w:gridCol w:w="40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three months ended June 30, 2023 as compared to the three months ended June 30, 2022 comprised a $7.4 million increase in our U.S. revenue and an increase of $0.3 million in our international revenue. The increase in revenue is due to the increase in case volumes and higher domestic average selling prices.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Gross profit increased $4.9 million for the three months ended June 30, 2023 as compared to the three months ended June 30, 2022, mainly driven by higher revenue. The gross margin was 81% for the three months ended June 30, 2023 as compared to 86% for the three months ended June 30, 2022. Gross margin decreased in the second quarter 2023 due to procedure and product mix given the higher total costs of iFuse-TORQ and iFuse Bedrock Granite implants and the increase in depreciation costs to support the growth of the business.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393" w:type="dxa"/>
        <w:jc w:val="left"/>
        <w:tblInd w:w="0" w:type="dxa"/>
        <w:tblLayout w:type="fixed"/>
        <w:tblCellMar>
          <w:top w:w="28" w:type="dxa"/>
          <w:left w:w="28" w:type="dxa"/>
          <w:bottom w:w="28" w:type="dxa"/>
          <w:right w:w="28" w:type="dxa"/>
        </w:tblCellMar>
      </w:tblPr>
      <w:tblGrid>
        <w:gridCol w:w="836"/>
        <w:gridCol w:w="736"/>
        <w:gridCol w:w="738"/>
        <w:gridCol w:w="214"/>
        <w:gridCol w:w="732"/>
        <w:gridCol w:w="110"/>
        <w:gridCol w:w="110"/>
        <w:gridCol w:w="110"/>
        <w:gridCol w:w="110"/>
        <w:gridCol w:w="214"/>
        <w:gridCol w:w="732"/>
        <w:gridCol w:w="110"/>
        <w:gridCol w:w="109"/>
        <w:gridCol w:w="109"/>
        <w:gridCol w:w="109"/>
        <w:gridCol w:w="211"/>
        <w:gridCol w:w="691"/>
        <w:gridCol w:w="109"/>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The decrease in sales and marketing expenses for the three months ended June 30, 2023 as compared to the three months ended June 30, 2022 was primarily due to timing of commercial activities resulting in a decrease of $1.4 million.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three months ended June 30, 2023 compared to the three months ended June 30, 2022 was primarily due to an increase of $0.1 million in employee related costs and stock-based compensation.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three months ended June 30, 2023 compared to the three months ended June 30, 2022 was primarily due to an increase of $0.3 million in employee related costs and stock-based compensation driven by higher headcount, partially offset by a decrease of $0.2 million in consulting, legal fees and insurance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00" w:after="240"/>
        <w:jc w:val="left"/>
        <w:rPr/>
      </w:pPr>
      <w:r>
        <w:rPr>
          <w:rFonts w:ascii="Times New Roman;sans-serif" w:hAnsi="Times New Roman;sans-serif"/>
          <w:b/>
          <w:i/>
          <w:color w:val="000000"/>
          <w:sz w:val="20"/>
        </w:rPr>
        <w:t>Interest and Other Income (Expense), Net</w:t>
      </w:r>
      <w:r>
        <w:rPr>
          <w:rFonts w:ascii="Times New Roman;sans-serif" w:hAnsi="Times New Roman;sans-serif"/>
          <w:b w:val="false"/>
          <w:color w:val="000000"/>
          <w:sz w:val="20"/>
        </w:rPr>
        <w:t xml:space="preserve">: </w:t>
      </w:r>
    </w:p>
    <w:tbl>
      <w:tblPr>
        <w:tblW w:w="8205" w:type="dxa"/>
        <w:jc w:val="left"/>
        <w:tblInd w:w="0" w:type="dxa"/>
        <w:tblLayout w:type="fixed"/>
        <w:tblCellMar>
          <w:top w:w="28" w:type="dxa"/>
          <w:left w:w="28" w:type="dxa"/>
          <w:bottom w:w="28" w:type="dxa"/>
          <w:right w:w="28" w:type="dxa"/>
        </w:tblCellMar>
      </w:tblPr>
      <w:tblGrid>
        <w:gridCol w:w="1108"/>
        <w:gridCol w:w="974"/>
        <w:gridCol w:w="977"/>
        <w:gridCol w:w="242"/>
        <w:gridCol w:w="709"/>
        <w:gridCol w:w="125"/>
        <w:gridCol w:w="125"/>
        <w:gridCol w:w="125"/>
        <w:gridCol w:w="125"/>
        <w:gridCol w:w="242"/>
        <w:gridCol w:w="623"/>
        <w:gridCol w:w="125"/>
        <w:gridCol w:w="109"/>
        <w:gridCol w:w="109"/>
        <w:gridCol w:w="109"/>
        <w:gridCol w:w="211"/>
        <w:gridCol w:w="616"/>
        <w:gridCol w:w="109"/>
        <w:gridCol w:w="109"/>
        <w:gridCol w:w="109"/>
        <w:gridCol w:w="109"/>
        <w:gridCol w:w="285"/>
        <w:gridCol w:w="286"/>
        <w:gridCol w:w="54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three months ended June 30, 2023 as compared to the three months ended June 30, 2022 was mainly due to higher interest earned, primarily as a result of higher interest rates and higher cash and investments balance resulting from the net proceeds received from the offering of our common stock in May 2023.</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three months ended June 30, 2023 as compared to the three months ended June 30, 2022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three months ended June 30, 2023 compared to the three months ended June 30, 2022 was due to foreign currency fluctuations.</w:t>
      </w:r>
    </w:p>
    <w:p>
      <w:pPr>
        <w:pStyle w:val="TextBody"/>
        <w:bidi w:val="0"/>
        <w:spacing w:lineRule="auto" w:line="288" w:before="24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Six Months Ended June 30, 2023 and 2022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039"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six months ended June 30, 2023 as compared to the six months ended June 30, 2022 comprised a $17.5 increase in our U.S. revenue and an increase of 0.5 million in our international revenue. The increase in revenue is due to the increase in case volumes and higher domestic average selling prices.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 xml:space="preserve">Gross profit increased $12.2 million for the six months ended June 30, 2023 as compared to the six months ended June 30, 2022, mainly driven by higher revenue. The gross margin was 81% for the six months ended June 30, 2023 as compared to 87% for the six months ended June 30, 2022. Gross margin decreased due to procedure and product mix given the higher total costs of iFuse-TORQ and iFuse Bedrock Granite implants and the increase in depreciation and freight costs to support the growth of the business.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190"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225"/>
        <w:gridCol w:w="498"/>
        <w:gridCol w:w="118"/>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 xml:space="preserve">The increase in sales and marketing expenses for the six months ended June 30, 2023 as compared to the six months ended June 30, 2022 was primarily due to (a) an increase of $1.7 million in employee 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commissions and stock-based compensation driven by higher revenues, partially offset by (b) timing of certain commercial activity resulting in a decrease of $1.3 million.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decrease in research and development expenses for the six months ended June 30, 2023 compared to the six months ended June 30, 2022 was primarily due to a decrease of $0.4 million in consulting and research and development activities related to the timing of new product development, partially offset by an increase of $0.3 million in employee related costs and stock-based compensation.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xml:space="preserve">. The increase in general and administrative expenses for the six months ended June 30, 2023 compared to the six months ended June 30, 2022 was primarily due to an increase of $0.8 million in employee related costs and stock-based compensation driven by higher headcount, partially offset by a decrease of $0.3 million in consulting and insurance costs. </w:t>
      </w:r>
    </w:p>
    <w:tbl>
      <w:tblPr>
        <w:tblW w:w="8401" w:type="dxa"/>
        <w:jc w:val="left"/>
        <w:tblInd w:w="0" w:type="dxa"/>
        <w:tblLayout w:type="fixed"/>
        <w:tblCellMar>
          <w:top w:w="28" w:type="dxa"/>
          <w:left w:w="28" w:type="dxa"/>
          <w:bottom w:w="28" w:type="dxa"/>
          <w:right w:w="28" w:type="dxa"/>
        </w:tblCellMar>
      </w:tblPr>
      <w:tblGrid>
        <w:gridCol w:w="1108"/>
        <w:gridCol w:w="974"/>
        <w:gridCol w:w="977"/>
        <w:gridCol w:w="245"/>
        <w:gridCol w:w="715"/>
        <w:gridCol w:w="126"/>
        <w:gridCol w:w="126"/>
        <w:gridCol w:w="126"/>
        <w:gridCol w:w="126"/>
        <w:gridCol w:w="245"/>
        <w:gridCol w:w="802"/>
        <w:gridCol w:w="126"/>
        <w:gridCol w:w="109"/>
        <w:gridCol w:w="109"/>
        <w:gridCol w:w="109"/>
        <w:gridCol w:w="211"/>
        <w:gridCol w:w="616"/>
        <w:gridCol w:w="109"/>
        <w:gridCol w:w="109"/>
        <w:gridCol w:w="109"/>
        <w:gridCol w:w="109"/>
        <w:gridCol w:w="285"/>
        <w:gridCol w:w="286"/>
        <w:gridCol w:w="54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six months ended June 30, 2023 as compared to the six months ended June 30, 2022 was mainly due to higher interest earned, primarily as a result of higher interest rates and higher cash and investments balance resulting from the net proceeds received from the offering of our common stock in May 2023.</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six months ended June 30, 2023 as compared to the six months ended June 30, 2022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six months ended June 30, 2023 compared to the six months ended June 30, 2022 was due to foreign currency fluctuations.</w:t>
      </w:r>
    </w:p>
    <w:p>
      <w:pPr>
        <w:pStyle w:val="TextBody"/>
        <w:bidi w:val="0"/>
        <w:spacing w:before="36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and marketable securities of $169.4 million compared to $97.3 million as of December 31, 2022. We have financed our operations primarily through our public offerings and debt financing arrangements. As of June 30, 2023, we had $36.0 million in outstanding debt, compared to $35.2 million as of December 31, 2022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had an accumulated deficit of $379.4 million, compared to $357.1 million as of December 31, 2022. During the six months ended June 30, 2023, we incurred a net loss of $22.3 million. During the years ended December 31, 2022 and 2021, we incurred a net loss of $61.3 million and $56.6 million, respectively, and expect to incur additional losses in the future. We have not achieved positive cash flow from operations to date.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after deducting the underwriting discounts and commissions from the public offering of our common stock.</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Based upon our current operating plan, we believe that our existing cash and marketable securities will enable us to fund our operating expenses and capital expenditure requirements over the next 12 months and beyond. However, the economic impact of the duration and potential resurgence of the COVID-19 pandemic and uncertainties affecting the economic and capital markets environment and the financial services industry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ans-serif" w:hAnsi="Times New Roman;sans-serif"/>
          <w:b w:val="false"/>
          <w:color w:val="000000"/>
          <w:sz w:val="20"/>
        </w:rPr>
        <w:t>In addition, as we seek to deploy new product offerings, the need for additional capital to fund the purchase of inventories of implants and instrument sets may become more acute and may limit the number of revenue opportunities that we pursue.</w:t>
      </w:r>
      <w:r>
        <w:rPr>
          <w:color w:val="000000"/>
        </w:rPr>
        <w:t xml:space="preserve"> </w:t>
      </w:r>
      <w:r>
        <w:rPr>
          <w:rFonts w:ascii="Times New Roman;sans-serif" w:hAnsi="Times New Roman;sans-serif"/>
          <w:b w:val="false"/>
          <w:color w:val="000000"/>
          <w:sz w:val="20"/>
        </w:rPr>
        <w:t xml:space="preserve">Each new product family introduced typically requires the purchase of consumable implant inventory as well as investment in a fleet of instrument sets required to support procedures nationwide.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(the “Effective Date”), entered into by us and Silicon Valley Bank (“SVB”). Pursuant the agreement, SVB provided an aggregate principal amount of $35.0 million to us (the “SVB Term Loan”).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(the “Amendment”) with SVB, which amends our SVB Term Loan pursuant to which we had a term loan facility in an aggregate principal amount of $35.0 million (the “Original Loan Agreement” and with the Amendment, collectively the “Amended Loan Agreement”). Upon entry into the Amended Loan Agreement, we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our request. The Term Loan matures on December 1, 2027 (the “Term Loan Maturity Date”). Interest on the Term Loan will be payable monthly at a floating annual rate set at the greater of the prime rate as published in the Wall Street Journal plus 0.5% or 6.75%. Commencing on July 1, 2025, we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we do not maintain an adjusted quick ratio of at least 1.5 to 1.0, then falling below such threshold will allow First-Citizens to apply accounts receivable collections to outstanding Revolver borrowings. We will pay a total commitment fee of $187,500 on account of the Revolver payable in installments, but fully earned at close. We will also be required to pay a fee of $150,000 if it terminates the Amended Loan Agreement or Revolver prior to Revolver Maturity Date. No termination fee would be due if the Revolver is replaced with a new facility with First-Citizens. No amounts were outstanding under the Revolver as of June 30, 2023. </w:t>
      </w:r>
    </w:p>
    <w:p>
      <w:pPr>
        <w:pStyle w:val="TextBody"/>
        <w:bidi w:val="0"/>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we violated one of the terms of the credit facility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Amended Loan Agreement that would permit First-Citizens to restrict our ability to further access the Revolving Line of Credit for loans and require the immediate repayment of any outstanding loans under the agreement. As of June 30, 2023, we were in compliance with all debt covenants, provided, however, that in order to access future credit advances under the Revolving Line of Credit, we will be required to transfer certain cash management accounts back to First-Citizens. As of June 30, 2023, we had cash management accounts with a financial institution other than First-Citizens and instructed our customers to direct payments to us to these separate operating accounts. Until such operating accounts are closed and the funds moved back to cash collateral accounts held at First-Citizens, we will be unable to obtain credit advances under the Revolver.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Amended Loan Agreement contains a financial covenant which requires us to maintain, at all times when the Financial Covenant Measuring Period is in effect, certain net revenue levels as agreed upon by us and First-Citizens. If we do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Revolver, require the immediate payment of all amounts outstanding under the Amended Loan Agreement, and foreclose on all collateral.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March 2, 2023. As of June 30, 2023, expected timing of those payments are as follows: </w:t>
      </w:r>
    </w:p>
    <w:tbl>
      <w:tblPr>
        <w:tblW w:w="10205" w:type="dxa"/>
        <w:jc w:val="center"/>
        <w:tblInd w:w="0" w:type="dxa"/>
        <w:tblLayout w:type="fixed"/>
        <w:tblCellMar>
          <w:top w:w="28" w:type="dxa"/>
          <w:left w:w="28" w:type="dxa"/>
          <w:bottom w:w="28" w:type="dxa"/>
          <w:right w:w="28" w:type="dxa"/>
        </w:tblCellMar>
      </w:tblPr>
      <w:tblGrid>
        <w:gridCol w:w="1165"/>
        <w:gridCol w:w="987"/>
        <w:gridCol w:w="994"/>
        <w:gridCol w:w="211"/>
        <w:gridCol w:w="721"/>
        <w:gridCol w:w="109"/>
        <w:gridCol w:w="109"/>
        <w:gridCol w:w="109"/>
        <w:gridCol w:w="109"/>
        <w:gridCol w:w="284"/>
        <w:gridCol w:w="831"/>
        <w:gridCol w:w="147"/>
        <w:gridCol w:w="109"/>
        <w:gridCol w:w="109"/>
        <w:gridCol w:w="109"/>
        <w:gridCol w:w="211"/>
        <w:gridCol w:w="721"/>
        <w:gridCol w:w="109"/>
        <w:gridCol w:w="109"/>
        <w:gridCol w:w="109"/>
        <w:gridCol w:w="109"/>
        <w:gridCol w:w="211"/>
        <w:gridCol w:w="721"/>
        <w:gridCol w:w="109"/>
        <w:gridCol w:w="109"/>
        <w:gridCol w:w="109"/>
        <w:gridCol w:w="109"/>
        <w:gridCol w:w="373"/>
        <w:gridCol w:w="717"/>
        <w:gridCol w:w="276"/>
      </w:tblGrid>
      <w:tr>
        <w:trPr/>
        <w:tc>
          <w:tcPr>
            <w:tcW w:w="116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Principal obligations and final fee on debt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and the final fee at maturities of our First-Citizens Term Loan.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the future interest obligations on our First-Citizens Term Loan estimated using an interest rate of 8.75% as of June 30, 2023.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compared to $48.7 million of contractual obligations as of December 31, 2022.</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455" w:type="dxa"/>
        <w:jc w:val="left"/>
        <w:tblInd w:w="0" w:type="dxa"/>
        <w:tblLayout w:type="fixed"/>
        <w:tblCellMar>
          <w:top w:w="28" w:type="dxa"/>
          <w:left w:w="28" w:type="dxa"/>
          <w:bottom w:w="28" w:type="dxa"/>
          <w:right w:w="28" w:type="dxa"/>
        </w:tblCellMar>
      </w:tblPr>
      <w:tblGrid>
        <w:gridCol w:w="1864"/>
        <w:gridCol w:w="1644"/>
        <w:gridCol w:w="1652"/>
        <w:gridCol w:w="211"/>
        <w:gridCol w:w="796"/>
        <w:gridCol w:w="109"/>
        <w:gridCol w:w="109"/>
        <w:gridCol w:w="109"/>
        <w:gridCol w:w="109"/>
        <w:gridCol w:w="211"/>
        <w:gridCol w:w="796"/>
        <w:gridCol w:w="109"/>
        <w:gridCol w:w="109"/>
        <w:gridCol w:w="109"/>
        <w:gridCol w:w="109"/>
        <w:gridCol w:w="211"/>
        <w:gridCol w:w="826"/>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six months ended June 30, 2023 of $14.3 million resulted from cash outflows due to a net loss of $22.3 million, adjusted for $13.8 million of non-cash items, and cash outflows from net changes in operating assets and liabilities of $5.8 million. Net cash used in operating activities for the six months ended June 30, 2022 of $28.4 million resulted from cash outflows due to a net loss of $35.9 million, adjusted for $13.5 million of non-cash items, and cash outflows from changes in operating assets and liabilities of $5.9 million. The decrease in net loss, net of non-cash items for the six months ended June 30, 2023 compared to the six months ended June 30, 2022 was mainly due to increased revenues. Net cash outflows from changes in operating assets and liabilities for the six months ended June 30, 2023 was primarily due to higher inventory due to the inventory build-up related to our implants, and lower accrued liabilities attributable to the normal course timing of expenses. Net cash outflows from changes in operating assets and liabilities for the six months ended June 30, 2022 were primarily due to higher inventory due to the timing of inventory build-up related to our implants, higher accounts receivable due to timing of collections and higher accrued liabilities and others driven by the timing of other third-party payments and higher compensation and benefits accruals, partly offset primarily by lower accounts payable and prepaid expenses and other assets attributable primarily to the normal course timing of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 the six months ended June 30, 2023 was $14.0 million compared to cash used in investing activities of $11.6 million in the six months ended June 30, 2022. Net cash provided by investing activities for the six months ended June 30, 2023 consisted of maturities of our marketable securities net of purchases of $19.3 million, partially offset by purchases of property and equipment of $5.3 million primarily related to individual components in instrument sets to support revenue growth, as well as leasehold improvements made to the building used for research and development and warehouse space in Santa Clara. Net cash used by investing activities for the six months ended June 30, 2022 consisted of maturities of marketable securities, net of purchases of $7.3 million, and purchases of property and equipment of $4.3 million primarily related to individual components in instrument sets to support revenue growth, as well as leasehold improvements made to the building used for research and development and warehouse space in Santa Clara.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 the six months ended June 30, 2023 was $90.3 million resulting from net proceeds of $0.7 million from the refinancing of our term loan with First-Citizens, proceeds of $4.0 million from the issuance of common stock under our stock-based incentive compensation plans, and proceeds of $84.1 million, excluding the payment of $0.5 million in offering costs, from the issuance of common stock under our follow-on public offering. This compares to $1.4 million provided by financing activities in the six months ended June 30, 2022, which consisted solely of proceeds from the issuance of common stock under our stock-based incentive compensation plans.</w:t>
      </w:r>
    </w:p>
    <w:p>
      <w:pPr>
        <w:pStyle w:val="TextBody"/>
        <w:bidi w:val="0"/>
        <w:spacing w:before="18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Annual Report on Form 10-K filed with the SEC on March 2, 2023.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"small reporting company", we are not required to provide the information otherwise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4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312"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June 30, 2023, our disclosure controls and procedures were effective at the reasonable assurance level.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2023,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240" w:after="24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expect to continue to incur operating losses in the future, and we may not be able to achieve or sustain future profitability;</w:t>
      </w:r>
    </w:p>
    <w:p>
      <w:pPr>
        <w:pStyle w:val="TextBody"/>
        <w:bidi w:val="0"/>
        <w:spacing w:lineRule="auto" w:line="268" w:before="0" w:after="240"/>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Epidemic diseases, or the perception of their effects, may continue to adversely affect our business, financial condition, results of operations, or cash flows;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Surgeons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Practice trends or other factors, including the COVID-19 pandemic, have caused and may continue to cause procedures to shift from the hospital environment to ambulatory surgical centers, or ASCs, where pressure on the prices of our products is generally more acute;</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 xml:space="preserve">If clinical experience with our iFuse Bedrock technique, iFuse Bedrock Granite product, or iFuse-TORQ product do not result in positive outcomes for patients, or if clinical trials involving the use of iFuse Bedrock, iFuse Bedrock Granite,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iFuse-TORQ fail to show meaningful patient benefit, sales of our iFuse, iFuse-3D, iFuse-TORQ, and/or iFuse Bedrock Granite implants could be adversely impacted;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are unable to maintain our network of direct sales representatives, third-party sales agents, and resellers, we may not be able to generate anticipated sales;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Our business could suffer if we lose the services of key members of our senior management, key advisors or personnel;</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76" w:before="240" w:after="240"/>
        <w:ind w:left="0" w:right="0" w:hanging="360"/>
        <w:jc w:val="left"/>
        <w:rPr/>
      </w:pPr>
      <w:r>
        <w:rPr>
          <w:color w:val="000000"/>
        </w:rPr>
        <w:t>•</w:t>
      </w:r>
      <w:r>
        <w:rPr>
          <w:rFonts w:ascii="Times New Roman;sans-serif" w:hAnsi="Times New Roman;sans-serif"/>
          <w:b w:val="false"/>
          <w:color w:val="000000"/>
          <w:sz w:val="20"/>
        </w:rPr>
        <w:t>Various factors outside our direct control may adversely affect manufacturing, sterilization, and distribution of our products;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our suppliers, and our third-party manufacturers are subject to extensive governmental regulation both in the U.S. and abroad, and failure to comply with applicable requirements could cause our business to suffer;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Adverse developments affecting the banking industry or the broader financial services industry, such as actual events or concerns involving liquidity, defaults or non-performance, could adversely affect our operations and liquidity;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access credit on favorable terms, if necessary, for the funding of our operations and capital projects may be limited due to changes in credit markets.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we expect to continue to incur operating losses in the future, and we may not be able to achieve or sustain future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in 2008. For the six months ended June 30, 2023, we had a net loss of $22.3 million. For the years ended December 31, 2022 and 2021, we had net losses of $61.3 million and $56.6 million, respectively. As of June 30, 2023, we had an accumulated deficit of $379.4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expected future capital requirements depend on many factors including expanding our surgeon base, the expansion of our sales force,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Prolonged inflation and supply chain disruptions could result in delayed product launches, lost revenue, higher costs and decreased profit margins.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pStyle w:val="TextBody"/>
        <w:bidi w:val="0"/>
        <w:spacing w:lineRule="auto" w:line="276" w:before="24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p>
    <w:p>
      <w:pPr>
        <w:pStyle w:val="TextBody"/>
        <w:bidi w:val="0"/>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lineRule="auto" w:line="276" w:before="24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surgeons for their time spent diagnosing patients and performing procedures using our products.</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all Medicare Administrative Contractors are regularly reimbursing for minimally invasive sacroiliac joint fusion utilizing laterally placed transfixing devices, a small number of private payors still have policies that treat the procedure as experimental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investigational and do not regularly reimburse for the procedure. Future action by the Centers for Medicare and Medicaid Services (“CMS”) or third-party payors may further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the Medicare physician fee reimbursement for minimally invasive fusion with our laterally placed transfixing iFuse implants, described as Current Procedural Terminology (“CPT”) Code 27279, is $827.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 procedures utilizing laterally placed transfixing devices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The American Medical Association (AMA) develops and maintains CPT codes that are used by third-party payors to determine the amount of reimbursement that a healthcare provider and facility will receive for a particular service. CPT codes are divided into three categories: Category I codes represent existing services or procedures that are widely used.</w:t>
      </w:r>
      <w:r>
        <w:rPr>
          <w:color w:val="000000"/>
        </w:rPr>
        <w:t xml:space="preserve"> </w:t>
      </w:r>
      <w:r>
        <w:rPr>
          <w:rFonts w:ascii="Times New Roman;sans-serif" w:hAnsi="Times New Roman;sans-serif"/>
          <w:b w:val="false"/>
          <w:color w:val="000000"/>
          <w:sz w:val="20"/>
        </w:rPr>
        <w:t>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laterally placed transfixing iFuse implants, is a Category I CPT code.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In May 2022, the AMA CPT Editorial Panel adopted a proposal for a new Category III code to become effective January 1, 2023, describing a different sacroiliac joint procedure to place interpositional, intra-articular and non-transfixing implants typically using a dorsal, or posterior, approach. In September 2022, the AMA CPT Editorial Panel subsequently voted to convert the Category III Code to describe procedures to implant the newer, non-transfixing (dorsally placed) implants to a Category I Code effective January 1, 2024.</w:t>
      </w:r>
      <w:r>
        <w:rPr>
          <w:color w:val="000000"/>
        </w:rPr>
        <w:t xml:space="preserve"> </w:t>
      </w:r>
      <w:r>
        <w:rPr>
          <w:rFonts w:ascii="Times New Roman;sans-serif" w:hAnsi="Times New Roman;sans-serif"/>
          <w:b w:val="false"/>
          <w:color w:val="000000"/>
          <w:sz w:val="20"/>
        </w:rPr>
        <w:t xml:space="preserve">If the levels of reimbursement for, and consistency of coverage associated with, procedures performed with our medical devices under the existing Category I CPT Code decrease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 </w:t>
      </w:r>
    </w:p>
    <w:p>
      <w:pPr>
        <w:pStyle w:val="TextBody"/>
        <w:bidi w:val="0"/>
        <w:spacing w:before="0" w:after="0"/>
        <w:ind w:left="0" w:right="0" w:firstLine="450"/>
        <w:jc w:val="both"/>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Under current legislation, the</w:t>
      </w:r>
      <w:r>
        <w:rPr>
          <w:color w:val="000000"/>
        </w:rPr>
        <w:t xml:space="preserve"> </w:t>
      </w:r>
      <w:r>
        <w:rPr>
          <w:rFonts w:ascii="Times New Roman;sans-serif" w:hAnsi="Times New Roman;sans-serif"/>
          <w:b w:val="false"/>
          <w:color w:val="000000"/>
          <w:sz w:val="20"/>
        </w:rPr>
        <w:t>reduction in Medicare payments will vary from 2% under the Budget Control Act of 2011 (as extended through a series of amendments and currently set to expire in 2032) to 4% if budget sequestration is triggered under the Statutory Pay-As-You-Go Act of 2010.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shd w:fill="FFFFFF" w:val="clear"/>
        </w:rPr>
        <w:t xml:space="preserve">Healthcare payors which have adopted sacroiliac joint fusion coverage policies exclusive to titanium triangular implants could reverse the exclusive nature of their policies and allow surgeons to use other types of products when performing sacroiliac fusion procedures. Some payor have removed such exclusivity in the past and others could do so in the future.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sales of our triangular iFuse implants could decline or </w:t>
      </w:r>
      <w:r>
        <w:rPr>
          <w:rFonts w:ascii="Times New Roman;sans-serif" w:hAnsi="Times New Roman;sans-serif"/>
          <w:b w:val="false"/>
          <w:color w:val="000000"/>
          <w:sz w:val="20"/>
        </w:rPr>
        <w:t>fail to grow, which could adversely affect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Epidemic diseases, or the perception of their effects, may continue to adversely affect our business, financial condition, results of operations, or cash flows.</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COVID-19 global pandemic enters its fourth year, the impact of COVID-19 on our business remains highly dependent on future developments, which are uncertain and unpredictable. Although the U.S. public health emergency ended on May 11, 2023, an outbreak of an infectious disease, or a re-escalation of COVID-19 infection rates could divert medical resources toward the treatment of that disease, and negatively affect hospital admission rates and the decision by patients to undergo elective surgery, which could decrease demand for procedures using our implants and cause other disruptions to our business. Business disruptions have included, and could continue to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 </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existence and further duration of the COVID-19 pandemic may also further exacerbate certain of the risks described herein.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Surgeons, in consultation with their patients, play the primary role in determining the course of treatment and, ultimately, any product that will be used in treatment. In order for us to sell our products successfully, we must demonstrate to surgeons through education and training that treatment with iFuse is beneficial, safe, and cost-effective for patients as compared to our competitors’ products. If we are not successful in demonstrating the merits of our products to surgeons, their use of our products may decline, adversely affecting our revenues and profitability.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joint evaluation as part of their diagnosis and, as a result, those patients may continue to receive unnecessary surgical procedures or only non-surgical treatment.</w:t>
      </w:r>
    </w:p>
    <w:p>
      <w:pPr>
        <w:pStyle w:val="TextBody"/>
        <w:bidi w:val="0"/>
        <w:spacing w:before="0" w:after="0"/>
        <w:ind w:left="0" w:right="0" w:firstLine="495"/>
        <w:jc w:val="both"/>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Surgeons may also hesitate to change their medical treatment practices for other reasons, including the following:</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lack of experience with minimally invasive procedures;</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perceived liability risks generally associated with the use of our products and procedures;</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 xml:space="preserve">costs associated with the purchase of our products; and </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time commitment that may be required for training.</w:t>
      </w:r>
    </w:p>
    <w:p>
      <w:pPr>
        <w:pStyle w:val="TextBody"/>
        <w:bidi w:val="0"/>
        <w:spacing w:before="0" w:after="0"/>
        <w:ind w:left="0" w:right="0" w:firstLine="99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believe surgeons will not widely use our products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Patients with sacroiliac joint dysfunction are cared for by a variety of health care providers, including spine surgeons and pain physicians and other interventionalists, who are generally trained as anesthesiologists, interventional radiologists, or physical medicine and rehabilitation specialists. These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fusion devices and other products intended to treat the sacroiliac joint or the pain it can cause. Our professional education program seeks to teach these physicians, and other health care providers, about the benefits of our iFuse products, with the intent of either having them adopt and perform our procedures or refer their patients with sacroiliac joint dysfunction to physicians who have been trained to perform our procedures. Providers who have not adopted our procedures may, however, prefer to continue to treat these patients with the interventions they offer because they feel that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physicians trained to perform the iFuse procedure, sales of our iFuse implants could decline or fail to grow, which could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Surgeons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iFuse-TORQ and iFuse Bedrock Granite have been launched prior to gathering substantial prospective clinical trial evidence, and our post-market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Practice trends or other factors, including the COVID-19 pandemic, have caused and may continue to cause procedures to shift from the hospital environment to ambulatory surgical centers, or ASCs, where pressure on the prices of our products is generally more acute.</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We anticipate that more outpatient eligible procedures will be performed in ASCs as a cost control measure within the healthcare system. This shift accelerated during the COVID-19 pandemic, and we expect it to continue because ASCs are generally a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could adversely impact the average selling prices of our products and our revenues could suffer as a result.</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competitors that we are aware of marketing sacroiliac joint fusion products in the United States has grown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In the United States, we believe that our primary competitors marketing implantable devices currently are Globus Medical, Inc. and Medtronic plc.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r>
        <w:rPr>
          <w:color w:val="000000"/>
        </w:rPr>
        <w:t xml:space="preserve"> </w:t>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lead some of our competitors to employ pricing strategies that could adversely affect the pricing of our products and pricing in the market generally.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companies selling allograft implants for use by a variety of physicians have collectively become a much larger presence in our market. If customers view allograft implants and our products as interchangeable, we risk increased pricing pressure on our products. It is unclear how the creation of the Category III code for these procedures effective January 1, 2023, and the conversion of the Category III Code to a Category I Code effective January 1, 2024, will impact the market for these products and procedures.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comes from the sale of iFuse, iFuse-3D, iFuse-TORQ and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pStyle w:val="TextBody"/>
        <w:bidi w:val="0"/>
        <w:spacing w:before="0" w:after="0"/>
        <w:ind w:left="0" w:right="0" w:firstLine="495"/>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clinical experience with our iFuse Bedrock technique, iFuse Bedrock Granite product, or iFuse-TORQ product do not result in positive outcomes for patients, or if clinical trials involving the use of iFuse Bedrock, iFuse Bedrock Granite, and/or iFuse-TORQ fail to show meaningful patient benefit, sales of our iFuse, iFuse-3D, iFuse-TORQ, and/or iFuse Bedrock Granite implants could be adversely impacted.</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we launched iFuse-TORQ, a line of 3D-printed threaded implants designed for use in pelvic trauma, as well as applications in sacroiliac joint dysfunction and degeneration. In 2022, FDA provided clearance for an expanded indication for iFuse-TORQ to include acute, non-acute and non-traumatic fractures as well as for placement across the sacroiliac joint using our Bedrock technique. Clinical experience with iFuse-TORQ is limited and we have yet to complete a clinical trial to evaluate the use of iFuse-TORQ in patients with sacral fragility or insufficiency fractures. Surgeons do not yet know if pelvic fracture fixation and SI joint fusion using iFuse-TORQ is superior to nonsurgical management in this class of patients.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our network of direct sales representatives, third-party sales agents, and resellers, we may not be able to generate anticipated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U.S. sales force consisted of 85 territory sales managers and 66 clinical support specialists directly employed by us, and 141 third-party sales agents. As of June 30, 2023, our international sales force consisted of 12 sales representatives directly employed by us and a total of 31 third-party sales agents and resellers, which together have had sales in 39 countries through June 30, 2023. Our operating results are directly dependent upon the sales and marketing efforts of both our direct sales force and of our third-party sales agents and resellers.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generating sales. If our direct sales representatives or third-party sales agents and resellers fail to adequately promote, market and sell our products or decide to leave or cease to do business with us, our sales could significantly decrease.</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lose the services of key members of our senior management, key advisors or personnel.</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Our business is highly reliant on a base of skilled employees, including those serving in engineering, information technology, operational, strategic marketing and sales functions.</w:t>
      </w:r>
      <w:r>
        <w:rPr>
          <w:color w:val="000000"/>
        </w:rPr>
        <w:t xml:space="preserve"> </w:t>
      </w:r>
      <w:r>
        <w:rPr>
          <w:rFonts w:ascii="Times New Roman;sans-serif" w:hAnsi="Times New Roman;sans-serif"/>
          <w:b w:val="false"/>
          <w:color w:val="000000"/>
          <w:sz w:val="20"/>
        </w:rPr>
        <w:t>Many of these employees have developed specialized skills which are valuable within the medical device and life sciences industry, and, in some cases, in a broader variety of industries.</w:t>
      </w:r>
      <w:r>
        <w:rPr>
          <w:color w:val="000000"/>
        </w:rPr>
        <w:t xml:space="preserve"> </w:t>
      </w:r>
      <w:r>
        <w:rPr>
          <w:rFonts w:ascii="Times New Roman;sans-serif" w:hAnsi="Times New Roman;sans-serif"/>
          <w:b w:val="false"/>
          <w:color w:val="000000"/>
          <w:sz w:val="20"/>
        </w:rPr>
        <w:t>Competition for skilled employees is significant, and some of the labor markets we compete in have experienced tightening in the past year.</w:t>
      </w:r>
      <w:r>
        <w:rPr>
          <w:color w:val="000000"/>
        </w:rPr>
        <w:t xml:space="preserve"> </w:t>
      </w:r>
      <w:r>
        <w:rPr>
          <w:rFonts w:ascii="Times New Roman;sans-serif" w:hAnsi="Times New Roman;sans-serif"/>
          <w:b w:val="false"/>
          <w:color w:val="000000"/>
          <w:sz w:val="20"/>
        </w:rPr>
        <w:t>In addition, rates of employee turnover have increased among our employees, consistent with the rates experienced by other companies in these industries.</w:t>
      </w:r>
      <w:r>
        <w:rPr>
          <w:color w:val="000000"/>
        </w:rPr>
        <w:t xml:space="preserve"> </w:t>
      </w:r>
      <w:r>
        <w:rPr>
          <w:rFonts w:ascii="Times New Roman;sans-serif" w:hAnsi="Times New Roman;sans-serif"/>
          <w:b w:val="false"/>
          <w:color w:val="000000"/>
          <w:sz w:val="20"/>
        </w:rPr>
        <w:t>If these conditions persist, we could experience further turnover among our employees which could become difficult and more costly to manage, adversely impacting our results of operation.</w:t>
      </w:r>
      <w:r>
        <w:rPr>
          <w:color w:val="000000"/>
        </w:rPr>
        <w:t xml:space="preserve"> </w:t>
      </w:r>
      <w:r>
        <w:rPr>
          <w:rFonts w:ascii="Times New Roman;sans-serif" w:hAnsi="Times New Roman;sans-serif"/>
          <w:b w:val="false"/>
          <w:color w:val="000000"/>
          <w:sz w:val="20"/>
        </w:rPr>
        <w:t>Sustained pressure in these labor markets could also cause prevailing wages to rise, which could adversely impact our business, results of operation and financial condition.</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others later identify adverse events caused by our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sales of the product may decrease significantly, and we may not achieve the anticipated market share;</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regulatory authorities or our Notified Body may require changes to the labeling of our product. This may include the addition of labeling statements, specific warnings, and contraindications and issuing field alerts to physicians and patients;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required to change instructions regarding the way the product is implanted or conduct additional clinical trials;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subject to limitations on how we may promote the product;</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regulatory authorities may require us to temporarily or permanently take our approved product off the market or to conduct other field safety corrective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required to modify our product;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subject to litigation fines or product liability claims;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our reputation may suffer.</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media reports or other negative publicity concerning both alleged improper methods of tissue recovery from donors and disease transmission from donated tissue could limit widespread acceptance of some of our products.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Various factors outside our direct control may adversely affect manufacturing, sterilization, and distribution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failure to complete sterilization on time or in compliance with the required regulatory standards;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transportation and import and export risk;</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delays in analytical results or failure of analytical techniques that we depend on for quality control and release of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large-scale epidemics of communicable diseases such as COVID-19;</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supply chain disruptions, including those caused by material and labor supply shortages, and prolonged inflation;</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any of these risks were to materialize, our ability to provide our products to customers on a timely basis could be adversely impacted.</w:t>
      </w:r>
      <w:r>
        <w:rPr>
          <w:color w:val="000000"/>
        </w:rPr>
        <w: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future growth could strain the ability of our suppliers to deliver products, materials, and components. Suppliers often experience difficulties in scaling up production, including financial issues, or problems with production yields and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control and assurance. For example, from time to time, we have experienced certain delays and may experience delays from our suppliers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instruments and currently rely on RMS for iFuse-3D implants and Orchid for iFuse implants. Our dependence on such a limited number of suppliers exposes us to risks, including, among other things: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comply with regulatory requirements or make errors in manufacturing that could negatively affect the safety or effectiveness of our products or cause delays in shipments of our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not be able to respond to unanticipated changes in customer orders, and if orders do not match forecasts, we or our suppliers may have excess or inadequate inventory of materials and components;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be subject to price fluctuations due to a lack of long-term supply arrangements for key components;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lose access to critical services, raw materials and components, or experience significant delays in obtaining them, resulting in an interruption in the manufacture, assembly and shipment of our systems;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experience delays in delivery by our third-party manufacturers and suppliers due to changes in demand from us or their other customers;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fluctuations in demand for products that our third-party manufacturers and suppliers manufacture for others may affect their ability or willingness to deliver components to us in a timely manner;</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our third-party manufacturers and suppliers may wish to discontinue supplying components or services to us for risk management reasons;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not be able to find new or alternative components or reconfigure our system and manufacturing processes in a timely manner if the necessary components become unavailable; and</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our third-party manufacturers and suppliers may encounter financial hardships unrelated to our demand, which could inhibit their ability to fulfill our orders and meet our requirements.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encounter problems or delays in the assembly of our products or fail to meet certain regulatory requirements which could result in an adverse effect on our business and financial results.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managing production yields;</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maintaining quality control and assurance;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providing component and service availability;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maintaining adequate control policies and procedures;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hiring and retaining qualified personnel;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complying with state, federal, and foreign regulations.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do not enhance and broaden our product offerings through our research and development efforts, we may be unable to compete effectively.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properly identify and anticipate surgeon and patient needs;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develop and introduce new products or product enhancements in a timely manner;</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create sufficient product differentiation to expand overall market share and minimize cannibalization of existing product markets;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obtain and maintain adequate coverage from third-party payors for new products or procedures;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mitigate downward pricing pressure on new and existing products;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adequately protect our intellectual property and avoid infringing upon the intellectual property rights of third parties;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demonstrate the safety and effectiveness of new products;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provide sufficient infrastructure needed for product commercialization;</w:t>
      </w:r>
    </w:p>
    <w:p>
      <w:pPr>
        <w:pStyle w:val="TextBody"/>
        <w:bidi w:val="0"/>
        <w:spacing w:lineRule="auto" w:line="276" w:before="240" w:after="240"/>
        <w:ind w:left="0" w:right="0" w:hanging="810"/>
        <w:jc w:val="both"/>
        <w:rPr/>
      </w:pPr>
      <w:r>
        <w:rPr>
          <w:color w:val="000000"/>
        </w:rPr>
        <w:t>•</w:t>
      </w:r>
      <w:r>
        <w:rPr>
          <w:rFonts w:ascii="Times New Roman;sans-serif" w:hAnsi="Times New Roman;sans-serif"/>
          <w:b w:val="false"/>
          <w:color w:val="000000"/>
          <w:sz w:val="20"/>
        </w:rPr>
        <w:t>obtain the necessary domestic and international regulatory clearances or approvals and CE Certificates of Conformity for new products or product enhancements.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w:t>
      </w:r>
      <w:r>
        <w:rPr>
          <w:color w:val="000000"/>
        </w:rPr>
        <w:t xml:space="preserve"> </w:t>
      </w:r>
      <w:r>
        <w:rPr>
          <w:rFonts w:ascii="Times New Roman;sans-serif" w:hAnsi="Times New Roman;sans-serif"/>
          <w:b w:val="false"/>
          <w:color w:val="000000"/>
          <w:sz w:val="20"/>
        </w:rPr>
        <w:t>In some cases, following a successful product development effort, we may need to invest substantial resources in surgical instrumentation and implant inventory, prior to launch of the product, and before we understand the demand for such product.</w:t>
      </w:r>
      <w:r>
        <w:rPr>
          <w:color w:val="000000"/>
        </w:rPr>
        <w:t xml:space="preserve"> </w:t>
      </w:r>
      <w:r>
        <w:rPr>
          <w:rFonts w:ascii="Times New Roman;sans-serif" w:hAnsi="Times New Roman;sans-serif"/>
          <w:b w:val="false"/>
          <w:color w:val="000000"/>
          <w:sz w:val="20"/>
        </w:rPr>
        <w:t>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maintain adequate levels of inventory, the failure of which could consume our resources and reduce our cash flows.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 independent third-party study that reliably reports the potential market size for minimally invasive sacroiliac fusion performed using a lateral approach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could suffer if we are unable to manage our international business effectively.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countries in which we sell or plan to sell our products are, to some degree, subject to various risks, including:</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exposure to different legal and regulatory standards;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lack of stringent protection of intellectual property;</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inability of the local healthcare system to absorb prices for our product that would enable our business to become profitable in those markets;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obstacles to obtaining domestic and foreign export, import, and other governmental approvals, permits, and licenses and compliance with foreign laws;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lower average selling prices of our implants in most foreign markets;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reliance on a more concentrated surgeon base in international markets due to the surgeon acquisition costs relative to the selling price of our implants;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potentially adverse tax consequences and the complexities of foreign value-added tax systems;</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adverse changes in tariffs and trade restrictions;</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limitations on the repatriation of earnings;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difficulties in staffing and managing foreign operations;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insufficient numbers of patients requiring procedures that use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transportation delays and difficulties of managing international distribution channels;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longer collection periods and difficulties in collecting receivables from foreign entities;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increased financing costs;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currency risks;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political, social, and economic instability and increased security concerns.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disrupt our expansion, restrict the movement of funds or result in the deprivation of contractual rights or the taking of property by nationalization or expropriation without fair compensation.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In the future our products may become obsolete, which would negatively affect operations and financial condition.</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experience significant disruptions in our information technology systems, our business, results of operations, and financial condition could be adversely affected.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efficient operation of our business depends on our information technology systems. We rely on our information technology systems to effectively manage: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sales and marketing, accounting, and financial functions;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customer relationship management;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inventory management;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compliance and regulatory reporting requirements;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engineering and product development tasks;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our research and development data.</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are vulnerable to damage or interruption from:</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earthquakes, fires, floods, and other natural disasters;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terrorist attacks and attacks by computer viruses or hackers or internal or external breaches of our cybersecurity;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power losses; and</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computer systems, internet, telecommunications, or data network failures.</w:t>
      </w:r>
      <w:r>
        <w:rPr>
          <w:color w:val="000000"/>
        </w:rPr>
        <w: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Like other public companies, we have in the past, and in the future, could be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problems assimilating the purchased technologies, products, or business operations;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unanticipated costs and liabilities associated with acquisitions;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diversion of management’s attention from our core business;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adverse effects on existing business relationships with suppliers and customers;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risks associated with entering new markets in which we have limited or no experience;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potential loss of key employees of acquired businesses;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increased legal and accounting compliance costs.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in-licensing arrangements, joint ventures, strategic alliances, or partnerships with third-parties that may not result in the development of commercially viable products or the generation of significant future revenue.</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76" w:before="240" w:after="24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our suppliers, and our third-party manufacturers are subject to extensive governmental regulation both in the U.S. and abroad, and failure to comply with applicable requirements could cause our business to suffer.</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design, development, and manufacturing;</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testing, labeling, content, and language of instructions for use and storage;</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clinical trials;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product safety;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marketing, sales, and distribution;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premarket clearance and approval;</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conformity assessment procedures;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record keeping procedures;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advertising and promotion;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compliance with good manufacturing practices requirements;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recalls and field safety corrective actions;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post-market surveillance, including reporting of deaths or serious injuries and malfunctions that, if they were to recur, could lead to death or serious injury;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post-market approval studies;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product import and export.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Before we can market or sell a new regulated medical device or make a significant modification to an existing product in the U.S., with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or approval of a device for many reasons, including:</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not be able to demonstrate to the FDA’s satisfaction that our products are safe and effective for their intended uses;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data from our pre-clinical studies and clinical trials may be insufficient to support clearance or approval, where required;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the manufacturing process or facilities we use may not meet applicable requirements.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or approval for our products under development could prevent us from generating revenue from these products or achieving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regulations could jeopardize our ability to sell our products and result in enforcement actions such as: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warning letters;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fines;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injunctions;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civil penalties;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termination of distribution;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recalls or seizures of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delays in the introduction of products into the market;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total or partial suspension of production;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facility closures;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refusal of the FDA or our Notified Body or other regulator to grant future clearances or approvals or to issue CE Certificates of Conformity;</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withdrawals, variation, or suspensions of current clearances or approvals and CE Certificates of Conformity, resulting in prohibitions on sales of our products;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 the most serious cases, criminal penalties.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U.S. federal and state laws pertaining to healthcare fraud and abuse, including anti-kickback and false claims laws. Our relationships and our third-party sales agents and resellers’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2, 2023.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 </w:t>
      </w:r>
    </w:p>
    <w:p>
      <w:pPr>
        <w:pStyle w:val="TextBody"/>
        <w:bidi w:val="0"/>
        <w:spacing w:before="0" w:after="0"/>
        <w:ind w:left="0" w:right="0" w:firstLine="495"/>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pStyle w:val="TextBody"/>
        <w:bidi w:val="0"/>
        <w:spacing w:before="0" w:after="0"/>
        <w:ind w:left="0" w:right="0" w:firstLine="495"/>
        <w:jc w:val="both"/>
        <w:rPr/>
      </w:pPr>
      <w:r>
        <w:rPr/>
      </w:r>
    </w:p>
    <w:p>
      <w:pPr>
        <w:pStyle w:val="TextBody"/>
        <w:bidi w:val="0"/>
        <w:spacing w:lineRule="auto" w:line="276"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pStyle w:val="TextBody"/>
        <w:bidi w:val="0"/>
        <w:spacing w:before="0" w:after="0"/>
        <w:ind w:left="0" w:right="0" w:firstLine="500"/>
        <w:jc w:val="both"/>
        <w:rPr/>
      </w:pPr>
      <w:r>
        <w:rPr/>
      </w:r>
    </w:p>
    <w:p>
      <w:pPr>
        <w:pStyle w:val="TextBody"/>
        <w:bidi w:val="0"/>
        <w:spacing w:lineRule="auto" w:line="276"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bidi w:val="0"/>
        <w:spacing w:before="0" w:after="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500"/>
        <w:jc w:val="both"/>
        <w:rPr/>
      </w:pPr>
      <w:r>
        <w:rPr>
          <w:rFonts w:ascii="Times New Roman;sans-serif" w:hAnsi="Times New Roman;sans-serif"/>
          <w:b w:val="false"/>
          <w:color w:val="000000"/>
          <w:sz w:val="20"/>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r>
        <w:rPr>
          <w:color w:val="000000"/>
        </w:rPr>
        <w:t xml:space="preserve"> </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failure to adequately protect personal information in compliance with evolving legal requirements could harm our business.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legally-protected personally-identifiable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2, 2023.</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California Consumer Privacy Act, which became effective on January 1, 2020, as amended by the California Privacy Rights Act (“CCPA”), requires a broad range of businesses to honor the requests of California residents to access and require deletion of their personal information, opt out of certain personal information sharing, receive detailed information about how their personal information is used and shared, correct inaccurate personal information, and limit the use and disclosure of certain sensitive personal information. The CCPA provides for civil penalties of up to $7,500 for intentional violations, and a private right of action for data breaches that allows private plaintiffs to seek the greater of actual damages or statutory damages of up to $750 per consumer per data breach.</w:t>
      </w:r>
      <w:r>
        <w:rPr>
          <w:color w:val="000000"/>
        </w:rPr>
        <w:t xml:space="preserve"> </w:t>
      </w:r>
      <w:r>
        <w:rPr>
          <w:rFonts w:ascii="Times New Roman;sans-serif" w:hAnsi="Times New Roman;sans-serif"/>
          <w:b w:val="false"/>
          <w:color w:val="000000"/>
          <w:sz w:val="20"/>
        </w:rPr>
        <w:t>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initiatives regarding protection of personal information, such as Virginia, Colorado, Utah, Connecticut, and Washington. While these laws are similar in certain respects, the laws differ and compliance with one law does not equate to compliance with the other laws. Several other states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pStyle w:val="TextBody"/>
        <w:bidi w:val="0"/>
        <w:spacing w:before="0" w:after="0"/>
        <w:ind w:left="0" w:right="0" w:firstLine="495"/>
        <w:jc w:val="both"/>
        <w:rPr/>
      </w:pPr>
      <w:r>
        <w:rPr/>
      </w:r>
    </w:p>
    <w:p>
      <w:pPr>
        <w:pStyle w:val="TextBody"/>
        <w:bidi w:val="0"/>
        <w:spacing w:lineRule="auto" w:line="268"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non-U.S. operations.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are subject to anti-boycott laws, anti-money laundering laws, and the export controls and economic embargo rules and regulations of the U.S., including, but not limited to, the Export Administration Regulations and trade sanctions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untitled letters, warning letters, fines, injunctions, consent, and civil penalties;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unanticipated expenditures to address or defend such actions;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customer notifications for repair, replacement, refunds;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recall, detention, or seizure of our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refusing or delaying our requests for 510(k) clearance or premarket approval and conformity assessments of new products or modified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limitations on the intended uses for which the product may be marketed;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operating restrictions;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suspension, variation or withdrawal of CE Certificates of Conformity;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refusal to grant export approval for our products;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criminal prosecution.</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manufacturers, and third-party sales agents and resellers may engage in misconduct or other improper activities, relating to regulatory standards and requirements.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manufacturers,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enforcement action, including fines, penalties or injunctions, if we are determined to be engaging in the off-label promotion of our products.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report certain malfunctions, deaths, and serious injuries associated with our products, which can result in voluntary corrective actions or agency enforcement actions.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r>
        <w:rPr>
          <w:color w:val="000000"/>
        </w:rPr>
        <w: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fail to obtain or maintain foreign regulatory approvals to market our products in other countries.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COVID-19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results of our clinical trials may not support our product candidate claims or may result in the occurrence of adverse events.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additional scrutiny during the conformity assessment procedure for high risk medical devices;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strengthening of the clinical data requirements related to medical devices;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strengthening of the designation and monitoring processes governing notified 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both"/>
        <w:rPr/>
      </w:pPr>
      <w:r>
        <w:rPr>
          <w:color w:val="000000"/>
        </w:rPr>
        <w:t>•    </w:t>
      </w:r>
      <w:r>
        <w:rPr>
          <w:rFonts w:ascii="Times New Roman;sans-serif" w:hAnsi="Times New Roman;sans-serif"/>
          <w:b w:val="false"/>
          <w:color w:val="000000"/>
          <w:sz w:val="20"/>
        </w:rPr>
        <w:t>the obligation for manufacturers and authorized representative to have a person responsible for regulatory compliance continuously at their disposal;</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authorized representatives held legally responsible and liable for defective products placed on the EU market;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increased traceability of medical devices following the introduction of a Unique Device Identification (“UDI”), system;</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new rules governing the reprocessing of medical devices; and</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pStyle w:val="TextBody"/>
        <w:bidi w:val="0"/>
        <w:spacing w:before="0" w:after="0"/>
        <w:ind w:left="0" w:right="0" w:firstLine="495"/>
        <w:jc w:val="both"/>
        <w:rPr/>
      </w:pPr>
      <w:r>
        <w:rPr/>
      </w:r>
    </w:p>
    <w:p>
      <w:pPr>
        <w:pStyle w:val="TextBody"/>
        <w:bidi w:val="0"/>
        <w:spacing w:lineRule="auto" w:line="256" w:before="0" w:after="0"/>
        <w:ind w:left="0" w:right="0" w:firstLine="495"/>
        <w:jc w:val="both"/>
        <w:rPr/>
      </w:pPr>
      <w:r>
        <w:rPr>
          <w:rFonts w:ascii="Times New Roman;sans-serif" w:hAnsi="Times New Roman;sans-serif"/>
          <w:b w:val="false"/>
          <w:color w:val="000000"/>
          <w:sz w:val="20"/>
        </w:rPr>
        <w:t>Transition from the regulation of our products under the Medical Device Directive, and implementing legislation in each EU Member State, to regulation under the Medical Devices Regulation has required and will continue to require a substantial transition effort by us.</w:t>
      </w:r>
      <w:r>
        <w:rPr>
          <w:color w:val="000000"/>
        </w:rPr>
        <w:t xml:space="preserve"> </w:t>
      </w:r>
      <w:r>
        <w:rPr>
          <w:rFonts w:ascii="Times New Roman;sans-serif" w:hAnsi="Times New Roman;sans-serif"/>
          <w:b w:val="false"/>
          <w:color w:val="000000"/>
          <w:sz w:val="20"/>
        </w:rPr>
        <w:t xml:space="preserve">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w:t>
      </w:r>
    </w:p>
    <w:p>
      <w:pPr>
        <w:pStyle w:val="TextBody"/>
        <w:bidi w:val="0"/>
        <w:spacing w:before="0" w:after="0"/>
        <w:ind w:left="0" w:right="0" w:firstLine="495"/>
        <w:jc w:val="left"/>
        <w:rPr/>
      </w:pPr>
      <w:r>
        <w:rPr/>
      </w:r>
    </w:p>
    <w:p>
      <w:pPr>
        <w:pStyle w:val="TextBody"/>
        <w:bidi w:val="0"/>
        <w:spacing w:lineRule="auto" w:line="25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laws and regulations that can impose significant costs and expose us to potential financial liabilities.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w:t>
      </w:r>
      <w:r>
        <w:rPr>
          <w:color w:val="000000"/>
        </w:rPr>
        <w:t xml:space="preserve"> </w:t>
      </w:r>
      <w:r>
        <w:rPr>
          <w:rFonts w:ascii="Times New Roman;sans-serif" w:hAnsi="Times New Roman;sans-serif"/>
          <w:b w:val="false"/>
          <w:color w:val="000000"/>
          <w:sz w:val="20"/>
        </w:rPr>
        <w:t>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pStyle w:val="TextBody"/>
        <w:bidi w:val="0"/>
        <w:spacing w:before="0" w:after="0"/>
        <w:ind w:left="0" w:right="0" w:firstLine="495"/>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products are derived from human tissue and are or could be subject to additional regulations and requirements.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pStyle w:val="TextBody"/>
        <w:bidi w:val="0"/>
        <w:spacing w:lineRule="auto" w:line="276"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76"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rely primarily on patent, copyright, trademark and trade secret laws, as well as confidentiality and nondisclosure agreements and other methods, to protect our proprietary technologies and know-how. As of June 30, 2023, we owned 57 issued U.S. patents and had 30 pending U.S. patent applications, and we owned 17 issued foreign patents and had 20 pending foreign patent applications. We have focused the majority of our foreign patent efforts in China, Europe, and Japan. Our current U.S. patents on iFuse, including the triangular shape, expire in December 2025. Competitors may market similar triangular shaped devices upon the expiration of the patents in late 2025. Our current U.S. patents on iFuse-3D, including the fenestrated design, expire in September 2035. Our foreign patents will expire between August 2025 and September 2035.</w:t>
      </w:r>
    </w:p>
    <w:p>
      <w:pPr>
        <w:pStyle w:val="TextBody"/>
        <w:bidi w:val="0"/>
        <w:spacing w:lineRule="auto" w:line="276"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20 registered trademarks in the U.S. We have sought protection for at least two of these trademarks in 60 countries including the 27 European member countries of the Madrid Protocol.</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our employees, our third-party sales agents or resellers have wrongfully used or disclosed alleged trade secrets of our competitors or are in breach of non-competition or non-solicitation agreements with our competitors.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be volatile, and the value of an investment in our common stock could decline.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changes in interest rates, investor risk appetite and other macroeconomic factors impacting the market for securities issued by medical device companies;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the risk of inflation, interest rate increases and other macroeconomic factors impacting patients’ economic ability and likelihood of undergoing elective procedures, whether real or as perceived by investors;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the impact of infectious diseases, and measures taken to combat them, on our business;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results of our clinical trials and that of our competitors’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 xml:space="preserve">price and volume fluctuations in the overall stock market from time to time; </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fluctuations in the trading volume of our shares or the size of our public float;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negative publicity;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whether our results of operations meet the expectations of securities analysts or investors or those expectations change;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litigation involving us, our industry, or both;</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regulatory developments in the U.S., foreign countries, or both;</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lock-up releases and sales of large blocks of our common stock;</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additions or departures of key employees or scientific personnel;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general economic conditions and trends.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sales volumes and our operating results may fluctuate over the course of the year, which could affect the price of our common stock.</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payor coverage and reimbursement;</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number of products sold in the quarter and our ability to drive increased sales of our products;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our ability to establish and maintain an effective and dedicated sales force;</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pricing pressure applicable to our products, including adverse third-party coverage and reimbursement outcomes;</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impact of COVID-19 or other infectious disease outbreaks on our business;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results of clinical research and trials on our existing products and products in development;</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mix of our products sold because profit margins differ amongst our products;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ability of our suppliers to timely provide us with an adequate supply of materials and components;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evolving product offerings of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demand for, and pricing of, our products and the products of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factors that may affect the sale of our products, including seasonality and budgets of our customers;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domestic and international regulatory clearances or approvals, or CE Certificates of Conformity, and legislative changes affecting the products we may offer or those of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interruption in the manufacturing or distribution of our products;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effect of competing technological, industry and market developments;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our ability to expand the geographic reach of our sales and marketing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costs of maintaining adequate insurance coverage, including product liability insurance;</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availability and cost of components and materials;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number of selling days in the quarter;</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fluctuation in foreign currency exchange rates; and</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impairment and other special charges.</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unable to utilize our federal and state net operating loss carryforwards to reduce our income taxes.</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As of December 31, 2022, we had net operating loss (“NOL”) carryforwards of $298.6 million and $238.7 million available to reduce future taxable income, if any, for U.S. federal income tax and state income tax purposes, respectively. If not utilized, our federal and state NOL carryforwards begin to expire in 2029 and 2022,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 legislation enacted in 2020, unused U.S. federal NOLs generated in tax years beginning after December 31, 2017</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 </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On February 9, 2022, California Senate Bill 133 (SB 133) was signed into law. The new bill lifted the limitation for California NOL and credit utilization disallowed by AB 85. California NOL suspension and tax credit utilization limitation did not impact the Company due to taxable loss positions for 2020, 2021, and 2022.</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lead to management entrenchment.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pStyle w:val="TextBody"/>
        <w:bidi w:val="0"/>
        <w:spacing w:lineRule="auto" w:line="276" w:before="240" w:after="240"/>
        <w:ind w:left="0" w:right="0" w:hanging="450"/>
        <w:jc w:val="both"/>
        <w:rPr/>
      </w:pPr>
      <w:r>
        <w:rPr>
          <w:color w:val="000000"/>
        </w:rPr>
        <w:t>•    </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r>
        <w:rPr>
          <w:color w:val="000000"/>
        </w:rPr>
        <w: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also provides that the U.S. federal district courts are the exclusive forum for resolving any complaint asserting a cause of action arising under the Securities Act.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banking industry or the broader financial services industry, such as actual events or concerns involving liquidity, defaults or non-performance, could adversely affect our operations and liquidity.</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term loan contains covenants that may restrict our business and financing activities.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Loan and Security Agreement (as amended, the "Amended Loan Agreement") with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is secured by substantially all our assets other than our intellectual property.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Loan Agreement with First-Citizens provides for a secured revolving credit facility, or Revolver, in an aggregate principal amount of up to $15.0 million. The Revolver matures on July 6, 2025. As of June 30, 2023, we had not drawn on this credit facility. On March 10, 2023, we violated one of the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Any future violation of any of the covenants could result in a default under the Amended Loan Agreement that would permit First-Citizens to restrict our ability to further access the Revolver for loans and require the immediate repayment of any outstanding loans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 In addition, certain provisions in the these covenants are subject to renegotiation at the beginning of each fiscal year, which further reduces our ability to anticipate whether this source of capital will continue to be available in the near term. As of June 30, 2023, we had cash management accounts with a financial institution other than First-Citizens and instructed our customers to direct payments to us to these separate operating accounts. Until such operating accounts are closed and the funds moved back to cash collateral accounts held at First-Citizens, we will be unable to obtain credit advances under the Revolver. See “Note 7. Borrowings” to the “Notes to Condensed Consolidated Financial Statements” included in this report.</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The Amended Loan Agreement terminates on December 1, 2027 and if we cannot renew or refinance this facility or obtain funding when needed, in each case on acceptable terms, such conditions may have an adverse effect on our ability to operate our business.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Nothing to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69"/>
        <w:gridCol w:w="1372"/>
        <w:gridCol w:w="1385"/>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8"/>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5">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6">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directorcompensationp.htm">
              <w:r>
                <w:rPr>
                  <w:rStyle w:val="InternetLink"/>
                  <w:rFonts w:ascii="Times New Roman;sans-serif" w:hAnsi="Times New Roman;sans-serif"/>
                  <w:b w:val="false"/>
                  <w:color w:val="000080"/>
                  <w:sz w:val="20"/>
                  <w:u w:val="single"/>
                </w:rPr>
                <w:t>202</w:t>
              </w:r>
            </w:hyperlink>
            <w:hyperlink w:anchor="a2023directorcompensationp.htm">
              <w:r>
                <w:rPr>
                  <w:rStyle w:val="InternetLink"/>
                  <w:rFonts w:ascii="Times New Roman;sans-serif" w:hAnsi="Times New Roman;sans-serif"/>
                  <w:b w:val="false"/>
                  <w:color w:val="000080"/>
                  <w:sz w:val="20"/>
                  <w:u w:val="single"/>
                </w:rPr>
                <w:t>3</w:t>
              </w:r>
            </w:hyperlink>
            <w:hyperlink w:anchor="a2023directorcompensationp.htm">
              <w:r>
                <w:rPr>
                  <w:rStyle w:val="InternetLink"/>
                  <w:rFonts w:ascii="Times New Roman;sans-serif" w:hAnsi="Times New Roman;sans-serif"/>
                  <w:b w:val="false"/>
                  <w:color w:val="000080"/>
                  <w:sz w:val="20"/>
                  <w:u w:val="single"/>
                </w:rPr>
                <w:t xml:space="preserve"> Non-Employee Directors'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6302023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6302023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630202310xq.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Furnished herewith.</w:t>
      </w:r>
      <w:r>
        <w:rPr>
          <w:color w:val="000000"/>
        </w:rPr>
        <w:t> </w:t>
      </w:r>
      <w:r>
        <w:rPr>
          <w:rFonts w:ascii="Times New Roman;sans-serif" w:hAnsi="Times New Roman;sans-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before="0" w:after="0"/>
        <w:ind w:left="0" w:right="0" w:hanging="360"/>
        <w:jc w:val="left"/>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August 8, 2023.</w:t>
      </w:r>
    </w:p>
    <w:p>
      <w:pPr>
        <w:pStyle w:val="TextBody"/>
        <w:bidi w:val="0"/>
        <w:spacing w:lineRule="auto" w:line="288" w:before="0" w:after="0"/>
        <w:jc w:val="left"/>
        <w:rPr>
          <w:color w:val="000000"/>
        </w:rPr>
      </w:pPr>
      <w:r>
        <w:rPr>
          <w:color w:val="000000"/>
        </w:rPr>
        <w:t> </w:t>
      </w:r>
    </w:p>
    <w:tbl>
      <w:tblPr>
        <w:tblW w:w="8667"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2023 Non-Employee Directors’ Compensation Policy</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Approved by the Board of Directors</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June 9, 2023</w:t>
      </w:r>
    </w:p>
    <w:p>
      <w:pPr>
        <w:pStyle w:val="TextBody"/>
        <w:bidi w:val="0"/>
        <w:spacing w:before="0" w:after="0"/>
        <w:jc w:val="center"/>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rPr>
        <w:t>Each member of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who is not also serving as an employee of 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or any of its subsidiaries (each such member, an “</w:t>
      </w:r>
      <w:r>
        <w:rPr>
          <w:rFonts w:ascii="Times New Roman;sans-serif" w:hAnsi="Times New Roman;sans-serif"/>
          <w:b/>
          <w:i/>
          <w:color w:val="000000"/>
          <w:sz w:val="22"/>
        </w:rPr>
        <w:t>Eligible Director</w:t>
      </w:r>
      <w:r>
        <w:rPr>
          <w:color w:val="000000"/>
        </w:rPr>
        <w:t>”</w:t>
      </w:r>
      <w:r>
        <w:rPr>
          <w:rFonts w:ascii="Times New Roman;sans-serif" w:hAnsi="Times New Roman;sans-serif"/>
          <w:b w:val="false"/>
          <w:color w:val="000000"/>
          <w:sz w:val="22"/>
        </w:rPr>
        <w:t>) will receive the compensation described in this Non-Employee Directors’ Compensation Policy (the “</w:t>
      </w:r>
      <w:r>
        <w:rPr>
          <w:rFonts w:ascii="Times New Roman;sans-serif" w:hAnsi="Times New Roman;sans-serif"/>
          <w:b/>
          <w:i/>
          <w:color w:val="000000"/>
          <w:sz w:val="22"/>
        </w:rPr>
        <w:t>Director Compensation Policy</w:t>
      </w:r>
      <w:r>
        <w:rPr>
          <w:color w:val="000000"/>
        </w:rPr>
        <w:t>”</w:t>
      </w:r>
      <w:r>
        <w:rPr>
          <w:rFonts w:ascii="Times New Roman;sans-serif" w:hAnsi="Times New Roman;sans-serif"/>
          <w:b w:val="false"/>
          <w:color w:val="000000"/>
          <w:sz w:val="22"/>
        </w:rPr>
        <w:t>) for his or her Board service. The Director Compensation Policy may be amended at any time in the sole discretion of the Board or the Compensation Committee of the Board.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Annual Cash Compensation</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Times New Roman;sans-serif" w:hAnsi="Times New Roman;sans-serif"/>
          <w:b/>
          <w:i/>
          <w:color w:val="000000"/>
          <w:sz w:val="22"/>
        </w:rPr>
        <w:t>Committee</w:t>
      </w:r>
      <w:r>
        <w:rPr>
          <w:color w:val="000000"/>
        </w:rPr>
        <w:t>”</w:t>
      </w:r>
      <w:r>
        <w:rPr>
          <w:rFonts w:ascii="Times New Roman;sans-serif" w:hAnsi="Times New Roman;sans-serif"/>
          <w:b w:val="false"/>
          <w:color w:val="000000"/>
          <w:sz w:val="22"/>
        </w:rPr>
        <w:t xml:space="preserve">)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 </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1.</w:t>
      </w:r>
      <w:r>
        <w:rPr>
          <w:color w:val="000000"/>
        </w:rPr>
        <w:t>    </w:t>
      </w:r>
      <w:r>
        <w:rPr>
          <w:rFonts w:ascii="Times New Roman;sans-serif" w:hAnsi="Times New Roman;sans-serif"/>
          <w:b w:val="false"/>
          <w:color w:val="000000"/>
          <w:sz w:val="22"/>
          <w:u w:val="single"/>
        </w:rPr>
        <w:t>Annual Board Service Retainer</w:t>
      </w:r>
      <w:r>
        <w:rPr>
          <w:rFonts w:ascii="Times New Roman;sans-serif" w:hAnsi="Times New Roman;sans-serif"/>
          <w:b w:val="false"/>
          <w:color w:val="000000"/>
          <w:sz w:val="22"/>
        </w:rPr>
        <w:t>: $45,000 payable in cash (“</w:t>
      </w:r>
      <w:r>
        <w:rPr>
          <w:rFonts w:ascii="Times New Roman;sans-serif" w:hAnsi="Times New Roman;sans-serif"/>
          <w:b/>
          <w:i/>
          <w:color w:val="000000"/>
          <w:sz w:val="22"/>
        </w:rPr>
        <w:t>Annual Retainer</w:t>
      </w:r>
      <w:r>
        <w:rPr>
          <w:color w:val="000000"/>
        </w:rPr>
        <w:t>”</w:t>
      </w:r>
      <w:r>
        <w:rPr>
          <w:rFonts w:ascii="Times New Roman;sans-serif" w:hAnsi="Times New Roman;sans-serif"/>
          <w:b w:val="false"/>
          <w:color w:val="000000"/>
          <w:sz w:val="22"/>
        </w:rPr>
        <w:t xml:space="preserve">) </w:t>
      </w:r>
    </w:p>
    <w:p>
      <w:pPr>
        <w:pStyle w:val="TextBody"/>
        <w:bidi w:val="0"/>
        <w:spacing w:before="0" w:after="0"/>
        <w:ind w:left="0" w:right="0" w:hanging="72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Annual Committee Member / Chair Service Retainer</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Member / Chairperson of the Audit Committee: $10,000 / $20,000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    Member / Chairperson of the Compensation Committee: $7,000 / $15,000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    Member / Chairperson of the N&amp;CG Committee: $5,000 / $10,000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Chair of the Board: $45,000</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Annual Lead Independent Director Service Retainer</w:t>
      </w:r>
      <w:r>
        <w:rPr>
          <w:rFonts w:ascii="Times New Roman;sans-serif" w:hAnsi="Times New Roman;sans-serif"/>
          <w:b w:val="false"/>
          <w:color w:val="000000"/>
          <w:sz w:val="22"/>
        </w:rPr>
        <w:t xml:space="preserv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Lead Independent Director: $5,000</w:t>
      </w:r>
    </w:p>
    <w:p>
      <w:pPr>
        <w:pStyle w:val="TextBody"/>
        <w:bidi w:val="0"/>
        <w:spacing w:before="0" w:after="0"/>
        <w:ind w:left="0" w:right="0" w:hanging="72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Equity Compensation</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2"/>
        </w:rPr>
        <w:t>The equity compensation set forth below will be granted under the SI-BONE, Inc. 2018 Equity Incentive Plan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and will be documented on the applicable form of equity award agreement most recently approved for use by the Board (or a duly authorized committee thereof) for Eligible Directors. Any stock options granted under the Director Compensation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Any RSU grant provided for by this Director Compensation Policy that vests quarterly shall have quarterly vesting dates of March 15, June 15, September 15 and December 15 (the “</w:t>
      </w:r>
      <w:r>
        <w:rPr>
          <w:rFonts w:ascii="Times New Roman;sans-serif" w:hAnsi="Times New Roman;sans-serif"/>
          <w:b/>
          <w:i/>
          <w:color w:val="000000"/>
          <w:sz w:val="22"/>
        </w:rPr>
        <w:t>Quarterly Vesting Dates</w:t>
      </w:r>
      <w:r>
        <w:rPr>
          <w:color w:val="000000"/>
        </w:rPr>
        <w:t>”</w:t>
      </w:r>
      <w:r>
        <w:rPr>
          <w:rFonts w:ascii="Times New Roman;sans-serif" w:hAnsi="Times New Roman;sans-serif"/>
          <w:b w:val="false"/>
          <w:color w:val="000000"/>
          <w:sz w:val="22"/>
        </w:rPr>
        <w:t>), and any RSU Grant that vests annually shall vest on the earlier to occur of the one-year anniversary of the date of grant or the Company’s next Annual General Meeting of its stockholders.</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Initial Share Grant</w:t>
      </w:r>
      <w:r>
        <w:rPr>
          <w:rFonts w:ascii="Times New Roman;sans-serif" w:hAnsi="Times New Roman;sans-serif"/>
          <w:b w:val="false"/>
          <w:color w:val="000000"/>
          <w:sz w:val="22"/>
        </w:rPr>
        <w:t>: Upon first election to the Board, each Eligible Director will be granted, upon approval by the Board or Compensation Committee of the Board, restricted stock units having a value of $250,000 based on the 30-day trailing average of the Company’s closing stock price (the “</w:t>
      </w:r>
      <w:r>
        <w:rPr>
          <w:rFonts w:ascii="Times New Roman;sans-serif" w:hAnsi="Times New Roman;sans-serif"/>
          <w:b/>
          <w:i/>
          <w:color w:val="000000"/>
          <w:sz w:val="22"/>
        </w:rPr>
        <w:t>Initial RSU Grant</w:t>
      </w:r>
      <w:r>
        <w:rPr>
          <w:color w:val="000000"/>
        </w:rPr>
        <w:t>”</w:t>
      </w:r>
      <w:r>
        <w:rPr>
          <w:rFonts w:ascii="Times New Roman;sans-serif" w:hAnsi="Times New Roman;sans-serif"/>
          <w:b w:val="false"/>
          <w:color w:val="000000"/>
          <w:sz w:val="22"/>
        </w:rPr>
        <w:t xml:space="preserve">). The Initial RSU Grant will vest quarterly over three years beginning on the Quarterly Vesting Date that follows the date of grant, such that the Initial RSU Grant will be fully vested on the next Quarterly Vesting Date that follows the third anniversary of the Eligible Director’s first election to the Board, subject to the Eligible Director’s Continuous Service on each applicable vesting date. In addition, in the event of a Change in Control or a Corporate Transaction, any unvested portion of the Initial RSU Grant will fully vest and become exercisable as of immediately prior to the effective time of such Change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Control or Corporate Transaction, subject to the Eligible Director’s Continuous Service on the effective date of such transaction.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2.</w:t>
      </w:r>
      <w:r>
        <w:rPr>
          <w:color w:val="000000"/>
        </w:rPr>
        <w:t>    </w:t>
      </w:r>
      <w:r>
        <w:rPr>
          <w:rFonts w:ascii="Times New Roman;sans-serif" w:hAnsi="Times New Roman;sans-serif"/>
          <w:b w:val="false"/>
          <w:color w:val="000000"/>
          <w:sz w:val="22"/>
          <w:u w:val="single"/>
        </w:rPr>
        <w:t>Additional RSU Grants</w:t>
      </w:r>
      <w:r>
        <w:rPr>
          <w:rFonts w:ascii="Times New Roman;sans-serif" w:hAnsi="Times New Roman;sans-serif"/>
          <w:b w:val="false"/>
          <w:color w:val="000000"/>
          <w:sz w:val="22"/>
        </w:rPr>
        <w:t>: The Compensation Committee may review and approve additional equity grants to Eligible Directors on the date of each subsequent annual meeting. At the first Board meeting held following the Company’s annual stockholder meeting, each incumbent Eligible Director shall receive an annual RSU grant having an approximate value of $120,000 based on the 30-day trailing average of the Company’s closing stock price, which will vest approximately one year from the grant date (the “</w:t>
      </w:r>
      <w:r>
        <w:rPr>
          <w:rFonts w:ascii="Times New Roman;sans-serif" w:hAnsi="Times New Roman;sans-serif"/>
          <w:b/>
          <w:i/>
          <w:color w:val="000000"/>
          <w:sz w:val="22"/>
        </w:rPr>
        <w:t>Additional Annual RSU Grant</w:t>
      </w:r>
      <w:r>
        <w:rPr>
          <w:color w:val="000000"/>
        </w:rPr>
        <w:t>”</w:t>
      </w:r>
      <w:r>
        <w:rPr>
          <w:rFonts w:ascii="Times New Roman;sans-serif" w:hAnsi="Times New Roman;sans-serif"/>
          <w:b w:val="false"/>
          <w:color w:val="000000"/>
          <w:sz w:val="22"/>
        </w:rPr>
        <w:t>), subject to the Eligible Director’s Continuous Service on each applicable vesting date. In addition, in the event of a Change in Control or a Corporate Transaction, any unvested portion of the Additional Annual RSU Grant will fully vest and become exercisable as of immediately prior to the effective time of such Change in Control or Corporate Transaction, subject to the Eligible Director’s Continuous Service on the effective date of such transaction. With respect to any person who first becomes an Eligible Director after the annual stockholder meeting of the preceding year, the Additional Annual RSU Grant shall be prorated based on the portion of the 12-month period prior to the annual stockholder meeting that such person served as an Eligible Director. By way of example, if an Eligible Director joins the Board on March 15 and the annual stockholder meeting is held June 15, s/he would receive an Additional Annual RSU Grant having an approximate value of $30,000 based on the 30-day trailing average of the Company’s closing stock price.</w:t>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Annual Pay Limit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aggregate value of all compensation granted or paid, as applicable, to any individual for service as an Eligible Director with respect to any calendar year, including equity compensation awards granted and cash fees paid by the Company to such Eligible Director, will not exceed (i) $750,000 in total value or (ii) in the event such Eligible Director is first appointed or elected to the Board during such calendar year, $1,000,000 in total value, in each case calculating the value of any equity awards based on the grant date fair value of such equity awards for financial reporting purposes.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Philosophy </w:t>
      </w:r>
    </w:p>
    <w:p>
      <w:pPr>
        <w:pStyle w:val="TextBody"/>
        <w:bidi w:val="0"/>
        <w:spacing w:lineRule="auto" w:line="240" w:before="198" w:after="283"/>
        <w:jc w:val="both"/>
        <w:rPr>
          <w:color w:val="000000"/>
        </w:rPr>
      </w:pPr>
      <w:r>
        <w:rPr>
          <w:color w:val="000000"/>
        </w:rPr>
        <w:t>    </w:t>
      </w:r>
      <w:r>
        <w:rPr>
          <w:rFonts w:ascii="Times New Roman;sans-serif" w:hAnsi="Times New Roman;sans-serif"/>
          <w:b w:val="false"/>
          <w:color w:val="000000"/>
          <w:sz w:val="22"/>
        </w:rPr>
        <w:t xml:space="preserve">The Director Compensation Policy is designed to attract and retain experienced, talented individuals to serve on the Board. The Board anticipates that the Board, or a duly authorized committee thereof, will generally review Eligible Director compensation on an annual basis on or about the date of the Company’s Annual General Meeting of its stockholders.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 consultant that the Compensation Committee or the Board may retain from time to time, and the potential dilutive effect of equity awards on our stockholders. </w:t>
      </w:r>
    </w:p>
    <w:p>
      <w:pPr>
        <w:pStyle w:val="TextBody"/>
        <w:bidi w:val="0"/>
        <w:spacing w:lineRule="auto" w:line="240" w:before="198" w:after="283"/>
        <w:jc w:val="both"/>
        <w:rPr>
          <w:color w:val="000000"/>
        </w:rPr>
      </w:pPr>
      <w:r>
        <w:rPr>
          <w:color w:val="000000"/>
        </w:rPr>
        <w:t>    </w:t>
      </w:r>
      <w:r>
        <w:rPr>
          <w:rFonts w:ascii="Times New Roman;sans-serif" w:hAnsi="Times New Roman;sans-serif"/>
          <w:b w:val="false"/>
          <w:color w:val="000000"/>
          <w:sz w:val="22"/>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or other Corporate Transaction is consistent with market practices and is critical to attracting and retaining high quality directors.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502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497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56"/>
        <w:gridCol w:w="256"/>
        <w:gridCol w:w="256"/>
        <w:gridCol w:w="256"/>
        <w:gridCol w:w="256"/>
        <w:gridCol w:w="256"/>
        <w:gridCol w:w="256"/>
        <w:gridCol w:w="256"/>
        <w:gridCol w:w="3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her or his knowledge: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Company’s Quarterly Report on Form 10-Q for the period ended June 30, 2023,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568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19"/>
        <w:gridCol w:w="219"/>
        <w:gridCol w:w="219"/>
        <w:gridCol w:w="385"/>
        <w:gridCol w:w="385"/>
        <w:gridCol w:w="385"/>
        <w:gridCol w:w="385"/>
        <w:gridCol w:w="385"/>
        <w:gridCol w:w="5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9839/000119312518303020/d641574dex31.htm" TargetMode="External"/><Relationship Id="rId3" Type="http://schemas.openxmlformats.org/officeDocument/2006/relationships/hyperlink" Target="http://www.sec.gov/Archives/edgar/data/1459839/000119312518293978/d452987dex34.htm" TargetMode="External"/><Relationship Id="rId4" Type="http://schemas.openxmlformats.org/officeDocument/2006/relationships/hyperlink" Target="http://www.sec.gov/Archives/edgar/data/1459839/000119312518293978/d452987dex41.htm" TargetMode="External"/><Relationship Id="rId5" Type="http://schemas.openxmlformats.org/officeDocument/2006/relationships/hyperlink" Target="http://www.sec.gov/Archives/edgar/data/1459839/000119312518303020/d641574dex31.htm" TargetMode="External"/><Relationship Id="rId6" Type="http://schemas.openxmlformats.org/officeDocument/2006/relationships/hyperlink" Target="http://www.sec.gov/Archives/edgar/data/1459839/000119312518293978/d452987dex3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47721</Words>
  <Characters>264510</Characters>
  <CharactersWithSpaces>311017</CharactersWithSpaces>
  <Paragraphs>2888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