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0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9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2582545</wp:posOffset>
            </wp:positionH>
            <wp:positionV relativeFrom="paragraph">
              <wp:posOffset>43180</wp:posOffset>
            </wp:positionV>
            <wp:extent cx="19862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6280" cy="17145"/>
                    </a:xfrm>
                    <a:prstGeom prst="rect">
                      <a:avLst/>
                    </a:prstGeom>
                    <a:noFill/>
                  </pic:spPr>
                </pic:pic>
              </a:graphicData>
            </a:graphic>
          </wp:anchor>
        </w:drawing>
      </w:r>
    </w:p>
    <w:p>
      <w:pPr>
        <w:spacing w:after="0" w:line="3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2582545</wp:posOffset>
            </wp:positionH>
            <wp:positionV relativeFrom="paragraph">
              <wp:posOffset>130175</wp:posOffset>
            </wp:positionV>
            <wp:extent cx="19862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6280" cy="1714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(Mark one)</w:t>
      </w:r>
    </w:p>
    <w:p>
      <w:pPr>
        <w:spacing w:after="0" w:line="32" w:lineRule="exact"/>
        <w:rPr>
          <w:sz w:val="24"/>
          <w:szCs w:val="24"/>
          <w:color w:val="auto"/>
        </w:rPr>
      </w:pPr>
    </w:p>
    <w:p>
      <w:pPr>
        <w:ind w:left="1740" w:hanging="344"/>
        <w:spacing w:after="0"/>
        <w:tabs>
          <w:tab w:leader="none" w:pos="1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 the quarterly period ended June 30, 2022</w:t>
      </w:r>
    </w:p>
    <w:p>
      <w:pPr>
        <w:spacing w:after="0" w:line="2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69" w:lineRule="exact"/>
        <w:rPr>
          <w:sz w:val="24"/>
          <w:szCs w:val="24"/>
          <w:color w:val="auto"/>
        </w:rPr>
      </w:pPr>
    </w:p>
    <w:p>
      <w:pPr>
        <w:ind w:left="1720" w:hanging="330"/>
        <w:spacing w:after="0"/>
        <w:tabs>
          <w:tab w:leader="none" w:pos="1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9" w:lineRule="exact"/>
        <w:rPr>
          <w:rFonts w:ascii="MS PGothic" w:cs="MS PGothic" w:eastAsia="MS PGothic" w:hAnsi="MS PGothic"/>
          <w:sz w:val="18"/>
          <w:szCs w:val="18"/>
          <w:color w:val="auto"/>
        </w:rPr>
      </w:pPr>
    </w:p>
    <w:p>
      <w:pPr>
        <w:ind w:left="3880"/>
        <w:spacing w:after="0"/>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2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Number: 001-38701</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SI-BONE, INC.</w:t>
      </w:r>
    </w:p>
    <w:p>
      <w:pPr>
        <w:spacing w:after="0" w:line="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2582545</wp:posOffset>
            </wp:positionH>
            <wp:positionV relativeFrom="paragraph">
              <wp:posOffset>85725</wp:posOffset>
            </wp:positionV>
            <wp:extent cx="19862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6280" cy="1714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820" w:type="dxa"/>
            <w:vAlign w:val="bottom"/>
            <w:gridSpan w:val="4"/>
          </w:tcPr>
          <w:p>
            <w:pPr>
              <w:jc w:val="center"/>
              <w:ind w:left="67"/>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40" w:type="dxa"/>
            <w:vAlign w:val="bottom"/>
            <w:gridSpan w:val="2"/>
          </w:tcPr>
          <w:p>
            <w:pPr>
              <w:jc w:val="center"/>
              <w:ind w:left="700"/>
              <w:spacing w:after="0"/>
              <w:rPr>
                <w:sz w:val="20"/>
                <w:szCs w:val="20"/>
                <w:color w:val="auto"/>
              </w:rPr>
            </w:pPr>
            <w:r>
              <w:rPr>
                <w:rFonts w:ascii="Times New Roman" w:cs="Times New Roman" w:eastAsia="Times New Roman" w:hAnsi="Times New Roman"/>
                <w:sz w:val="16"/>
                <w:szCs w:val="16"/>
                <w:b w:val="1"/>
                <w:bCs w:val="1"/>
                <w:color w:val="auto"/>
                <w:w w:val="98"/>
              </w:rPr>
              <w:t>26-2216351</w:t>
            </w:r>
          </w:p>
        </w:tc>
      </w:tr>
      <w:tr>
        <w:trPr>
          <w:trHeight w:val="144"/>
        </w:trPr>
        <w:tc>
          <w:tcPr>
            <w:tcW w:w="4820" w:type="dxa"/>
            <w:vAlign w:val="bottom"/>
            <w:gridSpan w:val="4"/>
          </w:tcPr>
          <w:p>
            <w:pPr>
              <w:jc w:val="center"/>
              <w:ind w:left="67"/>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jc w:val="center"/>
              <w:ind w:left="609"/>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4820" w:type="dxa"/>
            <w:vAlign w:val="bottom"/>
            <w:gridSpan w:val="4"/>
          </w:tcPr>
          <w:p>
            <w:pPr>
              <w:jc w:val="center"/>
              <w:ind w:left="6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21"/>
        </w:trPr>
        <w:tc>
          <w:tcPr>
            <w:tcW w:w="4820" w:type="dxa"/>
            <w:vAlign w:val="bottom"/>
            <w:gridSpan w:val="4"/>
          </w:tcPr>
          <w:p>
            <w:pPr>
              <w:jc w:val="center"/>
              <w:ind w:left="67"/>
              <w:spacing w:after="0"/>
              <w:rPr>
                <w:sz w:val="20"/>
                <w:szCs w:val="20"/>
                <w:color w:val="auto"/>
              </w:rPr>
            </w:pPr>
            <w:r>
              <w:rPr>
                <w:rFonts w:ascii="Times New Roman" w:cs="Times New Roman" w:eastAsia="Times New Roman" w:hAnsi="Times New Roman"/>
                <w:sz w:val="16"/>
                <w:szCs w:val="16"/>
                <w:b w:val="1"/>
                <w:bCs w:val="1"/>
                <w:color w:val="auto"/>
              </w:rPr>
              <w:t>471 El Camino Real, Suite 101, Santa Clara, California</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40" w:type="dxa"/>
            <w:vAlign w:val="bottom"/>
            <w:gridSpan w:val="2"/>
          </w:tcPr>
          <w:p>
            <w:pPr>
              <w:jc w:val="right"/>
              <w:ind w:right="689"/>
              <w:spacing w:after="0"/>
              <w:rPr>
                <w:sz w:val="20"/>
                <w:szCs w:val="20"/>
                <w:color w:val="auto"/>
              </w:rPr>
            </w:pPr>
            <w:r>
              <w:rPr>
                <w:rFonts w:ascii="Times New Roman" w:cs="Times New Roman" w:eastAsia="Times New Roman" w:hAnsi="Times New Roman"/>
                <w:sz w:val="16"/>
                <w:szCs w:val="16"/>
                <w:b w:val="1"/>
                <w:bCs w:val="1"/>
                <w:color w:val="auto"/>
              </w:rPr>
              <w:t>95050</w:t>
            </w:r>
          </w:p>
        </w:tc>
      </w:tr>
      <w:tr>
        <w:trPr>
          <w:trHeight w:val="186"/>
        </w:trPr>
        <w:tc>
          <w:tcPr>
            <w:tcW w:w="4820" w:type="dxa"/>
            <w:vAlign w:val="bottom"/>
            <w:gridSpan w:val="4"/>
          </w:tcPr>
          <w:p>
            <w:pPr>
              <w:jc w:val="center"/>
              <w:ind w:left="6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Pr>
          <w:p>
            <w:pPr>
              <w:jc w:val="center"/>
              <w:ind w:left="66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19"/>
        </w:trPr>
        <w:tc>
          <w:tcPr>
            <w:tcW w:w="2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54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(408) 207-0700</w:t>
            </w:r>
          </w:p>
        </w:tc>
      </w:tr>
      <w:tr>
        <w:trPr>
          <w:trHeight w:val="124"/>
        </w:trPr>
        <w:tc>
          <w:tcPr>
            <w:tcW w:w="2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tcPr>
          <w:p>
            <w:pPr>
              <w:spacing w:after="0"/>
              <w:rPr>
                <w:sz w:val="10"/>
                <w:szCs w:val="10"/>
                <w:color w:val="auto"/>
              </w:rPr>
            </w:pPr>
          </w:p>
        </w:tc>
      </w:tr>
      <w:tr>
        <w:trPr>
          <w:trHeight w:val="348"/>
        </w:trPr>
        <w:tc>
          <w:tcPr>
            <w:tcW w:w="48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91"/>
        </w:trPr>
        <w:tc>
          <w:tcPr>
            <w:tcW w:w="2320" w:type="dxa"/>
            <w:vAlign w:val="bottom"/>
          </w:tcPr>
          <w:p>
            <w:pPr>
              <w:spacing w:after="0"/>
              <w:rPr>
                <w:sz w:val="24"/>
                <w:szCs w:val="24"/>
                <w:color w:val="auto"/>
              </w:rPr>
            </w:pPr>
          </w:p>
        </w:tc>
        <w:tc>
          <w:tcPr>
            <w:tcW w:w="2500" w:type="dxa"/>
            <w:vAlign w:val="bottom"/>
            <w:gridSpan w:val="3"/>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2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r>
      <w:tr>
        <w:trPr>
          <w:trHeight w:val="208"/>
        </w:trPr>
        <w:tc>
          <w:tcPr>
            <w:tcW w:w="4820" w:type="dxa"/>
            <w:vAlign w:val="bottom"/>
            <w:gridSpan w:val="4"/>
          </w:tcPr>
          <w:p>
            <w:pPr>
              <w:jc w:val="center"/>
              <w:ind w:left="807"/>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440" w:type="dxa"/>
            <w:vAlign w:val="bottom"/>
          </w:tcPr>
          <w:p>
            <w:pPr>
              <w:spacing w:after="0"/>
              <w:rPr>
                <w:sz w:val="18"/>
                <w:szCs w:val="18"/>
                <w:color w:val="auto"/>
              </w:rPr>
            </w:pPr>
          </w:p>
        </w:tc>
        <w:tc>
          <w:tcPr>
            <w:tcW w:w="192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rPr>
              <w:t>SIBN</w:t>
            </w:r>
          </w:p>
        </w:tc>
        <w:tc>
          <w:tcPr>
            <w:tcW w:w="1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200" w:lineRule="exact"/>
        <w:rPr>
          <w:sz w:val="24"/>
          <w:szCs w:val="24"/>
          <w:color w:val="auto"/>
        </w:rPr>
      </w:pPr>
    </w:p>
    <w:p>
      <w:pPr>
        <w:spacing w:after="0" w:line="241" w:lineRule="exact"/>
        <w:rPr>
          <w:sz w:val="24"/>
          <w:szCs w:val="24"/>
          <w:color w:val="auto"/>
        </w:rPr>
      </w:pPr>
    </w:p>
    <w:p>
      <w:pPr>
        <w:jc w:val="center"/>
        <w:ind w:left="360"/>
        <w:spacing w:after="0" w:line="29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o</w:t>
      </w:r>
    </w:p>
    <w:p>
      <w:pPr>
        <w:spacing w:after="0" w:line="44" w:lineRule="exact"/>
        <w:rPr>
          <w:sz w:val="24"/>
          <w:szCs w:val="24"/>
          <w:color w:val="auto"/>
        </w:rPr>
      </w:pPr>
    </w:p>
    <w:p>
      <w:pPr>
        <w:jc w:val="center"/>
        <w:ind w:left="380" w:right="80"/>
        <w:spacing w:after="0" w:line="29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o</w:t>
      </w:r>
    </w:p>
    <w:p>
      <w:pPr>
        <w:spacing w:after="0" w:line="57" w:lineRule="exact"/>
        <w:rPr>
          <w:sz w:val="24"/>
          <w:szCs w:val="24"/>
          <w:color w:val="auto"/>
        </w:rPr>
      </w:pPr>
    </w:p>
    <w:p>
      <w:pPr>
        <w:jc w:val="center"/>
        <w:ind w:left="380" w:right="260"/>
        <w:spacing w:after="0" w:line="29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1720" w:type="dxa"/>
        <w:tblCellMar>
          <w:top w:w="0" w:type="dxa"/>
          <w:left w:w="0" w:type="dxa"/>
          <w:bottom w:w="0" w:type="dxa"/>
          <w:right w:w="0" w:type="dxa"/>
        </w:tblCellMar>
      </w:tblPr>
      <w:tr>
        <w:trPr>
          <w:trHeight w:val="200"/>
        </w:trPr>
        <w:tc>
          <w:tcPr>
            <w:tcW w:w="174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Large accelerated filer</w:t>
            </w:r>
          </w:p>
        </w:tc>
        <w:tc>
          <w:tcPr>
            <w:tcW w:w="7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20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Non-accelerated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9"/>
        </w:trPr>
        <w:tc>
          <w:tcPr>
            <w:tcW w:w="174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20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tcPr>
          <w:p>
            <w:pPr>
              <w:spacing w:after="0"/>
              <w:rPr>
                <w:sz w:val="22"/>
                <w:szCs w:val="22"/>
                <w:color w:val="auto"/>
              </w:rPr>
            </w:pPr>
          </w:p>
        </w:tc>
        <w:tc>
          <w:tcPr>
            <w:tcW w:w="400" w:type="dxa"/>
            <w:vAlign w:val="bottom"/>
          </w:tcPr>
          <w:p>
            <w:pPr>
              <w:spacing w:after="0"/>
              <w:rPr>
                <w:sz w:val="22"/>
                <w:szCs w:val="22"/>
                <w:color w:val="auto"/>
              </w:rPr>
            </w:pPr>
          </w:p>
        </w:tc>
      </w:tr>
    </w:tbl>
    <w:p>
      <w:pPr>
        <w:spacing w:after="0" w:line="202" w:lineRule="exact"/>
        <w:rPr>
          <w:sz w:val="24"/>
          <w:szCs w:val="24"/>
          <w:color w:val="auto"/>
        </w:rPr>
      </w:pPr>
    </w:p>
    <w:p>
      <w:pPr>
        <w:jc w:val="center"/>
        <w:ind w:left="360" w:right="40"/>
        <w:spacing w:after="0" w:line="18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58" w:lineRule="exact"/>
        <w:rPr>
          <w:sz w:val="24"/>
          <w:szCs w:val="24"/>
          <w:color w:val="auto"/>
        </w:rPr>
      </w:pPr>
    </w:p>
    <w:p>
      <w:pPr>
        <w:jc w:val="center"/>
        <w:ind w:right="-39"/>
        <w:spacing w:after="0" w:line="16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x</w:t>
      </w:r>
    </w:p>
    <w:p>
      <w:pPr>
        <w:spacing w:after="0" w:line="17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The number of shares outstanding of the registrant’s Common Stock was 34,305,039 as of July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482600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933"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140" w:type="dxa"/>
            <w:vAlign w:val="bottom"/>
            <w:gridSpan w:val="16"/>
            <w:vMerge w:val="restart"/>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7"/>
              </w:rPr>
              <w:t>PART I-FINANCIAL INFORMATION</w:t>
            </w: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140" w:type="dxa"/>
            <w:vAlign w:val="bottom"/>
            <w:gridSpan w:val="16"/>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6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0000FF"/>
              </w:rPr>
              <w:t>Item 1.</w:t>
            </w:r>
          </w:p>
        </w:tc>
        <w:tc>
          <w:tcPr>
            <w:tcW w:w="9440" w:type="dxa"/>
            <w:vAlign w:val="bottom"/>
            <w:gridSpan w:val="23"/>
          </w:tcPr>
          <w:p>
            <w:pPr>
              <w:spacing w:after="0" w:line="191" w:lineRule="exact"/>
              <w:rPr>
                <w:sz w:val="20"/>
                <w:szCs w:val="20"/>
                <w:color w:val="auto"/>
              </w:rPr>
            </w:pPr>
            <w:r>
              <w:rPr>
                <w:rFonts w:ascii="Times New Roman" w:cs="Times New Roman" w:eastAsia="Times New Roman" w:hAnsi="Times New Roman"/>
                <w:sz w:val="18"/>
                <w:szCs w:val="18"/>
                <w:color w:val="0000FF"/>
              </w:rPr>
              <w:t>Financial Statements</w:t>
            </w:r>
          </w:p>
        </w:tc>
        <w:tc>
          <w:tcPr>
            <w:tcW w:w="520" w:type="dxa"/>
            <w:vAlign w:val="bottom"/>
            <w:gridSpan w:val="4"/>
          </w:tcPr>
          <w:p>
            <w:pPr>
              <w:jc w:val="right"/>
              <w:ind w:right="20"/>
              <w:spacing w:after="0" w:line="191" w:lineRule="exact"/>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(Unaudited)</w:t>
            </w: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(Unaudited)</w:t>
            </w: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40" w:type="dxa"/>
            <w:vAlign w:val="bottom"/>
          </w:tcPr>
          <w:p>
            <w:pPr>
              <w:spacing w:after="0"/>
              <w:rPr>
                <w:sz w:val="17"/>
                <w:szCs w:val="17"/>
                <w:color w:val="auto"/>
              </w:rPr>
            </w:pPr>
          </w:p>
        </w:tc>
        <w:tc>
          <w:tcPr>
            <w:tcW w:w="860" w:type="dxa"/>
            <w:vAlign w:val="bottom"/>
            <w:gridSpan w:val="3"/>
          </w:tcPr>
          <w:p>
            <w:pPr>
              <w:spacing w:after="0"/>
              <w:rPr>
                <w:sz w:val="17"/>
                <w:szCs w:val="17"/>
                <w:color w:val="auto"/>
              </w:rPr>
            </w:pPr>
          </w:p>
        </w:tc>
        <w:tc>
          <w:tcPr>
            <w:tcW w:w="3060" w:type="dxa"/>
            <w:vAlign w:val="bottom"/>
            <w:gridSpan w:val="2"/>
          </w:tcPr>
          <w:p>
            <w:pPr>
              <w:spacing w:after="0"/>
              <w:rPr>
                <w:sz w:val="17"/>
                <w:szCs w:val="17"/>
                <w:color w:val="auto"/>
              </w:rPr>
            </w:pP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7"/>
        </w:trPr>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80" w:type="dxa"/>
            <w:vAlign w:val="bottom"/>
            <w:gridSpan w:val="14"/>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7"/>
              </w:rPr>
              <w:t>PART II-OTHER INFORMATION</w:t>
            </w:r>
          </w:p>
        </w:tc>
        <w:tc>
          <w:tcPr>
            <w:tcW w:w="3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6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0000FF"/>
              </w:rPr>
              <w:t>Item 1.</w:t>
            </w:r>
          </w:p>
        </w:tc>
        <w:tc>
          <w:tcPr>
            <w:tcW w:w="9440" w:type="dxa"/>
            <w:vAlign w:val="bottom"/>
            <w:gridSpan w:val="23"/>
          </w:tcPr>
          <w:p>
            <w:pPr>
              <w:spacing w:after="0" w:line="191" w:lineRule="exact"/>
              <w:rPr>
                <w:sz w:val="20"/>
                <w:szCs w:val="20"/>
                <w:color w:val="auto"/>
              </w:rPr>
            </w:pPr>
            <w:r>
              <w:rPr>
                <w:rFonts w:ascii="Times New Roman" w:cs="Times New Roman" w:eastAsia="Times New Roman" w:hAnsi="Times New Roman"/>
                <w:sz w:val="18"/>
                <w:szCs w:val="18"/>
                <w:color w:val="0000FF"/>
              </w:rPr>
              <w:t>Legal Proceedings</w:t>
            </w:r>
          </w:p>
        </w:tc>
        <w:tc>
          <w:tcPr>
            <w:tcW w:w="50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620" w:type="dxa"/>
            <w:vAlign w:val="bottom"/>
            <w:gridSpan w:val="2"/>
          </w:tcPr>
          <w:p>
            <w:pPr>
              <w:spacing w:after="0"/>
              <w:rPr>
                <w:sz w:val="17"/>
                <w:szCs w:val="17"/>
                <w:color w:val="auto"/>
              </w:rPr>
            </w:pP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514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620" w:type="dxa"/>
            <w:vAlign w:val="bottom"/>
            <w:gridSpan w:val="2"/>
          </w:tcPr>
          <w:p>
            <w:pPr>
              <w:spacing w:after="0"/>
              <w:rPr>
                <w:sz w:val="17"/>
                <w:szCs w:val="17"/>
                <w:color w:val="auto"/>
              </w:rPr>
            </w:pP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680" w:type="dxa"/>
            <w:vAlign w:val="bottom"/>
            <w:gridSpan w:val="1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40" w:type="dxa"/>
            <w:vAlign w:val="bottom"/>
            <w:gridSpan w:val="1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8"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sales force expansion, surgeon adoption, reimbursement determinations, clinical trial results, and U.S. Food and Drug Administration ("FDA") approvals, are forward-looking statements.</w:t>
      </w:r>
    </w:p>
    <w:p>
      <w:pPr>
        <w:spacing w:after="0" w:line="208"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entitled “Risk Factors” and “Management’s Discussion and Analysis of Financial Condition and Results of Operations.” These forward-looking statements include, but are not limited to, statements about the following:</w:t>
      </w:r>
    </w:p>
    <w:p>
      <w:pPr>
        <w:spacing w:after="0" w:line="187" w:lineRule="exact"/>
        <w:rPr>
          <w:sz w:val="20"/>
          <w:szCs w:val="20"/>
          <w:color w:val="auto"/>
        </w:rPr>
      </w:pPr>
    </w:p>
    <w:p>
      <w:pPr>
        <w:jc w:val="both"/>
        <w:ind w:left="640" w:hanging="314"/>
        <w:spacing w:after="0" w:line="25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the COVID-19 pandemic and governmental actions taken to combat the COVID-19 pandemic will have on us, including our operations, financial results, liquidity and capital resources, the existence and duration of state and local orders temporarily prohibiting elective procedures including procedures using our products, the ability and desire of patients and physicians to undergo and perform such procedures, the duration and any potential resurgence of the COVID-19 pandemic, and whether the COVID-19 pandemic will recur in the future;</w:t>
      </w:r>
    </w:p>
    <w:p>
      <w:pPr>
        <w:spacing w:after="0" w:line="181" w:lineRule="exact"/>
        <w:rPr>
          <w:rFonts w:ascii="Times New Roman" w:cs="Times New Roman" w:eastAsia="Times New Roman" w:hAnsi="Times New Roman"/>
          <w:sz w:val="18"/>
          <w:szCs w:val="18"/>
          <w:color w:val="auto"/>
        </w:rPr>
      </w:pPr>
    </w:p>
    <w:p>
      <w:pPr>
        <w:ind w:left="640" w:hanging="314"/>
        <w:spacing w:after="0" w:line="27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the COVID-19 pandemic has on the global supply chain and our third-party manufacturers and suppliers, which could adversely impact the availability or cost of materials, which could disrupt our supply chain related to implants and instruments.</w:t>
      </w:r>
    </w:p>
    <w:p>
      <w:pPr>
        <w:spacing w:after="0" w:line="10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healthy workforce in light of the ongoing COVID-19 pandemic;</w:t>
      </w:r>
    </w:p>
    <w:p>
      <w:pPr>
        <w:spacing w:after="0" w:line="20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a significant portion of our revenues will be derived from sales of the iFuse Implant System, or iFuse;</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additional revenue opportunities, including new indications for use and new devices;</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grow our sales team based on the demand for our products;</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train, and retain surgeons to perform procedures using our products;</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favorable coverage and reimbursement determinations from third-party payors;</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market opportunity;</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protection from intellectual property rights covering our products;</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results from clinical and other trials;</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clearances and authorization from the FDA and regulators in other jurisdictions;</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regulatory filings and feedback;</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markets we serve;</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reliability and performance of our products;</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benefits to patients, providers, and payors of our products;</w:t>
      </w:r>
    </w:p>
    <w:p>
      <w:pPr>
        <w:spacing w:after="0" w:line="165" w:lineRule="exact"/>
        <w:rPr>
          <w:rFonts w:ascii="Times New Roman" w:cs="Times New Roman" w:eastAsia="Times New Roman" w:hAnsi="Times New Roman"/>
          <w:sz w:val="18"/>
          <w:szCs w:val="18"/>
          <w:color w:val="auto"/>
        </w:rPr>
      </w:pPr>
    </w:p>
    <w:p>
      <w:pPr>
        <w:ind w:left="640" w:hanging="314"/>
        <w:spacing w:after="0" w:line="27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impacting the supply chains we rely on, including the availability of raw materials and skilled labor serving our suppliers, and the cost of these factors of production which may in turn impact the prices we pay for our devices;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3" w:name="page4"/>
    <w:bookmarkEnd w:id="3"/>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suppliers, including sole source suppliers, which may impact the availability of instruments and materials;</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or increase demand for our products;</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costs and risks associated with our international operations and expansion;</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retain and recruit key personnel;</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employees, including those with specialized skills and experience;</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acquisitions and strategic operations;</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markets;</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working capital requirements;</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and the cost of, federal, state, and foreign regulatory requirements;</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that may impact our financial results; and</w:t>
      </w:r>
    </w:p>
    <w:p>
      <w:pPr>
        <w:spacing w:after="0" w:line="16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w:t>
      </w:r>
    </w:p>
    <w:p>
      <w:pPr>
        <w:spacing w:after="0" w:line="246"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1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9"/>
        </w:trPr>
        <w:tc>
          <w:tcPr>
            <w:tcW w:w="83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2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6"/>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63,419</w:t>
            </w:r>
          </w:p>
        </w:tc>
      </w:tr>
      <w:tr>
        <w:trPr>
          <w:trHeight w:val="226"/>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83,560</w:t>
            </w:r>
          </w:p>
        </w:tc>
      </w:tr>
      <w:tr>
        <w:trPr>
          <w:trHeight w:val="226"/>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$255 and $264, respectively</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w:t>
            </w:r>
          </w:p>
        </w:tc>
      </w:tr>
      <w:tr>
        <w:trPr>
          <w:trHeight w:val="226"/>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w:t>
            </w:r>
          </w:p>
        </w:tc>
      </w:tr>
      <w:tr>
        <w:trPr>
          <w:trHeight w:val="226"/>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r>
      <w:tr>
        <w:trPr>
          <w:trHeight w:val="220"/>
        </w:trPr>
        <w:tc>
          <w:tcPr>
            <w:tcW w:w="8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175,866</w:t>
            </w:r>
          </w:p>
        </w:tc>
      </w:tr>
      <w:tr>
        <w:trPr>
          <w:trHeight w:val="22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r>
      <w:tr>
        <w:trPr>
          <w:trHeight w:val="22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w:t>
            </w:r>
          </w:p>
        </w:tc>
      </w:tr>
      <w:tr>
        <w:trPr>
          <w:trHeight w:val="22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0"/>
        </w:trPr>
        <w:tc>
          <w:tcPr>
            <w:tcW w:w="8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166,147</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190,506</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0"/>
        </w:trPr>
        <w:tc>
          <w:tcPr>
            <w:tcW w:w="8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6"/>
        </w:trPr>
        <w:tc>
          <w:tcPr>
            <w:tcW w:w="8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6"/>
        </w:trPr>
        <w:tc>
          <w:tcPr>
            <w:tcW w:w="8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6"/>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w:t>
            </w:r>
          </w:p>
        </w:tc>
      </w:tr>
      <w:tr>
        <w:trPr>
          <w:trHeight w:val="226"/>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12,353</w:t>
            </w:r>
          </w:p>
        </w:tc>
      </w:tr>
      <w:tr>
        <w:trPr>
          <w:trHeight w:val="226"/>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20"/>
        </w:trPr>
        <w:tc>
          <w:tcPr>
            <w:tcW w:w="8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16,890</w:t>
            </w:r>
          </w:p>
        </w:tc>
      </w:tr>
      <w:tr>
        <w:trPr>
          <w:trHeight w:val="22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34,973</w:t>
            </w:r>
          </w:p>
        </w:tc>
      </w:tr>
      <w:tr>
        <w:trPr>
          <w:trHeight w:val="22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r>
      <w:tr>
        <w:trPr>
          <w:trHeight w:val="22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0"/>
        </w:trPr>
        <w:tc>
          <w:tcPr>
            <w:tcW w:w="83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56,086</w:t>
            </w:r>
          </w:p>
        </w:tc>
      </w:tr>
      <w:tr>
        <w:trPr>
          <w:trHeight w:val="233"/>
        </w:trPr>
        <w:tc>
          <w:tcPr>
            <w:tcW w:w="8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6"/>
        </w:trPr>
        <w:tc>
          <w:tcPr>
            <w:tcW w:w="8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3"/>
        </w:trPr>
        <w:tc>
          <w:tcPr>
            <w:tcW w:w="8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6"/>
        </w:trPr>
        <w:tc>
          <w:tcPr>
            <w:tcW w:w="8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5,000,000 shares authorized; no shares issued and outstanding</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3"/>
        </w:trPr>
        <w:tc>
          <w:tcPr>
            <w:tcW w:w="834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Common stock, $0.0001 par value; 100,000,000 shares authorized; 34,221,614 and 33,674,085 shares issued and</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0"/>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6"/>
        </w:trPr>
        <w:tc>
          <w:tcPr>
            <w:tcW w:w="8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429,914</w:t>
            </w:r>
          </w:p>
        </w:tc>
      </w:tr>
      <w:tr>
        <w:trPr>
          <w:trHeight w:val="226"/>
        </w:trPr>
        <w:tc>
          <w:tcPr>
            <w:tcW w:w="8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6"/>
        </w:trPr>
        <w:tc>
          <w:tcPr>
            <w:tcW w:w="8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(295,849)</w:t>
            </w:r>
          </w:p>
        </w:tc>
      </w:tr>
      <w:tr>
        <w:trPr>
          <w:trHeight w:val="220"/>
        </w:trPr>
        <w:tc>
          <w:tcPr>
            <w:tcW w:w="83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134,420</w:t>
            </w:r>
          </w:p>
        </w:tc>
      </w:tr>
      <w:tr>
        <w:trPr>
          <w:trHeight w:val="245"/>
        </w:trPr>
        <w:tc>
          <w:tcPr>
            <w:tcW w:w="83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166,147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190,506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222250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758"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440" w:type="dxa"/>
            <w:vAlign w:val="bottom"/>
            <w:gridSpan w:val="4"/>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2"/>
        </w:trPr>
        <w:tc>
          <w:tcPr>
            <w:tcW w:w="5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7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1"/>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42,636</w:t>
            </w:r>
          </w:p>
        </w:tc>
        <w:tc>
          <w:tcPr>
            <w:tcW w:w="0" w:type="dxa"/>
            <w:vAlign w:val="bottom"/>
          </w:tcPr>
          <w:p>
            <w:pPr>
              <w:spacing w:after="0"/>
              <w:rPr>
                <w:sz w:val="1"/>
                <w:szCs w:val="1"/>
                <w:color w:val="auto"/>
              </w:rPr>
            </w:pPr>
          </w:p>
        </w:tc>
      </w:tr>
      <w:tr>
        <w:trPr>
          <w:trHeight w:val="226"/>
        </w:trPr>
        <w:tc>
          <w:tcPr>
            <w:tcW w:w="57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0" w:type="dxa"/>
            <w:vAlign w:val="bottom"/>
          </w:tcPr>
          <w:p>
            <w:pPr>
              <w:spacing w:after="0"/>
              <w:rPr>
                <w:sz w:val="1"/>
                <w:szCs w:val="1"/>
                <w:color w:val="auto"/>
              </w:rPr>
            </w:pPr>
          </w:p>
        </w:tc>
      </w:tr>
      <w:tr>
        <w:trPr>
          <w:trHeight w:val="220"/>
        </w:trPr>
        <w:tc>
          <w:tcPr>
            <w:tcW w:w="5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38,061</w:t>
            </w:r>
          </w:p>
        </w:tc>
        <w:tc>
          <w:tcPr>
            <w:tcW w:w="0" w:type="dxa"/>
            <w:vAlign w:val="bottom"/>
          </w:tcPr>
          <w:p>
            <w:pPr>
              <w:spacing w:after="0"/>
              <w:rPr>
                <w:sz w:val="1"/>
                <w:szCs w:val="1"/>
                <w:color w:val="auto"/>
              </w:rPr>
            </w:pPr>
          </w:p>
        </w:tc>
      </w:tr>
      <w:tr>
        <w:trPr>
          <w:trHeight w:val="206"/>
        </w:trPr>
        <w:tc>
          <w:tcPr>
            <w:tcW w:w="5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44,006</w:t>
            </w:r>
          </w:p>
        </w:tc>
        <w:tc>
          <w:tcPr>
            <w:tcW w:w="0" w:type="dxa"/>
            <w:vAlign w:val="bottom"/>
          </w:tcPr>
          <w:p>
            <w:pPr>
              <w:spacing w:after="0"/>
              <w:rPr>
                <w:sz w:val="1"/>
                <w:szCs w:val="1"/>
                <w:color w:val="auto"/>
              </w:rPr>
            </w:pPr>
          </w:p>
        </w:tc>
      </w:tr>
      <w:tr>
        <w:trPr>
          <w:trHeight w:val="226"/>
        </w:trPr>
        <w:tc>
          <w:tcPr>
            <w:tcW w:w="5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0" w:type="dxa"/>
            <w:vAlign w:val="bottom"/>
          </w:tcPr>
          <w:p>
            <w:pPr>
              <w:spacing w:after="0"/>
              <w:rPr>
                <w:sz w:val="1"/>
                <w:szCs w:val="1"/>
                <w:color w:val="auto"/>
              </w:rPr>
            </w:pPr>
          </w:p>
        </w:tc>
      </w:tr>
      <w:tr>
        <w:trPr>
          <w:trHeight w:val="226"/>
        </w:trPr>
        <w:tc>
          <w:tcPr>
            <w:tcW w:w="5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0" w:type="dxa"/>
            <w:vAlign w:val="bottom"/>
          </w:tcPr>
          <w:p>
            <w:pPr>
              <w:spacing w:after="0"/>
              <w:rPr>
                <w:sz w:val="1"/>
                <w:szCs w:val="1"/>
                <w:color w:val="auto"/>
              </w:rPr>
            </w:pPr>
          </w:p>
        </w:tc>
      </w:tr>
      <w:tr>
        <w:trPr>
          <w:trHeight w:val="220"/>
        </w:trPr>
        <w:tc>
          <w:tcPr>
            <w:tcW w:w="57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76,325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62,601</w:t>
            </w:r>
          </w:p>
        </w:tc>
        <w:tc>
          <w:tcPr>
            <w:tcW w:w="0" w:type="dxa"/>
            <w:vAlign w:val="bottom"/>
          </w:tcPr>
          <w:p>
            <w:pPr>
              <w:spacing w:after="0"/>
              <w:rPr>
                <w:sz w:val="1"/>
                <w:szCs w:val="1"/>
                <w:color w:val="auto"/>
              </w:rPr>
            </w:pPr>
          </w:p>
        </w:tc>
      </w:tr>
      <w:tr>
        <w:trPr>
          <w:trHeight w:val="220"/>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(24,540)</w:t>
            </w:r>
          </w:p>
        </w:tc>
        <w:tc>
          <w:tcPr>
            <w:tcW w:w="0" w:type="dxa"/>
            <w:vAlign w:val="bottom"/>
          </w:tcPr>
          <w:p>
            <w:pPr>
              <w:spacing w:after="0"/>
              <w:rPr>
                <w:sz w:val="1"/>
                <w:szCs w:val="1"/>
                <w:color w:val="auto"/>
              </w:rPr>
            </w:pPr>
          </w:p>
        </w:tc>
      </w:tr>
      <w:tr>
        <w:trPr>
          <w:trHeight w:val="226"/>
        </w:trPr>
        <w:tc>
          <w:tcPr>
            <w:tcW w:w="5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6"/>
        </w:trPr>
        <w:tc>
          <w:tcPr>
            <w:tcW w:w="5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0" w:type="dxa"/>
            <w:vAlign w:val="bottom"/>
          </w:tcPr>
          <w:p>
            <w:pPr>
              <w:spacing w:after="0"/>
              <w:rPr>
                <w:sz w:val="1"/>
                <w:szCs w:val="1"/>
                <w:color w:val="auto"/>
              </w:rPr>
            </w:pPr>
          </w:p>
        </w:tc>
      </w:tr>
      <w:tr>
        <w:trPr>
          <w:trHeight w:val="226"/>
        </w:trPr>
        <w:tc>
          <w:tcPr>
            <w:tcW w:w="5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0"/>
        </w:trPr>
        <w:tc>
          <w:tcPr>
            <w:tcW w:w="5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(18,513)</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w:t>
            </w:r>
          </w:p>
        </w:tc>
        <w:tc>
          <w:tcPr>
            <w:tcW w:w="8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(35,923)</w:t>
            </w:r>
          </w:p>
        </w:tc>
        <w:tc>
          <w:tcPr>
            <w:tcW w:w="8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(26,223)</w:t>
            </w:r>
          </w:p>
        </w:tc>
        <w:tc>
          <w:tcPr>
            <w:tcW w:w="0" w:type="dxa"/>
            <w:vAlign w:val="bottom"/>
          </w:tcPr>
          <w:p>
            <w:pPr>
              <w:spacing w:after="0"/>
              <w:rPr>
                <w:sz w:val="1"/>
                <w:szCs w:val="1"/>
                <w:color w:val="auto"/>
              </w:rPr>
            </w:pPr>
          </w:p>
        </w:tc>
      </w:tr>
      <w:tr>
        <w:trPr>
          <w:trHeight w:val="226"/>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foreign currency translation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6"/>
        </w:trPr>
        <w:tc>
          <w:tcPr>
            <w:tcW w:w="5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0"/>
        </w:trPr>
        <w:tc>
          <w:tcPr>
            <w:tcW w:w="5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(26,287)</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5700" w:type="dxa"/>
            <w:vAlign w:val="bottom"/>
          </w:tcPr>
          <w:p>
            <w:pPr>
              <w:ind w:left="60"/>
              <w:spacing w:after="0" w:line="173" w:lineRule="exact"/>
              <w:rPr>
                <w:sz w:val="20"/>
                <w:szCs w:val="20"/>
                <w:color w:val="auto"/>
              </w:rPr>
            </w:pPr>
            <w:r>
              <w:rPr>
                <w:rFonts w:ascii="Times New Roman" w:cs="Times New Roman" w:eastAsia="Times New Roman" w:hAnsi="Times New Roman"/>
                <w:sz w:val="18"/>
                <w:szCs w:val="18"/>
                <w:color w:val="auto"/>
              </w:rPr>
              <w:t>Weighted-average number of common shares used to compute basic and</w:t>
            </w: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34,052,692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32,978,914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33,923,229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32,836,040</w:t>
            </w:r>
          </w:p>
        </w:tc>
        <w:tc>
          <w:tcPr>
            <w:tcW w:w="0" w:type="dxa"/>
            <w:vAlign w:val="bottom"/>
          </w:tcPr>
          <w:p>
            <w:pPr>
              <w:spacing w:after="0"/>
              <w:rPr>
                <w:sz w:val="1"/>
                <w:szCs w:val="1"/>
                <w:color w:val="auto"/>
              </w:rPr>
            </w:pPr>
          </w:p>
        </w:tc>
      </w:tr>
      <w:tr>
        <w:trPr>
          <w:trHeight w:val="213"/>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6" w:name="page7"/>
    <w:bookmarkEnd w:id="6"/>
    <w:p>
      <w:pPr>
        <w:ind w:left="500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9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840" w:type="dxa"/>
            <w:vAlign w:val="bottom"/>
            <w:gridSpan w:val="4"/>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5020" w:type="dxa"/>
            <w:vAlign w:val="bottom"/>
          </w:tcPr>
          <w:p>
            <w:pPr>
              <w:spacing w:after="0"/>
              <w:rPr>
                <w:sz w:val="17"/>
                <w:szCs w:val="17"/>
                <w:color w:val="auto"/>
              </w:rPr>
            </w:pPr>
          </w:p>
        </w:tc>
        <w:tc>
          <w:tcPr>
            <w:tcW w:w="1840" w:type="dxa"/>
            <w:vAlign w:val="bottom"/>
            <w:tcBorders>
              <w:bottom w:val="single" w:sz="8" w:color="auto"/>
            </w:tcBorders>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32"/>
              <w:spacing w:after="0" w:line="180"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7"/>
                <w:szCs w:val="17"/>
                <w:color w:val="auto"/>
              </w:rPr>
            </w:pPr>
          </w:p>
        </w:tc>
        <w:tc>
          <w:tcPr>
            <w:tcW w:w="11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80" w:type="dxa"/>
            <w:vAlign w:val="bottom"/>
          </w:tcPr>
          <w:p>
            <w:pPr>
              <w:spacing w:after="0"/>
              <w:rPr>
                <w:sz w:val="17"/>
                <w:szCs w:val="17"/>
                <w:color w:val="auto"/>
              </w:rPr>
            </w:pPr>
          </w:p>
        </w:tc>
        <w:tc>
          <w:tcPr>
            <w:tcW w:w="96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98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33,674,085</w:t>
            </w:r>
          </w:p>
        </w:tc>
        <w:tc>
          <w:tcPr>
            <w:tcW w:w="8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(295,849)</w:t>
            </w:r>
          </w:p>
        </w:tc>
        <w:tc>
          <w:tcPr>
            <w:tcW w:w="80" w:type="dxa"/>
            <w:vAlign w:val="bottom"/>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134,420</w:t>
            </w:r>
          </w:p>
        </w:tc>
        <w:tc>
          <w:tcPr>
            <w:tcW w:w="0" w:type="dxa"/>
            <w:vAlign w:val="bottom"/>
          </w:tcPr>
          <w:p>
            <w:pPr>
              <w:spacing w:after="0"/>
              <w:rPr>
                <w:sz w:val="1"/>
                <w:szCs w:val="1"/>
                <w:color w:val="auto"/>
              </w:rPr>
            </w:pPr>
          </w:p>
        </w:tc>
      </w:tr>
      <w:tr>
        <w:trPr>
          <w:trHeight w:val="173"/>
        </w:trPr>
        <w:tc>
          <w:tcPr>
            <w:tcW w:w="502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Issuance of common stock upon exercise of stock options, net of</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vesting of restricted stock units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163,480</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loss on marketable securities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6"/>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(17,410)</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(17,410)</w:t>
            </w:r>
          </w:p>
        </w:tc>
        <w:tc>
          <w:tcPr>
            <w:tcW w:w="0" w:type="dxa"/>
            <w:vAlign w:val="bottom"/>
          </w:tcPr>
          <w:p>
            <w:pPr>
              <w:spacing w:after="0"/>
              <w:rPr>
                <w:sz w:val="1"/>
                <w:szCs w:val="1"/>
                <w:color w:val="auto"/>
              </w:rPr>
            </w:pPr>
          </w:p>
        </w:tc>
      </w:tr>
      <w:tr>
        <w:trPr>
          <w:trHeight w:val="22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33,872,363</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435,590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(313,259)</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122,438</w:t>
            </w:r>
          </w:p>
        </w:tc>
        <w:tc>
          <w:tcPr>
            <w:tcW w:w="0" w:type="dxa"/>
            <w:vAlign w:val="bottom"/>
          </w:tcPr>
          <w:p>
            <w:pPr>
              <w:spacing w:after="0"/>
              <w:rPr>
                <w:sz w:val="1"/>
                <w:szCs w:val="1"/>
                <w:color w:val="auto"/>
              </w:rPr>
            </w:pPr>
          </w:p>
        </w:tc>
      </w:tr>
      <w:tr>
        <w:trPr>
          <w:trHeight w:val="173"/>
        </w:trPr>
        <w:tc>
          <w:tcPr>
            <w:tcW w:w="502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Issuance of common stock upon exercise of stock options, net of</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related to employee stock purchase plan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112,773</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vesting of restricted stock 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loss on marketable securities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6"/>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(18,513)</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(18,513)</w:t>
            </w:r>
          </w:p>
        </w:tc>
        <w:tc>
          <w:tcPr>
            <w:tcW w:w="0" w:type="dxa"/>
            <w:vAlign w:val="bottom"/>
          </w:tcPr>
          <w:p>
            <w:pPr>
              <w:spacing w:after="0"/>
              <w:rPr>
                <w:sz w:val="1"/>
                <w:szCs w:val="1"/>
                <w:color w:val="auto"/>
              </w:rPr>
            </w:pPr>
          </w:p>
        </w:tc>
      </w:tr>
      <w:tr>
        <w:trPr>
          <w:trHeight w:val="28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34,221,614</w:t>
            </w:r>
          </w:p>
        </w:tc>
        <w:tc>
          <w:tcPr>
            <w:tcW w:w="80" w:type="dxa"/>
            <w:vAlign w:val="bottom"/>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442,570</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80" w:type="dxa"/>
            <w:vAlign w:val="bottom"/>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(331,772)</w:t>
            </w:r>
          </w:p>
        </w:tc>
        <w:tc>
          <w:tcPr>
            <w:tcW w:w="80" w:type="dxa"/>
            <w:vAlign w:val="bottom"/>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110,833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70485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60" w:top="811" w:right="3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20" w:type="dxa"/>
            <w:vAlign w:val="bottom"/>
          </w:tcPr>
          <w:p>
            <w:pPr>
              <w:spacing w:after="0"/>
              <w:rPr>
                <w:sz w:val="17"/>
                <w:szCs w:val="17"/>
                <w:color w:val="auto"/>
              </w:rPr>
            </w:pPr>
          </w:p>
        </w:tc>
        <w:tc>
          <w:tcPr>
            <w:tcW w:w="1840" w:type="dxa"/>
            <w:vAlign w:val="bottom"/>
            <w:gridSpan w:val="4"/>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7"/>
                <w:szCs w:val="17"/>
                <w:color w:val="auto"/>
              </w:rPr>
            </w:pP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1"/>
        </w:trPr>
        <w:tc>
          <w:tcPr>
            <w:tcW w:w="5020" w:type="dxa"/>
            <w:vAlign w:val="bottom"/>
          </w:tcPr>
          <w:p>
            <w:pPr>
              <w:spacing w:after="0"/>
              <w:rPr>
                <w:sz w:val="16"/>
                <w:szCs w:val="16"/>
                <w:color w:val="auto"/>
              </w:rPr>
            </w:pPr>
          </w:p>
        </w:tc>
        <w:tc>
          <w:tcPr>
            <w:tcW w:w="184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80" w:type="dxa"/>
            <w:vAlign w:val="bottom"/>
            <w:gridSpan w:val="3"/>
          </w:tcPr>
          <w:p>
            <w:pPr>
              <w:jc w:val="center"/>
              <w:ind w:right="80"/>
              <w:spacing w:after="0" w:line="167"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40" w:type="dxa"/>
            <w:vAlign w:val="bottom"/>
            <w:gridSpan w:val="3"/>
          </w:tcPr>
          <w:p>
            <w:pPr>
              <w:ind w:left="20"/>
              <w:spacing w:after="0" w:line="167"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98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0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8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20"/>
                <w:szCs w:val="20"/>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2"/>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32,583,220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408,113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(239,277)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169,363</w:t>
            </w:r>
          </w:p>
        </w:tc>
        <w:tc>
          <w:tcPr>
            <w:tcW w:w="0" w:type="dxa"/>
            <w:vAlign w:val="bottom"/>
          </w:tcPr>
          <w:p>
            <w:pPr>
              <w:spacing w:after="0"/>
              <w:rPr>
                <w:sz w:val="1"/>
                <w:szCs w:val="1"/>
                <w:color w:val="auto"/>
              </w:rPr>
            </w:pPr>
          </w:p>
        </w:tc>
      </w:tr>
      <w:tr>
        <w:trPr>
          <w:trHeight w:val="173"/>
        </w:trPr>
        <w:tc>
          <w:tcPr>
            <w:tcW w:w="502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Issuance of common stock upon exercise of stock options, net of</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vesting of restricted stock units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early exercised stock options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 on marketable securities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0" w:type="dxa"/>
            <w:vAlign w:val="bottom"/>
          </w:tcPr>
          <w:p>
            <w:pPr>
              <w:spacing w:after="0"/>
              <w:rPr>
                <w:sz w:val="1"/>
                <w:szCs w:val="1"/>
                <w:color w:val="auto"/>
              </w:rPr>
            </w:pPr>
          </w:p>
        </w:tc>
      </w:tr>
      <w:tr>
        <w:trPr>
          <w:trHeight w:val="22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32,808,534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412,753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(251,519)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161,667</w:t>
            </w:r>
          </w:p>
        </w:tc>
        <w:tc>
          <w:tcPr>
            <w:tcW w:w="0" w:type="dxa"/>
            <w:vAlign w:val="bottom"/>
          </w:tcPr>
          <w:p>
            <w:pPr>
              <w:spacing w:after="0"/>
              <w:rPr>
                <w:sz w:val="1"/>
                <w:szCs w:val="1"/>
                <w:color w:val="auto"/>
              </w:rPr>
            </w:pPr>
          </w:p>
        </w:tc>
      </w:tr>
      <w:tr>
        <w:trPr>
          <w:trHeight w:val="173"/>
        </w:trPr>
        <w:tc>
          <w:tcPr>
            <w:tcW w:w="502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Issuance of common stock upon exercise of stock options, net of</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related to employee stock purchase plan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vesting of restricted stock 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early exercised stock options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loss on marketable securities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w:t>
            </w:r>
          </w:p>
        </w:tc>
        <w:tc>
          <w:tcPr>
            <w:tcW w:w="0" w:type="dxa"/>
            <w:vAlign w:val="bottom"/>
          </w:tcPr>
          <w:p>
            <w:pPr>
              <w:spacing w:after="0"/>
              <w:rPr>
                <w:sz w:val="1"/>
                <w:szCs w:val="1"/>
                <w:color w:val="auto"/>
              </w:rPr>
            </w:pPr>
          </w:p>
        </w:tc>
      </w:tr>
      <w:tr>
        <w:trPr>
          <w:trHeight w:val="22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33,236,270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419,235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(265,500)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154,198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70485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60" w:top="842" w:right="37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04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4"/>
        </w:trPr>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(35,923)</w:t>
            </w:r>
          </w:p>
        </w:tc>
        <w:tc>
          <w:tcPr>
            <w:tcW w:w="12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(26,223)</w:t>
            </w:r>
          </w:p>
        </w:tc>
        <w:tc>
          <w:tcPr>
            <w:tcW w:w="0" w:type="dxa"/>
            <w:vAlign w:val="bottom"/>
          </w:tcPr>
          <w:p>
            <w:pPr>
              <w:spacing w:after="0"/>
              <w:rPr>
                <w:sz w:val="1"/>
                <w:szCs w:val="1"/>
                <w:color w:val="auto"/>
              </w:rPr>
            </w:pPr>
          </w:p>
        </w:tc>
      </w:tr>
      <w:tr>
        <w:trPr>
          <w:trHeight w:val="215"/>
        </w:trPr>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8,287</w:t>
            </w:r>
          </w:p>
        </w:tc>
        <w:tc>
          <w:tcPr>
            <w:tcW w:w="0" w:type="dxa"/>
            <w:vAlign w:val="bottom"/>
          </w:tcPr>
          <w:p>
            <w:pPr>
              <w:spacing w:after="0"/>
              <w:rPr>
                <w:sz w:val="1"/>
                <w:szCs w:val="1"/>
                <w:color w:val="auto"/>
              </w:rPr>
            </w:pPr>
          </w:p>
        </w:tc>
      </w:tr>
      <w:tr>
        <w:trPr>
          <w:trHeight w:val="215"/>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0" w:type="dxa"/>
            <w:vAlign w:val="bottom"/>
          </w:tcPr>
          <w:p>
            <w:pPr>
              <w:spacing w:after="0"/>
              <w:rPr>
                <w:sz w:val="1"/>
                <w:szCs w:val="1"/>
                <w:color w:val="auto"/>
              </w:rPr>
            </w:pPr>
          </w:p>
        </w:tc>
      </w:tr>
      <w:tr>
        <w:trPr>
          <w:trHeight w:val="211"/>
        </w:trPr>
        <w:tc>
          <w:tcPr>
            <w:tcW w:w="8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Accretion of discount on marketable securities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0" w:type="dxa"/>
            <w:vAlign w:val="bottom"/>
          </w:tcPr>
          <w:p>
            <w:pPr>
              <w:spacing w:after="0"/>
              <w:rPr>
                <w:sz w:val="1"/>
                <w:szCs w:val="1"/>
                <w:color w:val="auto"/>
              </w:rPr>
            </w:pPr>
          </w:p>
        </w:tc>
      </w:tr>
      <w:tr>
        <w:trPr>
          <w:trHeight w:val="215"/>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1"/>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sale and disposal of property and equipment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5"/>
        </w:trPr>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0" w:type="dxa"/>
            <w:vAlign w:val="bottom"/>
          </w:tcPr>
          <w:p>
            <w:pPr>
              <w:spacing w:after="0"/>
              <w:rPr>
                <w:sz w:val="1"/>
                <w:szCs w:val="1"/>
                <w:color w:val="auto"/>
              </w:rPr>
            </w:pPr>
          </w:p>
        </w:tc>
      </w:tr>
      <w:tr>
        <w:trPr>
          <w:trHeight w:val="215"/>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w:t>
            </w:r>
          </w:p>
        </w:tc>
        <w:tc>
          <w:tcPr>
            <w:tcW w:w="0" w:type="dxa"/>
            <w:vAlign w:val="bottom"/>
          </w:tcPr>
          <w:p>
            <w:pPr>
              <w:spacing w:after="0"/>
              <w:rPr>
                <w:sz w:val="1"/>
                <w:szCs w:val="1"/>
                <w:color w:val="auto"/>
              </w:rPr>
            </w:pPr>
          </w:p>
        </w:tc>
      </w:tr>
      <w:tr>
        <w:trPr>
          <w:trHeight w:val="211"/>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5"/>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11"/>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(17,510)</w:t>
            </w:r>
          </w:p>
        </w:tc>
        <w:tc>
          <w:tcPr>
            <w:tcW w:w="0" w:type="dxa"/>
            <w:vAlign w:val="bottom"/>
          </w:tcPr>
          <w:p>
            <w:pPr>
              <w:spacing w:after="0"/>
              <w:rPr>
                <w:sz w:val="1"/>
                <w:szCs w:val="1"/>
                <w:color w:val="auto"/>
              </w:rPr>
            </w:pPr>
          </w:p>
        </w:tc>
      </w:tr>
      <w:tr>
        <w:trPr>
          <w:trHeight w:val="192"/>
        </w:trPr>
        <w:tc>
          <w:tcPr>
            <w:tcW w:w="80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56,977</w:t>
            </w:r>
          </w:p>
        </w:tc>
        <w:tc>
          <w:tcPr>
            <w:tcW w:w="0" w:type="dxa"/>
            <w:vAlign w:val="bottom"/>
          </w:tcPr>
          <w:p>
            <w:pPr>
              <w:spacing w:after="0"/>
              <w:rPr>
                <w:sz w:val="1"/>
                <w:szCs w:val="1"/>
                <w:color w:val="auto"/>
              </w:rPr>
            </w:pPr>
          </w:p>
        </w:tc>
      </w:tr>
      <w:tr>
        <w:trPr>
          <w:trHeight w:val="211"/>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(43,337)</w:t>
            </w:r>
          </w:p>
        </w:tc>
        <w:tc>
          <w:tcPr>
            <w:tcW w:w="0" w:type="dxa"/>
            <w:vAlign w:val="bottom"/>
          </w:tcPr>
          <w:p>
            <w:pPr>
              <w:spacing w:after="0"/>
              <w:rPr>
                <w:sz w:val="1"/>
                <w:szCs w:val="1"/>
                <w:color w:val="auto"/>
              </w:rPr>
            </w:pPr>
          </w:p>
        </w:tc>
      </w:tr>
      <w:tr>
        <w:trPr>
          <w:trHeight w:val="215"/>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(4,191)</w:t>
            </w:r>
          </w:p>
        </w:tc>
        <w:tc>
          <w:tcPr>
            <w:tcW w:w="0" w:type="dxa"/>
            <w:vAlign w:val="bottom"/>
          </w:tcPr>
          <w:p>
            <w:pPr>
              <w:spacing w:after="0"/>
              <w:rPr>
                <w:sz w:val="1"/>
                <w:szCs w:val="1"/>
                <w:color w:val="auto"/>
              </w:rPr>
            </w:pPr>
          </w:p>
        </w:tc>
      </w:tr>
      <w:tr>
        <w:trPr>
          <w:trHeight w:val="204"/>
        </w:trPr>
        <w:tc>
          <w:tcPr>
            <w:tcW w:w="80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9,449</w:t>
            </w:r>
          </w:p>
        </w:tc>
        <w:tc>
          <w:tcPr>
            <w:tcW w:w="0" w:type="dxa"/>
            <w:vAlign w:val="bottom"/>
          </w:tcPr>
          <w:p>
            <w:pPr>
              <w:spacing w:after="0"/>
              <w:rPr>
                <w:sz w:val="1"/>
                <w:szCs w:val="1"/>
                <w:color w:val="auto"/>
              </w:rPr>
            </w:pPr>
          </w:p>
        </w:tc>
      </w:tr>
      <w:tr>
        <w:trPr>
          <w:trHeight w:val="195"/>
        </w:trPr>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0" w:type="dxa"/>
            <w:vAlign w:val="bottom"/>
          </w:tcPr>
          <w:p>
            <w:pPr>
              <w:spacing w:after="0"/>
              <w:rPr>
                <w:sz w:val="1"/>
                <w:szCs w:val="1"/>
                <w:color w:val="auto"/>
              </w:rPr>
            </w:pPr>
          </w:p>
        </w:tc>
      </w:tr>
      <w:tr>
        <w:trPr>
          <w:trHeight w:val="215"/>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the exercise of stock options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0" w:type="dxa"/>
            <w:vAlign w:val="bottom"/>
          </w:tcPr>
          <w:p>
            <w:pPr>
              <w:spacing w:after="0"/>
              <w:rPr>
                <w:sz w:val="1"/>
                <w:szCs w:val="1"/>
                <w:color w:val="auto"/>
              </w:rPr>
            </w:pPr>
          </w:p>
        </w:tc>
      </w:tr>
      <w:tr>
        <w:trPr>
          <w:trHeight w:val="204"/>
        </w:trPr>
        <w:tc>
          <w:tcPr>
            <w:tcW w:w="80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2,817</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04"/>
        </w:trPr>
        <w:tc>
          <w:tcPr>
            <w:tcW w:w="80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(39,100)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(5,456)</w:t>
            </w:r>
          </w:p>
        </w:tc>
        <w:tc>
          <w:tcPr>
            <w:tcW w:w="0" w:type="dxa"/>
            <w:vAlign w:val="bottom"/>
          </w:tcPr>
          <w:p>
            <w:pPr>
              <w:spacing w:after="0"/>
              <w:rPr>
                <w:sz w:val="1"/>
                <w:szCs w:val="1"/>
                <w:color w:val="auto"/>
              </w:rPr>
            </w:pPr>
          </w:p>
        </w:tc>
      </w:tr>
      <w:tr>
        <w:trPr>
          <w:trHeight w:val="215"/>
        </w:trPr>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Cash and cash equivalents at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Beginning of period</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53,581</w:t>
            </w: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shd w:val="clear" w:color="auto" w:fill="CCEEFF"/>
          </w:tcPr>
          <w:p>
            <w:pPr>
              <w:ind w:left="60"/>
              <w:spacing w:after="0" w:line="182" w:lineRule="exact"/>
              <w:rPr>
                <w:sz w:val="20"/>
                <w:szCs w:val="20"/>
                <w:color w:val="auto"/>
              </w:rPr>
            </w:pPr>
            <w:r>
              <w:rPr>
                <w:rFonts w:ascii="Times New Roman" w:cs="Times New Roman" w:eastAsia="Times New Roman" w:hAnsi="Times New Roman"/>
                <w:sz w:val="16"/>
                <w:szCs w:val="16"/>
                <w:color w:val="auto"/>
              </w:rPr>
              <w:t>End of period</w:t>
            </w:r>
          </w:p>
        </w:tc>
        <w:tc>
          <w:tcPr>
            <w:tcW w:w="280" w:type="dxa"/>
            <w:vAlign w:val="bottom"/>
            <w:tcBorders>
              <w:bottom w:val="single" w:sz="8" w:color="auto"/>
            </w:tcBorders>
            <w:shd w:val="clear" w:color="auto" w:fill="CCEEFF"/>
          </w:tcPr>
          <w:p>
            <w:pPr>
              <w:jc w:val="right"/>
              <w:ind w:right="120"/>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24,319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0"/>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48,125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0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8"/>
        </w:trPr>
        <w:tc>
          <w:tcPr>
            <w:tcW w:w="8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Unpaid purchases of property and equipment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222250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20"/>
          </w:cols>
          <w:pgMar w:left="540" w:top="838" w:right="5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 The Company and Nature of Business</w:t>
      </w:r>
    </w:p>
    <w:p>
      <w:pPr>
        <w:spacing w:after="0" w:line="248" w:lineRule="exact"/>
        <w:rPr>
          <w:sz w:val="20"/>
          <w:szCs w:val="20"/>
          <w:color w:val="auto"/>
        </w:rPr>
      </w:pPr>
    </w:p>
    <w:p>
      <w:pPr>
        <w:jc w:val="both"/>
        <w:ind w:firstLine="439"/>
        <w:spacing w:after="0" w:line="256" w:lineRule="auto"/>
        <w:rPr>
          <w:sz w:val="20"/>
          <w:szCs w:val="20"/>
          <w:color w:val="auto"/>
        </w:rPr>
      </w:pPr>
      <w:r>
        <w:rPr>
          <w:rFonts w:ascii="Times New Roman" w:cs="Times New Roman" w:eastAsia="Times New Roman" w:hAnsi="Times New Roman"/>
          <w:sz w:val="18"/>
          <w:szCs w:val="18"/>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musculoskeletal disorders of the sacropelvic anatomy. The Company introduced its first generation iFuse implant in 2009 in the U.S., in 2010 in certain countries in the European Union, and in 2015 in certain countries in the rest of the world.</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3" w:lineRule="exact"/>
        <w:rPr>
          <w:sz w:val="20"/>
          <w:szCs w:val="20"/>
          <w:color w:val="auto"/>
        </w:rPr>
      </w:pPr>
    </w:p>
    <w:p>
      <w:pPr>
        <w:jc w:val="both"/>
        <w:ind w:firstLine="439"/>
        <w:spacing w:after="0" w:line="254" w:lineRule="auto"/>
        <w:rPr>
          <w:sz w:val="20"/>
          <w:szCs w:val="20"/>
          <w:color w:val="auto"/>
        </w:rPr>
      </w:pPr>
      <w:r>
        <w:rPr>
          <w:rFonts w:ascii="Times New Roman" w:cs="Times New Roman" w:eastAsia="Times New Roman" w:hAnsi="Times New Roman"/>
          <w:sz w:val="17"/>
          <w:szCs w:val="17"/>
          <w:color w:val="auto"/>
        </w:rPr>
        <w:t>The Company is subject to continuing risk and uncertainties as a result of the COVID-19 pandemic, and is closely monitoring the impact of the pandemic on all aspects of its business, including the impacts on its customers, patients that would benefit from procedures involving the Company's products, employees, suppliers, vendors, business partners and distribution channels. Economies worldwide continue to be negatively impacted by the COVID-19 pandemic, in particular with recurrent mutations of the virus, despite advances in vaccines, and the Company anticipates these disruptions will continue. While the Company has not experienced material disruptions to its supply chain to date, certain of its third-party suppliers have faced delays, product shortages and rising costs resulting from disruptions in the global supply chain, primarily related to the instruments. As a result, the Company is continuing to work closely with its manufacturing partners and suppliers, as well as determining alternative sourcing strategies to enable the Company to source key components and maintain appropriate inventory levels to meet customer demand. As such the Company's future results of operations and liquidity could be adversely impacted by a variety of factors related to the COVID-19 pandemic and global supply chain issues, including those discussed in the section entitled "Risk Factors" in this report. As of the date of issuance of these condensed consolidated financial statements, the extent to which the COVID-19 pandemic and global supply chain issues may materially impact the Company's financial condition, liquidity, or results of operations remains uncertain.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3"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December 31, 2021 has been derived from the audited consolidated financial statements at that date but does not include all of the information required by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and six months ended June 30, 2022 are not necessarily indicative of the results to be expected for the year ending December 31, 2022 or for any other interim period or for any other future year.</w:t>
      </w:r>
    </w:p>
    <w:p>
      <w:pPr>
        <w:spacing w:after="0" w:line="189" w:lineRule="exact"/>
        <w:rPr>
          <w:sz w:val="20"/>
          <w:szCs w:val="20"/>
          <w:color w:val="auto"/>
        </w:rPr>
      </w:pPr>
    </w:p>
    <w:p>
      <w:pPr>
        <w:jc w:val="both"/>
        <w:ind w:firstLine="439"/>
        <w:spacing w:after="0" w:line="27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should be read in conjunction with the audited financial statements and related notes thereto for the year ended December 31, 2021 contained in the Company’s Annual Report on Form 10-K filed with the SEC on March 1, 2022.</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3" w:lineRule="exact"/>
        <w:rPr>
          <w:sz w:val="20"/>
          <w:szCs w:val="20"/>
          <w:color w:val="auto"/>
        </w:rPr>
      </w:pPr>
    </w:p>
    <w:p>
      <w:pPr>
        <w:jc w:val="both"/>
        <w:ind w:firstLine="43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condensed consolidated financial statements primarily includes the fair value of performance-based restricted stock unit awards. Estimates are based on historical experience, where applicable and other assumptions believed to be reasonable by the management. Actual results could differ from those estimates.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3"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Company’s Annual Report on Form 10-K for the year ended December 31, 2021. There have been no material changes to these accounting policies, except for the accounting policy related to performance-based restricted stock unit awards noted below that was added to the Company’s significant accounting policies in the first quarter of 2022.</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222250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 Award</w:t>
      </w:r>
      <w:r>
        <w:rPr>
          <w:rFonts w:ascii="Times New Roman" w:cs="Times New Roman" w:eastAsia="Times New Roman" w:hAnsi="Times New Roman"/>
          <w:sz w:val="18"/>
          <w:szCs w:val="18"/>
          <w:i w:val="1"/>
          <w:iCs w:val="1"/>
          <w:color w:val="auto"/>
        </w:rPr>
        <w:t>s</w:t>
      </w:r>
    </w:p>
    <w:p>
      <w:pPr>
        <w:spacing w:after="0" w:line="22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Company grants restricted stock unit awards subject to market and service vesting conditions to certain executive officers. This type of grant consists of the right to receive shares of common stock, subject to achievement of time-based criteria and certain market-related performance goals over a specified period, as established by the Compensation Committee of the Company’s Board of Directors. For these awards that are subject to market-related performance, the fair value is determined based on the number of shares granted and a Monte Carlo valuation model, which incorporates the probability of the achievement of the market-related performance goals as part of the grant date fair value. If such performance goals are not ultimately met, the expense is not reversed. Stock-based compensation expense is recognized ratably over the requisite service period.</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3" w:lineRule="exact"/>
        <w:rPr>
          <w:sz w:val="20"/>
          <w:szCs w:val="20"/>
          <w:color w:val="auto"/>
        </w:rPr>
      </w:pPr>
    </w:p>
    <w:p>
      <w:pPr>
        <w:jc w:val="both"/>
        <w:ind w:firstLine="439"/>
        <w:spacing w:after="0" w:line="267" w:lineRule="auto"/>
        <w:rPr>
          <w:sz w:val="20"/>
          <w:szCs w:val="20"/>
          <w:color w:val="auto"/>
        </w:rPr>
      </w:pPr>
      <w:r>
        <w:rPr>
          <w:rFonts w:ascii="Times New Roman" w:cs="Times New Roman" w:eastAsia="Times New Roman" w:hAnsi="Times New Roman"/>
          <w:sz w:val="17"/>
          <w:szCs w:val="17"/>
          <w:color w:val="auto"/>
        </w:rPr>
        <w:t>The Company's chief operating decision makers are the Chief Executive Officer (“CEO”) and Chief Financial Officer (“CFO”). The CEO and the CFO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structure</w:t>
      </w:r>
      <w:r>
        <w:rPr>
          <w:rFonts w:ascii="Times New Roman" w:cs="Times New Roman" w:eastAsia="Times New Roman" w:hAnsi="Times New Roman"/>
          <w:sz w:val="21"/>
          <w:szCs w:val="21"/>
          <w:color w:val="008080"/>
        </w:rPr>
        <w:t>.</w:t>
      </w:r>
    </w:p>
    <w:p>
      <w:pPr>
        <w:spacing w:after="0" w:line="205"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The Company derives substantially all of its revenue from sales to customers in the U.S. Revenue by geography is based on billing address of the customer. International revenue accounted for less than 10% of the total revenue during the periods presented. Long-lived assets held outside the U.S. are immaterial. Following table summarizes the Company's revenue by geography:</w:t>
      </w:r>
    </w:p>
    <w:p>
      <w:pPr>
        <w:spacing w:after="0" w:line="166" w:lineRule="exact"/>
        <w:rPr>
          <w:sz w:val="20"/>
          <w:szCs w:val="20"/>
          <w:color w:val="auto"/>
        </w:rPr>
      </w:pPr>
    </w:p>
    <w:tbl>
      <w:tblPr>
        <w:tblLayout w:type="fixed"/>
        <w:tblInd w:w="44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20" w:type="dxa"/>
            <w:vAlign w:val="bottom"/>
          </w:tcPr>
          <w:p>
            <w:pPr>
              <w:spacing w:after="0"/>
              <w:rPr>
                <w:sz w:val="18"/>
                <w:szCs w:val="18"/>
                <w:color w:val="auto"/>
              </w:rPr>
            </w:pPr>
          </w:p>
        </w:tc>
        <w:tc>
          <w:tcPr>
            <w:tcW w:w="2360" w:type="dxa"/>
            <w:vAlign w:val="bottom"/>
            <w:gridSpan w:val="4"/>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8"/>
        </w:trPr>
        <w:tc>
          <w:tcPr>
            <w:tcW w:w="48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6"/>
        </w:trPr>
        <w:tc>
          <w:tcPr>
            <w:tcW w:w="4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r>
      <w:tr>
        <w:trPr>
          <w:trHeight w:val="226"/>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w:t>
            </w:r>
          </w:p>
        </w:tc>
      </w:tr>
      <w:tr>
        <w:trPr>
          <w:trHeight w:val="245"/>
        </w:trPr>
        <w:tc>
          <w:tcPr>
            <w:tcW w:w="48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22,194</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42,636</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3"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(ASU 2016-02), which requires the lessee to recognize a lease right-of-use asset and a lease liability for operating leases, initially measured at the present value of lease payments, in its consolidated balance sheet. In the fourth quarter of 2021, the Company adopted ASU 2016-02 using the modified retrospective method with the effective date of January 1, 2021. As a result, the Company has retrospectively changed its previously issued condensed consolidated financial statements as of June 30, 2021 and for the three and six months ended June 30, 2021 as presented in its June 30, 2021 Quarterly Report on Form 10-Q to reflect the adoption of Topic 842 on January 1, 2021. The condensed consolidated financial statements for the three and six months ended June 30, 2021 presented herein differ from the Company’s condensed consolidated financial statements included in its June 30, 2021 Quarterly Report on Form 10-Q, as those financial statements were prepared using the former accounting standard referred to as ASC Topic 840, Leases.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effect of the adoption of Topic 842 on the condensed consolidated balance sheet as of January 1, 2021: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222250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222250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As Previously</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Impact of Topic 842</w:t>
            </w:r>
          </w:p>
        </w:tc>
        <w:tc>
          <w:tcPr>
            <w:tcW w:w="280" w:type="dxa"/>
            <w:vAlign w:val="bottom"/>
          </w:tcPr>
          <w:p>
            <w:pPr>
              <w:spacing w:after="0"/>
              <w:rPr>
                <w:sz w:val="16"/>
                <w:szCs w:val="16"/>
                <w:color w:val="auto"/>
              </w:rPr>
            </w:pPr>
          </w:p>
        </w:tc>
        <w:tc>
          <w:tcPr>
            <w:tcW w:w="124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9"/>
              </w:rPr>
              <w:t>Adoption</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3,507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0" w:type="dxa"/>
            <w:vAlign w:val="bottom"/>
          </w:tcPr>
          <w:p>
            <w:pPr>
              <w:spacing w:after="0"/>
              <w:rPr>
                <w:sz w:val="1"/>
                <w:szCs w:val="1"/>
                <w:color w:val="auto"/>
              </w:rPr>
            </w:pPr>
          </w:p>
        </w:tc>
      </w:tr>
      <w:tr>
        <w:trPr>
          <w:trHeight w:val="266"/>
        </w:trPr>
        <w:tc>
          <w:tcPr>
            <w:tcW w:w="4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852</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2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6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2,933</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10,199</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(345)</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0" w:type="dxa"/>
            <w:vAlign w:val="bottom"/>
          </w:tcPr>
          <w:p>
            <w:pPr>
              <w:spacing w:after="0"/>
              <w:rPr>
                <w:sz w:val="1"/>
                <w:szCs w:val="1"/>
                <w:color w:val="auto"/>
              </w:rPr>
            </w:pPr>
          </w:p>
        </w:tc>
      </w:tr>
      <w:tr>
        <w:trPr>
          <w:trHeight w:val="232"/>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(239,277)</w:t>
            </w:r>
          </w:p>
        </w:tc>
        <w:tc>
          <w:tcPr>
            <w:tcW w:w="260" w:type="dxa"/>
            <w:vAlign w:val="bottom"/>
          </w:tcPr>
          <w:p>
            <w:pPr>
              <w:spacing w:after="0"/>
              <w:rPr>
                <w:sz w:val="20"/>
                <w:szCs w:val="20"/>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(239,209)</w:t>
            </w: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adoption of Topic 842 did not have any other material impact on the condensed consolidated financial statements as of June 30, 2021 and for the three and six months ended June 30, 2021.</w:t>
      </w:r>
    </w:p>
    <w:p>
      <w:pPr>
        <w:spacing w:after="0" w:line="163"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In August 2020, the Financial Accounting Standards Board (“FASB”) issued Accounting Standards Update (“ASU”) 2020-06, Debt - Debt with Conversion and Other Options (ASC 470-20) and Derivatives and Hedging - Contracts in Entity’s Own Equity (Subtopic 815-40). ASU 2020-06 simplifies the accounting for convertible instruments by removing the beneficial conversion and cash conversion accounting models for convertible instruments and removes certain settlement conditions that are required for contracts to qualify for equity classification. This new standard also simplifies the diluted earnings per share calculations by requiring that an entity use the if-converted method for convertible instruments and requires that the effect of potential share settlement be included in diluted earnings per share calculations when an instrument may be settled in cash or shares. The new standard requires entities to provide expanded disclosures about the terms and features of convertible instruments, how the instruments have been reported in the entity’s financial statements, and information about events, conditions, and circumstances that can affect how to assess the amount or timing of an entity’s future cash flows related to those instruments. The ASU is effective for public companies, excluding entities eligible to be smaller reporting companies, for fiscal years beginning after December 15, 2021. The new standard went effective on January 1, 2022, and it did not impact the Company's consolidated financial statements and related disclosures.</w:t>
      </w:r>
    </w:p>
    <w:p>
      <w:pPr>
        <w:spacing w:after="0" w:line="194"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In May 2021, the FASB issued ASU 2021-04 “Earnings Per Share (Topic 260), Debt—Modifications and Extinguishments (Subtopic 470-50), Compensation— Stock Compensation (Topic 718), and Derivatives and Hedging—Contracts in Entity’s Own Equity (Subtopic 815- 40) Issuer’s Accounting for Certain Modifications or Exchanges of Freestanding Equity-Classified Written Call Options” ("ASU 2021-04") which clarifies and reduces diversity in an issuer’s accounting for modifications or exchanges of freestanding equity-classified written call options that remain equity classified after modification or exchange. An entity should measure the effect of a modification or an exchange of a freestanding equity-classified written call option that remains equity classified after modification or exchange as follows: i) for a modification or an exchange that is a part of or directly related to a modification or an exchange of an existing debt instrument or line-of-credit or revolving-debt arrangements (hereinafter, referred to as a “debt” or “debt instrument”), as the difference between the fair value of the modified or exchanged written call option and the fair value of that written call option immediately before it is modified or exchanged; ii) for all other modifications or exchanges, as the excess, if any, of the fair value of the modified or exchanged written call option over the fair value of that written call option immediately before it is modified or exchanged. The amendments in this update are effective for all entities for fiscal years beginning after December 15, 2021, including interim periods within those fiscal years. An entity should apply the amendments prospectively to modifications or exchanges occurring on or after the effective date of the amendments. The new standard went effective on January 1, 2022, and it did not impact the Company's consolidated financial statements and related disclosures.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Recently Accounting Standards Not Yet Effective</w:t>
      </w:r>
    </w:p>
    <w:p>
      <w:pPr>
        <w:spacing w:after="0" w:line="223" w:lineRule="exact"/>
        <w:rPr>
          <w:sz w:val="20"/>
          <w:szCs w:val="20"/>
          <w:color w:val="auto"/>
        </w:rPr>
      </w:pPr>
    </w:p>
    <w:p>
      <w:pPr>
        <w:jc w:val="both"/>
        <w:ind w:firstLine="439"/>
        <w:spacing w:after="0" w:line="252" w:lineRule="auto"/>
        <w:rPr>
          <w:sz w:val="20"/>
          <w:szCs w:val="20"/>
          <w:color w:val="auto"/>
        </w:rPr>
      </w:pPr>
      <w:r>
        <w:rPr>
          <w:rFonts w:ascii="Times New Roman" w:cs="Times New Roman" w:eastAsia="Times New Roman" w:hAnsi="Times New Roman"/>
          <w:sz w:val="18"/>
          <w:szCs w:val="18"/>
          <w:color w:val="auto"/>
        </w:rPr>
        <w:t>In March 2022, the FASB issued ASU 2022-02, Financial Instruments - Credit Losses (Topic 326), Troubled Debt Restructurings (“TDRs”) and Vintage Disclosures. ASU 2022-02 eliminates the accounting guidance for TDRs in ASC 310-40, Receivables - Troubled Debt Restructurings by Creditors. In addition, ASU 2022-02 also requires that public business entities disclose current-period gross write-offs by year of origination for financing receivables and net investments in leases within the scope of Subtopic 326-20, Financial Instruments—Credit Losses—Measured at Amortized Cost. The ASU is effective for public companies, excluding entities eligible to be smaller reporting companies, for fiscal years beginning after December 15, 2022. The Company is currently evaluating the impact of applying this guidance on its consolidated financial statements and related disclosures.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222250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48"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All of the Company's marketable securities were available-for-sale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summarizes the marketable securities:</w:t>
      </w:r>
    </w:p>
    <w:p>
      <w:pPr>
        <w:spacing w:after="0" w:line="261"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3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3"/>
                <w:szCs w:val="13"/>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5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140" w:type="dxa"/>
            <w:vAlign w:val="bottom"/>
          </w:tcPr>
          <w:p>
            <w:pPr>
              <w:spacing w:after="0"/>
              <w:rPr>
                <w:sz w:val="13"/>
                <w:szCs w:val="13"/>
                <w:color w:val="auto"/>
              </w:rPr>
            </w:pPr>
          </w:p>
        </w:tc>
        <w:tc>
          <w:tcPr>
            <w:tcW w:w="1280" w:type="dxa"/>
            <w:vAlign w:val="bottom"/>
          </w:tcPr>
          <w:p>
            <w:pPr>
              <w:jc w:val="right"/>
              <w:ind w:right="113"/>
              <w:spacing w:after="0" w:line="156" w:lineRule="exact"/>
              <w:rPr>
                <w:sz w:val="20"/>
                <w:szCs w:val="20"/>
                <w:color w:val="auto"/>
              </w:rPr>
            </w:pPr>
            <w:r>
              <w:rPr>
                <w:rFonts w:ascii="Times New Roman" w:cs="Times New Roman" w:eastAsia="Times New Roman" w:hAnsi="Times New Roman"/>
                <w:sz w:val="16"/>
                <w:szCs w:val="16"/>
                <w:b w:val="1"/>
                <w:bCs w:val="1"/>
                <w:color w:val="auto"/>
              </w:rPr>
              <w:t>Aggregate Fair</w:t>
            </w:r>
          </w:p>
        </w:tc>
        <w:tc>
          <w:tcPr>
            <w:tcW w:w="0" w:type="dxa"/>
            <w:vAlign w:val="bottom"/>
          </w:tcPr>
          <w:p>
            <w:pPr>
              <w:spacing w:after="0"/>
              <w:rPr>
                <w:sz w:val="1"/>
                <w:szCs w:val="1"/>
                <w:color w:val="auto"/>
              </w:rPr>
            </w:pPr>
          </w:p>
        </w:tc>
      </w:tr>
      <w:tr>
        <w:trPr>
          <w:trHeight w:val="212"/>
        </w:trPr>
        <w:tc>
          <w:tcPr>
            <w:tcW w:w="3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vMerge w:val="continue"/>
          </w:tcPr>
          <w:p>
            <w:pPr>
              <w:spacing w:after="0"/>
              <w:rPr>
                <w:sz w:val="18"/>
                <w:szCs w:val="18"/>
                <w:color w:val="auto"/>
              </w:rPr>
            </w:pPr>
          </w:p>
        </w:tc>
        <w:tc>
          <w:tcPr>
            <w:tcW w:w="1560" w:type="dxa"/>
            <w:vAlign w:val="bottom"/>
            <w:tcBorders>
              <w:bottom w:val="single" w:sz="8" w:color="auto"/>
            </w:tcBorders>
            <w:gridSpan w:val="3"/>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06"/>
        </w:trPr>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18,084</w:t>
            </w:r>
          </w:p>
        </w:tc>
        <w:tc>
          <w:tcPr>
            <w:tcW w:w="0" w:type="dxa"/>
            <w:vAlign w:val="bottom"/>
          </w:tcPr>
          <w:p>
            <w:pPr>
              <w:spacing w:after="0"/>
              <w:rPr>
                <w:sz w:val="1"/>
                <w:szCs w:val="1"/>
                <w:color w:val="auto"/>
              </w:rPr>
            </w:pPr>
          </w:p>
        </w:tc>
      </w:tr>
      <w:tr>
        <w:trPr>
          <w:trHeight w:val="220"/>
        </w:trPr>
        <w:tc>
          <w:tcPr>
            <w:tcW w:w="3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18,084</w:t>
            </w:r>
          </w:p>
        </w:tc>
        <w:tc>
          <w:tcPr>
            <w:tcW w:w="1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18,084</w:t>
            </w: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55,899</w:t>
            </w:r>
          </w:p>
        </w:tc>
        <w:tc>
          <w:tcPr>
            <w:tcW w:w="0" w:type="dxa"/>
            <w:vAlign w:val="bottom"/>
          </w:tcPr>
          <w:p>
            <w:pPr>
              <w:spacing w:after="0"/>
              <w:rPr>
                <w:sz w:val="1"/>
                <w:szCs w:val="1"/>
                <w:color w:val="auto"/>
              </w:rPr>
            </w:pPr>
          </w:p>
        </w:tc>
      </w:tr>
      <w:tr>
        <w:trPr>
          <w:trHeight w:val="22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20,201</w:t>
            </w:r>
          </w:p>
        </w:tc>
        <w:tc>
          <w:tcPr>
            <w:tcW w:w="0" w:type="dxa"/>
            <w:vAlign w:val="bottom"/>
          </w:tcPr>
          <w:p>
            <w:pPr>
              <w:spacing w:after="0"/>
              <w:rPr>
                <w:sz w:val="1"/>
                <w:szCs w:val="1"/>
                <w:color w:val="auto"/>
              </w:rPr>
            </w:pPr>
          </w:p>
        </w:tc>
      </w:tr>
      <w:tr>
        <w:trPr>
          <w:trHeight w:val="22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13,995</w:t>
            </w:r>
          </w:p>
        </w:tc>
        <w:tc>
          <w:tcPr>
            <w:tcW w:w="0" w:type="dxa"/>
            <w:vAlign w:val="bottom"/>
          </w:tcPr>
          <w:p>
            <w:pPr>
              <w:spacing w:after="0"/>
              <w:rPr>
                <w:sz w:val="1"/>
                <w:szCs w:val="1"/>
                <w:color w:val="auto"/>
              </w:rPr>
            </w:pPr>
          </w:p>
        </w:tc>
      </w:tr>
      <w:tr>
        <w:trPr>
          <w:trHeight w:val="220"/>
        </w:trPr>
        <w:tc>
          <w:tcPr>
            <w:tcW w:w="35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90,436</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90,095</w:t>
            </w:r>
          </w:p>
        </w:tc>
        <w:tc>
          <w:tcPr>
            <w:tcW w:w="0" w:type="dxa"/>
            <w:vAlign w:val="bottom"/>
          </w:tcPr>
          <w:p>
            <w:pPr>
              <w:spacing w:after="0"/>
              <w:rPr>
                <w:sz w:val="1"/>
                <w:szCs w:val="1"/>
                <w:color w:val="auto"/>
              </w:rPr>
            </w:pPr>
          </w:p>
        </w:tc>
      </w:tr>
      <w:tr>
        <w:trPr>
          <w:trHeight w:val="193"/>
        </w:trPr>
        <w:tc>
          <w:tcPr>
            <w:tcW w:w="356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108,520</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ind w:left="106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700" w:type="dxa"/>
            <w:vAlign w:val="bottom"/>
            <w:tcBorders>
              <w:bottom w:val="single" w:sz="8" w:color="auto"/>
            </w:tcBorders>
          </w:tcPr>
          <w:p>
            <w:pPr>
              <w:jc w:val="right"/>
              <w:ind w:right="514"/>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(341)</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108,179</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tbl>
      <w:tblPr>
        <w:tblLayout w:type="fixed"/>
        <w:tblInd w:w="760" w:type="dxa"/>
        <w:tblCellMar>
          <w:top w:w="0" w:type="dxa"/>
          <w:left w:w="0" w:type="dxa"/>
          <w:bottom w:w="0" w:type="dxa"/>
          <w:right w:w="0" w:type="dxa"/>
        </w:tblCellMar>
      </w:tblPr>
      <w:tr>
        <w:trPr>
          <w:trHeight w:val="233"/>
        </w:trPr>
        <w:tc>
          <w:tcPr>
            <w:tcW w:w="3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120" w:type="dxa"/>
            <w:vAlign w:val="bottom"/>
          </w:tcPr>
          <w:p>
            <w:pPr>
              <w:spacing w:after="0"/>
              <w:rPr>
                <w:sz w:val="14"/>
                <w:szCs w:val="14"/>
                <w:color w:val="auto"/>
              </w:rPr>
            </w:pPr>
          </w:p>
        </w:tc>
        <w:tc>
          <w:tcPr>
            <w:tcW w:w="1260" w:type="dxa"/>
            <w:vAlign w:val="bottom"/>
          </w:tcPr>
          <w:p>
            <w:pPr>
              <w:jc w:val="right"/>
              <w:ind w:right="31"/>
              <w:spacing w:after="0" w:line="166" w:lineRule="exact"/>
              <w:rPr>
                <w:sz w:val="20"/>
                <w:szCs w:val="20"/>
                <w:color w:val="auto"/>
              </w:rPr>
            </w:pPr>
            <w:r>
              <w:rPr>
                <w:rFonts w:ascii="Times New Roman" w:cs="Times New Roman" w:eastAsia="Times New Roman" w:hAnsi="Times New Roman"/>
                <w:sz w:val="18"/>
                <w:szCs w:val="18"/>
                <w:b w:val="1"/>
                <w:bCs w:val="1"/>
                <w:color w:val="auto"/>
                <w:w w:val="96"/>
              </w:rPr>
              <w:t>Aggregate Fair</w:t>
            </w:r>
          </w:p>
        </w:tc>
        <w:tc>
          <w:tcPr>
            <w:tcW w:w="0" w:type="dxa"/>
            <w:vAlign w:val="bottom"/>
          </w:tcPr>
          <w:p>
            <w:pPr>
              <w:spacing w:after="0"/>
              <w:rPr>
                <w:sz w:val="1"/>
                <w:szCs w:val="1"/>
                <w:color w:val="auto"/>
              </w:rPr>
            </w:pPr>
          </w:p>
        </w:tc>
      </w:tr>
      <w:tr>
        <w:trPr>
          <w:trHeight w:val="240"/>
        </w:trPr>
        <w:tc>
          <w:tcPr>
            <w:tcW w:w="3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vMerge w:val="continue"/>
          </w:tcPr>
          <w:p>
            <w:pPr>
              <w:spacing w:after="0"/>
              <w:rPr>
                <w:sz w:val="20"/>
                <w:szCs w:val="20"/>
                <w:color w:val="auto"/>
              </w:rPr>
            </w:pPr>
          </w:p>
        </w:tc>
        <w:tc>
          <w:tcPr>
            <w:tcW w:w="1600" w:type="dxa"/>
            <w:vAlign w:val="bottom"/>
            <w:tcBorders>
              <w:bottom w:val="single" w:sz="8" w:color="auto"/>
            </w:tcBorders>
            <w:gridSpan w:val="3"/>
            <w:vMerge w:val="continue"/>
          </w:tcPr>
          <w:p>
            <w:pPr>
              <w:spacing w:after="0"/>
              <w:rPr>
                <w:sz w:val="20"/>
                <w:szCs w:val="20"/>
                <w:color w:val="auto"/>
              </w:rPr>
            </w:pPr>
          </w:p>
        </w:tc>
        <w:tc>
          <w:tcPr>
            <w:tcW w:w="1580" w:type="dxa"/>
            <w:vAlign w:val="bottom"/>
            <w:tcBorders>
              <w:bottom w:val="single" w:sz="8" w:color="auto"/>
            </w:tcBorders>
            <w:gridSpan w:val="3"/>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0"/>
        </w:trPr>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57,829</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57,829</w:t>
            </w:r>
          </w:p>
        </w:tc>
        <w:tc>
          <w:tcPr>
            <w:tcW w:w="0" w:type="dxa"/>
            <w:vAlign w:val="bottom"/>
          </w:tcPr>
          <w:p>
            <w:pPr>
              <w:spacing w:after="0"/>
              <w:rPr>
                <w:sz w:val="1"/>
                <w:szCs w:val="1"/>
                <w:color w:val="auto"/>
              </w:rPr>
            </w:pPr>
          </w:p>
        </w:tc>
      </w:tr>
      <w:tr>
        <w:trPr>
          <w:trHeight w:val="220"/>
        </w:trPr>
        <w:tc>
          <w:tcPr>
            <w:tcW w:w="3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57,829</w:t>
            </w:r>
          </w:p>
        </w:tc>
        <w:tc>
          <w:tcPr>
            <w:tcW w:w="18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57,829</w:t>
            </w: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58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9"/>
              </w:rPr>
              <w:t>(16)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28,048</w:t>
            </w:r>
          </w:p>
        </w:tc>
        <w:tc>
          <w:tcPr>
            <w:tcW w:w="0" w:type="dxa"/>
            <w:vAlign w:val="bottom"/>
          </w:tcPr>
          <w:p>
            <w:pPr>
              <w:spacing w:after="0"/>
              <w:rPr>
                <w:sz w:val="1"/>
                <w:szCs w:val="1"/>
                <w:color w:val="auto"/>
              </w:rPr>
            </w:pPr>
          </w:p>
        </w:tc>
      </w:tr>
      <w:tr>
        <w:trPr>
          <w:trHeight w:val="22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31,558</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9"/>
              </w:rPr>
              <w:t>(23)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31,539</w:t>
            </w:r>
          </w:p>
        </w:tc>
        <w:tc>
          <w:tcPr>
            <w:tcW w:w="0" w:type="dxa"/>
            <w:vAlign w:val="bottom"/>
          </w:tcPr>
          <w:p>
            <w:pPr>
              <w:spacing w:after="0"/>
              <w:rPr>
                <w:sz w:val="1"/>
                <w:szCs w:val="1"/>
                <w:color w:val="auto"/>
              </w:rPr>
            </w:pPr>
          </w:p>
        </w:tc>
      </w:tr>
      <w:tr>
        <w:trPr>
          <w:trHeight w:val="22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72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23,973</w:t>
            </w:r>
          </w:p>
        </w:tc>
        <w:tc>
          <w:tcPr>
            <w:tcW w:w="0" w:type="dxa"/>
            <w:vAlign w:val="bottom"/>
          </w:tcPr>
          <w:p>
            <w:pPr>
              <w:spacing w:after="0"/>
              <w:rPr>
                <w:sz w:val="1"/>
                <w:szCs w:val="1"/>
                <w:color w:val="auto"/>
              </w:rPr>
            </w:pPr>
          </w:p>
        </w:tc>
      </w:tr>
      <w:tr>
        <w:trPr>
          <w:trHeight w:val="220"/>
        </w:trPr>
        <w:tc>
          <w:tcPr>
            <w:tcW w:w="35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83,595</w:t>
            </w:r>
          </w:p>
        </w:tc>
        <w:tc>
          <w:tcPr>
            <w:tcW w:w="1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9"/>
              </w:rPr>
              <w:t>(39)</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83,560</w:t>
            </w:r>
          </w:p>
        </w:tc>
        <w:tc>
          <w:tcPr>
            <w:tcW w:w="0" w:type="dxa"/>
            <w:vAlign w:val="bottom"/>
          </w:tcPr>
          <w:p>
            <w:pPr>
              <w:spacing w:after="0"/>
              <w:rPr>
                <w:sz w:val="1"/>
                <w:szCs w:val="1"/>
                <w:color w:val="auto"/>
              </w:rPr>
            </w:pPr>
          </w:p>
        </w:tc>
      </w:tr>
      <w:tr>
        <w:trPr>
          <w:trHeight w:val="22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141,424</w:t>
            </w:r>
          </w:p>
        </w:tc>
        <w:tc>
          <w:tcPr>
            <w:tcW w:w="18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color w:val="auto"/>
                <w:w w:val="99"/>
              </w:rPr>
              <w:t>(39)</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141,389</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both"/>
        <w:ind w:firstLine="439"/>
        <w:spacing w:after="0" w:line="252" w:lineRule="auto"/>
        <w:rPr>
          <w:sz w:val="20"/>
          <w:szCs w:val="20"/>
          <w:color w:val="auto"/>
        </w:rPr>
      </w:pPr>
      <w:r>
        <w:rPr>
          <w:rFonts w:ascii="Times New Roman" w:cs="Times New Roman" w:eastAsia="Times New Roman" w:hAnsi="Times New Roman"/>
          <w:sz w:val="18"/>
          <w:szCs w:val="18"/>
          <w:color w:val="auto"/>
        </w:rPr>
        <w:t>The amortized cost of the Company's available-for-sale securities approximates their fair value. Unrealized losses are generally due to interest rate fluctuations, as opposed to credit quality. However, the Company reviews individual securities that are in an unrealized loss position in order to evaluate whether or not they have experienced or are expected to experience credit losses. During the six months ended June 30, 2022 and 2021, unrealized gains and losses from the investments were not material and were not the result of a decline in credit quality. As a result, the Company did not recognize any credit losses related to its investments and that all unrealized gains and losses on available-for-sale securities are recorded in accumulated other comprehensive income (loss) on the condensed consolidated balance sheets as of June 30, 2022 and December 31, 2021.</w:t>
      </w:r>
    </w:p>
    <w:p>
      <w:pPr>
        <w:spacing w:after="0" w:line="187" w:lineRule="exact"/>
        <w:rPr>
          <w:sz w:val="20"/>
          <w:szCs w:val="20"/>
          <w:color w:val="auto"/>
        </w:rPr>
      </w:pPr>
    </w:p>
    <w:p>
      <w:pPr>
        <w:jc w:val="both"/>
        <w:ind w:firstLine="439"/>
        <w:spacing w:after="0" w:line="254" w:lineRule="auto"/>
        <w:rPr>
          <w:sz w:val="20"/>
          <w:szCs w:val="20"/>
          <w:color w:val="auto"/>
        </w:rPr>
      </w:pPr>
      <w:r>
        <w:rPr>
          <w:rFonts w:ascii="Times New Roman" w:cs="Times New Roman" w:eastAsia="Times New Roman" w:hAnsi="Times New Roman"/>
          <w:sz w:val="18"/>
          <w:szCs w:val="18"/>
          <w:color w:val="auto"/>
        </w:rPr>
        <w:t>The Company elected to present accrued interest receivable separately from short-term and long-term investments on its condensed consolidated balance sheets. Accrued interest receivable was $0.3 million as of June 30, 2022, and was recorded in prepaid expenses and other current assets. The Company also elected to exclude accrued interest receivable from the estimation of expected credit losses on its marketable securities and reverse accrued interest receivable through interest income (expense) when amounts are determined to be uncollectible. The Company did not write off any accrued interest receivable as of June 30, 2022 or December 31, 2021.</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222250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221" w:lineRule="exact"/>
        <w:rPr>
          <w:sz w:val="20"/>
          <w:szCs w:val="20"/>
          <w:color w:val="auto"/>
        </w:rPr>
      </w:pPr>
    </w:p>
    <w:p>
      <w:pPr>
        <w:jc w:val="both"/>
        <w:ind w:firstLine="439"/>
        <w:spacing w:after="0" w:line="256" w:lineRule="auto"/>
        <w:rPr>
          <w:sz w:val="20"/>
          <w:szCs w:val="20"/>
          <w:color w:val="auto"/>
        </w:rPr>
      </w:pPr>
      <w:r>
        <w:rPr>
          <w:rFonts w:ascii="Times New Roman" w:cs="Times New Roman" w:eastAsia="Times New Roman" w:hAnsi="Times New Roman"/>
          <w:sz w:val="18"/>
          <w:szCs w:val="18"/>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 fair value hierarchy measurements and disclosures for the periods presented.</w:t>
      </w:r>
    </w:p>
    <w:p>
      <w:pPr>
        <w:spacing w:after="0" w:line="182" w:lineRule="exact"/>
        <w:rPr>
          <w:sz w:val="20"/>
          <w:szCs w:val="20"/>
          <w:color w:val="auto"/>
        </w:rPr>
      </w:pPr>
    </w:p>
    <w:p>
      <w:pPr>
        <w:jc w:val="both"/>
        <w:ind w:firstLine="439"/>
        <w:spacing w:after="0" w:line="276" w:lineRule="auto"/>
        <w:rPr>
          <w:sz w:val="20"/>
          <w:szCs w:val="20"/>
          <w:color w:val="auto"/>
        </w:rPr>
      </w:pPr>
      <w:r>
        <w:rPr>
          <w:rFonts w:ascii="Times New Roman" w:cs="Times New Roman" w:eastAsia="Times New Roman" w:hAnsi="Times New Roman"/>
          <w:sz w:val="18"/>
          <w:szCs w:val="18"/>
          <w:color w:val="auto"/>
        </w:rPr>
        <w:t>The table below summarizes the fair value of the Company’s marketable securities measured at fair value on a recurring basis based on the three-tier fair value hierarchy:</w:t>
      </w:r>
    </w:p>
    <w:p>
      <w:pPr>
        <w:spacing w:after="0" w:line="205" w:lineRule="exact"/>
        <w:rPr>
          <w:sz w:val="20"/>
          <w:szCs w:val="20"/>
          <w:color w:val="auto"/>
        </w:rPr>
      </w:pPr>
    </w:p>
    <w:tbl>
      <w:tblPr>
        <w:tblLayout w:type="fixed"/>
        <w:tblInd w:w="44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8"/>
        </w:trPr>
        <w:tc>
          <w:tcPr>
            <w:tcW w:w="4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6"/>
        </w:trPr>
        <w:tc>
          <w:tcPr>
            <w:tcW w:w="4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8"/>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18,084</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18,084</w:t>
            </w:r>
          </w:p>
        </w:tc>
      </w:tr>
      <w:tr>
        <w:trPr>
          <w:trHeight w:val="226"/>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55,899</w:t>
            </w:r>
          </w:p>
        </w:tc>
      </w:tr>
      <w:tr>
        <w:trPr>
          <w:trHeight w:val="22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20,201</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20,201</w:t>
            </w:r>
          </w:p>
        </w:tc>
      </w:tr>
      <w:tr>
        <w:trPr>
          <w:trHeight w:val="226"/>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13,995</w:t>
            </w:r>
          </w:p>
        </w:tc>
      </w:tr>
      <w:tr>
        <w:trPr>
          <w:trHeight w:val="220"/>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73,983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34,196</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108,179</w:t>
            </w: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83"/>
        </w:trPr>
        <w:tc>
          <w:tcPr>
            <w:tcW w:w="4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08"/>
        </w:trPr>
        <w:tc>
          <w:tcPr>
            <w:tcW w:w="4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6"/>
        </w:trPr>
        <w:tc>
          <w:tcPr>
            <w:tcW w:w="4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8"/>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57,829</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57,829</w:t>
            </w:r>
          </w:p>
        </w:tc>
      </w:tr>
      <w:tr>
        <w:trPr>
          <w:trHeight w:val="226"/>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28,048</w:t>
            </w:r>
          </w:p>
        </w:tc>
      </w:tr>
      <w:tr>
        <w:trPr>
          <w:trHeight w:val="22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31,539</w:t>
            </w:r>
          </w:p>
        </w:tc>
      </w:tr>
      <w:tr>
        <w:trPr>
          <w:trHeight w:val="226"/>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23,973</w:t>
            </w:r>
          </w:p>
        </w:tc>
      </w:tr>
      <w:tr>
        <w:trPr>
          <w:trHeight w:val="220"/>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55,512</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141,389</w:t>
            </w: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222250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40" w:right="9000" w:hanging="434"/>
        <w:spacing w:after="0" w:line="371" w:lineRule="auto"/>
        <w:tabs>
          <w:tab w:leader="none" w:pos="178"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Balance Sheet Components </w:t>
      </w:r>
      <w:r>
        <w:rPr>
          <w:rFonts w:ascii="Times New Roman" w:cs="Times New Roman" w:eastAsia="Times New Roman" w:hAnsi="Times New Roman"/>
          <w:sz w:val="18"/>
          <w:szCs w:val="18"/>
          <w:b w:val="1"/>
          <w:bCs w:val="1"/>
          <w:i w:val="1"/>
          <w:iCs w:val="1"/>
          <w:color w:val="auto"/>
        </w:rPr>
        <w:t>Inventory</w:t>
      </w:r>
    </w:p>
    <w:p>
      <w:pPr>
        <w:spacing w:after="0" w:line="1" w:lineRule="exact"/>
        <w:rPr>
          <w:sz w:val="20"/>
          <w:szCs w:val="20"/>
          <w:color w:val="auto"/>
        </w:rPr>
      </w:pPr>
    </w:p>
    <w:p>
      <w:pPr>
        <w:ind w:right="80" w:firstLine="439"/>
        <w:spacing w:after="0" w:line="276" w:lineRule="auto"/>
        <w:rPr>
          <w:sz w:val="20"/>
          <w:szCs w:val="20"/>
          <w:color w:val="auto"/>
        </w:rPr>
      </w:pPr>
      <w:r>
        <w:rPr>
          <w:rFonts w:ascii="Times New Roman" w:cs="Times New Roman" w:eastAsia="Times New Roman" w:hAnsi="Times New Roman"/>
          <w:sz w:val="18"/>
          <w:szCs w:val="18"/>
          <w:color w:val="auto"/>
        </w:rPr>
        <w:t>As of June 30, 2022, inventory consisted of finished goods of $15.9 million and work-in-progress of $0.6 million. As of December 31, 2021, inventory consisted of finished goods.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65" w:lineRule="exact"/>
        <w:rPr>
          <w:sz w:val="20"/>
          <w:szCs w:val="20"/>
          <w:color w:val="auto"/>
        </w:rPr>
      </w:pPr>
    </w:p>
    <w:tbl>
      <w:tblPr>
        <w:tblLayout w:type="fixed"/>
        <w:tblInd w:w="64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50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8"/>
        </w:trPr>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3"/>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0" w:type="dxa"/>
            <w:vAlign w:val="bottom"/>
          </w:tcPr>
          <w:p>
            <w:pPr>
              <w:spacing w:after="0"/>
              <w:rPr>
                <w:sz w:val="18"/>
                <w:szCs w:val="18"/>
                <w:color w:val="auto"/>
              </w:rPr>
            </w:pPr>
          </w:p>
        </w:tc>
      </w:tr>
      <w:tr>
        <w:trPr>
          <w:trHeight w:val="228"/>
        </w:trPr>
        <w:tc>
          <w:tcPr>
            <w:tcW w:w="6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10,573</w:t>
            </w:r>
          </w:p>
        </w:tc>
      </w:tr>
      <w:tr>
        <w:trPr>
          <w:trHeight w:val="226"/>
        </w:trPr>
        <w:tc>
          <w:tcPr>
            <w:tcW w:w="6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r>
      <w:tr>
        <w:trPr>
          <w:trHeight w:val="226"/>
        </w:trPr>
        <w:tc>
          <w:tcPr>
            <w:tcW w:w="6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26"/>
        </w:trPr>
        <w:tc>
          <w:tcPr>
            <w:tcW w:w="6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6"/>
        </w:trPr>
        <w:tc>
          <w:tcPr>
            <w:tcW w:w="6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0"/>
        </w:trPr>
        <w:tc>
          <w:tcPr>
            <w:tcW w:w="6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15,958</w:t>
            </w:r>
          </w:p>
        </w:tc>
      </w:tr>
      <w:tr>
        <w:trPr>
          <w:trHeight w:val="226"/>
        </w:trPr>
        <w:tc>
          <w:tcPr>
            <w:tcW w:w="6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r>
      <w:tr>
        <w:trPr>
          <w:trHeight w:val="220"/>
        </w:trPr>
        <w:tc>
          <w:tcPr>
            <w:tcW w:w="62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12,810</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8,992</w:t>
            </w: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439"/>
        <w:spacing w:after="0" w:line="256" w:lineRule="auto"/>
        <w:rPr>
          <w:sz w:val="20"/>
          <w:szCs w:val="20"/>
          <w:color w:val="auto"/>
        </w:rPr>
      </w:pPr>
      <w:r>
        <w:rPr>
          <w:rFonts w:ascii="Times New Roman" w:cs="Times New Roman" w:eastAsia="Times New Roman" w:hAnsi="Times New Roman"/>
          <w:sz w:val="18"/>
          <w:szCs w:val="18"/>
          <w:color w:val="auto"/>
        </w:rPr>
        <w:t>As of June 30, 2022, construction in progress pertains to the cost of individual components of a custom instrument set used for surgical placement of the Company's products that have not yet been placed into service of $3.8 million and construction costs related to the new lease in Santa Clara of $1.8 million. Depreciation expense was $0.8 million and $0.5 million for the three months ended June 30, 2022 and 2021, respectively, and $1.5 million and $0.8 million for the six months ended June 30, 2022 and 2021, respectively.</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 and Other</w:t>
      </w:r>
      <w:r>
        <w:rPr>
          <w:rFonts w:ascii="Times New Roman" w:cs="Times New Roman" w:eastAsia="Times New Roman" w:hAnsi="Times New Roman"/>
          <w:sz w:val="18"/>
          <w:szCs w:val="18"/>
          <w:color w:val="auto"/>
        </w:rPr>
        <w:t>:</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50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08"/>
        </w:trPr>
        <w:tc>
          <w:tcPr>
            <w:tcW w:w="6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3"/>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20"/>
        </w:trPr>
        <w:tc>
          <w:tcPr>
            <w:tcW w:w="6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10,189</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12,353</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8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movement in the allowance for credit losses was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6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50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08"/>
        </w:trPr>
        <w:tc>
          <w:tcPr>
            <w:tcW w:w="640" w:type="dxa"/>
            <w:vAlign w:val="bottom"/>
          </w:tcPr>
          <w:p>
            <w:pPr>
              <w:spacing w:after="0"/>
              <w:rPr>
                <w:sz w:val="18"/>
                <w:szCs w:val="18"/>
                <w:color w:val="auto"/>
              </w:rPr>
            </w:pPr>
          </w:p>
        </w:tc>
        <w:tc>
          <w:tcPr>
            <w:tcW w:w="6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6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6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0"/>
        </w:trPr>
        <w:tc>
          <w:tcPr>
            <w:tcW w:w="64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440" w:right="8540" w:hanging="434"/>
        <w:spacing w:after="0" w:line="458" w:lineRule="auto"/>
        <w:tabs>
          <w:tab w:leader="none" w:pos="178"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Operating Leases</w:t>
      </w:r>
    </w:p>
    <w:p>
      <w:pPr>
        <w:spacing w:after="0" w:line="1" w:lineRule="exact"/>
        <w:rPr>
          <w:sz w:val="20"/>
          <w:szCs w:val="20"/>
          <w:color w:val="auto"/>
        </w:rPr>
      </w:pPr>
    </w:p>
    <w:p>
      <w:pPr>
        <w:ind w:firstLine="439"/>
        <w:spacing w:after="0" w:line="276" w:lineRule="auto"/>
        <w:rPr>
          <w:sz w:val="20"/>
          <w:szCs w:val="20"/>
          <w:color w:val="auto"/>
        </w:rPr>
      </w:pPr>
      <w:r>
        <w:rPr>
          <w:rFonts w:ascii="Times New Roman" w:cs="Times New Roman" w:eastAsia="Times New Roman" w:hAnsi="Times New Roman"/>
          <w:sz w:val="18"/>
          <w:szCs w:val="18"/>
          <w:color w:val="auto"/>
        </w:rPr>
        <w:t>The Company has a non-cancelable operating lease for an office building space, located in Santa Clara, California which expires in May 2025 and a building used for research and development and warehouse space in Santa Clara, California which expires in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222250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October 2026. The Company also has non-cancelable operating leases for its office building spaces in Gallarate, Italy and Knaresborough, United Kingdom, which expire in August 2027 and December 2025, respectively.</w:t>
      </w:r>
    </w:p>
    <w:p>
      <w:pPr>
        <w:spacing w:after="0" w:line="110" w:lineRule="exact"/>
        <w:rPr>
          <w:sz w:val="20"/>
          <w:szCs w:val="20"/>
          <w:color w:val="auto"/>
        </w:rPr>
      </w:pPr>
    </w:p>
    <w:p>
      <w:pPr>
        <w:ind w:firstLine="439"/>
        <w:spacing w:after="0" w:line="276" w:lineRule="auto"/>
        <w:rPr>
          <w:sz w:val="20"/>
          <w:szCs w:val="20"/>
          <w:color w:val="auto"/>
        </w:rPr>
      </w:pPr>
      <w:r>
        <w:rPr>
          <w:rFonts w:ascii="Times New Roman" w:cs="Times New Roman" w:eastAsia="Times New Roman" w:hAnsi="Times New Roman"/>
          <w:sz w:val="18"/>
          <w:szCs w:val="18"/>
          <w:color w:val="auto"/>
        </w:rPr>
        <w:t>The Company also leases vehicles under operating lease arrangements for certain of its personnel in Europe which expire at various times throughout 2022 to 2027.</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Supplemental information related to lease expense and valuation of the lease assets and lease liabilities are as follows:</w:t>
      </w:r>
    </w:p>
    <w:p>
      <w:pPr>
        <w:spacing w:after="0" w:line="266" w:lineRule="exact"/>
        <w:rPr>
          <w:sz w:val="20"/>
          <w:szCs w:val="20"/>
          <w:color w:val="auto"/>
        </w:rPr>
      </w:pPr>
    </w:p>
    <w:tbl>
      <w:tblPr>
        <w:tblLayout w:type="fixed"/>
        <w:tblInd w:w="128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320" w:type="dxa"/>
            <w:vAlign w:val="bottom"/>
            <w:gridSpan w:val="4"/>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2"/>
        </w:trPr>
        <w:tc>
          <w:tcPr>
            <w:tcW w:w="3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806</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53"/>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5"/>
        </w:trPr>
        <w:tc>
          <w:tcPr>
            <w:tcW w:w="3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lease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516</w:t>
            </w:r>
          </w:p>
        </w:tc>
        <w:tc>
          <w:tcPr>
            <w:tcW w:w="1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1,029</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Cash paid for amounts included in the</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of operating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804</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Leased assets obtained in exchange for new</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3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23"/>
                <w:szCs w:val="23"/>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Pr>
          <w:p>
            <w:pPr>
              <w:spacing w:after="0"/>
              <w:rPr>
                <w:sz w:val="23"/>
                <w:szCs w:val="23"/>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23"/>
                <w:szCs w:val="23"/>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66"/>
        </w:trPr>
        <w:tc>
          <w:tcPr>
            <w:tcW w:w="3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380" w:type="dxa"/>
            <w:vAlign w:val="bottom"/>
            <w:gridSpan w:val="3"/>
          </w:tcPr>
          <w:p>
            <w:pPr>
              <w:ind w:left="160"/>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3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Weighted average remaining lease term (in</w:t>
            </w: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20" w:type="dxa"/>
            <w:vAlign w:val="bottom"/>
          </w:tcPr>
          <w:p>
            <w:pPr>
              <w:spacing w:after="0"/>
              <w:rPr>
                <w:sz w:val="22"/>
                <w:szCs w:val="22"/>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5.76%</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shd w:val="clear" w:color="auto" w:fill="CCEEFF"/>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June 30, 2022 was as follows:</w:t>
      </w:r>
    </w:p>
    <w:p>
      <w:pPr>
        <w:spacing w:after="0" w:line="204" w:lineRule="exact"/>
        <w:rPr>
          <w:sz w:val="20"/>
          <w:szCs w:val="20"/>
          <w:color w:val="auto"/>
        </w:rPr>
      </w:pPr>
    </w:p>
    <w:tbl>
      <w:tblPr>
        <w:tblLayout w:type="fixed"/>
        <w:tblInd w:w="1280" w:type="dxa"/>
        <w:tblCellMar>
          <w:top w:w="0" w:type="dxa"/>
          <w:left w:w="0" w:type="dxa"/>
          <w:bottom w:w="0" w:type="dxa"/>
          <w:right w:w="0" w:type="dxa"/>
        </w:tblCellMar>
      </w:tblPr>
      <w:tr>
        <w:trPr>
          <w:trHeight w:val="233"/>
        </w:trPr>
        <w:tc>
          <w:tcPr>
            <w:tcW w:w="3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8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2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2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2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2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6"/>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w:t>
            </w:r>
          </w:p>
        </w:tc>
      </w:tr>
      <w:tr>
        <w:trPr>
          <w:trHeight w:val="226"/>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45"/>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June 30, 2022, the Company had no operating lease liabilities that had not commenced.</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and Obligations</w:t>
      </w:r>
    </w:p>
    <w:p>
      <w:pPr>
        <w:spacing w:after="0" w:line="223" w:lineRule="exact"/>
        <w:rPr>
          <w:sz w:val="20"/>
          <w:szCs w:val="20"/>
          <w:color w:val="auto"/>
        </w:rPr>
      </w:pPr>
    </w:p>
    <w:p>
      <w:pPr>
        <w:jc w:val="both"/>
        <w:ind w:firstLine="439"/>
        <w:spacing w:after="0" w:line="256" w:lineRule="auto"/>
        <w:rPr>
          <w:sz w:val="20"/>
          <w:szCs w:val="20"/>
          <w:color w:val="auto"/>
        </w:rPr>
      </w:pPr>
      <w:r>
        <w:rPr>
          <w:rFonts w:ascii="Times New Roman" w:cs="Times New Roman" w:eastAsia="Times New Roman" w:hAnsi="Times New Roman"/>
          <w:sz w:val="18"/>
          <w:szCs w:val="18"/>
          <w:color w:val="auto"/>
        </w:rPr>
        <w:t>The Company has certain purchase commitments related to its inventory management with certain manufacturing suppliers wherein the Company is required to purchase the amounts forecasted in a blanket purchase order. The contractual obligations represent future cash commitments and liabilities under agreements with third parties and exclude orders for goods and services entered into in the normal course of business that are not enforceable or legally binding. These outstanding commitments amounted to $0.6 million and $1.2 million as of June 30, 2022 and December 31, 2021, respectively.</w:t>
      </w: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222250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439"/>
        <w:spacing w:after="0" w:line="254" w:lineRule="auto"/>
        <w:rPr>
          <w:sz w:val="20"/>
          <w:szCs w:val="20"/>
          <w:color w:val="auto"/>
        </w:rPr>
      </w:pPr>
      <w:r>
        <w:rPr>
          <w:rFonts w:ascii="Times New Roman" w:cs="Times New Roman" w:eastAsia="Times New Roman" w:hAnsi="Times New Roman"/>
          <w:sz w:val="18"/>
          <w:szCs w:val="18"/>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29"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2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Company has not incurred costs to defend lawsuits or settle claims related to these indemnification agreements. No liability associated with such indemnifications has been recorded to date.</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70" w:lineRule="exact"/>
        <w:rPr>
          <w:sz w:val="20"/>
          <w:szCs w:val="20"/>
          <w:color w:val="auto"/>
        </w:rPr>
      </w:pPr>
    </w:p>
    <w:p>
      <w:pPr>
        <w:jc w:val="both"/>
        <w:ind w:right="20" w:firstLine="399"/>
        <w:spacing w:after="0" w:line="27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its business. The Company is not presently a party to any material legal proceedings that, if determined adversely to the Company, would have a material adverse effect on the Company.</w:t>
      </w:r>
    </w:p>
    <w:p>
      <w:pPr>
        <w:spacing w:after="0" w:line="161" w:lineRule="exact"/>
        <w:rPr>
          <w:sz w:val="20"/>
          <w:szCs w:val="20"/>
          <w:color w:val="auto"/>
        </w:rPr>
      </w:pPr>
    </w:p>
    <w:p>
      <w:pPr>
        <w:ind w:left="400" w:right="10020" w:hanging="394"/>
        <w:spacing w:after="0" w:line="458" w:lineRule="auto"/>
        <w:tabs>
          <w:tab w:leader="none" w:pos="178"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Borrowings </w:t>
      </w:r>
      <w:r>
        <w:rPr>
          <w:rFonts w:ascii="Times New Roman" w:cs="Times New Roman" w:eastAsia="Times New Roman" w:hAnsi="Times New Roman"/>
          <w:sz w:val="17"/>
          <w:szCs w:val="17"/>
          <w:b w:val="1"/>
          <w:bCs w:val="1"/>
          <w:i w:val="1"/>
          <w:iCs w:val="1"/>
          <w:color w:val="auto"/>
        </w:rPr>
        <w:t>Term Loan</w:t>
      </w:r>
    </w:p>
    <w:p>
      <w:pPr>
        <w:spacing w:after="0" w:line="1" w:lineRule="exact"/>
        <w:rPr>
          <w:rFonts w:ascii="Times New Roman" w:cs="Times New Roman" w:eastAsia="Times New Roman" w:hAnsi="Times New Roman"/>
          <w:sz w:val="17"/>
          <w:szCs w:val="17"/>
          <w:b w:val="1"/>
          <w:bCs w:val="1"/>
          <w:color w:val="auto"/>
        </w:rPr>
      </w:pPr>
    </w:p>
    <w:p>
      <w:pPr>
        <w:ind w:left="4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table summarizes the outstanding borrowings from the term loan as of periods presented:</w:t>
      </w:r>
    </w:p>
    <w:p>
      <w:pPr>
        <w:spacing w:after="0" w:line="261" w:lineRule="exact"/>
        <w:rPr>
          <w:sz w:val="20"/>
          <w:szCs w:val="20"/>
          <w:color w:val="auto"/>
        </w:rPr>
      </w:pPr>
    </w:p>
    <w:tbl>
      <w:tblPr>
        <w:tblLayout w:type="fixed"/>
        <w:tblInd w:w="64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50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8"/>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3"/>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0" w:type="dxa"/>
            <w:vAlign w:val="bottom"/>
          </w:tcPr>
          <w:p>
            <w:pPr>
              <w:spacing w:after="0"/>
              <w:rPr>
                <w:sz w:val="18"/>
                <w:szCs w:val="18"/>
                <w:color w:val="auto"/>
              </w:rPr>
            </w:pPr>
          </w:p>
        </w:tc>
      </w:tr>
      <w:tr>
        <w:trPr>
          <w:trHeight w:val="22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outstanding and final fee</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35,700</w:t>
            </w:r>
          </w:p>
        </w:tc>
      </w:tr>
      <w:tr>
        <w:trPr>
          <w:trHeight w:val="22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6"/>
        </w:trPr>
        <w:tc>
          <w:tcPr>
            <w:tcW w:w="6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Unaccreted value of final fee</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debt, net of debt issuance costs and unaccreted value of final fee</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35,075</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34,973</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3"/>
        </w:trPr>
        <w:tc>
          <w:tcPr>
            <w:tcW w:w="640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Classified as:</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2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borrowings</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35,075</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34,973</w:t>
            </w: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jc w:val="both"/>
        <w:ind w:firstLine="399"/>
        <w:spacing w:after="0" w:line="239" w:lineRule="auto"/>
        <w:rPr>
          <w:sz w:val="20"/>
          <w:szCs w:val="20"/>
          <w:color w:val="auto"/>
        </w:rPr>
      </w:pPr>
      <w:r>
        <w:rPr>
          <w:rFonts w:ascii="Times New Roman" w:cs="Times New Roman" w:eastAsia="Times New Roman" w:hAnsi="Times New Roman"/>
          <w:sz w:val="18"/>
          <w:szCs w:val="18"/>
          <w:color w:val="auto"/>
        </w:rPr>
        <w:t>In May 29, 2020, the Company entered into a term loan with Solar Capital Partners (“Solar”). Pursuant to the Loan and Security Agreement, Solar provided an aggregate principal amount of $40.0 million term loan (the “Solar Term Loan”). The Solar Term Loan bore interest at a rate per annum equal to 9.40% plus London Interbank Offered Rate (“LIBOR”), payable monthly in arrears. LIBOR means the greater of (i) 0.33% or (ii) one-month LIBOR (or a comparable replacement rate to be determined by the collateral agent if the LIBOR is no longer available), which rate shall reset monthly. The Solar Term Loan included an interest-only period of 36 months through June 2023, and then repaid in equal monthly principal payments plus interest through June 1, 2025. The Company was also obligated to pay a final fee equal to $1.0 million or 2.5% of the aggregate principal amount of the Solar Term Loan, which was fully earned by Solar on the effective date of the Loan and Security Agreement with Solar. With respect to the Solar Term Loan, this final fee was due and payable on the earliest of (i) the maturity date, (ii) the acceleration of the loan balance or (iii) its full prepayment, refinancing, substitution or replacement. The Company paid in full and terminated the Solar Term Loan in August 2021. The effective interest rate related to the Solar Term Loan was 10.6% for three and six months ended June 30, 2021.</w:t>
      </w:r>
    </w:p>
    <w:p>
      <w:pPr>
        <w:spacing w:after="0" w:line="215" w:lineRule="exact"/>
        <w:rPr>
          <w:sz w:val="20"/>
          <w:szCs w:val="20"/>
          <w:color w:val="auto"/>
        </w:rPr>
      </w:pPr>
    </w:p>
    <w:p>
      <w:pPr>
        <w:jc w:val="both"/>
        <w:ind w:firstLine="399"/>
        <w:spacing w:after="0"/>
        <w:rPr>
          <w:sz w:val="20"/>
          <w:szCs w:val="20"/>
          <w:color w:val="auto"/>
        </w:rPr>
      </w:pPr>
      <w:r>
        <w:rPr>
          <w:rFonts w:ascii="Times New Roman" w:cs="Times New Roman" w:eastAsia="Times New Roman" w:hAnsi="Times New Roman"/>
          <w:sz w:val="18"/>
          <w:szCs w:val="18"/>
          <w:color w:val="auto"/>
        </w:rPr>
        <w:t>The outstanding debt as of June 30, 2022 and December 31, 2021 is related to a term loan pursuant to the Loan and Security Agreement dated August 12, 2021 (the “Effective Date”), entered into by the Company with Silicon Valley Bank (“SVB”). Pursuant the agreement, SVB provided an aggregate principal amount of $35.0 million to the Company (the “SVB Term Loan”). The Company used the proceeds of the SVB Term Loan to repay in full and terminate the Solar Term Loan, which was accounted for as debt extinguishment in accordance with the accounting standards. The Company recognized the unamortized debt issuance costs and unaccreted value of final fee of $1.3 million and the prepayment penalty and lender fees of $0.5 million related to Solar Term Loan as a loss on debt extinguishment. The costs and fees are reflected as interest expense in the consolidated statement of operations for the year ended December 31, 2021. The total debt issuance costs of $0.1 million associated with the SVB Term Loan were recorded in the condensed consolidated balance sheet as a direct deduction from the carrying amount of the loan, and are amortized as a component of interest expense using straight-line method over the life of the term loan. The SVB Term Loan matures (the “Maturity Date”) on either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222250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19" w:lineRule="exact"/>
        <w:rPr>
          <w:sz w:val="20"/>
          <w:szCs w:val="20"/>
          <w:color w:val="auto"/>
        </w:rPr>
      </w:pPr>
    </w:p>
    <w:p>
      <w:pPr>
        <w:jc w:val="both"/>
        <w:ind w:firstLine="6"/>
        <w:spacing w:after="0" w:line="259" w:lineRule="auto"/>
        <w:tabs>
          <w:tab w:leader="none" w:pos="24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August 1, 2025 or (b) August 1, 2026 dependent on the Company’s achievement of a certain financial performance milestone as of December 31, 2022, as set forth in the Loan Agreement. Interest on the SVB Term Loan is payable monthly at an annual rate set at the greater of (a) 5.75% and (b) prime rate as published in the Wall Street Journal plus 2.5%. Commencing on September 1, 2023, the Company will be required to make monthly principal amortization payments. The Company may elect to prepay the SVB Term Loan prior to the Maturity Date subject to a prepayment fee equal to 1% if the prepayment occurs prior to the second anniversary of the Effective Date and 0% if the prepayment occurs on or at any time after the second anniversary of the Effective Date. The SVB Term Loan is secured by substantially all the Company's assets other than the Company's intellectual property. The Company is also obligated to pay a final payment equal to $0.7 million or 2% of the aggregate principal amount of the SVB Term Loan, which is considered fully earned by SVB on the effective date of the Loan and Security Agreement with SVB. This final payment shall be due and payable on the earliest of (i) the Maturity Date, (ii) the full repayment of the loan, (iii) permitted prepayment and mandatory prepayment upon an acceleration as specified in the agreement or (iv) the termination of the agreement. The final payment is included within the long-term borrowings and is accreted to interest expense using straight-line method over the life of the term loan. The effective interest rate related to the SVB Term Loan for the three and six months ended June 30, 2022 was 6.9% and 6.6%,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future principal and final fee payments under the SVB Term Loan as of June 30, 2022:</w:t>
      </w:r>
    </w:p>
    <w:p>
      <w:pPr>
        <w:spacing w:after="0" w:line="257" w:lineRule="exact"/>
        <w:rPr>
          <w:sz w:val="20"/>
          <w:szCs w:val="20"/>
          <w:color w:val="auto"/>
        </w:rPr>
      </w:pPr>
    </w:p>
    <w:tbl>
      <w:tblPr>
        <w:tblLayout w:type="fixed"/>
        <w:tblInd w:w="640" w:type="dxa"/>
        <w:tblCellMar>
          <w:top w:w="0" w:type="dxa"/>
          <w:left w:w="0" w:type="dxa"/>
          <w:bottom w:w="0" w:type="dxa"/>
          <w:right w:w="0" w:type="dxa"/>
        </w:tblCellMar>
      </w:tblPr>
      <w:tr>
        <w:trPr>
          <w:trHeight w:val="23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60" w:type="dxa"/>
            <w:vAlign w:val="bottom"/>
          </w:tcPr>
          <w:p>
            <w:pPr>
              <w:spacing w:after="0"/>
              <w:rPr>
                <w:sz w:val="20"/>
                <w:szCs w:val="20"/>
                <w:color w:val="auto"/>
              </w:rPr>
            </w:pP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2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w:t>
            </w:r>
          </w:p>
        </w:tc>
      </w:tr>
      <w:tr>
        <w:trPr>
          <w:trHeight w:val="22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r>
      <w:tr>
        <w:trPr>
          <w:trHeight w:val="22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10,908</w:t>
            </w:r>
          </w:p>
        </w:tc>
      </w:tr>
      <w:tr>
        <w:trPr>
          <w:trHeight w:val="22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8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principal and final fee payments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35,700</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639"/>
        <w:spacing w:after="0" w:line="243" w:lineRule="auto"/>
        <w:rPr>
          <w:sz w:val="20"/>
          <w:szCs w:val="20"/>
          <w:color w:val="auto"/>
        </w:rPr>
      </w:pPr>
      <w:r>
        <w:rPr>
          <w:rFonts w:ascii="Times New Roman" w:cs="Times New Roman" w:eastAsia="Times New Roman" w:hAnsi="Times New Roman"/>
          <w:sz w:val="18"/>
          <w:szCs w:val="18"/>
          <w:color w:val="auto"/>
        </w:rPr>
        <w:t>The Loan Agreement includes affirmative and negative covenants applicable to the Company and certain of its foreign subsidiaries. The affirmative covenants include, among others, covenants requiring the Company to maintain its legal existence and governmental compliance, deliver certain financial reports, and maintain insurance coverage. The negative covenants include, among others, restrictions regarding transferring collateral, pledging the Company's intellectual property to other parties, engaging in mergers or acquisitions, paying dividends or making other distributions, incurring indebtedness, transacting with affiliates, and entering into certain investments, in each case subject to certain exceptions. As of June 30, 2022, the Company was in compliance with all debt covenants.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CARES Act</w:t>
      </w:r>
    </w:p>
    <w:p>
      <w:pPr>
        <w:spacing w:after="0" w:line="223"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On March 27, 2020, the U.S. federal government enacted the “Coronavirus Aid, Relief and Economic Security (CARES) Act,” which, among other things, allowed employers to defer the deposit and payment of an employer's share of social security taxes through December 31, 2020. The Company recorded a total liability of $0.5 million related to the deferral of the social security taxes that is included in the accrued liabilities and other in the condensed consolidated balance sheets as of June 30, 2022 and December 31, 2021.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Incentive Compensation Plans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222250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summarizes the stock option activity for the six months ended June 30, 2022:</w:t>
      </w:r>
    </w:p>
    <w:p>
      <w:pPr>
        <w:spacing w:after="0" w:line="186" w:lineRule="exact"/>
        <w:rPr>
          <w:sz w:val="20"/>
          <w:szCs w:val="20"/>
          <w:color w:val="auto"/>
        </w:rPr>
      </w:pPr>
    </w:p>
    <w:tbl>
      <w:tblPr>
        <w:tblLayout w:type="fixed"/>
        <w:tblInd w:w="128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0"/>
        </w:trPr>
        <w:tc>
          <w:tcPr>
            <w:tcW w:w="4440" w:type="dxa"/>
            <w:vAlign w:val="bottom"/>
          </w:tcPr>
          <w:p>
            <w:pPr>
              <w:spacing w:after="0"/>
              <w:rPr>
                <w:sz w:val="13"/>
                <w:szCs w:val="13"/>
                <w:color w:val="auto"/>
              </w:rPr>
            </w:pPr>
          </w:p>
        </w:tc>
        <w:tc>
          <w:tcPr>
            <w:tcW w:w="1180" w:type="dxa"/>
            <w:vAlign w:val="bottom"/>
            <w:vMerge w:val="restart"/>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0"/>
        </w:trPr>
        <w:tc>
          <w:tcPr>
            <w:tcW w:w="44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6"/>
              </w:rPr>
              <w:t>Exercise</w:t>
            </w:r>
          </w:p>
        </w:tc>
        <w:tc>
          <w:tcPr>
            <w:tcW w:w="0" w:type="dxa"/>
            <w:vAlign w:val="bottom"/>
          </w:tcPr>
          <w:p>
            <w:pPr>
              <w:spacing w:after="0"/>
              <w:rPr>
                <w:sz w:val="1"/>
                <w:szCs w:val="1"/>
                <w:color w:val="auto"/>
              </w:rPr>
            </w:pPr>
          </w:p>
        </w:tc>
      </w:tr>
      <w:tr>
        <w:trPr>
          <w:trHeight w:val="212"/>
        </w:trPr>
        <w:tc>
          <w:tcPr>
            <w:tcW w:w="44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22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2,009,513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$8.73</w:t>
            </w:r>
          </w:p>
        </w:tc>
        <w:tc>
          <w:tcPr>
            <w:tcW w:w="0" w:type="dxa"/>
            <w:vAlign w:val="bottom"/>
          </w:tcPr>
          <w:p>
            <w:pPr>
              <w:spacing w:after="0"/>
              <w:rPr>
                <w:sz w:val="1"/>
                <w:szCs w:val="1"/>
                <w:color w:val="auto"/>
              </w:rPr>
            </w:pPr>
          </w:p>
        </w:tc>
      </w:tr>
      <w:tr>
        <w:trPr>
          <w:trHeight w:val="253"/>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(39,267)</w:t>
            </w:r>
          </w:p>
        </w:tc>
        <w:tc>
          <w:tcPr>
            <w:tcW w:w="130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2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 and forfeited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130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12.36</w:t>
            </w:r>
          </w:p>
        </w:tc>
        <w:tc>
          <w:tcPr>
            <w:tcW w:w="0" w:type="dxa"/>
            <w:vAlign w:val="bottom"/>
          </w:tcPr>
          <w:p>
            <w:pPr>
              <w:spacing w:after="0"/>
              <w:rPr>
                <w:sz w:val="1"/>
                <w:szCs w:val="1"/>
                <w:color w:val="auto"/>
              </w:rPr>
            </w:pPr>
          </w:p>
        </w:tc>
      </w:tr>
      <w:tr>
        <w:trPr>
          <w:trHeight w:val="22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June 30, 2022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1,956,017</w:t>
            </w:r>
          </w:p>
        </w:tc>
        <w:tc>
          <w:tcPr>
            <w:tcW w:w="130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10.22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firstLine="439"/>
        <w:spacing w:after="0" w:line="276" w:lineRule="auto"/>
        <w:rPr>
          <w:sz w:val="20"/>
          <w:szCs w:val="20"/>
          <w:color w:val="auto"/>
        </w:rPr>
      </w:pPr>
      <w:r>
        <w:rPr>
          <w:rFonts w:ascii="Times New Roman" w:cs="Times New Roman" w:eastAsia="Times New Roman" w:hAnsi="Times New Roman"/>
          <w:sz w:val="18"/>
          <w:szCs w:val="18"/>
          <w:color w:val="auto"/>
        </w:rPr>
        <w:t>As of June 30, 2022, the unrecognized compensation cost related to stock options was $0.7 million, which is expected to be recognized over a period of approximately 0.5 years.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stock options granted during the three and six months ended June 30, 2022 and 2021.</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Unvested Stock Options</w:t>
      </w:r>
    </w:p>
    <w:p>
      <w:pPr>
        <w:spacing w:after="0" w:line="116" w:lineRule="exact"/>
        <w:rPr>
          <w:sz w:val="20"/>
          <w:szCs w:val="20"/>
          <w:color w:val="auto"/>
        </w:rPr>
      </w:pPr>
    </w:p>
    <w:p>
      <w:pPr>
        <w:jc w:val="both"/>
        <w:ind w:firstLine="439"/>
        <w:spacing w:after="0" w:line="256" w:lineRule="auto"/>
        <w:rPr>
          <w:sz w:val="20"/>
          <w:szCs w:val="20"/>
          <w:color w:val="auto"/>
        </w:rPr>
      </w:pPr>
      <w:r>
        <w:rPr>
          <w:rFonts w:ascii="Times New Roman" w:cs="Times New Roman" w:eastAsia="Times New Roman" w:hAnsi="Times New Roman"/>
          <w:sz w:val="18"/>
          <w:szCs w:val="18"/>
          <w:color w:val="auto"/>
        </w:rPr>
        <w:t>Early exercises of stock options under the Company's 2008 Stock Option Plan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equity as the options vest. As of June 30, 2022 and December 31, 2021, the Company had no shares subject to repurchase.</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3"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Restricted stock units (“RSUs”) are share awards that entitle the holder to receive freely tradable shares of the Company’s common stock upon vesting. RSUs generally vest over two to four years based upon continued services and are settled at vesting in shares of the Company's common stock. The grant date fair value of the RSUs is equal to the closing price of the Company’s common stock on the grant date.</w:t>
      </w:r>
    </w:p>
    <w:p>
      <w:pPr>
        <w:spacing w:after="0" w:line="177"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January 2022, the Company granted performance-based restricted stock unit awards subject to market and service vesting conditions to certain executive officers under SI-BONE's 2018 Equity Incentive Plan (“PSUs”). The shares subject to the PSUs vest over a three-year performance period beginning January 1, 2022 and ending December 31, 2024. The actual number of PSUs that will vest in each measurement period will be determined by the Compensation Committee based on the Company’s total shareholder return (“TSR”) relative to the TSR of the Median Peer Companies (as defined in the award agreement). The grant date fair value of each stock award with a market condition was determined using the Monte Carlo valuation model. The table below summarizes the assumptions used to estimate the grant date fair value of the PSUs granted:</w:t>
      </w:r>
    </w:p>
    <w:p>
      <w:pPr>
        <w:spacing w:after="0" w:line="212" w:lineRule="exact"/>
        <w:rPr>
          <w:sz w:val="20"/>
          <w:szCs w:val="20"/>
          <w:color w:val="auto"/>
        </w:rPr>
      </w:pPr>
    </w:p>
    <w:tbl>
      <w:tblPr>
        <w:tblLayout w:type="fixed"/>
        <w:tblInd w:w="400" w:type="dxa"/>
        <w:tblCellMar>
          <w:top w:w="0" w:type="dxa"/>
          <w:left w:w="0" w:type="dxa"/>
          <w:bottom w:w="0" w:type="dxa"/>
          <w:right w:w="0" w:type="dxa"/>
        </w:tblCellMar>
      </w:tblPr>
      <w:tr>
        <w:trPr>
          <w:trHeight w:val="224"/>
        </w:trPr>
        <w:tc>
          <w:tcPr>
            <w:tcW w:w="4600" w:type="dxa"/>
            <w:vAlign w:val="bottom"/>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Six Months Ended June 30, 2022</w:t>
            </w:r>
          </w:p>
        </w:tc>
        <w:tc>
          <w:tcPr>
            <w:tcW w:w="1020" w:type="dxa"/>
            <w:vAlign w:val="bottom"/>
            <w:tcBorders>
              <w:top w:val="single" w:sz="8" w:color="auto"/>
              <w:bottom w:val="single" w:sz="8" w:color="auto"/>
            </w:tcBorders>
          </w:tcPr>
          <w:p>
            <w:pPr>
              <w:spacing w:after="0"/>
              <w:rPr>
                <w:sz w:val="19"/>
                <w:szCs w:val="19"/>
                <w:color w:val="auto"/>
              </w:rPr>
            </w:pPr>
          </w:p>
        </w:tc>
      </w:tr>
      <w:tr>
        <w:trPr>
          <w:trHeight w:val="222"/>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Expected volatility of common stock</w:t>
            </w:r>
          </w:p>
        </w:tc>
        <w:tc>
          <w:tcPr>
            <w:tcW w:w="100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8"/>
              </w:rPr>
              <w:t>48.9%</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02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8"/>
              </w:rPr>
              <w:t>58.7%</w:t>
            </w:r>
          </w:p>
        </w:tc>
      </w:tr>
      <w:tr>
        <w:trPr>
          <w:trHeight w:val="226"/>
        </w:trPr>
        <w:tc>
          <w:tcPr>
            <w:tcW w:w="4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Expected volatility of peer companies</w:t>
            </w:r>
          </w:p>
        </w:tc>
        <w:tc>
          <w:tcPr>
            <w:tcW w:w="100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8"/>
              </w:rPr>
              <w:t>24.2%</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020" w:type="dxa"/>
            <w:vAlign w:val="bottom"/>
            <w:shd w:val="clear" w:color="auto" w:fill="CCEEFF"/>
          </w:tcPr>
          <w:p>
            <w:pPr>
              <w:jc w:val="center"/>
              <w:ind w:right="351"/>
              <w:spacing w:after="0"/>
              <w:rPr>
                <w:sz w:val="20"/>
                <w:szCs w:val="20"/>
                <w:color w:val="auto"/>
              </w:rPr>
            </w:pPr>
            <w:r>
              <w:rPr>
                <w:rFonts w:ascii="Times New Roman" w:cs="Times New Roman" w:eastAsia="Times New Roman" w:hAnsi="Times New Roman"/>
                <w:sz w:val="18"/>
                <w:szCs w:val="18"/>
                <w:color w:val="auto"/>
                <w:w w:val="97"/>
              </w:rPr>
              <w:t>152.5%</w:t>
            </w:r>
          </w:p>
        </w:tc>
      </w:tr>
      <w:tr>
        <w:trPr>
          <w:trHeight w:val="226"/>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Correlation coefficient of peer companies</w:t>
            </w:r>
          </w:p>
        </w:tc>
        <w:tc>
          <w:tcPr>
            <w:tcW w:w="100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rPr>
              <w:t>(0.13)</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02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5"/>
              </w:rPr>
              <w:t>1.00</w:t>
            </w:r>
          </w:p>
        </w:tc>
      </w:tr>
      <w:tr>
        <w:trPr>
          <w:trHeight w:val="226"/>
        </w:trPr>
        <w:tc>
          <w:tcPr>
            <w:tcW w:w="4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5"/>
              </w:rPr>
              <w:t>0.4%</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020" w:type="dxa"/>
            <w:vAlign w:val="bottom"/>
            <w:shd w:val="clear" w:color="auto" w:fill="CCEEFF"/>
          </w:tcPr>
          <w:p>
            <w:pPr>
              <w:jc w:val="center"/>
              <w:ind w:right="351"/>
              <w:spacing w:after="0"/>
              <w:rPr>
                <w:sz w:val="20"/>
                <w:szCs w:val="20"/>
                <w:color w:val="auto"/>
              </w:rPr>
            </w:pPr>
            <w:r>
              <w:rPr>
                <w:rFonts w:ascii="Times New Roman" w:cs="Times New Roman" w:eastAsia="Times New Roman" w:hAnsi="Times New Roman"/>
                <w:sz w:val="18"/>
                <w:szCs w:val="18"/>
                <w:color w:val="auto"/>
              </w:rPr>
              <w:t>1.2%</w:t>
            </w:r>
          </w:p>
        </w:tc>
      </w:tr>
      <w:tr>
        <w:trPr>
          <w:trHeight w:val="232"/>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 yield</w:t>
            </w:r>
          </w:p>
        </w:tc>
        <w:tc>
          <w:tcPr>
            <w:tcW w:w="100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6"/>
              </w:rPr>
              <w:t>—%</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02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rPr>
              <w:t>1.0%</w:t>
            </w:r>
          </w:p>
        </w:tc>
      </w:tr>
    </w:tbl>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summarizes RSU and PSU activity for the six months ended June 30, 2022:</w:t>
      </w:r>
    </w:p>
    <w:p>
      <w:pPr>
        <w:spacing w:after="0" w:line="1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222250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080" w:type="dxa"/>
        <w:tblCellMar>
          <w:top w:w="0" w:type="dxa"/>
          <w:left w:w="0" w:type="dxa"/>
          <w:bottom w:w="0" w:type="dxa"/>
          <w:right w:w="0" w:type="dxa"/>
        </w:tblCellMar>
      </w:tblPr>
      <w:tr>
        <w:trPr>
          <w:trHeight w:val="213"/>
        </w:trPr>
        <w:tc>
          <w:tcPr>
            <w:tcW w:w="3600" w:type="dxa"/>
            <w:vAlign w:val="bottom"/>
          </w:tcPr>
          <w:p>
            <w:pPr>
              <w:spacing w:after="0"/>
              <w:rPr>
                <w:sz w:val="18"/>
                <w:szCs w:val="18"/>
                <w:color w:val="auto"/>
              </w:rPr>
            </w:pPr>
          </w:p>
        </w:tc>
        <w:tc>
          <w:tcPr>
            <w:tcW w:w="2920" w:type="dxa"/>
            <w:vAlign w:val="bottom"/>
            <w:gridSpan w:val="4"/>
          </w:tcPr>
          <w:p>
            <w:pPr>
              <w:ind w:left="1140"/>
              <w:spacing w:after="0"/>
              <w:rPr>
                <w:sz w:val="20"/>
                <w:szCs w:val="20"/>
                <w:color w:val="auto"/>
              </w:rPr>
            </w:pPr>
            <w:r>
              <w:rPr>
                <w:rFonts w:ascii="Times New Roman" w:cs="Times New Roman" w:eastAsia="Times New Roman" w:hAnsi="Times New Roman"/>
                <w:sz w:val="16"/>
                <w:szCs w:val="16"/>
                <w:b w:val="1"/>
                <w:bCs w:val="1"/>
                <w:color w:val="auto"/>
              </w:rPr>
              <w:t>RSUs</w:t>
            </w:r>
          </w:p>
        </w:tc>
        <w:tc>
          <w:tcPr>
            <w:tcW w:w="1560" w:type="dxa"/>
            <w:vAlign w:val="bottom"/>
            <w:gridSpan w:val="3"/>
          </w:tcPr>
          <w:p>
            <w:pPr>
              <w:ind w:left="1180"/>
              <w:spacing w:after="0"/>
              <w:rPr>
                <w:sz w:val="20"/>
                <w:szCs w:val="20"/>
                <w:color w:val="auto"/>
              </w:rPr>
            </w:pPr>
            <w:r>
              <w:rPr>
                <w:rFonts w:ascii="Times New Roman" w:cs="Times New Roman" w:eastAsia="Times New Roman" w:hAnsi="Times New Roman"/>
                <w:sz w:val="16"/>
                <w:szCs w:val="16"/>
                <w:b w:val="1"/>
                <w:bCs w:val="1"/>
                <w:color w:val="auto"/>
                <w:w w:val="98"/>
              </w:rPr>
              <w:t>PSUs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1240" w:type="dxa"/>
            <w:vAlign w:val="bottom"/>
            <w:tcBorders>
              <w:top w:val="single" w:sz="8" w:color="auto"/>
            </w:tcBorders>
            <w:vMerge w:val="restart"/>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260" w:type="dxa"/>
            <w:vAlign w:val="bottom"/>
          </w:tcPr>
          <w:p>
            <w:pPr>
              <w:spacing w:after="0"/>
              <w:rPr>
                <w:sz w:val="13"/>
                <w:szCs w:val="13"/>
                <w:color w:val="auto"/>
              </w:rPr>
            </w:pPr>
          </w:p>
        </w:tc>
        <w:tc>
          <w:tcPr>
            <w:tcW w:w="1560" w:type="dxa"/>
            <w:vAlign w:val="bottom"/>
            <w:tcBorders>
              <w:top w:val="single" w:sz="8" w:color="auto"/>
            </w:tcBorders>
            <w:gridSpan w:val="3"/>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0"/>
        </w:trPr>
        <w:tc>
          <w:tcPr>
            <w:tcW w:w="36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w w:val="97"/>
              </w:rPr>
              <w:t>Average Grant</w:t>
            </w:r>
          </w:p>
        </w:tc>
        <w:tc>
          <w:tcPr>
            <w:tcW w:w="1560" w:type="dxa"/>
            <w:vAlign w:val="bottom"/>
            <w:gridSpan w:val="3"/>
            <w:vMerge w:val="continue"/>
          </w:tcPr>
          <w:p>
            <w:pPr>
              <w:spacing w:after="0"/>
              <w:rPr>
                <w:sz w:val="13"/>
                <w:szCs w:val="13"/>
                <w:color w:val="auto"/>
              </w:rPr>
            </w:pPr>
          </w:p>
        </w:tc>
        <w:tc>
          <w:tcPr>
            <w:tcW w:w="11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0" w:type="dxa"/>
            <w:vAlign w:val="bottom"/>
          </w:tcPr>
          <w:p>
            <w:pPr>
              <w:spacing w:after="0"/>
              <w:rPr>
                <w:sz w:val="1"/>
                <w:szCs w:val="1"/>
                <w:color w:val="auto"/>
              </w:rPr>
            </w:pPr>
          </w:p>
        </w:tc>
      </w:tr>
      <w:tr>
        <w:trPr>
          <w:trHeight w:val="212"/>
        </w:trPr>
        <w:tc>
          <w:tcPr>
            <w:tcW w:w="3600" w:type="dxa"/>
            <w:vAlign w:val="bottom"/>
          </w:tcPr>
          <w:p>
            <w:pPr>
              <w:spacing w:after="0"/>
              <w:rPr>
                <w:sz w:val="18"/>
                <w:szCs w:val="18"/>
                <w:color w:val="auto"/>
              </w:rPr>
            </w:pPr>
          </w:p>
        </w:tc>
        <w:tc>
          <w:tcPr>
            <w:tcW w:w="124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Date Fair Value</w:t>
            </w:r>
          </w:p>
        </w:tc>
        <w:tc>
          <w:tcPr>
            <w:tcW w:w="0" w:type="dxa"/>
            <w:vAlign w:val="bottom"/>
          </w:tcPr>
          <w:p>
            <w:pPr>
              <w:spacing w:after="0"/>
              <w:rPr>
                <w:sz w:val="1"/>
                <w:szCs w:val="1"/>
                <w:color w:val="auto"/>
              </w:rPr>
            </w:pPr>
          </w:p>
        </w:tc>
      </w:tr>
      <w:tr>
        <w:trPr>
          <w:trHeight w:val="22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1,566,522</w:t>
            </w:r>
          </w:p>
        </w:tc>
        <w:tc>
          <w:tcPr>
            <w:tcW w:w="1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$25.17</w:t>
            </w:r>
          </w:p>
        </w:tc>
        <w:tc>
          <w:tcPr>
            <w:tcW w:w="2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1,130,467</w:t>
            </w:r>
          </w:p>
        </w:tc>
        <w:tc>
          <w:tcPr>
            <w:tcW w:w="142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8"/>
              </w:rPr>
              <w:t>21.30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19.50</w:t>
            </w: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(395,489)</w:t>
            </w:r>
          </w:p>
        </w:tc>
        <w:tc>
          <w:tcPr>
            <w:tcW w:w="142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8"/>
              </w:rPr>
              <w:t>24.88</w:t>
            </w:r>
          </w:p>
        </w:tc>
        <w:tc>
          <w:tcPr>
            <w:tcW w:w="26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 and forfeited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(129,123)</w:t>
            </w:r>
          </w:p>
        </w:tc>
        <w:tc>
          <w:tcPr>
            <w:tcW w:w="142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8"/>
              </w:rPr>
              <w:t>23.81</w:t>
            </w:r>
          </w:p>
        </w:tc>
        <w:tc>
          <w:tcPr>
            <w:tcW w:w="260" w:type="dxa"/>
            <w:vAlign w:val="bottom"/>
          </w:tcPr>
          <w:p>
            <w:pPr>
              <w:spacing w:after="0"/>
              <w:rPr>
                <w:sz w:val="19"/>
                <w:szCs w:val="19"/>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5"/>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June 30,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2,172,377</w:t>
            </w:r>
          </w:p>
        </w:tc>
        <w:tc>
          <w:tcPr>
            <w:tcW w:w="1420" w:type="dxa"/>
            <w:vAlign w:val="bottom"/>
            <w:tcBorders>
              <w:top w:val="single" w:sz="8" w:color="CCEEFF"/>
              <w:bottom w:val="single" w:sz="8" w:color="CCEEFF"/>
            </w:tcBorders>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8"/>
              </w:rPr>
              <w:t>23.29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155,596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19.50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As of June 30, 2022, the unrecognized compensation cost related to the RSUs was $42.2 million, which is expected to be recognized over a period of approximately 2.8 years. As of June 30, 2022, the unrecognized compensation cost related to the PSUs was $2.3 million, which is expected to be recognized over a period of approximately 2.5 years.</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3"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provided for automatic enrollment in a new offering, and provided that the offering which commenced in May 2020 be twelve months in duration and consist of two purchase periods.</w:t>
      </w:r>
    </w:p>
    <w:p>
      <w:pPr>
        <w:spacing w:after="0" w:line="187"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The fair value of the ESPP shares is estimated using the Black-Scholes option pricing model, which is being amortized over the requisite service period. The Company issued 112,773 and 104,861 shares under ESPP, representing approximately $1.6 million in employee contributions, for the six months ended June 30, 2022 and 2021. As of June 30, 2022 and December 31, 2021, total accumulated ESPP related employee payroll deductions amounted to $0.2 million and $0.3 million, respectively, which were included within accrued compensation and related expenses in the condensed consolidated balance sheets.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presents the detail of stock-based compensation expense amounts included in the condensed consolidated statements of operations:</w:t>
      </w:r>
    </w:p>
    <w:p>
      <w:pPr>
        <w:spacing w:after="0" w:line="240"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2320" w:type="dxa"/>
            <w:vAlign w:val="bottom"/>
            <w:gridSpan w:val="4"/>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40" w:type="dxa"/>
            <w:vAlign w:val="bottom"/>
            <w:gridSpan w:val="4"/>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43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r>
      <w:tr>
        <w:trPr>
          <w:trHeight w:val="206"/>
        </w:trPr>
        <w:tc>
          <w:tcPr>
            <w:tcW w:w="436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6"/>
        </w:trPr>
        <w:tc>
          <w:tcPr>
            <w:tcW w:w="4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8"/>
        </w:trPr>
        <w:tc>
          <w:tcPr>
            <w:tcW w:w="4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26"/>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2,746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2,125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r>
      <w:tr>
        <w:trPr>
          <w:trHeight w:val="226"/>
        </w:trPr>
        <w:tc>
          <w:tcPr>
            <w:tcW w:w="4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26"/>
        </w:trPr>
        <w:tc>
          <w:tcPr>
            <w:tcW w:w="43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2,224</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1,599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w:t>
            </w:r>
          </w:p>
        </w:tc>
      </w:tr>
      <w:tr>
        <w:trPr>
          <w:trHeight w:val="245"/>
        </w:trPr>
        <w:tc>
          <w:tcPr>
            <w:tcW w:w="4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5,751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4,257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222250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Loss Per Share of Common Stock</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summarizes the computation of basic and diluted net loss per share:</w:t>
      </w:r>
    </w:p>
    <w:p>
      <w:pPr>
        <w:spacing w:after="0" w:line="261" w:lineRule="exact"/>
        <w:rPr>
          <w:sz w:val="20"/>
          <w:szCs w:val="20"/>
          <w:color w:val="auto"/>
        </w:rPr>
      </w:pPr>
    </w:p>
    <w:tbl>
      <w:tblPr>
        <w:tblLayout w:type="fixed"/>
        <w:tblInd w:w="440" w:type="dxa"/>
        <w:tblCellMar>
          <w:top w:w="0" w:type="dxa"/>
          <w:left w:w="0" w:type="dxa"/>
          <w:bottom w:w="0" w:type="dxa"/>
          <w:right w:w="0" w:type="dxa"/>
        </w:tblCellMar>
      </w:tblPr>
      <w:tr>
        <w:trPr>
          <w:trHeight w:val="213"/>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8"/>
                <w:szCs w:val="18"/>
                <w:color w:val="auto"/>
              </w:rPr>
            </w:pPr>
          </w:p>
        </w:tc>
        <w:tc>
          <w:tcPr>
            <w:tcW w:w="2580" w:type="dxa"/>
            <w:vAlign w:val="bottom"/>
            <w:gridSpan w:val="4"/>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8"/>
        </w:trPr>
        <w:tc>
          <w:tcPr>
            <w:tcW w:w="36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gridSpan w:val="9"/>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(26,223)</w:t>
            </w:r>
          </w:p>
        </w:tc>
        <w:tc>
          <w:tcPr>
            <w:tcW w:w="0" w:type="dxa"/>
            <w:vAlign w:val="bottom"/>
          </w:tcPr>
          <w:p>
            <w:pPr>
              <w:spacing w:after="0"/>
              <w:rPr>
                <w:sz w:val="1"/>
                <w:szCs w:val="1"/>
                <w:color w:val="auto"/>
              </w:rPr>
            </w:pPr>
          </w:p>
        </w:tc>
      </w:tr>
      <w:tr>
        <w:trPr>
          <w:trHeight w:val="406"/>
        </w:trPr>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Weighted-average shares used to compute basic</w:t>
            </w:r>
          </w:p>
        </w:tc>
        <w:tc>
          <w:tcPr>
            <w:tcW w:w="26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34,052,692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32,978,914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33,923,229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32,836,040</w:t>
            </w:r>
          </w:p>
        </w:tc>
        <w:tc>
          <w:tcPr>
            <w:tcW w:w="0" w:type="dxa"/>
            <w:vAlign w:val="bottom"/>
          </w:tcPr>
          <w:p>
            <w:pPr>
              <w:spacing w:after="0"/>
              <w:rPr>
                <w:sz w:val="1"/>
                <w:szCs w:val="1"/>
                <w:color w:val="auto"/>
              </w:rPr>
            </w:pPr>
          </w:p>
        </w:tc>
      </w:tr>
      <w:tr>
        <w:trPr>
          <w:trHeight w:val="213"/>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diluted net loss per share</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6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firstLine="559"/>
        <w:spacing w:after="0" w:line="256" w:lineRule="auto"/>
        <w:rPr>
          <w:sz w:val="20"/>
          <w:szCs w:val="20"/>
          <w:color w:val="auto"/>
        </w:rPr>
      </w:pPr>
      <w:r>
        <w:rPr>
          <w:rFonts w:ascii="Times New Roman" w:cs="Times New Roman" w:eastAsia="Times New Roman" w:hAnsi="Times New Roman"/>
          <w:sz w:val="18"/>
          <w:szCs w:val="18"/>
          <w:color w:val="auto"/>
        </w:rPr>
        <w:t>Because the Company has reported a net loss in all periods presented, outstanding stock options, restricted stock units, shares subject to repurchase,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3100" w:type="dxa"/>
            <w:vAlign w:val="bottom"/>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20" w:type="dxa"/>
            <w:vAlign w:val="bottom"/>
            <w:gridSpan w:val="3"/>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8"/>
        </w:trPr>
        <w:tc>
          <w:tcPr>
            <w:tcW w:w="442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1"/>
        </w:trPr>
        <w:tc>
          <w:tcPr>
            <w:tcW w:w="4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options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1,956,017</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2,147,895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1,956,017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2,147,895</w:t>
            </w:r>
          </w:p>
        </w:tc>
      </w:tr>
      <w:tr>
        <w:trPr>
          <w:trHeight w:val="226"/>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stock units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2,172,377</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1,719,364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2,172,377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1,719,364</w:t>
            </w:r>
          </w:p>
        </w:tc>
      </w:tr>
      <w:tr>
        <w:trPr>
          <w:trHeight w:val="226"/>
        </w:trPr>
        <w:tc>
          <w:tcPr>
            <w:tcW w:w="4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Shares subject to repurchase</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226"/>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ESPP purchase rights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59,688</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34,070</w:t>
            </w:r>
          </w:p>
        </w:tc>
      </w:tr>
      <w:tr>
        <w:trPr>
          <w:trHeight w:val="226"/>
        </w:trPr>
        <w:tc>
          <w:tcPr>
            <w:tcW w:w="4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Common stock warrants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118,122</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118,122</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118,122</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118,122</w:t>
            </w:r>
          </w:p>
        </w:tc>
      </w:tr>
      <w:tr>
        <w:trPr>
          <w:trHeight w:val="220"/>
        </w:trPr>
        <w:tc>
          <w:tcPr>
            <w:tcW w:w="44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4,306,204</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4,021,396</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4,306,204</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4,021,396</w:t>
            </w:r>
          </w:p>
        </w:tc>
      </w:tr>
      <w:tr>
        <w:trPr>
          <w:trHeight w:val="20"/>
        </w:trPr>
        <w:tc>
          <w:tcPr>
            <w:tcW w:w="4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222250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w:t>
      </w:r>
    </w:p>
    <w:p>
      <w:pPr>
        <w:spacing w:after="0" w:line="221"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On February 24, 2020, the Company entered into a joint development agreement (the “Development Agreement”) with SeaSpine Orthopedics Corporation (“SeaSpine”) to develop a next generation device for sacropelvic fixation. Mr. Keith Valentine, who serves as the President, Chief Executive Officer and a member of the board of directors of SeaSpine, also serves as a member of the Company's Board of Directors since August 2015. On April 27, 2021, Addendum No.1 to the Development Agreement was entered into by and between the Company and SeaSpine to extend certain obligations as described under the Development Agreement to a consultant of the Company.</w:t>
      </w:r>
    </w:p>
    <w:p>
      <w:pPr>
        <w:spacing w:after="0" w:line="183"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three months ended June 30, 2022 and 2021, the Company expensed $— and $13,854, respectively, of the reimbursement charges from SeaSpine. For the six months ended June 30, 2022 and 2021, the Company expensed $6,225 and $23,854, respectively, of the reimbursement charges from SeaSpine. The reimbursement charges were recorded within research and development expense in the condensed consolidated statements of operations.</w:t>
      </w:r>
    </w:p>
    <w:p>
      <w:pPr>
        <w:spacing w:after="0" w:line="187"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party, as provided for by the Development Agreement. The Company recorded an immaterial amount of royalty for the three and six months ended June 30, 2022. No royalties were recorded in fiscal year 2021.</w:t>
      </w:r>
    </w:p>
    <w:p>
      <w:pPr>
        <w:spacing w:after="0" w:line="189"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The outstanding liability to SeaSpine as of June 30, 2022 was approximately $2,000 and was recorded within accrued liabilities and other in the condensed consolidated balance sheet. There was no outstanding liability to SeaSpine as of December 31, 2021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48"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and six months ended June 30, 2022 and 2021. The income taxes for the six months ended June 30, 2022, reflected the impact of a change in U.S. tax law effective January 1, 2022, which requires the capitalization and amortization of research and experimental expenditures incurred after December 31, 2021. Under the Tax Cuts and Jobs Act, for tax years beginning after December 31, 2021, taxpayers are required to capitalize and amortize certain research and experimental expenditures that are paid or incurred in connection with their trade or business. Due to the expected tax loss, the provision did not have tax impact to the quarter. The Company continues to maintain a full valuation allowance against its net deferred tax assets due to the uncertainty surrounding realization of such assets.</w:t>
      </w:r>
    </w:p>
    <w:p>
      <w:pPr>
        <w:spacing w:after="0" w:line="21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June 30, 2022 compared to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9" w:lineRule="exact"/>
        <w:rPr>
          <w:sz w:val="20"/>
          <w:szCs w:val="20"/>
          <w:color w:val="auto"/>
        </w:rPr>
      </w:pPr>
    </w:p>
    <w:p>
      <w:pPr>
        <w:jc w:val="both"/>
        <w:ind w:firstLine="199"/>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our condensed consolidated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March 1, 2022.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of this Quarterly Report on Form 10-Q, our actual results could differ materially from the results described in, or implied, by these forward-looking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8" w:lineRule="exact"/>
        <w:rPr>
          <w:sz w:val="20"/>
          <w:szCs w:val="20"/>
          <w:color w:val="auto"/>
        </w:rPr>
      </w:pPr>
    </w:p>
    <w:p>
      <w:pPr>
        <w:jc w:val="both"/>
        <w:ind w:firstLine="320"/>
        <w:spacing w:after="0" w:line="241" w:lineRule="auto"/>
        <w:rPr>
          <w:sz w:val="20"/>
          <w:szCs w:val="20"/>
          <w:color w:val="auto"/>
        </w:rPr>
      </w:pPr>
      <w:r>
        <w:rPr>
          <w:rFonts w:ascii="Times New Roman" w:cs="Times New Roman" w:eastAsia="Times New Roman" w:hAnsi="Times New Roman"/>
          <w:sz w:val="18"/>
          <w:szCs w:val="18"/>
          <w:color w:val="auto"/>
        </w:rPr>
        <w:t>We are a medical device company dedicated to solving musculoskeletal disorders of the sacropelvic anatomy. We have pioneered a proprietary minimally invasive surgical implant system, which we call iFuse, to address sacroiliac joint dysfunction and degeneration, adult deformity, pelvic ring traumatic fractures. Since we introduced iFuse in 2009, as of June 30, 2022, more than 71,000 procedures have been performed by over 2,800 surgeons in the U.S. and 37 other countries.</w:t>
      </w:r>
    </w:p>
    <w:p>
      <w:pPr>
        <w:spacing w:after="0" w:line="194" w:lineRule="exact"/>
        <w:rPr>
          <w:sz w:val="20"/>
          <w:szCs w:val="20"/>
          <w:color w:val="auto"/>
        </w:rPr>
      </w:pPr>
    </w:p>
    <w:p>
      <w:pPr>
        <w:jc w:val="both"/>
        <w:ind w:firstLine="320"/>
        <w:spacing w:after="0" w:line="246" w:lineRule="auto"/>
        <w:rPr>
          <w:sz w:val="20"/>
          <w:szCs w:val="20"/>
          <w:color w:val="auto"/>
        </w:rPr>
      </w:pPr>
      <w:r>
        <w:rPr>
          <w:rFonts w:ascii="Times New Roman" w:cs="Times New Roman" w:eastAsia="Times New Roman" w:hAnsi="Times New Roman"/>
          <w:sz w:val="18"/>
          <w:szCs w:val="18"/>
          <w:color w:val="auto"/>
        </w:rPr>
        <w:t>Our iFuse Implant System includes a series of patented titanium implants and the instruments we have developed to enable surgeons to perform the procedure. Surgeons place our implants across the sacroiliac joint, either from a lateral approach through the iliac bones into the sacrum, or from a posterior approach through the sacrum and into the iliac bones. Surgeons typically use three iFuse implants to fuse a sacroiliac joint in the lateral procedure, and one iFuse implant in each sacroiliac joint, typically alongside another device crossing the joint and joining to the spinal construct.</w:t>
      </w:r>
    </w:p>
    <w:p>
      <w:pPr>
        <w:spacing w:after="0" w:line="176"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Our first-generation iFuse implant has a triangular cross section that resists twisting or rotation of the implant within the bone within which it is implanted, regardless of the surgical approach and technique used to place the implants. The triangular shape of our implants helps stabilize the joint, and the implants’ porous surface facilitates biologic fixation of the bone onto the implant, or bony ongrowth and ingrowth, that results in fusion. The implant has at least three times the strength of a typical eight-millimeter cannulated surgical screw, and the large porous surface area of our implants allows for bony ingrowth. We hold issued patents on implants with cross-sections of many non-round shapes, including the triangular shape of our first-generation iFuse implant. We also hold issued patents for the method of placing those implants across the sacroiliac joint, as well as other parts of the spine and pelvis.</w:t>
      </w:r>
    </w:p>
    <w:p>
      <w:pPr>
        <w:spacing w:after="0" w:line="13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introduced our second-generation implant, iFuse-3D, in 2017. This patented titanium implant combines the triangular cross-section of the iFuse implant with the proprietary 3D-printed porous surface and fenestrated design. This design also allows the surgeon to fill the implant with ground-up bone before implantation, which some surgeons believe accelerates bone through-growth and biological fixation. iFuse-3D implants have shown positive bony ingrowth, ongrowth and through-growth and in animal studies, whether or not ground-up bone is used. We hold issued patents on 3D-printed triangular implants with fenestrations, or holes, which allow bone to grow into and through the implants.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4" w:name="page25"/>
    <w:bookmarkEnd w:id="24"/>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April 2019, we received clearance from the United States Food and Drug Administration, or FDA, to promote the use of our iFuse-3D implants for fusion of the sacroiliac joint in conjunction with multi-level spinal fusion procedures to provide further stabilization and immobilization of the sacroiliac joint. For this indication, surgeons typically use the posterior approach, through the sacrum and into the iliac bones, which we call the Bedrock technique. We received CE marking and began marketing iFuse for this indication and surgical technique in Europe in December 2019. In March 2020, we received FDA 510(k) clearance for an expanded indication for our triangular iFuse implants to support our trauma program.</w:t>
      </w:r>
    </w:p>
    <w:p>
      <w:pPr>
        <w:spacing w:after="0" w:line="12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February 2021, we received clearance from the FDA for iFuse-TORQ, a 3D-printed portfolio of threaded implants designed to meet the needs of pelvic trauma and minimally invasive sacroiliac joint fusion applications. iFuse-TORQ is targeted to address an unmet clinical need for low energy pelvic ring fractures and chronic sacroiliac joint pain after high energy pelvic ring trauma. iFuse-TORQ also provides an opportunity for us to capture competitive screw business for minimally invasive sacroiliac joint fusions. In June 2022, the FDA provided clearance for an additional indication to include acute, non-acute and non-traumatic fractures. Fractures covered in this clearance include pelvic fragility fractures, which are fractures related to low-energy traumatic events, and pelvic insufficiency fractures.</w:t>
      </w:r>
    </w:p>
    <w:p>
      <w:pPr>
        <w:spacing w:after="0" w:line="134" w:lineRule="exact"/>
        <w:rPr>
          <w:sz w:val="20"/>
          <w:szCs w:val="20"/>
          <w:color w:val="auto"/>
        </w:rPr>
      </w:pPr>
    </w:p>
    <w:p>
      <w:pPr>
        <w:jc w:val="both"/>
        <w:ind w:firstLine="320"/>
        <w:spacing w:after="0" w:line="256" w:lineRule="auto"/>
        <w:rPr>
          <w:sz w:val="20"/>
          <w:szCs w:val="20"/>
          <w:color w:val="auto"/>
        </w:rPr>
      </w:pPr>
      <w:r>
        <w:rPr>
          <w:rFonts w:ascii="Times New Roman" w:cs="Times New Roman" w:eastAsia="Times New Roman" w:hAnsi="Times New Roman"/>
          <w:sz w:val="18"/>
          <w:szCs w:val="18"/>
          <w:color w:val="auto"/>
        </w:rPr>
        <w:t>In May 2022, we received clearance from the FDA for the iFuse-Bedrock Granite Implant System. The iFuse-Bedrock Granite implant provides sacroiliac fusion and sacropelvic fixation as a foundational element for segmental spinal fusion. The iFuse-Bedrock Granite is designated by the FDA as a breakthrough device and the Centers for Medicare and Medicaid Services has proposed a New Technology Add-on Payment for procedures that involve implanting this device.</w:t>
      </w:r>
    </w:p>
    <w:p>
      <w:pPr>
        <w:spacing w:after="0" w:line="12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We market our products primarily with a direct sales force as well as a number of distributors in the U.S., and with a combination of a direct sales force and distributors in other countries.</w:t>
      </w:r>
    </w:p>
    <w:p>
      <w:pPr>
        <w:spacing w:after="0" w:line="110" w:lineRule="exact"/>
        <w:rPr>
          <w:sz w:val="20"/>
          <w:szCs w:val="20"/>
          <w:color w:val="auto"/>
        </w:rPr>
      </w:pPr>
    </w:p>
    <w:p>
      <w:pPr>
        <w:jc w:val="both"/>
        <w:ind w:firstLine="399"/>
        <w:spacing w:after="0" w:line="246" w:lineRule="auto"/>
        <w:rPr>
          <w:sz w:val="20"/>
          <w:szCs w:val="20"/>
          <w:color w:val="auto"/>
        </w:rPr>
      </w:pPr>
      <w:r>
        <w:rPr>
          <w:rFonts w:ascii="Times New Roman" w:cs="Times New Roman" w:eastAsia="Times New Roman" w:hAnsi="Times New Roman"/>
          <w:sz w:val="18"/>
          <w:szCs w:val="18"/>
          <w:color w:val="auto"/>
        </w:rPr>
        <w:t>In October 2018, we completed our initial public offering (“IPO”) resulting in net proceeds of $113.4 million after deducting underwriting discounts and commissions and offering expenses. In January and February 2020, we received a total of $63.0 million of net proceeds, after deducting the underwriting discounts, commissions and offering expenses, from our first follow-on public offering of our common stock. In October 2020, we received a total of $71.6 million of net proceeds from our second follow-on offering of our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Pandemic</w:t>
      </w:r>
    </w:p>
    <w:p>
      <w:pPr>
        <w:spacing w:after="0" w:line="234" w:lineRule="exact"/>
        <w:rPr>
          <w:sz w:val="20"/>
          <w:szCs w:val="20"/>
          <w:color w:val="auto"/>
        </w:rPr>
      </w:pPr>
    </w:p>
    <w:p>
      <w:pPr>
        <w:jc w:val="both"/>
        <w:ind w:firstLine="399"/>
        <w:spacing w:after="0" w:line="246" w:lineRule="auto"/>
        <w:rPr>
          <w:sz w:val="20"/>
          <w:szCs w:val="20"/>
          <w:color w:val="auto"/>
        </w:rPr>
      </w:pPr>
      <w:r>
        <w:rPr>
          <w:rFonts w:ascii="Times New Roman" w:cs="Times New Roman" w:eastAsia="Times New Roman" w:hAnsi="Times New Roman"/>
          <w:sz w:val="18"/>
          <w:szCs w:val="18"/>
          <w:color w:val="auto"/>
        </w:rPr>
        <w:t>The global COVID-19 pandemic presents significant risks to us and has impacted, and continues to impact our business, operations, and financial results and condition, directly and indirectly, including, without limitation, impacts on the health of our management and employees; our manufacturing, distribution, marketing and sales operations; our research and development activities, including clinical activities; and customer and patient behaviors.</w:t>
      </w:r>
    </w:p>
    <w:p>
      <w:pPr>
        <w:spacing w:after="0" w:line="215" w:lineRule="exact"/>
        <w:rPr>
          <w:sz w:val="20"/>
          <w:szCs w:val="20"/>
          <w:color w:val="auto"/>
        </w:rPr>
      </w:pPr>
    </w:p>
    <w:p>
      <w:pPr>
        <w:jc w:val="both"/>
        <w:ind w:firstLine="399"/>
        <w:spacing w:after="0" w:line="241" w:lineRule="auto"/>
        <w:rPr>
          <w:sz w:val="20"/>
          <w:szCs w:val="20"/>
          <w:color w:val="auto"/>
        </w:rPr>
      </w:pPr>
      <w:r>
        <w:rPr>
          <w:rFonts w:ascii="Times New Roman" w:cs="Times New Roman" w:eastAsia="Times New Roman" w:hAnsi="Times New Roman"/>
          <w:sz w:val="18"/>
          <w:szCs w:val="18"/>
          <w:color w:val="auto"/>
        </w:rPr>
        <w:t>Access to many hospitals and other customer sites was impacted by prevalence of COVID-19, which negatively impacts our ability to promote the use of our products with physicians. Additionally, many hospitals and ambulatory surgery centers have in the past suspended and may suspend in the future, many elective procedures, resulting in a reduced volume of procedures using our products. Our customer behavior is impacted by the prevalence of COVID-19 and changes in the infection rates in the locations where our customers reside. Quarantines, shelter-in-place, elective procedure moratoria and similar government orders have also impacted, and may continue to impact, our third-party manufacturers and suppliers, and could in turn adversely impact the availability or cost of materials, which could disrupt our supply chain. Periodic resurgence of the COVID-19 pandemic negatively impacted our revenues at various periods throughout 2021 and 2022 as evidenced by case deferrals attributed to COVID-19.</w:t>
      </w:r>
    </w:p>
    <w:p>
      <w:pPr>
        <w:spacing w:after="0" w:line="209" w:lineRule="exact"/>
        <w:rPr>
          <w:sz w:val="20"/>
          <w:szCs w:val="20"/>
          <w:color w:val="auto"/>
        </w:rPr>
      </w:pPr>
    </w:p>
    <w:p>
      <w:pPr>
        <w:jc w:val="both"/>
        <w:ind w:firstLine="399"/>
        <w:spacing w:after="0" w:line="246" w:lineRule="auto"/>
        <w:rPr>
          <w:sz w:val="20"/>
          <w:szCs w:val="20"/>
          <w:color w:val="auto"/>
        </w:rPr>
      </w:pPr>
      <w:r>
        <w:rPr>
          <w:rFonts w:ascii="Times New Roman" w:cs="Times New Roman" w:eastAsia="Times New Roman" w:hAnsi="Times New Roman"/>
          <w:sz w:val="18"/>
          <w:szCs w:val="18"/>
          <w:color w:val="auto"/>
        </w:rPr>
        <w:t>Throughout the pandemic, we have taken a variety of steps to address the impact of the COVID-19 , while attempting to minimize business disruption. We are continuing to monitor the impact of the COVID-19 pandemic on our employees and customers and on the markets in which we operate, and will take further actions that are considered prudent to address the COVID-19 pandemic, while ensuring that we can support our customers and continue to develop our products.</w:t>
      </w:r>
    </w:p>
    <w:p>
      <w:pPr>
        <w:spacing w:after="0" w:line="203" w:lineRule="exact"/>
        <w:rPr>
          <w:sz w:val="20"/>
          <w:szCs w:val="20"/>
          <w:color w:val="auto"/>
        </w:rPr>
      </w:pPr>
    </w:p>
    <w:p>
      <w:pPr>
        <w:jc w:val="both"/>
        <w:ind w:firstLine="399"/>
        <w:spacing w:after="0" w:line="237" w:lineRule="auto"/>
        <w:rPr>
          <w:sz w:val="20"/>
          <w:szCs w:val="20"/>
          <w:color w:val="auto"/>
        </w:rPr>
      </w:pPr>
      <w:r>
        <w:rPr>
          <w:rFonts w:ascii="Times New Roman" w:cs="Times New Roman" w:eastAsia="Times New Roman" w:hAnsi="Times New Roman"/>
          <w:sz w:val="18"/>
          <w:szCs w:val="18"/>
          <w:color w:val="auto"/>
        </w:rPr>
        <w:t>While we have not experienced material disruptions to our supply chain to date, certain of our third-party suppliers have faced delays, product shortages and rising costs resulting from disruptions in the global supply chain, primarily related to our instruments. As a result, we are continuing to work closely with our manufacturing partners and suppliers, as well as determining alternative sourcing strategies to enable us to source key components and maintain appropriate inventory levels to meet customer demand.</w:t>
      </w:r>
    </w:p>
    <w:p>
      <w:pPr>
        <w:spacing w:after="0" w:line="221"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cannot currently predict with certainty the full extent to which the COVID-19 pandemic will impact demand for our products in the future, or the impact of the COVID-19 pandemic on our supply chain or other aspects of our business. Accordingly, the COVID-19 pandemic could have a material adverse effect on our results of operations, financial condition and capital resources.</w:t>
      </w:r>
    </w:p>
    <w:p>
      <w:pPr>
        <w:spacing w:after="0" w:line="197"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8"/>
          <w:szCs w:val="18"/>
          <w:color w:val="auto"/>
        </w:rPr>
        <w:t>The existence and further duration of the COVID-19 pandemic may also further exacerbate certain risks as described in “Part II- Item 1A - Risk Factors” below.</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Factors Affecting Results of Operations and Key Performance Indicators</w:t>
      </w:r>
    </w:p>
    <w:p>
      <w:pPr>
        <w:spacing w:after="0" w:line="22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leverage our sales force, increase surgeon activity and training, engage key opinion leaders, and leverage broad coverage.</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Leverage our sales force</w:t>
      </w:r>
    </w:p>
    <w:p>
      <w:pPr>
        <w:spacing w:after="0" w:line="210"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We have made significant investments in our sales force since our initial public offering in 2018. We have built a valuable sales team, and we believe they are the key to expand the market and deliver revenue growth.</w:t>
      </w:r>
    </w:p>
    <w:p>
      <w:pPr>
        <w:spacing w:after="0" w:line="17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As of June 30, 2022, our U.S. sales force consisted of 85 territory sales managers and 76 clinical support specialists directly employed by us and 73 third-party distributors, compared to 74 territory sales managers and 59 clinical support specialists directly employed by us and 48 third-party distributors as of June 30, 2021. As of June 30, 2022, our international sales force consisted of 18 sales representatives directly employed by us and 30 exclusive third-party distributors, compared to 21 sales representatives directly employed by us and 30 exclusive third-party distributors as of June 30, 2021.</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Increase surgeon activity and training</w:t>
      </w:r>
    </w:p>
    <w:p>
      <w:pPr>
        <w:spacing w:after="0" w:line="250"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18"/>
          <w:szCs w:val="18"/>
          <w:color w:val="auto"/>
        </w:rPr>
        <w:t>Our medical affairs team works closely with our sales team to increase surgeon activity and training. Surgeon activity includes both the number of surgeons performing iFuse procedures as well as the number of procedures performed per surgeon. As of June 30, 2022 and 2021, in the U.S., more than 1,900 surgeons and 1,700 surgeons, respectively, have been trained on iFuse and have treated at least one patient. Outside the U.S., as of each of June 30, 2022 and 2021, more than 800 surgeons and 700 surgeons, respectively, have been been trained on iFuse and have treated at least one patient. We will continue to pursue approximately 6,800 target surgeons in the U.S., as well as international surgeons to train or retrain in the future.</w:t>
      </w:r>
    </w:p>
    <w:p>
      <w:pPr>
        <w:spacing w:after="0" w:line="20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In addition to utilizing our traditional method of hands-on cadaveric and dry-lab training for surgeons and mid-level practitioners, we are using the SI-BONE SImulator - a portable, radiation-free, haptics and computer-based simulator for training purposes. Starting in July 2020 we began deploying the SImulators to cover all US regions and European subsidiaries and had 25 SImulators in our offices and the field as of the date of this report.</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Launch new products</w:t>
      </w:r>
    </w:p>
    <w:p>
      <w:pPr>
        <w:spacing w:after="0" w:line="25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Our Bedrock technique is used in the treatment of adult spinal deformity. We introduced this technique in June 2019 for use in the fusion of the sacroiliac joints in conjunction with a multi-segment spinal fusion, or long construct, procedure. The Bedrock technique utilizes our proprietary triangular iFuse Implants, with one implant placed across each sacroiliac joint (for a total of two implants per case) using a posterior approach, through the sacrum, across the sacroiliac joint, and into the ilium. The Bedrock technique differs from our traditional iFuse procedure, whereby three iFuse Implants are placed across one sacroiliac joint via a lateral transarticular approach through the ilium and into the sacrum. The Bedrock technique is performed to increase stability at the base of a long construct. Biomechanical testing has shown that iFuse Implants placed in this position reduce sacroiliac joint motion by approximately 30% in conjunction with a long construct. We received CE mark clearance for the promotion of the Bedrock technique in Europe in November 2019 and we launched the promotion of this technique in select European markets in December 2019.</w:t>
      </w:r>
    </w:p>
    <w:p>
      <w:pPr>
        <w:spacing w:after="0" w:line="212" w:lineRule="exact"/>
        <w:rPr>
          <w:sz w:val="20"/>
          <w:szCs w:val="20"/>
          <w:color w:val="auto"/>
        </w:rPr>
      </w:pPr>
    </w:p>
    <w:p>
      <w:pPr>
        <w:jc w:val="both"/>
        <w:ind w:firstLine="399"/>
        <w:spacing w:after="0" w:line="267" w:lineRule="auto"/>
        <w:rPr>
          <w:sz w:val="20"/>
          <w:szCs w:val="20"/>
          <w:color w:val="auto"/>
        </w:rPr>
      </w:pPr>
      <w:r>
        <w:rPr>
          <w:rFonts w:ascii="Times New Roman" w:cs="Times New Roman" w:eastAsia="Times New Roman" w:hAnsi="Times New Roman"/>
          <w:sz w:val="17"/>
          <w:szCs w:val="17"/>
          <w:color w:val="auto"/>
        </w:rPr>
        <w:t>In addition, we received FDA clearance for our trauma product, iFuse-TORQ, in the first quarter of 2021. iFuse-TORQ is a highly differentiated 3D-printed threaded implant for pelvic trauma and minimally invasive sacroiliac joint fusion applications. Relative to competitive trauma products, iFuse-TORQ is roughly two times stronger in bending and requires 10 times the rotational resistance, or torque, to insert due to its porosity and other design features. We believe that this rotational resistance gives surgeons confidence in the strength of mechanical fixation that iFuse-TORQ provides, and that the technological advancements incorporated into iFuse-TORQ represent a significant improvement compared to conventional trauma screws. Furthermore, iFuse-TORQ has a larger surface area for bone ingrowth than competitive trauma products and was specifically designed to allow for osteointegration. The addition of iFuse-TORQ to our product portfolio will allow us to serve a significant unmet need for patients with pelvic trauma, as well as sacroiliac joint dysfunction and degeneration. In June 2022, the FDA provided clearance for an additional indication to include acute, non-acute and non-traumatic fractures. Fractures covered in this clearance include pelvic fragility fractures, which are fractures related to low-energy traumatic events, and pelvic insufficiency fractures.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6" w:name="page27"/>
    <w:bookmarkEnd w:id="26"/>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received FDA 510(k) premarket clearance for the iFuse-Bedrock Granite in May 2022. The iFuse-Bedrock Granite implant is a unique device designed to address the specific demands of adult deformity surgery by providing both sacroiliac joint fusion and sacropelvic fixation as a foundational element for segmental spinal fusion. iFuse-Bedrock Granite offers a differentiated implant option comprising a machined screw shank and an additively manufactured fusion sleeve. It is designed for both strength and biologic fixation with a porous surface, fenestrations or wholes through which bone can grow, and features for bone self-harvesting, and a robust deformity-specific tulip and set screw. This 510(k) clearance follows the earlier designation by the FDA of iFuse-Bedrock Granite as a Breakthrough Device and, most recently, a proposal by the Centers for Medicare and Medicaid Services, or CMS, for a New Technology Add-on Payment, or NTAP, both awards recognizing iFuse-Bedrock Granite as a new technology that can provide substantial clinical improvement over already available therapies.</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Engage key opinion leaders</w:t>
      </w:r>
    </w:p>
    <w:p>
      <w:pPr>
        <w:spacing w:after="0" w:line="236" w:lineRule="exact"/>
        <w:rPr>
          <w:sz w:val="20"/>
          <w:szCs w:val="20"/>
          <w:color w:val="auto"/>
        </w:rPr>
      </w:pPr>
    </w:p>
    <w:p>
      <w:pPr>
        <w:jc w:val="both"/>
        <w:ind w:firstLine="399"/>
        <w:spacing w:after="0" w:line="239" w:lineRule="auto"/>
        <w:rPr>
          <w:sz w:val="20"/>
          <w:szCs w:val="20"/>
          <w:color w:val="auto"/>
        </w:rPr>
      </w:pPr>
      <w:r>
        <w:rPr>
          <w:rFonts w:ascii="Times New Roman" w:cs="Times New Roman" w:eastAsia="Times New Roman" w:hAnsi="Times New Roman"/>
          <w:sz w:val="18"/>
          <w:szCs w:val="18"/>
          <w:color w:val="auto"/>
        </w:rPr>
        <w:t>We conduct training courses in several academic centers in the U.S. and engage key opinion leaders to support our development efforts. Interest in the Bedrock technique among deformity surgeons, including many key opinion leaders, has provided our sales representatives with access to important academic medical centers in the U.S. This enables our representatives to train a broader group of spine surgeons, including residents and fellows at these centers, on both the Bedrock technique and minimally invasive sacroiliac fusion. To date, we have trained residents and fellows in over 195 academic programs in the U.S., resulting in the training of approximately 1100 surgical residents and fellows since August 1, 2018.</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Leverage broad coverage</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made significant progress in the number of covered lives for minimally invasive sacroiliac fusion in the U.S.</w:t>
      </w:r>
    </w:p>
    <w:p>
      <w:pPr>
        <w:spacing w:after="0" w:line="219" w:lineRule="exact"/>
        <w:rPr>
          <w:sz w:val="20"/>
          <w:szCs w:val="20"/>
          <w:color w:val="auto"/>
        </w:rPr>
      </w:pPr>
    </w:p>
    <w:p>
      <w:pPr>
        <w:jc w:val="both"/>
        <w:ind w:firstLine="439"/>
        <w:spacing w:after="0" w:line="276" w:lineRule="auto"/>
        <w:rPr>
          <w:sz w:val="20"/>
          <w:szCs w:val="20"/>
          <w:color w:val="auto"/>
        </w:rPr>
      </w:pPr>
      <w:r>
        <w:rPr>
          <w:rFonts w:ascii="Times New Roman" w:cs="Times New Roman" w:eastAsia="Times New Roman" w:hAnsi="Times New Roman"/>
          <w:sz w:val="18"/>
          <w:szCs w:val="18"/>
          <w:color w:val="auto"/>
        </w:rPr>
        <w:t>As of June 30, 2022, substantially all U.S. payors reimburse for sacroiliac joint fusion. As of June 30, 2022, a significant number of U.S. payors have issued positive coverage policies exclusive to our patented design of triangular titanium implants for sacroiliac joint fusion because of the clinical evidence.</w:t>
      </w:r>
    </w:p>
    <w:p>
      <w:pPr>
        <w:spacing w:after="0" w:line="163"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We believe that the full impact of each coverage decision grows over time as surgeons gain confidence that they will receive reimbursement for the majority of their diagnosed patients. With recent payor decisions, over 300 million people in the U.S. now have access to minimally invasive SI joint fusion, representing nearly universal coverage of the procedure.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3" w:lineRule="exact"/>
        <w:rPr>
          <w:sz w:val="20"/>
          <w:szCs w:val="20"/>
          <w:color w:val="auto"/>
        </w:rPr>
      </w:pPr>
    </w:p>
    <w:p>
      <w:pPr>
        <w:jc w:val="both"/>
        <w:ind w:firstLine="439"/>
        <w:spacing w:after="0" w:line="250" w:lineRule="auto"/>
        <w:rPr>
          <w:sz w:val="20"/>
          <w:szCs w:val="20"/>
          <w:color w:val="auto"/>
        </w:rPr>
      </w:pPr>
      <w:r>
        <w:rPr>
          <w:rFonts w:ascii="Times New Roman" w:cs="Times New Roman" w:eastAsia="Times New Roman" w:hAnsi="Times New Roman"/>
          <w:sz w:val="18"/>
          <w:szCs w:val="18"/>
          <w:color w:val="auto"/>
        </w:rPr>
        <w:t>We generate most of our revenue from sales of iFuse triangular titanium implants. Our revenue from sales of implants fluctuate based on volume of cases (procedures performed), discounts, mix of international and U.S. sales, different implant pricing and the number of implants used for a particular patient. Similar to other orthopedic companies, our case volume can vary from quarter to quarter due to a variety of factors including reimbursement, sales force changes, physician activities, seasonality, and the impact of COVID-19. In addition, our revenue is impacted by changes in average selling price as we respond to the competitive landscape and price differences at different medical facilities, such as hospitals and ambulatory surgical centers, or ASCs. Further, revenue results can differ based upon the mix of business between U.S. and international sales and mix of our products either delivered at the point of implantation at the hospital or other medical facilities or delivered through distributors or to hospitals where the products were ordered in advance of the procedure. Our revenue from international sales is impacted by fluctuations in foreign currency exchange rates between the U.S. dollar (our reporting currency) and the local currency.</w:t>
      </w:r>
    </w:p>
    <w:p>
      <w:pPr>
        <w:spacing w:after="0" w:line="189" w:lineRule="exact"/>
        <w:rPr>
          <w:sz w:val="20"/>
          <w:szCs w:val="20"/>
          <w:color w:val="auto"/>
        </w:rPr>
      </w:pPr>
    </w:p>
    <w:p>
      <w:pPr>
        <w:jc w:val="both"/>
        <w:ind w:firstLine="439"/>
        <w:spacing w:after="0" w:line="306" w:lineRule="auto"/>
        <w:rPr>
          <w:sz w:val="20"/>
          <w:szCs w:val="20"/>
          <w:color w:val="auto"/>
        </w:rPr>
      </w:pPr>
      <w:r>
        <w:rPr>
          <w:rFonts w:ascii="Times New Roman" w:cs="Times New Roman" w:eastAsia="Times New Roman" w:hAnsi="Times New Roman"/>
          <w:sz w:val="17"/>
          <w:szCs w:val="17"/>
          <w:color w:val="auto"/>
        </w:rPr>
        <w:t>Starting March 2020, the impact of COVID-19 pandemic on our revenue has varied by period and region based on various factors, including stage of containment, resurgence of variants, success of regional vaccination campaigns, and associated government and hospital actions around elective procedures.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7" w:name="page28"/>
    <w:bookmarkEnd w:id="27"/>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Gross Profit, and Gross Margin</w:t>
      </w:r>
    </w:p>
    <w:p>
      <w:pPr>
        <w:spacing w:after="0" w:line="223"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We utilize third-party manufacturers for production of our implants and instrument sets. Cost of goods sold consists primarily of costs of the components of implants and instruments, instrument set depreciation, royalties, scrap and inventory obsolescence, as well as distribution-related expenses such as logistics and shipping costs. Our cost of goods sold has historically increased as case levels increase.</w:t>
      </w:r>
    </w:p>
    <w:p>
      <w:pPr>
        <w:spacing w:after="0" w:line="17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gross profit and gross margin are affected by factors impacting revenue and cost of goods sold. In addition, our gross margins are typically higher on products we sell directly as compared to products we sell through third-party distributors. As a result, changes in the mix of direct versus distributor sales can directly influence our gross margins.</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returned to more normalized spending levels starting in the fourth quarter of 2020. We intend to make investments to execute our strategic plans and operational initiatives. We anticipate certain operating expenses will continue to increase to support our growth.</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48"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as well as certain commission guarantees paid to our senior sales management, direct territory sales managers, clinical support specialists and third-party distributors.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8"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w:t>
      </w:r>
    </w:p>
    <w:p>
      <w:pPr>
        <w:spacing w:after="0" w:line="208"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w:t>
      </w:r>
    </w:p>
    <w:p>
      <w:pPr>
        <w:spacing w:after="0" w:line="2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48" w:lineRule="exact"/>
        <w:rPr>
          <w:sz w:val="20"/>
          <w:szCs w:val="20"/>
          <w:color w:val="auto"/>
        </w:rPr>
      </w:pPr>
    </w:p>
    <w:p>
      <w:pPr>
        <w:jc w:val="both"/>
        <w:ind w:right="20" w:firstLine="399"/>
        <w:spacing w:after="0" w:line="276"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stock-based compensation expense, and other costs for finance, accounting, legal, insurance, compliance, and administrative matters.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Interest income is primarily related to our investments of excess cash in money market funds and marketable securities.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Interest expense is primarily related to borrowings, amortization of debt issuance costs and accretion of final fees on the Solar and SVB Term Loans.</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income (expense), net consists primarily of net foreign exchange gains and losses on foreign transactions.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1" w:lineRule="exact"/>
        <w:rPr>
          <w:sz w:val="20"/>
          <w:szCs w:val="20"/>
          <w:color w:val="auto"/>
        </w:rPr>
      </w:pPr>
    </w:p>
    <w:p>
      <w:pPr>
        <w:ind w:right="100" w:firstLine="479"/>
        <w:spacing w:after="0" w:line="276" w:lineRule="auto"/>
        <w:rPr>
          <w:sz w:val="20"/>
          <w:szCs w:val="20"/>
          <w:color w:val="auto"/>
        </w:rPr>
      </w:pPr>
      <w:r>
        <w:rPr>
          <w:rFonts w:ascii="Times New Roman" w:cs="Times New Roman" w:eastAsia="Times New Roman" w:hAnsi="Times New Roman"/>
          <w:sz w:val="18"/>
          <w:szCs w:val="18"/>
          <w:color w:val="auto"/>
        </w:rPr>
        <w:t>We manage and operate as one reportable segment. The table below summarizes our results of operations for the periods presented (percentages are amounts as a percentage of revenue), which we derived from the accompanying condensed consolidated financial statements:</w:t>
      </w:r>
    </w:p>
    <w:p>
      <w:pPr>
        <w:spacing w:after="0" w:line="205"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7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5"/>
        </w:trPr>
        <w:tc>
          <w:tcPr>
            <w:tcW w:w="3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gridSpan w:val="5"/>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80" w:type="dxa"/>
            <w:vAlign w:val="bottom"/>
            <w:gridSpan w:val="3"/>
            <w:vMerge w:val="continue"/>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25,585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22,194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48,024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42,636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6"/>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3,465</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2,375</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color w:val="auto"/>
              </w:rPr>
              <w:t>6,448</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4,575</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0"/>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22,120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19,819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41,576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38,061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6"/>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28,843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23,084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54,448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44,006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6"/>
        </w:trPr>
        <w:tc>
          <w:tcPr>
            <w:tcW w:w="2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9"/>
                <w:szCs w:val="19"/>
                <w:color w:val="auto"/>
              </w:rPr>
            </w:pPr>
          </w:p>
        </w:tc>
        <w:tc>
          <w:tcPr>
            <w:tcW w:w="116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3,478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3,149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7,058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6,104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6"/>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7,680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6,551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14,819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12,491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0"/>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40,001</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32,784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color w:val="auto"/>
              </w:rPr>
              <w:t>76,325</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62,601</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(17,881)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(12,965)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(34,749)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(24,540)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6"/>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136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46</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209</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107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2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116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(622)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(1,075)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(1,183)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(2,139)</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6"/>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(146)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(200)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349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(18,513)</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(13,981)</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(35,923)</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(26,223)</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100" w:firstLine="479"/>
        <w:spacing w:after="0" w:line="276" w:lineRule="auto"/>
        <w:rPr>
          <w:sz w:val="20"/>
          <w:szCs w:val="20"/>
          <w:color w:val="auto"/>
        </w:rPr>
      </w:pPr>
      <w:r>
        <w:rPr>
          <w:rFonts w:ascii="Times New Roman" w:cs="Times New Roman" w:eastAsia="Times New Roman" w:hAnsi="Times New Roman"/>
          <w:sz w:val="18"/>
          <w:szCs w:val="18"/>
          <w:color w:val="auto"/>
        </w:rPr>
        <w:t>We derive the majority of our revenue from sales to customers in the U.S. Revenue by geography is based on billing address of the customer. The table below summarizes our revenue by geography:</w:t>
      </w:r>
    </w:p>
    <w:p>
      <w:pPr>
        <w:spacing w:after="0" w:line="205"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40" w:type="dxa"/>
            <w:vAlign w:val="bottom"/>
            <w:gridSpan w:val="7"/>
          </w:tcPr>
          <w:p>
            <w:pPr>
              <w:ind w:left="9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160" w:type="dxa"/>
            <w:vAlign w:val="bottom"/>
            <w:gridSpan w:val="5"/>
          </w:tcPr>
          <w:p>
            <w:pPr>
              <w:jc w:val="right"/>
              <w:ind w:right="89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8"/>
        </w:trPr>
        <w:tc>
          <w:tcPr>
            <w:tcW w:w="25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7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06"/>
        </w:trPr>
        <w:tc>
          <w:tcPr>
            <w:tcW w:w="2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6"/>
        </w:trPr>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23,771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6"/>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color w:val="auto"/>
              </w:rPr>
              <w:t>1,814</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5"/>
        </w:trPr>
        <w:tc>
          <w:tcPr>
            <w:tcW w:w="2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25,585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1"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2022 and 2021</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Revenue, Cost of Goods Sold, Gross Profit, and Gross Margin</w:t>
      </w:r>
      <w:r>
        <w:rPr>
          <w:rFonts w:ascii="Times New Roman" w:cs="Times New Roman" w:eastAsia="Times New Roman" w:hAnsi="Times New Roman"/>
          <w:sz w:val="18"/>
          <w:szCs w:val="18"/>
          <w:color w:val="auto"/>
        </w:rPr>
        <w:t>:</w:t>
      </w:r>
    </w:p>
    <w:p>
      <w:pPr>
        <w:spacing w:after="0" w:line="265"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2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4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w w:val="99"/>
              </w:rPr>
              <w:t>(in thousands, except for percentages)</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25,585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22,194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5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6"/>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3,465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520" w:type="dxa"/>
            <w:vAlign w:val="bottom"/>
            <w:tcBorders>
              <w:bottom w:val="single" w:sz="8" w:color="CCEEFF"/>
            </w:tcBorders>
          </w:tcPr>
          <w:p>
            <w:pPr>
              <w:jc w:val="center"/>
              <w:ind w:left="13"/>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22,120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19,819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520" w:type="dxa"/>
            <w:vAlign w:val="bottom"/>
            <w:tcBorders>
              <w:bottom w:val="single" w:sz="8" w:color="CCEEFF"/>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1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86 %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89 %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both"/>
        <w:ind w:firstLine="479"/>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The increase in revenue for the three months ended June 30, 2022 as compared to the three months ended June 30, 2021 comprised a $3.5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increase in our U.S. revenue and a decrease of $0.1 million in our international revenue. The increase in revenue is due to the increase in domestic and international case volumes, higher number of sales personnel as we continue to invest in our sales organization and increased active surgeons. This increase was partially offset by lower average selling prices and impact of foreign exchange on our international revenue.</w:t>
      </w:r>
    </w:p>
    <w:p>
      <w:pPr>
        <w:spacing w:after="0" w:line="221" w:lineRule="exact"/>
        <w:rPr>
          <w:sz w:val="20"/>
          <w:szCs w:val="20"/>
          <w:color w:val="auto"/>
        </w:rPr>
      </w:pPr>
    </w:p>
    <w:p>
      <w:pPr>
        <w:jc w:val="both"/>
        <w:ind w:firstLine="4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Gross Profit and Gross Margin. </w:t>
      </w:r>
      <w:r>
        <w:rPr>
          <w:rFonts w:ascii="Times New Roman" w:cs="Times New Roman" w:eastAsia="Times New Roman" w:hAnsi="Times New Roman"/>
          <w:sz w:val="18"/>
          <w:szCs w:val="18"/>
          <w:color w:val="auto"/>
        </w:rPr>
        <w:t>Gross profit increased $2.3 million for the three months ended June 30, 2022 as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2021, mainly driven by higher revenue. The gross margin was 86% for the three months ended June 30, 2022 as compared to 89% for the three months ended June 30, 2021. Gross margin decreased in the second quarter 2022 due to an increase in cost of operations to support the growth of the business.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w:t>
      </w:r>
    </w:p>
    <w:p>
      <w:pPr>
        <w:spacing w:after="0" w:line="52"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0"/>
        </w:trPr>
        <w:tc>
          <w:tcPr>
            <w:tcW w:w="4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6"/>
        </w:trPr>
        <w:tc>
          <w:tcPr>
            <w:tcW w:w="4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gridSpan w:val="4"/>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1660" w:type="dxa"/>
            <w:vAlign w:val="bottom"/>
          </w:tcPr>
          <w:p>
            <w:pPr>
              <w:spacing w:after="0"/>
              <w:rPr>
                <w:sz w:val="17"/>
                <w:szCs w:val="17"/>
                <w:color w:val="auto"/>
              </w:rPr>
            </w:pPr>
          </w:p>
        </w:tc>
      </w:tr>
      <w:tr>
        <w:trPr>
          <w:trHeight w:val="228"/>
        </w:trPr>
        <w:tc>
          <w:tcPr>
            <w:tcW w:w="4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6"/>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6"/>
        </w:trPr>
        <w:tc>
          <w:tcPr>
            <w:tcW w:w="4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0"/>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43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The increase in sales and marketing expenses for the three months ended June 30, 2022 as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2021 was primarily due to (a) increases in employee related costs, commissions and stock-based compensation of $3.5 million driven by increased headcount and higher revenues, (b) as COVID-19 pandemic restrictions eased, we experienced higher levels of travel, marketing, training activities, facilities and other related costs resulting in an increase of $1.9 million and (c) higher consulting fees of $0.4 million associated with more surgeon training programs.</w:t>
      </w:r>
    </w:p>
    <w:p>
      <w:pPr>
        <w:spacing w:after="0" w:line="183" w:lineRule="exact"/>
        <w:rPr>
          <w:sz w:val="20"/>
          <w:szCs w:val="20"/>
          <w:color w:val="auto"/>
        </w:rPr>
      </w:pPr>
    </w:p>
    <w:p>
      <w:pPr>
        <w:jc w:val="both"/>
        <w:ind w:firstLine="43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The increase in research and development expenses for the three months ended June 30, 2022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2021 was primarily due to an increase of $0.2 million in employee related costs and stock-based compensation driven by increased headcount and an increase of $0.1 million due to increased consulting, clinical study, research and development activities and facilities costs.</w:t>
      </w:r>
    </w:p>
    <w:p>
      <w:pPr>
        <w:spacing w:after="0" w:line="174" w:lineRule="exact"/>
        <w:rPr>
          <w:sz w:val="20"/>
          <w:szCs w:val="20"/>
          <w:color w:val="auto"/>
        </w:rPr>
      </w:pPr>
    </w:p>
    <w:p>
      <w:pPr>
        <w:jc w:val="both"/>
        <w:ind w:firstLine="439"/>
        <w:spacing w:after="0" w:line="262"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The increase in general and administrative expenses for the three months ended June 30, 2022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2021 was primarily due to an increase of $0.8 million in employee related costs and stock-based compensation driven by increased headcount and an increase of $0.3 million in consulting associated with SOX compliance requirements and employee training.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6"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45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6"/>
        </w:trPr>
        <w:tc>
          <w:tcPr>
            <w:tcW w:w="4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gridSpan w:val="4"/>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1680" w:type="dxa"/>
            <w:vAlign w:val="bottom"/>
          </w:tcPr>
          <w:p>
            <w:pPr>
              <w:spacing w:after="0"/>
              <w:rPr>
                <w:sz w:val="17"/>
                <w:szCs w:val="17"/>
                <w:color w:val="auto"/>
              </w:rPr>
            </w:pPr>
          </w:p>
        </w:tc>
      </w:tr>
      <w:tr>
        <w:trPr>
          <w:trHeight w:val="228"/>
        </w:trPr>
        <w:tc>
          <w:tcPr>
            <w:tcW w:w="4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r>
      <w:tr>
        <w:trPr>
          <w:trHeight w:val="226"/>
        </w:trPr>
        <w:tc>
          <w:tcPr>
            <w:tcW w:w="4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6"/>
        </w:trPr>
        <w:tc>
          <w:tcPr>
            <w:tcW w:w="4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20"/>
        </w:trPr>
        <w:tc>
          <w:tcPr>
            <w:tcW w:w="4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interest and other expense, net</w:t>
            </w:r>
          </w:p>
        </w:tc>
        <w:tc>
          <w:tcPr>
            <w:tcW w:w="9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(632)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4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right="20" w:firstLine="439"/>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The increase in interest income for the three months ended June 30, 2022 as compared to the three months ended June 30, 2021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mainly due to higher interest earned on our investments in marketable securities, primarily as a result of higher interest rates.</w:t>
      </w:r>
    </w:p>
    <w:p>
      <w:pPr>
        <w:spacing w:after="0" w:line="159" w:lineRule="exact"/>
        <w:rPr>
          <w:sz w:val="20"/>
          <w:szCs w:val="20"/>
          <w:color w:val="auto"/>
        </w:rPr>
      </w:pPr>
    </w:p>
    <w:p>
      <w:pPr>
        <w:jc w:val="both"/>
        <w:ind w:right="20" w:firstLine="439"/>
        <w:spacing w:after="0" w:line="278"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The decrease in interest expense for the three months ended June 30, 2022 as compared to the three months ended June 30, 2021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lower interest associated with the SVB Term Loan compared to the Solar Term Loan.</w:t>
      </w:r>
    </w:p>
    <w:p>
      <w:pPr>
        <w:spacing w:after="0" w:line="159" w:lineRule="exact"/>
        <w:rPr>
          <w:sz w:val="20"/>
          <w:szCs w:val="20"/>
          <w:color w:val="auto"/>
        </w:rPr>
      </w:pPr>
    </w:p>
    <w:p>
      <w:pPr>
        <w:ind w:firstLine="439"/>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net decreased for the three months ended June 30, 2022 compared to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due to foreign currency fluctuations.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2022 and 2021</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Revenue, Cost of Goods Sold, Gross Profit, and Gross Margin</w:t>
      </w:r>
      <w:r>
        <w:rPr>
          <w:rFonts w:ascii="Times New Roman" w:cs="Times New Roman" w:eastAsia="Times New Roman" w:hAnsi="Times New Roman"/>
          <w:sz w:val="18"/>
          <w:szCs w:val="18"/>
          <w:color w:val="auto"/>
        </w:rPr>
        <w:t>:</w:t>
      </w:r>
    </w:p>
    <w:p>
      <w:pPr>
        <w:spacing w:after="0" w:line="26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7"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4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40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1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48,024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42,636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6"/>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6,448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4,575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45"/>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41,576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38,061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89 %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both"/>
        <w:ind w:firstLine="479"/>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The increase in revenue for the six months ended June 30, 2022 as compared to the six months ended June 30, 2021 comprised a $5.1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our U.S. revenue and an increase of $0.3 million in our international revenue. The increase in revenue is due to the increase in domestic and international case volumes, higher number of sales personnel as we continue to invest in our sales organization and increased active surgeons. This increase was partially offset by lower average selling prices and the impact of foreign exchange on our international revenue.</w:t>
      </w:r>
    </w:p>
    <w:p>
      <w:pPr>
        <w:spacing w:after="0" w:line="217"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Gross Profit and Gross Margin. </w:t>
      </w:r>
      <w:r>
        <w:rPr>
          <w:rFonts w:ascii="Times New Roman" w:cs="Times New Roman" w:eastAsia="Times New Roman" w:hAnsi="Times New Roman"/>
          <w:sz w:val="18"/>
          <w:szCs w:val="18"/>
          <w:color w:val="auto"/>
        </w:rPr>
        <w:t>Gross profit increased $3.5 million for the six months ended June 30, 2022 as compared to the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2021, mainly driven by higher revenue. The gross margin was 87% for the six months ended June 30, 2022 as compared to 89% for the six months ended June 30, 2021. Gross margin decreased in the second quarter 2022 due to an increase in cost of operations to support the growth of the business.</w:t>
      </w:r>
    </w:p>
    <w:p>
      <w:pPr>
        <w:spacing w:after="0" w:line="1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7"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4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6"/>
        </w:trPr>
        <w:tc>
          <w:tcPr>
            <w:tcW w:w="4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1660" w:type="dxa"/>
            <w:vAlign w:val="bottom"/>
            <w:tcBorders>
              <w:bottom w:val="single" w:sz="8" w:color="auto"/>
            </w:tcBorders>
          </w:tcPr>
          <w:p>
            <w:pPr>
              <w:spacing w:after="0"/>
              <w:rPr>
                <w:sz w:val="17"/>
                <w:szCs w:val="17"/>
                <w:color w:val="auto"/>
              </w:rPr>
            </w:pPr>
          </w:p>
        </w:tc>
      </w:tr>
      <w:tr>
        <w:trPr>
          <w:trHeight w:val="221"/>
        </w:trPr>
        <w:tc>
          <w:tcPr>
            <w:tcW w:w="4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6"/>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6"/>
        </w:trPr>
        <w:tc>
          <w:tcPr>
            <w:tcW w:w="4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0"/>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76,325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62,601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86" w:lineRule="exact"/>
        <w:rPr>
          <w:sz w:val="20"/>
          <w:szCs w:val="20"/>
          <w:color w:val="auto"/>
        </w:rPr>
      </w:pPr>
    </w:p>
    <w:p>
      <w:pPr>
        <w:ind w:firstLine="439"/>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The increase in sales and marketing expenses for the six months ended June 30, 2022 as compared to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2021 was primarily due to (a) increases in employee related costs, commissions and stock-</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based compensation of $6.5 million driven by increased headcount and higher revenues, (b) as COVID-19 pandemic restrictions eased, we experienced higher levels of travel, marketing, training activities, facilities and other related costs resulting in an increase of $3.4 million and (c) higher consulting fees of $0.5 million associated with more surgeon training programs and surgeon consulting fees.</w:t>
      </w:r>
    </w:p>
    <w:p>
      <w:pPr>
        <w:spacing w:after="0" w:line="175" w:lineRule="exact"/>
        <w:rPr>
          <w:sz w:val="20"/>
          <w:szCs w:val="20"/>
          <w:color w:val="auto"/>
        </w:rPr>
      </w:pPr>
    </w:p>
    <w:p>
      <w:pPr>
        <w:jc w:val="both"/>
        <w:ind w:firstLine="43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The increase in research and development expenses for the six months ended June 30, 2022 compared to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2021 was primarily due to an increase of $0.6 million in employee related costs and stock-based compensation driven by increased headcount and an increase of $0.3 million due to increased clinical study, research and development activities and facilities costs.</w:t>
      </w:r>
    </w:p>
    <w:p>
      <w:pPr>
        <w:spacing w:after="0" w:line="174" w:lineRule="exact"/>
        <w:rPr>
          <w:sz w:val="20"/>
          <w:szCs w:val="20"/>
          <w:color w:val="auto"/>
        </w:rPr>
      </w:pPr>
    </w:p>
    <w:p>
      <w:pPr>
        <w:jc w:val="both"/>
        <w:ind w:firstLine="439"/>
        <w:spacing w:after="0" w:line="285" w:lineRule="auto"/>
        <w:rPr>
          <w:sz w:val="20"/>
          <w:szCs w:val="20"/>
          <w:color w:val="auto"/>
        </w:rPr>
      </w:pPr>
      <w:r>
        <w:rPr>
          <w:rFonts w:ascii="Times New Roman" w:cs="Times New Roman" w:eastAsia="Times New Roman" w:hAnsi="Times New Roman"/>
          <w:sz w:val="17"/>
          <w:szCs w:val="17"/>
          <w:i w:val="1"/>
          <w:iCs w:val="1"/>
          <w:color w:val="auto"/>
        </w:rPr>
        <w:t>General and Administrative Expenses</w:t>
      </w:r>
      <w:r>
        <w:rPr>
          <w:rFonts w:ascii="Times New Roman" w:cs="Times New Roman" w:eastAsia="Times New Roman" w:hAnsi="Times New Roman"/>
          <w:sz w:val="17"/>
          <w:szCs w:val="17"/>
          <w:color w:val="auto"/>
        </w:rPr>
        <w:t>. The increase in general and administrative expenses for the six months ended June 30, 2022 compared to the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June 30, 2021 was primarily due to an increase of $1.7 million in employee related costs and stock-based compensation driven by increased headcount and an increase of $0.6 million in consulting, employee training, legal, accounting and audit fees associated with SOX compliance requirements.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7"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45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6"/>
        </w:trPr>
        <w:tc>
          <w:tcPr>
            <w:tcW w:w="45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1680" w:type="dxa"/>
            <w:vAlign w:val="bottom"/>
            <w:tcBorders>
              <w:bottom w:val="single" w:sz="8" w:color="auto"/>
            </w:tcBorders>
          </w:tcPr>
          <w:p>
            <w:pPr>
              <w:spacing w:after="0"/>
              <w:rPr>
                <w:sz w:val="17"/>
                <w:szCs w:val="17"/>
                <w:color w:val="auto"/>
              </w:rPr>
            </w:pPr>
          </w:p>
        </w:tc>
      </w:tr>
      <w:tr>
        <w:trPr>
          <w:trHeight w:val="221"/>
        </w:trPr>
        <w:tc>
          <w:tcPr>
            <w:tcW w:w="4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rPr>
              <w:t>102</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26"/>
        </w:trPr>
        <w:tc>
          <w:tcPr>
            <w:tcW w:w="4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center"/>
              <w:ind w:left="675"/>
              <w:spacing w:after="0"/>
              <w:rPr>
                <w:sz w:val="20"/>
                <w:szCs w:val="20"/>
                <w:color w:val="auto"/>
              </w:rPr>
            </w:pPr>
            <w:r>
              <w:rPr>
                <w:rFonts w:ascii="Times New Roman" w:cs="Times New Roman" w:eastAsia="Times New Roman" w:hAnsi="Times New Roman"/>
                <w:sz w:val="18"/>
                <w:szCs w:val="18"/>
                <w:color w:val="auto"/>
              </w:rPr>
              <w:t>956</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6"/>
        </w:trPr>
        <w:tc>
          <w:tcPr>
            <w:tcW w:w="4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w w:val="97"/>
              </w:rPr>
              <w:t>(549)</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0"/>
        </w:trPr>
        <w:tc>
          <w:tcPr>
            <w:tcW w:w="4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interest and other expense, net</w:t>
            </w: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(1,174)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675"/>
              <w:spacing w:after="0"/>
              <w:rPr>
                <w:sz w:val="20"/>
                <w:szCs w:val="20"/>
                <w:color w:val="auto"/>
              </w:rPr>
            </w:pPr>
            <w:r>
              <w:rPr>
                <w:rFonts w:ascii="Times New Roman" w:cs="Times New Roman" w:eastAsia="Times New Roman" w:hAnsi="Times New Roman"/>
                <w:sz w:val="18"/>
                <w:szCs w:val="18"/>
                <w:color w:val="auto"/>
              </w:rPr>
              <w:t>509</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4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439"/>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The increase in interest income for the six months ended June 30, 2022 as compared to the six months ended June 30, 2021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mainly due to higher interest earned on our investments in marketable securities, primarily as a result of higher interest rates.</w:t>
      </w:r>
    </w:p>
    <w:p>
      <w:pPr>
        <w:spacing w:after="0" w:line="159" w:lineRule="exact"/>
        <w:rPr>
          <w:sz w:val="20"/>
          <w:szCs w:val="20"/>
          <w:color w:val="auto"/>
        </w:rPr>
      </w:pPr>
    </w:p>
    <w:p>
      <w:pPr>
        <w:jc w:val="both"/>
        <w:ind w:firstLine="439"/>
        <w:spacing w:after="0" w:line="278"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The decrease in interest expense for the six months ended June 30, 2022 as compared to the six months ended June 30, 2021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lower interest associated with the SVB Term Loan compared to the Solar Term Loan.</w:t>
      </w:r>
    </w:p>
    <w:p>
      <w:pPr>
        <w:spacing w:after="0" w:line="159" w:lineRule="exact"/>
        <w:rPr>
          <w:sz w:val="20"/>
          <w:szCs w:val="20"/>
          <w:color w:val="auto"/>
        </w:rPr>
      </w:pPr>
    </w:p>
    <w:p>
      <w:pPr>
        <w:jc w:val="both"/>
        <w:ind w:firstLine="439"/>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net decreased for the six months ended June 30, 2022 compared to the six months ended June 30,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foreign currency fluctuations.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1"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As of June 30, 2022, we had cash and marketable securities of $114.4 million compared to $147.0 million as of December 31, 2021. We have financed our operations primarily through our public offerings and debt financing arrangements. As of June 30, 2022, we had $35.1 million in outstanding debt, compared to $35.0 million as of December 31, 2021 .</w:t>
      </w:r>
    </w:p>
    <w:p>
      <w:pPr>
        <w:spacing w:after="0" w:line="177"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As of June 30, 2022, we had an accumulated deficit of $331.8 million, compared to $295.8 million as of December 31, 2021. During the six months ended June 30, 2022, we incurred a net loss of $35.9 million. During the years ended December 31, 2021 and 2020, we incurred a net loss of $56.6 million and $43.7 million, respectively, and expect to incur additional losses in the future. We have not achieved positive cash flow from operations to date.</w:t>
      </w:r>
    </w:p>
    <w:p>
      <w:pPr>
        <w:spacing w:after="0" w:line="177" w:lineRule="exact"/>
        <w:rPr>
          <w:sz w:val="20"/>
          <w:szCs w:val="20"/>
          <w:color w:val="auto"/>
        </w:rPr>
      </w:pPr>
    </w:p>
    <w:p>
      <w:pPr>
        <w:jc w:val="both"/>
        <w:ind w:firstLine="439"/>
        <w:spacing w:after="0" w:line="250" w:lineRule="auto"/>
        <w:rPr>
          <w:sz w:val="20"/>
          <w:szCs w:val="20"/>
          <w:color w:val="auto"/>
        </w:rPr>
      </w:pPr>
      <w:r>
        <w:rPr>
          <w:rFonts w:ascii="Times New Roman" w:cs="Times New Roman" w:eastAsia="Times New Roman" w:hAnsi="Times New Roman"/>
          <w:sz w:val="18"/>
          <w:szCs w:val="18"/>
          <w:color w:val="auto"/>
        </w:rPr>
        <w:t>Based upon our current operating plan, we believe that our existing cash and marketable securities will enable us to fund our operating expenses and capital expenditure requirements over the next 12 months and beyond. However, the economic impact of the duration and severity of the COVID-19 pandemic, and our responses thereto (including such actions we have taken or may take in the future as disclosed elsewhere in this Report) pose risks and uncertainties in our future available capital resources. Further, we may face challenges and uncertainties and, as a result, may need to raise additional capital as our available capital resources may be consumed more rapidly than currently expected due to, but not limited to, the following as a result of the COVID-19 pandemic or otherwise: (a) 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23" w:lineRule="exact"/>
        <w:rPr>
          <w:sz w:val="20"/>
          <w:szCs w:val="20"/>
          <w:color w:val="auto"/>
        </w:rPr>
      </w:pPr>
    </w:p>
    <w:p>
      <w:pPr>
        <w:jc w:val="both"/>
        <w:ind w:right="20" w:firstLine="399"/>
        <w:spacing w:after="0" w:line="260" w:lineRule="auto"/>
        <w:rPr>
          <w:sz w:val="20"/>
          <w:szCs w:val="20"/>
          <w:color w:val="auto"/>
        </w:rPr>
      </w:pPr>
      <w:r>
        <w:rPr>
          <w:rFonts w:ascii="Times New Roman" w:cs="Times New Roman" w:eastAsia="Times New Roman" w:hAnsi="Times New Roman"/>
          <w:sz w:val="18"/>
          <w:szCs w:val="18"/>
          <w:color w:val="auto"/>
        </w:rPr>
        <w:t>In May 29, 2020, we entered into a term loan with Solar Capital Partners (“Solar”). Pursuant to the Loan and Security Agreement, Solar provided an aggregate principal amount of $40.0 million term loan (the “Solar Term Loan”). We paid in full and terminated the Solar Term Loan in August 2021.</w:t>
      </w:r>
    </w:p>
    <w:p>
      <w:pPr>
        <w:spacing w:after="0" w:line="177" w:lineRule="exact"/>
        <w:rPr>
          <w:sz w:val="20"/>
          <w:szCs w:val="20"/>
          <w:color w:val="auto"/>
        </w:rPr>
      </w:pPr>
    </w:p>
    <w:p>
      <w:pPr>
        <w:jc w:val="both"/>
        <w:ind w:firstLine="399"/>
        <w:spacing w:after="0" w:line="255" w:lineRule="auto"/>
        <w:rPr>
          <w:sz w:val="20"/>
          <w:szCs w:val="20"/>
          <w:color w:val="auto"/>
        </w:rPr>
      </w:pPr>
      <w:r>
        <w:rPr>
          <w:rFonts w:ascii="Times New Roman" w:cs="Times New Roman" w:eastAsia="Times New Roman" w:hAnsi="Times New Roman"/>
          <w:sz w:val="17"/>
          <w:szCs w:val="17"/>
          <w:color w:val="auto"/>
        </w:rPr>
        <w:t>The outstanding debt as of June 30, 2022 and December 31, 2021 is related to a term loan pursuant to the Loan and Security Agreement dated August 12, 2021 (the “Effective Date”), entered into by us with Silicon Valley Bank (“SVB”). Pursuant the agreement, SVB provided an aggregate principal amount of $35.0 million to us (the “SVB Term Loan”). We used the proceeds of the SVB Term Loan to repay in full and terminate the Solar Term Loan, which was accounted for as debt extinguishment in accordance with the accounting standards. We recognized the unamortized debt issuance costs and unaccreted value of final fee of $1.3 million and the prepayment penalty and lender fees of $0.5 million related to Solar Term Loan as a loss on debt extinguishment. The costs and fees are reflected as interest expense in the condensed consolidated statement of operations for the year ended December 31, 2021. The total debt issuance costs of $0.1 million associated with the SVB Term Loan were recorded in the condensed consolidated balance sheet as a direct deduction from the carrying amount of the loan, and are amortized as a component of interest expense using straight-line method over the life of the term loan. The SVB Term Loan matures (the “Maturity Date”) on either (a) August 1, 2025 or (b) August 1, 2026 dependent on our achievement of a certain financial performance milestone as of December 31, 2022, as set forth in the Loan Agreement. Interest on the SVB Term Loan is payable monthly at an annual rate set at the greater of (a) 5.75% and (b) prime rate as published in the Wall Street Journal plus 2.5%. Commencing on September 1, 2023, we will be required to make monthly principal amortization payments. We may elect to prepay the SVB Term Loan prior to the Maturity Date subject to a prepayment fee equal to 1% if the prepayment occurs prior to the second anniversary of the Effective Date and 0% if the prepayment occurs on or at any time after the second anniversary of the Effective Date. The SVB Term Loan is secured by substantially all our assets other than our intellectual property. We are also obligated to pay a final payment equal to $0.7 million or 2% of the aggregate principal amount of the SVB Term Loan, which is considered fully earned by SVB on the effective date of the Loan and Security Agreement with SVB. This final payment shall be due and payable on the earliest of (i) the maturity date, (ii) the full repayment of the loan, (iii) permitted prepayment and mandatory prepayment upon an acceleration as specified in the agreement or (iv) the termination of the agreement. The final payment is included within the long-term borrowings and is accreted to interest expense using straight-line method over the life of the term loan.</w:t>
      </w:r>
    </w:p>
    <w:p>
      <w:pPr>
        <w:spacing w:after="0" w:line="188" w:lineRule="exact"/>
        <w:rPr>
          <w:sz w:val="20"/>
          <w:szCs w:val="20"/>
          <w:color w:val="auto"/>
        </w:rPr>
      </w:pPr>
    </w:p>
    <w:p>
      <w:pPr>
        <w:jc w:val="both"/>
        <w:ind w:firstLine="639"/>
        <w:spacing w:after="0" w:line="242" w:lineRule="auto"/>
        <w:rPr>
          <w:sz w:val="20"/>
          <w:szCs w:val="20"/>
          <w:color w:val="auto"/>
        </w:rPr>
      </w:pPr>
      <w:r>
        <w:rPr>
          <w:rFonts w:ascii="Times New Roman" w:cs="Times New Roman" w:eastAsia="Times New Roman" w:hAnsi="Times New Roman"/>
          <w:sz w:val="18"/>
          <w:szCs w:val="18"/>
          <w:color w:val="auto"/>
        </w:rPr>
        <w:t>The Loan Agreement includes affirmative and negative covenants applicable to us and certain of its foreign subsidiaries. The affirmative covenants include, among others, covenants requiring us to maintain its legal existence and governmental compliance, deliver certain financial reports, and maintain insurance coverage. The negative covenants include, among others, restrictions regarding transferring collateral, pledging our intellectual property to other parties, engaging in mergers or acquisitions, paying dividends or making other distributions, incurring indebtedness, transacting with affiliates, and entering into certain investments, in each case subject to certain exceptions. As of June 30, 2022, we were in compliance with all debt covenants.</w:t>
      </w:r>
    </w:p>
    <w:p>
      <w:pPr>
        <w:spacing w:after="0" w:line="181"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Our material cash requirements include various contractual and other obligations consisting of long-term debt obligations with SVB, operating lease obligations and purchase obligations with some of our suppliers and have not changed materially since the 2021 Form 10-K filed with the SEC on March 1, 2022. As of June 30, 2022, expected timing of those payments are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Less than 1 year</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20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4-5 years</w:t>
            </w:r>
          </w:p>
        </w:tc>
        <w:tc>
          <w:tcPr>
            <w:tcW w:w="120" w:type="dxa"/>
            <w:vAlign w:val="bottom"/>
          </w:tcPr>
          <w:p>
            <w:pPr>
              <w:spacing w:after="0"/>
              <w:rPr>
                <w:sz w:val="13"/>
                <w:szCs w:val="13"/>
                <w:color w:val="auto"/>
              </w:rPr>
            </w:pPr>
          </w:p>
        </w:tc>
        <w:tc>
          <w:tcPr>
            <w:tcW w:w="1060" w:type="dxa"/>
            <w:vAlign w:val="bottom"/>
          </w:tcPr>
          <w:p>
            <w:pPr>
              <w:jc w:val="right"/>
              <w:ind w:right="94"/>
              <w:spacing w:after="0" w:line="156" w:lineRule="exact"/>
              <w:rPr>
                <w:sz w:val="20"/>
                <w:szCs w:val="20"/>
                <w:color w:val="auto"/>
              </w:rPr>
            </w:pPr>
            <w:r>
              <w:rPr>
                <w:rFonts w:ascii="Times New Roman" w:cs="Times New Roman" w:eastAsia="Times New Roman" w:hAnsi="Times New Roman"/>
                <w:sz w:val="16"/>
                <w:szCs w:val="16"/>
                <w:b w:val="1"/>
                <w:bCs w:val="1"/>
                <w:color w:val="auto"/>
              </w:rPr>
              <w:t>More than 5</w:t>
            </w: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1300" w:type="dxa"/>
            <w:vAlign w:val="bottom"/>
            <w:tcBorders>
              <w:bottom w:val="single" w:sz="8" w:color="auto"/>
            </w:tcBorders>
            <w:gridSpan w:val="3"/>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years</w:t>
            </w:r>
          </w:p>
        </w:tc>
        <w:tc>
          <w:tcPr>
            <w:tcW w:w="0" w:type="dxa"/>
            <w:vAlign w:val="bottom"/>
          </w:tcPr>
          <w:p>
            <w:pPr>
              <w:spacing w:after="0"/>
              <w:rPr>
                <w:sz w:val="1"/>
                <w:szCs w:val="1"/>
                <w:color w:val="auto"/>
              </w:rPr>
            </w:pPr>
          </w:p>
        </w:tc>
      </w:tr>
      <w:tr>
        <w:trPr>
          <w:trHeight w:val="206"/>
        </w:trPr>
        <w:tc>
          <w:tcPr>
            <w:tcW w:w="4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0" w:type="dxa"/>
            <w:vAlign w:val="bottom"/>
          </w:tcPr>
          <w:p>
            <w:pPr>
              <w:spacing w:after="0"/>
              <w:rPr>
                <w:sz w:val="20"/>
                <w:szCs w:val="20"/>
                <w:color w:val="auto"/>
              </w:rPr>
            </w:pP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Principal obligations and final fee on long-term debt </w:t>
            </w:r>
            <w:r>
              <w:rPr>
                <w:rFonts w:ascii="Times New Roman" w:cs="Times New Roman" w:eastAsia="Times New Roman" w:hAnsi="Times New Roman"/>
                <w:sz w:val="14"/>
                <w:szCs w:val="14"/>
                <w:color w:val="auto"/>
              </w:rPr>
              <w:t>(1)</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24,792</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44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Interest obligations </w:t>
            </w:r>
            <w:r>
              <w:rPr>
                <w:rFonts w:ascii="Times New Roman" w:cs="Times New Roman" w:eastAsia="Times New Roman" w:hAnsi="Times New Roman"/>
                <w:sz w:val="14"/>
                <w:szCs w:val="14"/>
                <w:color w:val="auto"/>
              </w:rPr>
              <w:t>(2)</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440" w:type="dxa"/>
            <w:vAlign w:val="bottom"/>
          </w:tcPr>
          <w:p>
            <w:pPr>
              <w:spacing w:after="0"/>
              <w:rPr>
                <w:sz w:val="19"/>
                <w:szCs w:val="19"/>
                <w:color w:val="auto"/>
              </w:rPr>
            </w:pP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6"/>
        </w:trPr>
        <w:tc>
          <w:tcPr>
            <w:tcW w:w="440" w:type="dxa"/>
            <w:vAlign w:val="bottom"/>
          </w:tcPr>
          <w:p>
            <w:pPr>
              <w:spacing w:after="0"/>
              <w:rPr>
                <w:sz w:val="19"/>
                <w:szCs w:val="19"/>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0"/>
                <w:szCs w:val="20"/>
                <w:color w:val="auto"/>
              </w:rPr>
            </w:pPr>
          </w:p>
        </w:tc>
        <w:tc>
          <w:tcPr>
            <w:tcW w:w="4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80" w:hanging="314"/>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obligations and the final fee at maturities of our SVB Term Loan.</w:t>
      </w:r>
    </w:p>
    <w:p>
      <w:pPr>
        <w:spacing w:after="0" w:line="14" w:lineRule="exact"/>
        <w:rPr>
          <w:rFonts w:ascii="Times New Roman" w:cs="Times New Roman" w:eastAsia="Times New Roman" w:hAnsi="Times New Roman"/>
          <w:sz w:val="14"/>
          <w:szCs w:val="14"/>
          <w:color w:val="auto"/>
        </w:rPr>
      </w:pPr>
    </w:p>
    <w:p>
      <w:pPr>
        <w:ind w:left="480" w:hanging="314"/>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future interest obligations on our SVB Term Loan estimated using an interest rate of 7.25% as of June 30, 2022.</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This compared to $48.4 million of contractual obligations as of December 31, 2021 .</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of the periods presented below:</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8"/>
        </w:trPr>
        <w:tc>
          <w:tcPr>
            <w:tcW w:w="57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0" w:type="dxa"/>
            <w:vAlign w:val="bottom"/>
          </w:tcPr>
          <w:p>
            <w:pPr>
              <w:spacing w:after="0"/>
              <w:rPr>
                <w:sz w:val="1"/>
                <w:szCs w:val="1"/>
                <w:color w:val="auto"/>
              </w:rPr>
            </w:pPr>
          </w:p>
        </w:tc>
      </w:tr>
      <w:tr>
        <w:trPr>
          <w:trHeight w:val="226"/>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(21,080)</w:t>
            </w:r>
          </w:p>
        </w:tc>
        <w:tc>
          <w:tcPr>
            <w:tcW w:w="0" w:type="dxa"/>
            <w:vAlign w:val="bottom"/>
          </w:tcPr>
          <w:p>
            <w:pPr>
              <w:spacing w:after="0"/>
              <w:rPr>
                <w:sz w:val="1"/>
                <w:szCs w:val="1"/>
                <w:color w:val="auto"/>
              </w:rPr>
            </w:pPr>
          </w:p>
        </w:tc>
      </w:tr>
      <w:tr>
        <w:trPr>
          <w:trHeight w:val="226"/>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26"/>
        </w:trPr>
        <w:tc>
          <w:tcPr>
            <w:tcW w:w="5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45"/>
        </w:trPr>
        <w:tc>
          <w:tcPr>
            <w:tcW w:w="5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(33,644)</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68" w:lineRule="exact"/>
        <w:rPr>
          <w:sz w:val="20"/>
          <w:szCs w:val="20"/>
          <w:color w:val="auto"/>
        </w:rPr>
      </w:pPr>
    </w:p>
    <w:p>
      <w:pPr>
        <w:jc w:val="both"/>
        <w:ind w:firstLine="439"/>
        <w:spacing w:after="0" w:line="249"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2022 of $28.4 million resulted from cash outflows due to a net loss of $35.9 million, adjusted for $13.5 million of non-cash items, and cash outflows from net changes in operating assets and liabilities of $5.9 million. Net cash used in operating activities for the six months ended June 30, 2021 of $17.5 million resulted from cash outflows due to a net loss of $26.2 million, adjusted for $10.2 million of non-cash items, and cash outflows from changes in operating assets and liabilities of $1.5 million. The increase in net loss, net of non-cash items for the six months ended June 30, 2022 compared to the six months ended June 30, 2021 was mainly due to higher operating expenses from the growth of the business. Net cash outflows from changes in operating assets and liabilities for the six months ended June 30, 2022 were primarily due to higher inventory due to the timing of inventory build-up related to our iFuse-TORQ and iFuse-Bedrock Granite implants, higher accounts receivable due to timing of collections and higher accrued liabilities and others driven by the timing of other third-party payments and higher compensation and benefits accruals, partly offset primarily by lower accounts payable and prepaid expenses and other assets attributable primarily to the normal course timing of expenses. Net cash outflows from changes in operating assets and liabilities for the six months ended June 30, 2021 were primarily due to higher inventory due to the timing of inventory build-up related to our iFuse-TORQ and iFuse-Bedrock Granite implants, timing of vendor payments, partly offsets by timing of collections of account receivables.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5" w:lineRule="exact"/>
        <w:rPr>
          <w:sz w:val="20"/>
          <w:szCs w:val="20"/>
          <w:color w:val="auto"/>
        </w:rPr>
      </w:pPr>
    </w:p>
    <w:p>
      <w:pPr>
        <w:jc w:val="both"/>
        <w:ind w:firstLine="439"/>
        <w:spacing w:after="0" w:line="231" w:lineRule="auto"/>
        <w:rPr>
          <w:sz w:val="20"/>
          <w:szCs w:val="20"/>
          <w:color w:val="auto"/>
        </w:rPr>
      </w:pPr>
      <w:r>
        <w:rPr>
          <w:rFonts w:ascii="Times New Roman" w:cs="Times New Roman" w:eastAsia="Times New Roman" w:hAnsi="Times New Roman"/>
          <w:sz w:val="18"/>
          <w:szCs w:val="18"/>
          <w:color w:val="auto"/>
        </w:rPr>
        <w:t>Net cash used in investing activities in the six months ended June 30, 2022 was $11.6 million compared to cash provided by investing activities of $9.4 million in the six months ended June 30, 2021. Net cash used in investing activities for the six months ended June 30, 2022 consisted of purchases of our marketable securities, net of maturities of $7.3 million, and purchases of property and equipment of $4.3 million primarily related to individual components in instrument sets to support revenue growth, as well as leasehold improvements made to the building used for research and development and warehouse space in Santa Clara. Net cash provided by investing activities for the six months ended June 30, 2021 consisted of maturities of our marketable securities, net of purchases of $13.6 million and purchase of property and equipment of $4.2 million primarily related to individual components in instrument sets as we anticipated increased case volumes.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68"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in the six months ended June 30, 2022 was $1.4 million compared to $2.8 million in the six months ended June 30, 2021. For both periods, the cash provided was from the proceeds from the issuance of common stock under our stock-based incentive compensation plans.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21" w:lineRule="exact"/>
        <w:rPr>
          <w:sz w:val="20"/>
          <w:szCs w:val="20"/>
          <w:color w:val="auto"/>
        </w:rPr>
      </w:pPr>
    </w:p>
    <w:p>
      <w:pPr>
        <w:jc w:val="both"/>
        <w:ind w:firstLine="439"/>
        <w:spacing w:after="0" w:line="252"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w:t>
      </w:r>
    </w:p>
    <w:p>
      <w:pPr>
        <w:spacing w:after="0" w:line="174" w:lineRule="exact"/>
        <w:rPr>
          <w:sz w:val="20"/>
          <w:szCs w:val="20"/>
          <w:color w:val="auto"/>
        </w:rPr>
      </w:pPr>
    </w:p>
    <w:p>
      <w:pPr>
        <w:jc w:val="both"/>
        <w:ind w:firstLine="439"/>
        <w:spacing w:after="0" w:line="241"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“Management's Discussion and Analysis of Financial Condition and Results of Operations - Critical Accounting Policies and Estimates” in our Annual Report on Form 10-K filed with the SEC on March 1, 2022. There had been no material changes to the descriptions of these accounting policies, judgments and estimates. See Note 2 of Notes to Condensed Consolidated Financial Statements (Unaudited) for related discussions on updates on recently issued accounting pronouncements.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1" w:lineRule="exact"/>
        <w:rPr>
          <w:sz w:val="20"/>
          <w:szCs w:val="20"/>
          <w:color w:val="auto"/>
        </w:rPr>
      </w:pPr>
    </w:p>
    <w:p>
      <w:pPr>
        <w:jc w:val="both"/>
        <w:ind w:firstLine="439"/>
        <w:spacing w:after="0" w:line="276" w:lineRule="auto"/>
        <w:rPr>
          <w:sz w:val="20"/>
          <w:szCs w:val="20"/>
          <w:color w:val="auto"/>
        </w:rPr>
      </w:pPr>
      <w:r>
        <w:rPr>
          <w:rFonts w:ascii="Times New Roman" w:cs="Times New Roman" w:eastAsia="Times New Roman" w:hAnsi="Times New Roman"/>
          <w:sz w:val="18"/>
          <w:szCs w:val="18"/>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1" w:lineRule="exact"/>
        <w:rPr>
          <w:sz w:val="20"/>
          <w:szCs w:val="20"/>
          <w:color w:val="auto"/>
        </w:rPr>
      </w:pPr>
    </w:p>
    <w:p>
      <w:pPr>
        <w:jc w:val="both"/>
        <w:ind w:firstLine="439"/>
        <w:spacing w:after="0" w:line="276" w:lineRule="auto"/>
        <w:rPr>
          <w:sz w:val="20"/>
          <w:szCs w:val="20"/>
          <w:color w:val="auto"/>
        </w:rPr>
      </w:pPr>
      <w:r>
        <w:rPr>
          <w:rFonts w:ascii="Times New Roman" w:cs="Times New Roman" w:eastAsia="Times New Roman" w:hAnsi="Times New Roman"/>
          <w:sz w:val="18"/>
          <w:szCs w:val="18"/>
          <w:color w:val="auto"/>
        </w:rPr>
        <w:t>See Note 2 of Notes to Condensed Consolidated Financial Statements (Unaudited) for related discussions on updates on recently issued accounting pronouncements not yet effective.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are exposed to market risks, including changes to foreign currency exchange rates and interest rates.</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3"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We have foreign currency risks related to our revenue and operating expenses denominated in currencies other than the U.S. dollar, primarily the Euro. Accordingly, changes in exchange rates, and in particular a strengthening of the U.S. dollar, have in the past, and may in the future, negatively affect our revenue and other operating results as expressed in U.S. dollars.</w:t>
      </w:r>
    </w:p>
    <w:p>
      <w:pPr>
        <w:spacing w:after="0" w:line="177" w:lineRule="exact"/>
        <w:rPr>
          <w:sz w:val="20"/>
          <w:szCs w:val="20"/>
          <w:color w:val="auto"/>
        </w:rPr>
      </w:pPr>
    </w:p>
    <w:p>
      <w:pPr>
        <w:jc w:val="both"/>
        <w:ind w:firstLine="439"/>
        <w:spacing w:after="0" w:line="254"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net loss as a result of transaction gains or losses related to remeasuring certain current asset and current liability balances denominated in currencies other than the functional currency of the entities in which they are recorded. At this time, we have not entered into, but in the future we may enter into, derivatives or other financial instruments in an attempt to hedge our foreign currency exchange risk. It is difficult to predict the effect hedging activities would have on our results of operations. Foreign currency gains or losses, net recognized in the six months ended June 30, 2022 and 2021 were not material.</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3" w:lineRule="exact"/>
        <w:rPr>
          <w:sz w:val="20"/>
          <w:szCs w:val="20"/>
          <w:color w:val="auto"/>
        </w:rPr>
      </w:pPr>
    </w:p>
    <w:p>
      <w:pPr>
        <w:ind w:right="200" w:firstLine="399"/>
        <w:spacing w:after="0" w:line="276" w:lineRule="auto"/>
        <w:rPr>
          <w:sz w:val="20"/>
          <w:szCs w:val="20"/>
          <w:color w:val="auto"/>
        </w:rPr>
      </w:pPr>
      <w:r>
        <w:rPr>
          <w:rFonts w:ascii="Times New Roman" w:cs="Times New Roman" w:eastAsia="Times New Roman" w:hAnsi="Times New Roman"/>
          <w:sz w:val="17"/>
          <w:szCs w:val="17"/>
          <w:color w:val="auto"/>
        </w:rPr>
        <w:t>Our exposure to changes in interest rates relates to interest earned and market value on our cash and cash equivalents and short-term investments. Our cash and cash equivalents and short-term investments consist of cash, money market funds, U.S. government securities, commercial paper and investment grade corporate debt securities. The market value of our marketable securities may decline if current market interest rates rise. Our investment policy and strategy are focused on preservation of capital and supporting our liquidity requirements. We do not make investments for trading or speculative purposes.</w:t>
      </w:r>
    </w:p>
    <w:p>
      <w:pPr>
        <w:spacing w:after="0" w:line="166" w:lineRule="exact"/>
        <w:rPr>
          <w:sz w:val="20"/>
          <w:szCs w:val="20"/>
          <w:color w:val="auto"/>
        </w:rPr>
      </w:pPr>
    </w:p>
    <w:p>
      <w:pPr>
        <w:ind w:right="80" w:firstLine="399"/>
        <w:spacing w:after="0" w:line="261" w:lineRule="auto"/>
        <w:rPr>
          <w:sz w:val="20"/>
          <w:szCs w:val="20"/>
          <w:color w:val="auto"/>
        </w:rPr>
      </w:pPr>
      <w:r>
        <w:rPr>
          <w:rFonts w:ascii="Times New Roman" w:cs="Times New Roman" w:eastAsia="Times New Roman" w:hAnsi="Times New Roman"/>
          <w:sz w:val="18"/>
          <w:szCs w:val="18"/>
          <w:color w:val="auto"/>
        </w:rPr>
        <w:t>Interest rate risk also reflects our exposure to movements in interest rates associated with our long-term debt that bears interest at an annual rate set at the greater of (a) 5.75% and (b) prime rate as published in the Wall Street Journal plus 2.5%. Rising interest rates will increase the amount of interest paid on this debt.</w:t>
      </w:r>
    </w:p>
    <w:p>
      <w:pPr>
        <w:spacing w:after="0" w:line="177" w:lineRule="exact"/>
        <w:rPr>
          <w:sz w:val="20"/>
          <w:szCs w:val="20"/>
          <w:color w:val="auto"/>
        </w:rPr>
      </w:pPr>
    </w:p>
    <w:p>
      <w:pPr>
        <w:ind w:right="400" w:firstLine="399"/>
        <w:spacing w:after="0" w:line="276" w:lineRule="auto"/>
        <w:rPr>
          <w:sz w:val="20"/>
          <w:szCs w:val="20"/>
          <w:color w:val="auto"/>
        </w:rPr>
      </w:pPr>
      <w:r>
        <w:rPr>
          <w:rFonts w:ascii="Times New Roman" w:cs="Times New Roman" w:eastAsia="Times New Roman" w:hAnsi="Times New Roman"/>
          <w:sz w:val="18"/>
          <w:szCs w:val="18"/>
          <w:color w:val="auto"/>
        </w:rPr>
        <w:t>A hypothetical 100 basis point increase in interest rates would decrease the fair market value of our investment portfolio by $0.3 million for the six months ended June 30, 2022. Such losses would only be realized if we sold the investments prior to maturity.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35" w:name="page36"/>
    <w:bookmarkEnd w:id="35"/>
    <w:p>
      <w:pPr>
        <w:ind w:right="200" w:firstLine="399"/>
        <w:spacing w:after="0" w:line="276" w:lineRule="auto"/>
        <w:rPr>
          <w:sz w:val="20"/>
          <w:szCs w:val="20"/>
          <w:color w:val="auto"/>
        </w:rPr>
      </w:pPr>
      <w:r>
        <w:rPr>
          <w:rFonts w:ascii="Times New Roman" w:cs="Times New Roman" w:eastAsia="Times New Roman" w:hAnsi="Times New Roman"/>
          <w:sz w:val="18"/>
          <w:szCs w:val="18"/>
          <w:color w:val="auto"/>
        </w:rPr>
        <w:t>A hypothetical 100 basis point increase in interest rates would increase the interest owed on our debt by $0.2 million for the six months ended months ended June 30, 2022.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36" w:lineRule="exact"/>
        <w:rPr>
          <w:sz w:val="20"/>
          <w:szCs w:val="20"/>
          <w:color w:val="auto"/>
        </w:rPr>
      </w:pPr>
    </w:p>
    <w:p>
      <w:pPr>
        <w:jc w:val="both"/>
        <w:ind w:firstLine="399"/>
        <w:spacing w:after="0" w:line="277"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spacing w:after="0" w:line="176"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82" w:lineRule="exact"/>
        <w:rPr>
          <w:sz w:val="20"/>
          <w:szCs w:val="20"/>
          <w:color w:val="auto"/>
        </w:rPr>
      </w:pPr>
    </w:p>
    <w:p>
      <w:pPr>
        <w:jc w:val="both"/>
        <w:ind w:firstLine="479"/>
        <w:spacing w:after="0" w:line="218" w:lineRule="exact"/>
        <w:rPr>
          <w:sz w:val="20"/>
          <w:szCs w:val="20"/>
          <w:color w:val="auto"/>
        </w:rPr>
      </w:pPr>
      <w:r>
        <w:rPr>
          <w:rFonts w:ascii="Times New Roman" w:cs="Times New Roman" w:eastAsia="Times New Roman" w:hAnsi="Times New Roman"/>
          <w:sz w:val="18"/>
          <w:szCs w:val="18"/>
          <w:color w:val="auto"/>
        </w:rPr>
        <w:t>As of June 30, 2022, our management, with the participation of our Chief Executive Officer (“CEO”) and our Chief Financial Officer (“CFO”), have evaluated our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Securities Exchange Act of 1934). Based on that evaluation, our CEO and our CFO have concluded that, as of June 30, 2022, our disclosure controls and procedures were effective at the reasonable assurance level.</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3"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During the quarter ended June 30, 2022, there were no changes in our internal controls over financial reporting that have materially affected, or are reasonably likely to materially affect, our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1"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are involved in various claims, complaints, investigations and legal actions that arise from time to time in the normal course of business, including commercial and employment matters. There are no matters pending that we currently believe are material. There can be no assurance that existing or future legal proceedings arising in the ordinary course of business or otherwise will not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6" w:lineRule="exact"/>
        <w:rPr>
          <w:sz w:val="20"/>
          <w:szCs w:val="20"/>
          <w:color w:val="auto"/>
        </w:rPr>
      </w:pPr>
    </w:p>
    <w:p>
      <w:pPr>
        <w:jc w:val="both"/>
        <w:ind w:firstLine="439"/>
        <w:spacing w:after="0" w:line="243"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Investors should carefully consider the risks described below, as well as the other information in this Quarterly Report on Form 10-Q, including our condensed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1" w:lineRule="exact"/>
        <w:rPr>
          <w:sz w:val="20"/>
          <w:szCs w:val="20"/>
          <w:color w:val="auto"/>
        </w:rPr>
      </w:pPr>
    </w:p>
    <w:p>
      <w:pPr>
        <w:ind w:left="640" w:hanging="314"/>
        <w:spacing w:after="0" w:line="260" w:lineRule="auto"/>
        <w:tabs>
          <w:tab w:leader="none" w:pos="63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incurred significant operating losses since inception, we expect to continue to incur operating losses in the future, and we may not be able to achieve or sustain future profitability;</w:t>
      </w:r>
    </w:p>
    <w:p>
      <w:pPr>
        <w:spacing w:after="0" w:line="163" w:lineRule="exact"/>
        <w:rPr>
          <w:rFonts w:ascii="Times New Roman" w:cs="Times New Roman" w:eastAsia="Times New Roman" w:hAnsi="Times New Roman"/>
          <w:sz w:val="18"/>
          <w:szCs w:val="18"/>
          <w:b w:val="1"/>
          <w:bCs w:val="1"/>
          <w:i w:val="1"/>
          <w:iCs w:val="1"/>
          <w:color w:val="auto"/>
        </w:rPr>
      </w:pPr>
    </w:p>
    <w:p>
      <w:pPr>
        <w:ind w:left="640" w:hanging="314"/>
        <w:spacing w:after="0" w:line="276" w:lineRule="auto"/>
        <w:tabs>
          <w:tab w:leader="none" w:pos="63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Epidemic diseases, or the perception of their effects, may have (or, in the case of the COVID-19 pandemic, will continue to have during its duration) an adverse effect on our business, financial condition, results of operations, or cash flows;</w:t>
      </w:r>
    </w:p>
    <w:p>
      <w:pPr>
        <w:spacing w:after="0" w:line="136" w:lineRule="exact"/>
        <w:rPr>
          <w:rFonts w:ascii="Times New Roman" w:cs="Times New Roman" w:eastAsia="Times New Roman" w:hAnsi="Times New Roman"/>
          <w:sz w:val="18"/>
          <w:szCs w:val="18"/>
          <w:b w:val="1"/>
          <w:bCs w:val="1"/>
          <w:i w:val="1"/>
          <w:iCs w:val="1"/>
          <w:color w:val="auto"/>
        </w:rPr>
      </w:pPr>
    </w:p>
    <w:p>
      <w:pPr>
        <w:ind w:left="640" w:hanging="314"/>
        <w:spacing w:after="0"/>
        <w:tabs>
          <w:tab w:leader="none" w:pos="64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Prolonged inflation and supply chain disruptions could result in delayed product launches, lost revenue, higher costs and decreased profit margins;</w:t>
      </w:r>
    </w:p>
    <w:p>
      <w:pPr>
        <w:spacing w:after="0" w:line="218" w:lineRule="exact"/>
        <w:rPr>
          <w:rFonts w:ascii="Times New Roman" w:cs="Times New Roman" w:eastAsia="Times New Roman" w:hAnsi="Times New Roman"/>
          <w:sz w:val="18"/>
          <w:szCs w:val="18"/>
          <w:b w:val="1"/>
          <w:bCs w:val="1"/>
          <w:i w:val="1"/>
          <w:iCs w:val="1"/>
          <w:color w:val="auto"/>
        </w:rPr>
      </w:pPr>
    </w:p>
    <w:p>
      <w:pPr>
        <w:ind w:left="640" w:hanging="314"/>
        <w:spacing w:after="0" w:line="260" w:lineRule="auto"/>
        <w:tabs>
          <w:tab w:leader="none" w:pos="63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Disruptions in the supply of the materials and components used in manufacturing our products or the sterilization of our products by third-party suppliers could adversely affect our business, financial condition and results of operations;</w:t>
      </w:r>
    </w:p>
    <w:p>
      <w:pPr>
        <w:spacing w:after="0" w:line="177" w:lineRule="exact"/>
        <w:rPr>
          <w:rFonts w:ascii="Times New Roman" w:cs="Times New Roman" w:eastAsia="Times New Roman" w:hAnsi="Times New Roman"/>
          <w:sz w:val="18"/>
          <w:szCs w:val="18"/>
          <w:b w:val="1"/>
          <w:bCs w:val="1"/>
          <w:i w:val="1"/>
          <w:iCs w:val="1"/>
          <w:color w:val="auto"/>
        </w:rPr>
      </w:pPr>
    </w:p>
    <w:p>
      <w:pPr>
        <w:jc w:val="both"/>
        <w:ind w:left="640" w:hanging="314"/>
        <w:spacing w:after="0" w:line="246" w:lineRule="auto"/>
        <w:tabs>
          <w:tab w:leader="none" w:pos="63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If hospitals, surgeons,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spacing w:after="0" w:line="215" w:lineRule="exact"/>
        <w:rPr>
          <w:rFonts w:ascii="Times New Roman" w:cs="Times New Roman" w:eastAsia="Times New Roman" w:hAnsi="Times New Roman"/>
          <w:sz w:val="18"/>
          <w:szCs w:val="18"/>
          <w:b w:val="1"/>
          <w:bCs w:val="1"/>
          <w:i w:val="1"/>
          <w:iCs w:val="1"/>
          <w:color w:val="auto"/>
        </w:rPr>
      </w:pPr>
    </w:p>
    <w:p>
      <w:pPr>
        <w:ind w:left="640" w:hanging="314"/>
        <w:spacing w:after="0" w:line="238" w:lineRule="auto"/>
        <w:tabs>
          <w:tab w:leader="none" w:pos="63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80" w:lineRule="exact"/>
        <w:rPr>
          <w:rFonts w:ascii="Times New Roman" w:cs="Times New Roman" w:eastAsia="Times New Roman" w:hAnsi="Times New Roman"/>
          <w:sz w:val="21"/>
          <w:szCs w:val="21"/>
          <w:color w:val="auto"/>
        </w:rPr>
      </w:pPr>
    </w:p>
    <w:p>
      <w:pPr>
        <w:ind w:left="640" w:hanging="314"/>
        <w:spacing w:after="0" w:line="276"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149" w:lineRule="exact"/>
        <w:rPr>
          <w:rFonts w:ascii="Times New Roman" w:cs="Times New Roman" w:eastAsia="Times New Roman" w:hAnsi="Times New Roman"/>
          <w:sz w:val="18"/>
          <w:szCs w:val="18"/>
          <w:color w:val="auto"/>
        </w:rPr>
      </w:pPr>
    </w:p>
    <w:p>
      <w:pPr>
        <w:ind w:left="640" w:right="20" w:hanging="314"/>
        <w:spacing w:after="0" w:line="260" w:lineRule="auto"/>
        <w:tabs>
          <w:tab w:leader="none" w:pos="63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Surgeons and payors may not find our clinical evidence to be compelling, which could limit our sales and revenue, and on-going and future research may prove our products to be less safe and effective than currently thought;</w:t>
      </w:r>
    </w:p>
    <w:p>
      <w:pPr>
        <w:spacing w:after="0" w:line="203" w:lineRule="exact"/>
        <w:rPr>
          <w:rFonts w:ascii="Times New Roman" w:cs="Times New Roman" w:eastAsia="Times New Roman" w:hAnsi="Times New Roman"/>
          <w:sz w:val="18"/>
          <w:szCs w:val="18"/>
          <w:b w:val="1"/>
          <w:bCs w:val="1"/>
          <w:i w:val="1"/>
          <w:iCs w:val="1"/>
          <w:color w:val="auto"/>
        </w:rPr>
      </w:pPr>
    </w:p>
    <w:p>
      <w:pPr>
        <w:jc w:val="both"/>
        <w:ind w:left="640" w:hanging="314"/>
        <w:spacing w:after="0" w:line="236" w:lineRule="auto"/>
        <w:tabs>
          <w:tab w:leader="none" w:pos="63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p>
    <w:p>
      <w:pPr>
        <w:spacing w:after="0" w:line="220" w:lineRule="exact"/>
        <w:rPr>
          <w:rFonts w:ascii="Times New Roman" w:cs="Times New Roman" w:eastAsia="Times New Roman" w:hAnsi="Times New Roman"/>
          <w:sz w:val="21"/>
          <w:szCs w:val="21"/>
          <w:color w:val="auto"/>
        </w:rPr>
      </w:pPr>
    </w:p>
    <w:p>
      <w:pPr>
        <w:ind w:left="640" w:right="20" w:hanging="314"/>
        <w:spacing w:after="0" w:line="238" w:lineRule="auto"/>
        <w:tabs>
          <w:tab w:leader="none" w:pos="63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Practice trends or other factors, including the COVID-19 pandemic, may cause procedures to shift from the hospital environment to ambulatory surgical centers, or ASCs, where pressure on the prices of our products is generally more acute;</w:t>
      </w:r>
    </w:p>
    <w:p>
      <w:pPr>
        <w:spacing w:after="0" w:line="180" w:lineRule="exact"/>
        <w:rPr>
          <w:rFonts w:ascii="Times New Roman" w:cs="Times New Roman" w:eastAsia="Times New Roman" w:hAnsi="Times New Roman"/>
          <w:sz w:val="21"/>
          <w:szCs w:val="21"/>
          <w:color w:val="auto"/>
        </w:rPr>
      </w:pPr>
    </w:p>
    <w:p>
      <w:pPr>
        <w:ind w:left="640" w:hanging="314"/>
        <w:spacing w:after="0" w:line="276"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very competitive business environment and if we are unable to compete successfully against our existing or potential competitors, our sales and operating results may be adversely affected;</w:t>
      </w:r>
    </w:p>
    <w:p>
      <w:pPr>
        <w:spacing w:after="0" w:line="176" w:lineRule="exact"/>
        <w:rPr>
          <w:rFonts w:ascii="Times New Roman" w:cs="Times New Roman" w:eastAsia="Times New Roman" w:hAnsi="Times New Roman"/>
          <w:sz w:val="18"/>
          <w:szCs w:val="18"/>
          <w:color w:val="auto"/>
        </w:rPr>
      </w:pPr>
    </w:p>
    <w:p>
      <w:pPr>
        <w:jc w:val="both"/>
        <w:ind w:left="640" w:hanging="314"/>
        <w:spacing w:after="0" w:line="241" w:lineRule="auto"/>
        <w:tabs>
          <w:tab w:leader="none" w:pos="63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p>
    <w:p>
      <w:pPr>
        <w:spacing w:after="0" w:line="207" w:lineRule="exact"/>
        <w:rPr>
          <w:rFonts w:ascii="Times New Roman" w:cs="Times New Roman" w:eastAsia="Times New Roman" w:hAnsi="Times New Roman"/>
          <w:sz w:val="21"/>
          <w:szCs w:val="21"/>
          <w:color w:val="auto"/>
        </w:rPr>
      </w:pPr>
    </w:p>
    <w:p>
      <w:pPr>
        <w:jc w:val="both"/>
        <w:ind w:left="640" w:hanging="314"/>
        <w:spacing w:after="0" w:line="241" w:lineRule="auto"/>
        <w:tabs>
          <w:tab w:leader="none" w:pos="63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If clinical experience with our iFuse Bedrock technique or iFuse Bedrock Granite does not result in positive outcomes for patients, or if clinical trials involving the use of iFuse Bedrock and/or iFuse Bedrock Granite fail to show meaningful patient benefit, sales of our iFuse and/or iFuse Bedrock Granite implants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sectPr>
      </w:pPr>
    </w:p>
    <w:bookmarkStart w:id="37" w:name="page38"/>
    <w:bookmarkEnd w:id="37"/>
    <w:p>
      <w:pPr>
        <w:ind w:left="640" w:hanging="314"/>
        <w:spacing w:after="0"/>
        <w:tabs>
          <w:tab w:leader="none" w:pos="640" w:val="left"/>
        </w:tabs>
        <w:numPr>
          <w:ilvl w:val="0"/>
          <w:numId w:val="1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If we are unable to maintain our network of direct sales representatives and third-party distributors, we may not be able to generate anticipated sales;</w:t>
      </w:r>
    </w:p>
    <w:p>
      <w:pPr>
        <w:spacing w:after="0" w:line="217" w:lineRule="exact"/>
        <w:rPr>
          <w:rFonts w:ascii="Times New Roman" w:cs="Times New Roman" w:eastAsia="Times New Roman" w:hAnsi="Times New Roman"/>
          <w:sz w:val="17"/>
          <w:szCs w:val="17"/>
          <w:b w:val="1"/>
          <w:bCs w:val="1"/>
          <w:i w:val="1"/>
          <w:iCs w:val="1"/>
          <w:color w:val="auto"/>
        </w:rPr>
      </w:pPr>
    </w:p>
    <w:p>
      <w:pPr>
        <w:ind w:left="640" w:hanging="314"/>
        <w:spacing w:after="0"/>
        <w:tabs>
          <w:tab w:leader="none" w:pos="64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business could suffer if we lose the services of key members of our senior management, key advisors or personnel;</w:t>
      </w:r>
    </w:p>
    <w:p>
      <w:pPr>
        <w:spacing w:after="0" w:line="218" w:lineRule="exact"/>
        <w:rPr>
          <w:rFonts w:ascii="Times New Roman" w:cs="Times New Roman" w:eastAsia="Times New Roman" w:hAnsi="Times New Roman"/>
          <w:sz w:val="18"/>
          <w:szCs w:val="18"/>
          <w:b w:val="1"/>
          <w:bCs w:val="1"/>
          <w:i w:val="1"/>
          <w:iCs w:val="1"/>
          <w:color w:val="auto"/>
        </w:rPr>
      </w:pPr>
    </w:p>
    <w:p>
      <w:pPr>
        <w:ind w:left="640" w:hanging="314"/>
        <w:spacing w:after="0" w:line="260" w:lineRule="auto"/>
        <w:tabs>
          <w:tab w:leader="none" w:pos="63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If use of our products results in adverse events, this may require them to be taken off the market, require them to include safety warnings or otherwise limit their sales;</w:t>
      </w:r>
    </w:p>
    <w:p>
      <w:pPr>
        <w:spacing w:after="0" w:line="163" w:lineRule="exact"/>
        <w:rPr>
          <w:rFonts w:ascii="Times New Roman" w:cs="Times New Roman" w:eastAsia="Times New Roman" w:hAnsi="Times New Roman"/>
          <w:sz w:val="18"/>
          <w:szCs w:val="18"/>
          <w:b w:val="1"/>
          <w:bCs w:val="1"/>
          <w:i w:val="1"/>
          <w:iCs w:val="1"/>
          <w:color w:val="auto"/>
        </w:rPr>
      </w:pPr>
    </w:p>
    <w:p>
      <w:pPr>
        <w:ind w:left="640" w:hanging="314"/>
        <w:spacing w:after="0"/>
        <w:tabs>
          <w:tab w:leader="none" w:pos="64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Various factors outside our direct control may adversely affect manufacturing, sterilization, and distribution of our products;</w:t>
      </w:r>
    </w:p>
    <w:p>
      <w:pPr>
        <w:spacing w:after="0" w:line="218" w:lineRule="exact"/>
        <w:rPr>
          <w:rFonts w:ascii="Times New Roman" w:cs="Times New Roman" w:eastAsia="Times New Roman" w:hAnsi="Times New Roman"/>
          <w:sz w:val="18"/>
          <w:szCs w:val="18"/>
          <w:b w:val="1"/>
          <w:bCs w:val="1"/>
          <w:i w:val="1"/>
          <w:iCs w:val="1"/>
          <w:color w:val="auto"/>
        </w:rPr>
      </w:pPr>
    </w:p>
    <w:p>
      <w:pPr>
        <w:jc w:val="both"/>
        <w:ind w:left="640" w:hanging="314"/>
        <w:spacing w:after="0" w:line="246" w:lineRule="auto"/>
        <w:tabs>
          <w:tab w:leader="none" w:pos="63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188" w:lineRule="exact"/>
        <w:rPr>
          <w:rFonts w:ascii="Times New Roman" w:cs="Times New Roman" w:eastAsia="Times New Roman" w:hAnsi="Times New Roman"/>
          <w:sz w:val="18"/>
          <w:szCs w:val="18"/>
          <w:b w:val="1"/>
          <w:bCs w:val="1"/>
          <w:i w:val="1"/>
          <w:iCs w:val="1"/>
          <w:color w:val="auto"/>
        </w:rPr>
      </w:pPr>
    </w:p>
    <w:p>
      <w:pPr>
        <w:ind w:left="640" w:hanging="314"/>
        <w:spacing w:after="0" w:line="260" w:lineRule="auto"/>
        <w:tabs>
          <w:tab w:leader="none" w:pos="63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our suppliers, and our third-party manufacturers are subject to extensive governmental regulation both in the U.S. and abroad, and failure to comply with applicable requirements could cause our business to suffer;</w:t>
      </w:r>
    </w:p>
    <w:p>
      <w:pPr>
        <w:spacing w:after="0" w:line="190" w:lineRule="exact"/>
        <w:rPr>
          <w:rFonts w:ascii="Times New Roman" w:cs="Times New Roman" w:eastAsia="Times New Roman" w:hAnsi="Times New Roman"/>
          <w:sz w:val="18"/>
          <w:szCs w:val="18"/>
          <w:b w:val="1"/>
          <w:bCs w:val="1"/>
          <w:i w:val="1"/>
          <w:iCs w:val="1"/>
          <w:color w:val="auto"/>
        </w:rPr>
      </w:pPr>
    </w:p>
    <w:p>
      <w:pPr>
        <w:jc w:val="both"/>
        <w:ind w:left="640" w:hanging="314"/>
        <w:spacing w:after="0" w:line="241" w:lineRule="auto"/>
        <w:tabs>
          <w:tab w:leader="none" w:pos="63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spacing w:after="0" w:line="180" w:lineRule="exact"/>
        <w:rPr>
          <w:rFonts w:ascii="Times New Roman" w:cs="Times New Roman" w:eastAsia="Times New Roman" w:hAnsi="Times New Roman"/>
          <w:sz w:val="21"/>
          <w:szCs w:val="21"/>
          <w:color w:val="auto"/>
        </w:rPr>
      </w:pPr>
    </w:p>
    <w:p>
      <w:pPr>
        <w:ind w:left="640" w:hanging="314"/>
        <w:spacing w:after="0" w:line="27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0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147" w:lineRule="exact"/>
        <w:rPr>
          <w:sz w:val="20"/>
          <w:szCs w:val="20"/>
          <w:color w:val="auto"/>
        </w:rPr>
      </w:pPr>
    </w:p>
    <w:p>
      <w:pPr>
        <w:jc w:val="both"/>
        <w:ind w:firstLine="439"/>
        <w:spacing w:after="0" w:line="239" w:lineRule="auto"/>
        <w:rPr>
          <w:sz w:val="20"/>
          <w:szCs w:val="20"/>
          <w:color w:val="auto"/>
        </w:rPr>
      </w:pPr>
      <w:r>
        <w:rPr>
          <w:rFonts w:ascii="Times New Roman" w:cs="Times New Roman" w:eastAsia="Times New Roman" w:hAnsi="Times New Roman"/>
          <w:sz w:val="18"/>
          <w:szCs w:val="18"/>
          <w:color w:val="auto"/>
        </w:rPr>
        <w:t>We have incurred net losses since our inception in 2008. For the six months ended June 30, 2022, we had a net loss of $35.9 million. For the years ended December 31, 2021 and 2020, we had net losses of $56.6 million and $43.7 million, respectively. As of June 30, 2022, we had an accumulated deficit of $331.8 million. We have financed our operations primarily through the net proceeds of our public offerings of our common stock,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and even if we are able to do so, our ability to do so has been delayed by the COVID-19 pandemic. We expect that our operating expenses will continue to increase as we continue to build our commercial infrastructure, develop, enhance, and commercialize our existing and new products.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76" w:lineRule="exact"/>
        <w:rPr>
          <w:sz w:val="20"/>
          <w:szCs w:val="20"/>
          <w:color w:val="auto"/>
        </w:rPr>
      </w:pPr>
    </w:p>
    <w:p>
      <w:pPr>
        <w:jc w:val="both"/>
        <w:ind w:firstLine="479"/>
        <w:spacing w:after="0" w:line="233" w:lineRule="auto"/>
        <w:rPr>
          <w:sz w:val="20"/>
          <w:szCs w:val="20"/>
          <w:color w:val="auto"/>
        </w:rPr>
      </w:pPr>
      <w:r>
        <w:rPr>
          <w:rFonts w:ascii="Times New Roman" w:cs="Times New Roman" w:eastAsia="Times New Roman" w:hAnsi="Times New Roman"/>
          <w:sz w:val="18"/>
          <w:szCs w:val="18"/>
          <w:color w:val="auto"/>
        </w:rPr>
        <w:t>Our expected future capital requirements may depend on many factors including expanding our surgeon base, the expansion of our sales force, investment in implants and instruments, and the timing and extent of spending on the development of our technology to increase our product offerings, and potential investment in additional product and service offerings through the acquisition of other businesses. We may need additional funding for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 at all. In the past six months, capital markets have deteriorated substantially, especially with respect to securities issued by companies in the medical device and technology sectors. Equity and debt capital have become substantially more expensive and difficult to raise on attractive terms.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38" w:name="page39"/>
    <w:bookmarkEnd w:id="38"/>
    <w:p>
      <w:pPr>
        <w:jc w:val="both"/>
        <w:ind w:right="20" w:firstLine="399"/>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Epidemic diseases, or the perception of their effects, may have (or, in the case of the COVID-19 pandemic, will continue to have during its duration) an adverse effect on our business, financial condition, results of operations, or cash flows.</w:t>
      </w:r>
    </w:p>
    <w:p>
      <w:pPr>
        <w:spacing w:after="0" w:line="173" w:lineRule="exact"/>
        <w:rPr>
          <w:sz w:val="20"/>
          <w:szCs w:val="20"/>
          <w:color w:val="auto"/>
        </w:rPr>
      </w:pPr>
    </w:p>
    <w:p>
      <w:pPr>
        <w:jc w:val="both"/>
        <w:ind w:firstLine="439"/>
        <w:spacing w:after="0" w:line="238" w:lineRule="auto"/>
        <w:rPr>
          <w:sz w:val="20"/>
          <w:szCs w:val="20"/>
          <w:color w:val="auto"/>
        </w:rPr>
      </w:pPr>
      <w:r>
        <w:rPr>
          <w:rFonts w:ascii="Times New Roman" w:cs="Times New Roman" w:eastAsia="Times New Roman" w:hAnsi="Times New Roman"/>
          <w:sz w:val="18"/>
          <w:szCs w:val="18"/>
          <w:color w:val="auto"/>
        </w:rPr>
        <w:t>Outbreaks of infectious diseases, such as COVID-19, and historically, the Ebola virus, Middle East Respiratory Syndrome, Severe Acute Respiratory Syndrome, or the H1N1 influenza virus, could divert medical resources and priorities towards the treatment of that disease. An outbreak of an infectious disease, or continued escalation of the COVID-19 pandemic could also negatively affect hospital admission rates and the decision by patients to undergo elective surgery, which could decrease demand for procedures using our implants and cause other disruptions to our business. Business disruptions could include disruptions or restrictions on our ability to travel or to distribute our products, government orders suspending the performance of elective surgical procedures, inability of our customers to meet their financial commitments due to strain on the healthcare system, as well as temporary closures of our facilities or the facilities of our suppliers and their contract manufacturers, and a reduction in the business hours of hospitals and ambulatory surgery centers.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an economic downturn that could affect demand for our products. Any of these events could negatively impact the number of procedures using our implants that are performed and have a material adverse effect on our business, financial condition, results of operations, or cash flows.</w:t>
      </w:r>
    </w:p>
    <w:p>
      <w:pPr>
        <w:spacing w:after="0" w:line="226" w:lineRule="exact"/>
        <w:rPr>
          <w:sz w:val="20"/>
          <w:szCs w:val="20"/>
          <w:color w:val="auto"/>
        </w:rPr>
      </w:pPr>
    </w:p>
    <w:p>
      <w:pPr>
        <w:jc w:val="both"/>
        <w:ind w:firstLine="439"/>
        <w:spacing w:after="0" w:line="239" w:lineRule="auto"/>
        <w:rPr>
          <w:sz w:val="20"/>
          <w:szCs w:val="20"/>
          <w:color w:val="auto"/>
        </w:rPr>
      </w:pPr>
      <w:r>
        <w:rPr>
          <w:rFonts w:ascii="Times New Roman" w:cs="Times New Roman" w:eastAsia="Times New Roman" w:hAnsi="Times New Roman"/>
          <w:sz w:val="18"/>
          <w:szCs w:val="18"/>
          <w:color w:val="auto"/>
        </w:rPr>
        <w:t>To date, COVID-19 has had, and we expect will continue to have, an adverse impact on our operations as a result of preventive and precautionary measures that we, other businesses, health systems and governments are taking. Due to these measures, we have experienced and expect to continue to experience significant and unpredictable reductions in the demand for our products, negative impact on hospital admission rates and delay in the decision by patients to undergo elective surgery, each of which has decreased and may continue to impact the demand for procedures using our implants. There are numerous uncertainties associated with the COVID-19 pandemic, including the number of individuals who will become infected, the effectiveness of vaccines or one or more therapies that mitigate the effect of the virus, the availability of vaccines and the vaccination rates in the U.S. and worldwide, the emergence of variants of the COVID-19 virus such as the delta and omicron variants, the extent of the protective and preventative measures that have been put in place by both governmental entities and other businesses and those that may be put in place in the future, the effect that testing for COVID-19 and antibodies will enable relaxation of protective measures for a subset of the population, and numerous other uncertainties. We intend to continue to execute on our strategic plans and operational initiatives during the COVID-19 pandemic. However, these uncertainties may result in delays or modifications to these plans and initiatives.</w:t>
      </w:r>
    </w:p>
    <w:p>
      <w:pPr>
        <w:spacing w:after="0" w:line="209" w:lineRule="exact"/>
        <w:rPr>
          <w:sz w:val="20"/>
          <w:szCs w:val="20"/>
          <w:color w:val="auto"/>
        </w:rPr>
      </w:pPr>
    </w:p>
    <w:p>
      <w:pPr>
        <w:jc w:val="both"/>
        <w:ind w:firstLine="439"/>
        <w:spacing w:after="0" w:line="276" w:lineRule="auto"/>
        <w:rPr>
          <w:sz w:val="20"/>
          <w:szCs w:val="20"/>
          <w:color w:val="auto"/>
        </w:rPr>
      </w:pPr>
      <w:r>
        <w:rPr>
          <w:rFonts w:ascii="Times New Roman" w:cs="Times New Roman" w:eastAsia="Times New Roman" w:hAnsi="Times New Roman"/>
          <w:sz w:val="18"/>
          <w:szCs w:val="18"/>
          <w:color w:val="auto"/>
        </w:rPr>
        <w:t>Travel restrictions, and the risk that countries may continue to close borders, impose prolonged quarantines, and further restrict travel, limit our ability to reach surgeons with our goal of increasing surgeon activity by providing education and support.</w:t>
      </w:r>
    </w:p>
    <w:p>
      <w:pPr>
        <w:spacing w:after="0" w:line="176" w:lineRule="exact"/>
        <w:rPr>
          <w:sz w:val="20"/>
          <w:szCs w:val="20"/>
          <w:color w:val="auto"/>
        </w:rPr>
      </w:pPr>
    </w:p>
    <w:p>
      <w:pPr>
        <w:jc w:val="both"/>
        <w:ind w:firstLine="439"/>
        <w:spacing w:after="0"/>
        <w:rPr>
          <w:sz w:val="20"/>
          <w:szCs w:val="20"/>
          <w:color w:val="auto"/>
        </w:rPr>
      </w:pPr>
      <w:r>
        <w:rPr>
          <w:rFonts w:ascii="Times New Roman" w:cs="Times New Roman" w:eastAsia="Times New Roman" w:hAnsi="Times New Roman"/>
          <w:sz w:val="18"/>
          <w:szCs w:val="18"/>
          <w:color w:val="auto"/>
        </w:rPr>
        <w:t>In addition, the COVID-19 pandemic has adversely affected, and may continue to adversely affect, the economies and financial markets of many countries, which may result in a period of regional, national, and global economic slowdown or regional, national, or global recessions that could curtail or delay spending by hospitals and affect demand for our products as well as increase risk of customer defaults or delays in payments. These market disruptions could impair our ability to raise capital, should our business experience a prolonged period of reduced revenue requiring additional capital to sustain the business. COVID-19 and the current financial, economic, and capital markets environment, and future developments in these and other areas present material uncertainty and risk with respect to our performance, financial condition, results of operations, and cash flows. Due to the uncertain scope and duration of the pandemic and uncertain timing of global recovery and economic normalization, we are unable to estimate the long-term impacts on our operations and financial results.</w:t>
      </w:r>
    </w:p>
    <w:p>
      <w:pPr>
        <w:spacing w:after="0" w:line="208" w:lineRule="exact"/>
        <w:rPr>
          <w:sz w:val="20"/>
          <w:szCs w:val="20"/>
          <w:color w:val="auto"/>
        </w:rPr>
      </w:pPr>
    </w:p>
    <w:p>
      <w:pPr>
        <w:jc w:val="both"/>
        <w:ind w:right="20" w:firstLine="399"/>
        <w:spacing w:after="0" w:line="276" w:lineRule="auto"/>
        <w:rPr>
          <w:sz w:val="20"/>
          <w:szCs w:val="20"/>
          <w:color w:val="auto"/>
        </w:rPr>
      </w:pPr>
      <w:r>
        <w:rPr>
          <w:rFonts w:ascii="Times New Roman" w:cs="Times New Roman" w:eastAsia="Times New Roman" w:hAnsi="Times New Roman"/>
          <w:sz w:val="18"/>
          <w:szCs w:val="18"/>
          <w:color w:val="auto"/>
        </w:rPr>
        <w:t>The existence and further duration of the COVID-19 pandemic may also further exacerbate certain of the risks as described in this “Item 1A - Risk Factors” of this Quarterly Report on Form 10-Q.”</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Prolonged inflation and supply chain disruptions could result in delayed product launches, lost revenue, higher costs and decreased profit margins.</w:t>
      </w:r>
    </w:p>
    <w:p>
      <w:pPr>
        <w:spacing w:after="0" w:line="248" w:lineRule="exact"/>
        <w:rPr>
          <w:sz w:val="20"/>
          <w:szCs w:val="20"/>
          <w:color w:val="auto"/>
        </w:rPr>
      </w:pPr>
    </w:p>
    <w:p>
      <w:pPr>
        <w:jc w:val="both"/>
        <w:ind w:firstLine="639"/>
        <w:spacing w:after="0" w:line="233" w:lineRule="auto"/>
        <w:rPr>
          <w:sz w:val="20"/>
          <w:szCs w:val="20"/>
          <w:color w:val="auto"/>
        </w:rPr>
      </w:pPr>
      <w:r>
        <w:rPr>
          <w:rFonts w:ascii="Times New Roman" w:cs="Times New Roman" w:eastAsia="Times New Roman" w:hAnsi="Times New Roman"/>
          <w:sz w:val="18"/>
          <w:szCs w:val="18"/>
          <w:color w:val="auto"/>
        </w:rPr>
        <w:t>A majority of our products are manufactured and sold inside of the United States, which increases our exposure to domestic inflation and fuel price increases. Recent inflationary pressures have resulted in increased fuel, raw materials and other costs which, if they continue for a prolonged period, may adversely affect our results of operations. We have experienced shortages in certain raw materials and component inputs of our products, primarily surgical instruments, as suppliers have been unable to meet delivery schedules due to excess demand and labor shortages, and lead times have lengthened throughout our supply chain. Our efforts to mitigate supply chain weaknesses may not be successful or may have unfavorable effects. For example, efforts to purchase raw materials in advance for product manufacturing may result in increased storage costs or excess supply. If our costs rise due to continuing significant inflationary pressures or supply chain disruptions, we may not be able to fully offset such higher costs through price increases. In addition, delays in obtaining materials, components or instruments from our suppliers could delay product launches or result in lost opportunities to sell our products due to their availability. Increased costs and decreased product availability due to supply chain issues could adversely impact our revenue and/or gross margin, and could thereby harm our business, financial condition, and results of operation.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9" w:name="page40"/>
    <w:bookmarkEnd w:id="39"/>
    <w:p>
      <w:pPr>
        <w:jc w:val="both"/>
        <w:ind w:firstLine="639"/>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Disruptions in the supply of the materials and components used in manufacturing our products or the sterilization of our products by third-party suppliers could adversely affect our business, financial condition and results of operations.</w:t>
      </w:r>
    </w:p>
    <w:p>
      <w:pPr>
        <w:spacing w:after="0" w:line="173" w:lineRule="exact"/>
        <w:rPr>
          <w:sz w:val="20"/>
          <w:szCs w:val="20"/>
          <w:color w:val="auto"/>
        </w:rPr>
      </w:pPr>
    </w:p>
    <w:p>
      <w:pPr>
        <w:jc w:val="both"/>
        <w:ind w:firstLine="639"/>
        <w:spacing w:after="0" w:line="239" w:lineRule="auto"/>
        <w:rPr>
          <w:sz w:val="20"/>
          <w:szCs w:val="20"/>
          <w:color w:val="auto"/>
        </w:rPr>
      </w:pPr>
      <w:r>
        <w:rPr>
          <w:rFonts w:ascii="Times New Roman" w:cs="Times New Roman" w:eastAsia="Times New Roman" w:hAnsi="Times New Roman"/>
          <w:sz w:val="18"/>
          <w:szCs w:val="18"/>
          <w:color w:val="auto"/>
        </w:rPr>
        <w:t>Our suppliers purchase many of the materials and components used in the manufacture of our products from third-party suppliers. Certain of these materials and components can only be obtained from a single source or a limited number of sources due to quality considerations, expertise, costs or constraints resulting from regulatory requirements. In certain cases, our suppliers may not be able to establish additional or replacement suppliers for such materials or components or outsourced activities in a timely or cost effective manner. A reduction or interruption in the supply of materials or components used in manufacturing our products, such as due to one or more suppliers experiencing reductions in operations and/or worker absences due to the COVID-19 pandemic or other health epidemics, an inability to timely develop and validate alternative sources if required, or a significant increase in the price of such materials or components could adversely affect our business, financial condition and results of operations. For example, certain of our products require titanium, which is sourced from third-party suppliers. While the titanium required for such products is not directly sourced from Russia, the current geopolitical events involving Russia and Ukraine are negatively impacting the wider titanium supply chain and such geopolitical events and factors relating thereto or resulting therefrom, including related sanctions, may negatively impact the ability of our suppliers’ third-party supply sources to timely supply titanium to our suppliers and may increase or result in additional costs to us.</w:t>
      </w:r>
    </w:p>
    <w:p>
      <w:pPr>
        <w:spacing w:after="0" w:line="182" w:lineRule="exact"/>
        <w:rPr>
          <w:sz w:val="20"/>
          <w:szCs w:val="20"/>
          <w:color w:val="auto"/>
        </w:rPr>
      </w:pPr>
    </w:p>
    <w:p>
      <w:pPr>
        <w:jc w:val="both"/>
        <w:ind w:firstLine="639"/>
        <w:spacing w:after="0" w:line="246" w:lineRule="auto"/>
        <w:rPr>
          <w:sz w:val="20"/>
          <w:szCs w:val="20"/>
          <w:color w:val="auto"/>
        </w:rPr>
      </w:pPr>
      <w:r>
        <w:rPr>
          <w:rFonts w:ascii="Times New Roman" w:cs="Times New Roman" w:eastAsia="Times New Roman" w:hAnsi="Times New Roman"/>
          <w:sz w:val="18"/>
          <w:szCs w:val="18"/>
          <w:color w:val="auto"/>
        </w:rPr>
        <w:t>In addition, many of our products require sterilization prior to sale, and our suppliers use contract sterilizers to perform this service. To the extent that these contract sterilizers are unable to sterilize our products, whether due to capacity, availability of materials for sterilization, regulatory or other constraints, including reductions in operations and/or worker absences due to the COVID-19 pandemic or other health epidemics, we may be unable to transition to other contract sterilizers, sterilizer locations or sterilization methods in a timely or cost effective manner or at all, which could have a material impact on our results of operations and financial condition.</w:t>
      </w:r>
    </w:p>
    <w:p>
      <w:pPr>
        <w:spacing w:after="0" w:line="173" w:lineRule="exact"/>
        <w:rPr>
          <w:sz w:val="20"/>
          <w:szCs w:val="20"/>
          <w:color w:val="auto"/>
        </w:rPr>
      </w:pPr>
    </w:p>
    <w:p>
      <w:pPr>
        <w:jc w:val="both"/>
        <w:ind w:firstLine="63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If hospitals, surgeons,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spacing w:after="0" w:line="167" w:lineRule="exact"/>
        <w:rPr>
          <w:sz w:val="20"/>
          <w:szCs w:val="20"/>
          <w:color w:val="auto"/>
        </w:rPr>
      </w:pPr>
    </w:p>
    <w:p>
      <w:pPr>
        <w:jc w:val="both"/>
        <w:ind w:firstLine="399"/>
        <w:spacing w:after="0" w:line="241" w:lineRule="auto"/>
        <w:rPr>
          <w:sz w:val="20"/>
          <w:szCs w:val="20"/>
          <w:color w:val="auto"/>
        </w:rPr>
      </w:pPr>
      <w:r>
        <w:rPr>
          <w:rFonts w:ascii="Times New Roman" w:cs="Times New Roman" w:eastAsia="Times New Roman" w:hAnsi="Times New Roman"/>
          <w:sz w:val="18"/>
          <w:szCs w:val="18"/>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 When a procedure using our implants is performed, both the surgeon and the healthcare facility, either a hospital or ambulatory surgical center, submit claims for reimbursement to the healthcare payor. We may be unable to sell our products on a profitable basis if third-party payors deny coverage or reduce their current levels of payment, or if reimbursement levels are insufficient to support use of our products by healthcare facilities or to compensate surgeons for their time spent diagnosing patients and performing procedures using our products.</w:t>
      </w:r>
    </w:p>
    <w:p>
      <w:pPr>
        <w:spacing w:after="0" w:line="209" w:lineRule="exact"/>
        <w:rPr>
          <w:sz w:val="20"/>
          <w:szCs w:val="20"/>
          <w:color w:val="auto"/>
        </w:rPr>
      </w:pPr>
    </w:p>
    <w:p>
      <w:pPr>
        <w:jc w:val="both"/>
        <w:ind w:firstLine="399"/>
        <w:spacing w:after="0" w:line="246" w:lineRule="auto"/>
        <w:rPr>
          <w:sz w:val="20"/>
          <w:szCs w:val="20"/>
          <w:color w:val="auto"/>
        </w:rPr>
      </w:pPr>
      <w:r>
        <w:rPr>
          <w:rFonts w:ascii="Times New Roman" w:cs="Times New Roman" w:eastAsia="Times New Roman" w:hAnsi="Times New Roman"/>
          <w:sz w:val="18"/>
          <w:szCs w:val="18"/>
          <w:color w:val="auto"/>
        </w:rPr>
        <w:t>While all Medicare Administrative Contractors are regularly reimbursing for minimally invasive sacroiliac joint fusion, some private payors still have policies that treat the procedure as experimental or investigational and do not regularly reimburse for the procedure. Future action by the Centers for Medicare &amp; Medicaid Services (“CMS”) or third-party payors may further reduce the availability of payments to physicians, outpatient surgery centers, and/or hospitals for procedures using our products.</w:t>
      </w:r>
    </w:p>
    <w:p>
      <w:pPr>
        <w:spacing w:after="0" w:line="216" w:lineRule="exact"/>
        <w:rPr>
          <w:sz w:val="20"/>
          <w:szCs w:val="20"/>
          <w:color w:val="auto"/>
        </w:rPr>
      </w:pPr>
    </w:p>
    <w:p>
      <w:pPr>
        <w:jc w:val="both"/>
        <w:ind w:firstLine="399"/>
        <w:spacing w:after="0"/>
        <w:rPr>
          <w:sz w:val="20"/>
          <w:szCs w:val="20"/>
          <w:color w:val="auto"/>
        </w:rPr>
      </w:pPr>
      <w:r>
        <w:rPr>
          <w:rFonts w:ascii="Times New Roman" w:cs="Times New Roman" w:eastAsia="Times New Roman" w:hAnsi="Times New Roman"/>
          <w:sz w:val="18"/>
          <w:szCs w:val="18"/>
          <w:color w:val="auto"/>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chose to cover.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209" w:lineRule="exact"/>
        <w:rPr>
          <w:sz w:val="20"/>
          <w:szCs w:val="20"/>
          <w:color w:val="auto"/>
        </w:rPr>
      </w:pPr>
    </w:p>
    <w:p>
      <w:pPr>
        <w:jc w:val="both"/>
        <w:ind w:firstLine="399"/>
        <w:spacing w:after="0" w:line="242" w:lineRule="auto"/>
        <w:rPr>
          <w:sz w:val="20"/>
          <w:szCs w:val="20"/>
          <w:color w:val="auto"/>
        </w:rPr>
      </w:pPr>
      <w:r>
        <w:rPr>
          <w:rFonts w:ascii="Times New Roman" w:cs="Times New Roman" w:eastAsia="Times New Roman" w:hAnsi="Times New Roman"/>
          <w:sz w:val="18"/>
          <w:szCs w:val="18"/>
          <w:color w:val="auto"/>
        </w:rPr>
        <w:t>Effective January 1, 2022, the Medicare physician fee reimbursement for minimally invasive fusion with our iFuse implants, described as CPT Code 27279, is $860. Commercial payors generally set their physician fee reimbursement with reference to Medicare reimbursement rates. We believe that some surgeons may continue to view the Medicare and commercial reimbursement amounts as insufficient for the procedure, given the work effort involved with the procedure, including the time to diagnose the patient and obtain prior authorization from the patient’s health insurer if necessary. We believe that some private payors apply their own coverage policies and criteria inconsistently, and surgeons may not be able to consistently have minimally invasive sacroiliac fusions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adversely affect our revenues.</w:t>
      </w:r>
    </w:p>
    <w:p>
      <w:pPr>
        <w:spacing w:after="0" w:line="194" w:lineRule="exact"/>
        <w:rPr>
          <w:sz w:val="20"/>
          <w:szCs w:val="20"/>
          <w:color w:val="auto"/>
        </w:rPr>
      </w:pPr>
    </w:p>
    <w:p>
      <w:pPr>
        <w:ind w:right="60" w:firstLine="399"/>
        <w:spacing w:after="0" w:line="260" w:lineRule="auto"/>
        <w:rPr>
          <w:sz w:val="20"/>
          <w:szCs w:val="20"/>
          <w:color w:val="auto"/>
        </w:rPr>
      </w:pPr>
      <w:r>
        <w:rPr>
          <w:rFonts w:ascii="Times New Roman" w:cs="Times New Roman" w:eastAsia="Times New Roman" w:hAnsi="Times New Roman"/>
          <w:sz w:val="18"/>
          <w:szCs w:val="18"/>
          <w:color w:val="auto"/>
        </w:rPr>
        <w:t>The American Medical Association (AMA) develops and maintains Current Procedural Terminology (CPT) codes that are used by third-party payors to determine the amount of reimbursement that a healthcare provider and facility will receive for a particular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40" w:name="page41"/>
    <w:bookmarkEnd w:id="40"/>
    <w:p>
      <w:pPr>
        <w:ind w:right="20"/>
        <w:spacing w:after="0" w:line="233" w:lineRule="auto"/>
        <w:rPr>
          <w:sz w:val="20"/>
          <w:szCs w:val="20"/>
          <w:color w:val="auto"/>
        </w:rPr>
      </w:pPr>
      <w:r>
        <w:rPr>
          <w:rFonts w:ascii="Times New Roman" w:cs="Times New Roman" w:eastAsia="Times New Roman" w:hAnsi="Times New Roman"/>
          <w:sz w:val="18"/>
          <w:szCs w:val="18"/>
          <w:color w:val="auto"/>
        </w:rPr>
        <w:t>service. CPT codes are divided into three categories: Category I codes represent existing services or procedures that are widely used. Category II codes are supplemental tracking codes, and Category III codes are temporary codes that represent new technologies, services, and procedures. A Category III code does not have a payment rate established and reimbursement is at the payor’s discretion. CPT Code 27279, which describes minimally-invasive surgical fusion of the sacroiliac joint performed with our iFuse implants, is a Category I CPT code. As the number of products and surgical procedures to address sacroiliac joint dysfunction has expanded and diversified, we are aware that certain medical societies have requested that the AMA create a Category III CPT code representing some of these unproven technologies. If either the current or future procedures performed with our products are determined to be best described by a Category III CPT code, or if the levels of reimbursement for, and consistency of coverage associated with, procedures performed with our medical devices, either under the existing Category I CPT Code or under any newly created Category I or III CPT Code, could decrease which could make the procedures we support less attractive to healthcare professionals using our products.</w:t>
      </w:r>
    </w:p>
    <w:p>
      <w:pPr>
        <w:spacing w:after="0" w:line="215" w:lineRule="exact"/>
        <w:rPr>
          <w:sz w:val="20"/>
          <w:szCs w:val="20"/>
          <w:color w:val="auto"/>
        </w:rPr>
      </w:pPr>
    </w:p>
    <w:p>
      <w:pPr>
        <w:jc w:val="both"/>
        <w:ind w:firstLine="439"/>
        <w:spacing w:after="0" w:line="233" w:lineRule="auto"/>
        <w:rPr>
          <w:sz w:val="20"/>
          <w:szCs w:val="20"/>
          <w:color w:val="auto"/>
        </w:rPr>
      </w:pPr>
      <w:r>
        <w:rPr>
          <w:rFonts w:ascii="Times New Roman" w:cs="Times New Roman" w:eastAsia="Times New Roman" w:hAnsi="Times New Roman"/>
          <w:sz w:val="18"/>
          <w:szCs w:val="18"/>
          <w:color w:val="auto"/>
        </w:rPr>
        <w:t>Recent political, economic, and regulatory influences are subjecting the healthcare industry to fundamental changes that can impact coverage and reimbursement from third-party payors. We expect that the Patient Protection and Affordable Care Act, as amended by the Health Care and Education Reconciliation Act of 2011, as currently enacted or as it may be amended in the future, and other healthcare reform measures that may be adopted in the future, could have a material adverse effect on our industry generally and on our ability to maintain or increase sales of our existing products. CMS budget neutrality requirements may impose cuts to the Medicare physician fee schedule, which may be mitigated by acts of Congress or other changes to regulations. Other federal laws, known as budget sequestration, further reduce Medicare’s payments to providers by two percent through 2030. However, COVID-19 relief support legislation suspended the 2% Medicare reductions from May 1, 2020 through April 1, 2022, and reduced the Medicare reductions to 1% from April 1 to June 30, 2022. These reductions may reduce reimbursement for procedures performed using our products, which could potentially negatively impact our revenue, and may reduce providers’ revenues or profits, which could affect their ability to purchase new technologies. Both the federal and state governments in the U.S.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 which could adversely affect our business, results of operations and financial condition.</w:t>
      </w:r>
    </w:p>
    <w:p>
      <w:pPr>
        <w:spacing w:after="0" w:line="223" w:lineRule="exact"/>
        <w:rPr>
          <w:sz w:val="20"/>
          <w:szCs w:val="20"/>
          <w:color w:val="auto"/>
        </w:rPr>
      </w:pPr>
    </w:p>
    <w:p>
      <w:pPr>
        <w:jc w:val="both"/>
        <w:ind w:firstLine="399"/>
        <w:spacing w:after="0" w:line="246" w:lineRule="auto"/>
        <w:rPr>
          <w:sz w:val="20"/>
          <w:szCs w:val="20"/>
          <w:color w:val="auto"/>
        </w:rPr>
      </w:pPr>
      <w:r>
        <w:rPr>
          <w:rFonts w:ascii="Times New Roman" w:cs="Times New Roman" w:eastAsia="Times New Roman" w:hAnsi="Times New Roman"/>
          <w:sz w:val="18"/>
          <w:szCs w:val="18"/>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99" w:lineRule="exact"/>
        <w:rPr>
          <w:sz w:val="20"/>
          <w:szCs w:val="20"/>
          <w:color w:val="auto"/>
        </w:rPr>
      </w:pPr>
    </w:p>
    <w:p>
      <w:pPr>
        <w:jc w:val="both"/>
        <w:ind w:firstLine="439"/>
        <w:spacing w:after="0" w:line="241" w:lineRule="auto"/>
        <w:rPr>
          <w:sz w:val="20"/>
          <w:szCs w:val="20"/>
          <w:color w:val="auto"/>
        </w:rPr>
      </w:pPr>
      <w:r>
        <w:rPr>
          <w:rFonts w:ascii="Times New Roman" w:cs="Times New Roman" w:eastAsia="Times New Roman" w:hAnsi="Times New Roman"/>
          <w:sz w:val="18"/>
          <w:szCs w:val="18"/>
          <w:color w:val="auto"/>
        </w:rPr>
        <w:t>As of June 30, 2022, a significant number of the largest U.S. payors that we track and target have issued positive coverage policies covering the patented design of our triangular iFuse implants and excluding coverage of other products that are intended to fuse the sacroiliac joint because of the clinical evidence supporting the use of triangular titanium implants and the lack of clinical evidence supporting the use of other products. We believe that payors have adopted these exclusive coverage decisions due to the strength of our clinical evidence and in part due to recommendations of specialty benefit managers and healthcare technology assessment organizations. Clinical trials of the type and size necessary to offer evidence of the safety and efficacy of competing products could be performed and could show that other products for sacroiliac joint fusion are as effective as, or more effective than, our triangular iFuse implants. Payors could also abandon their decisions to cover triangular implants exclusively for other reasons.</w:t>
      </w:r>
    </w:p>
    <w:p>
      <w:pPr>
        <w:spacing w:after="0" w:line="209" w:lineRule="exact"/>
        <w:rPr>
          <w:sz w:val="20"/>
          <w:szCs w:val="20"/>
          <w:color w:val="auto"/>
        </w:rPr>
      </w:pPr>
    </w:p>
    <w:p>
      <w:pPr>
        <w:jc w:val="both"/>
        <w:ind w:firstLine="439"/>
        <w:spacing w:after="0" w:line="243" w:lineRule="auto"/>
        <w:rPr>
          <w:sz w:val="20"/>
          <w:szCs w:val="20"/>
          <w:color w:val="auto"/>
        </w:rPr>
      </w:pPr>
      <w:r>
        <w:rPr>
          <w:rFonts w:ascii="Times New Roman" w:cs="Times New Roman" w:eastAsia="Times New Roman" w:hAnsi="Times New Roman"/>
          <w:sz w:val="18"/>
          <w:szCs w:val="18"/>
          <w:color w:val="auto"/>
        </w:rPr>
        <w:t>Healthcare payors which have adopted sacroiliac joint fusion coverage policies exclusive to titanium triangles could reverse the exclusive nature of their policies and allow surgeons to use other types of products when performing sacroiliac fusion procedures. For example, on April 1, 2022, AIM, a clinical evidence evaluation organization which influences Anthem, among other payors, promulgated such a policy that is no longer exclusive to titanium triangles and which will become effective September 1, 2022. If healthcare payors covering a significant number of covered lives reverse their policies of covering minimally invasive sacroiliac joint fusion exclusively when performed with triangular titanium implants, sales of our triangular iFuse implants could decline or fail to grow, which could adversely affect our business, results of operations and financial condition.</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173" w:lineRule="exact"/>
        <w:rPr>
          <w:sz w:val="20"/>
          <w:szCs w:val="20"/>
          <w:color w:val="auto"/>
        </w:rPr>
      </w:pPr>
    </w:p>
    <w:p>
      <w:pPr>
        <w:jc w:val="both"/>
        <w:ind w:firstLine="439"/>
        <w:spacing w:after="0" w:line="241" w:lineRule="auto"/>
        <w:rPr>
          <w:sz w:val="20"/>
          <w:szCs w:val="20"/>
          <w:color w:val="auto"/>
        </w:rPr>
      </w:pPr>
      <w:r>
        <w:rPr>
          <w:rFonts w:ascii="Times New Roman" w:cs="Times New Roman" w:eastAsia="Times New Roman" w:hAnsi="Times New Roman"/>
          <w:sz w:val="18"/>
          <w:szCs w:val="18"/>
          <w:color w:val="auto"/>
        </w:rPr>
        <w:t>Surgeons, in consultation with their patients, play the primary role in determining the course of treatment and, ultimately, any product that will be used in treatment. In order for us to sell our iFuse system successfully, we must demonstrate to surgeons through education and training that treatment with iFuse is beneficial, safe, and cost-effective for patients as compared to our competitors’ products. If we are not successful in demonstrating the merits of iFuse to surgeons, their use of our products may decline, adversely affecting our revenues and profitability.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41" w:name="page42"/>
    <w:bookmarkEnd w:id="41"/>
    <w:p>
      <w:pPr>
        <w:jc w:val="both"/>
        <w:ind w:firstLine="439"/>
        <w:spacing w:after="0" w:line="242" w:lineRule="auto"/>
        <w:rPr>
          <w:sz w:val="20"/>
          <w:szCs w:val="20"/>
          <w:color w:val="auto"/>
        </w:rPr>
      </w:pPr>
      <w:r>
        <w:rPr>
          <w:rFonts w:ascii="Times New Roman" w:cs="Times New Roman" w:eastAsia="Times New Roman" w:hAnsi="Times New Roman"/>
          <w:sz w:val="18"/>
          <w:szCs w:val="18"/>
          <w:color w:val="auto"/>
        </w:rPr>
        <w:t>Historically, most spine surgeons did not include an evaluation of the sacroiliac joint in their diagnostic work-up because they did not have an adequate surgical procedure to perform for patients diagnosed with sacroiliac joint dysfunction. We believe that educating surgeons and other healthcare professionals about the clinical merits and patient benefits of iFuse is an important element of building our business. If we fail to effectively educate surgeons and other medical professionals, they may not include a sacroiliac joint evaluation as part of their diagnosis and, as a result, those patients may continue to receive unnecessary surgical procedures or only non-surgical treatment.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Surgeons may also hesitate to change their medical treatment practices for other reasons, including the following:</w:t>
      </w:r>
    </w:p>
    <w:p>
      <w:pPr>
        <w:spacing w:after="0" w:line="25" w:lineRule="exact"/>
        <w:rPr>
          <w:sz w:val="20"/>
          <w:szCs w:val="20"/>
          <w:color w:val="auto"/>
        </w:rPr>
      </w:pPr>
    </w:p>
    <w:p>
      <w:pPr>
        <w:ind w:left="1000" w:hanging="115"/>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minimally invasive procedures;</w:t>
      </w:r>
    </w:p>
    <w:p>
      <w:pPr>
        <w:spacing w:after="0" w:line="26" w:lineRule="exact"/>
        <w:rPr>
          <w:rFonts w:ascii="Times New Roman" w:cs="Times New Roman" w:eastAsia="Times New Roman" w:hAnsi="Times New Roman"/>
          <w:sz w:val="18"/>
          <w:szCs w:val="18"/>
          <w:color w:val="auto"/>
        </w:rPr>
      </w:pPr>
    </w:p>
    <w:p>
      <w:pPr>
        <w:ind w:left="1000" w:hanging="115"/>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liability risks generally associated with the use of new products and procedures;</w:t>
      </w:r>
    </w:p>
    <w:p>
      <w:pPr>
        <w:spacing w:after="0" w:line="45" w:lineRule="exact"/>
        <w:rPr>
          <w:rFonts w:ascii="Times New Roman" w:cs="Times New Roman" w:eastAsia="Times New Roman" w:hAnsi="Times New Roman"/>
          <w:sz w:val="18"/>
          <w:szCs w:val="18"/>
          <w:color w:val="auto"/>
        </w:rPr>
      </w:pPr>
    </w:p>
    <w:p>
      <w:pPr>
        <w:ind w:left="1000" w:hanging="115"/>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purchase of new products; and</w:t>
      </w:r>
    </w:p>
    <w:p>
      <w:pPr>
        <w:spacing w:after="0" w:line="32" w:lineRule="exact"/>
        <w:rPr>
          <w:rFonts w:ascii="Times New Roman" w:cs="Times New Roman" w:eastAsia="Times New Roman" w:hAnsi="Times New Roman"/>
          <w:sz w:val="18"/>
          <w:szCs w:val="18"/>
          <w:color w:val="auto"/>
        </w:rPr>
      </w:pPr>
    </w:p>
    <w:p>
      <w:pPr>
        <w:ind w:left="1000" w:hanging="115"/>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commitment that may be required for training.</w:t>
      </w:r>
    </w:p>
    <w:p>
      <w:pPr>
        <w:spacing w:after="0" w:line="259" w:lineRule="exact"/>
        <w:rPr>
          <w:sz w:val="20"/>
          <w:szCs w:val="20"/>
          <w:color w:val="auto"/>
        </w:rPr>
      </w:pPr>
    </w:p>
    <w:p>
      <w:pPr>
        <w:jc w:val="both"/>
        <w:ind w:firstLine="439"/>
        <w:spacing w:after="0" w:line="246" w:lineRule="auto"/>
        <w:rPr>
          <w:sz w:val="20"/>
          <w:szCs w:val="20"/>
          <w:color w:val="auto"/>
        </w:rPr>
      </w:pPr>
      <w:r>
        <w:rPr>
          <w:rFonts w:ascii="Times New Roman" w:cs="Times New Roman" w:eastAsia="Times New Roman" w:hAnsi="Times New Roman"/>
          <w:sz w:val="18"/>
          <w:szCs w:val="18"/>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their benefits. If we are unable to provide that data, surgeons may not use our products. In such circumstances, we may not achieve expected sales and may be unable to achieve profitability.</w:t>
      </w:r>
    </w:p>
    <w:p>
      <w:pPr>
        <w:spacing w:after="0" w:line="203" w:lineRule="exact"/>
        <w:rPr>
          <w:sz w:val="20"/>
          <w:szCs w:val="20"/>
          <w:color w:val="auto"/>
        </w:rPr>
      </w:pPr>
    </w:p>
    <w:p>
      <w:pPr>
        <w:jc w:val="both"/>
        <w:ind w:firstLine="439"/>
        <w:spacing w:after="0" w:line="255" w:lineRule="auto"/>
        <w:rPr>
          <w:sz w:val="20"/>
          <w:szCs w:val="20"/>
          <w:color w:val="auto"/>
        </w:rPr>
      </w:pPr>
      <w:r>
        <w:rPr>
          <w:rFonts w:ascii="Times New Roman" w:cs="Times New Roman" w:eastAsia="Times New Roman" w:hAnsi="Times New Roman"/>
          <w:sz w:val="17"/>
          <w:szCs w:val="17"/>
          <w:color w:val="auto"/>
        </w:rPr>
        <w:t>Many patients with sacroiliac joint dysfunction are cared for by pain physicians, who are generally trained as anesthesiologists or physical medicine and rehabilitation specialists. Pain physicians often offer a variety of non-surgical and surgical interventions to sacroiliac joint dysfunction patients, including, but not limited to, steroid injections, radiofrequency ablation of the nerves serving the sacroiliac joint and implantation of neurostimulation devices, allografts, and other products intended to treat the sacroiliac joint or the pain it can cause. Our professional education program seeks to teach pain physicians, and other health care providers, about the benefits of iFuse, in order to prompt these providers to refer their patients with sacroiliac joint dysfunction to surgeons who have been trained to perform the iFuse procedure. These providers may, however, prefer to continue to treat these patients with the interventions they offer because they feel these interventions are superior or because they have a financial interest in offering additional treatments to these patients. If we are unable to demonstrate to potential referring health care providers the comparative benefits of iFuse, and we are therefore unable to prompt sufficient numbers of these providers to refer their patients with sacroiliac joint dysfunction for treatment by surgeons trained to perform the iFuse procedure, sales of our iFuse implants could decline or fail to grow, which could adversely affect our business, results of operations and financial condition.</w:t>
      </w:r>
    </w:p>
    <w:p>
      <w:pPr>
        <w:spacing w:after="0" w:line="1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currently thought.</w:t>
      </w:r>
    </w:p>
    <w:p>
      <w:pPr>
        <w:spacing w:after="0" w:line="173" w:lineRule="exact"/>
        <w:rPr>
          <w:sz w:val="20"/>
          <w:szCs w:val="20"/>
          <w:color w:val="auto"/>
        </w:rPr>
      </w:pPr>
    </w:p>
    <w:p>
      <w:pPr>
        <w:jc w:val="both"/>
        <w:ind w:firstLine="439"/>
        <w:spacing w:after="0" w:line="239" w:lineRule="auto"/>
        <w:rPr>
          <w:sz w:val="20"/>
          <w:szCs w:val="20"/>
          <w:color w:val="auto"/>
        </w:rPr>
      </w:pPr>
      <w:r>
        <w:rPr>
          <w:rFonts w:ascii="Times New Roman" w:cs="Times New Roman" w:eastAsia="Times New Roman" w:hAnsi="Times New Roman"/>
          <w:sz w:val="18"/>
          <w:szCs w:val="18"/>
          <w:color w:val="auto"/>
        </w:rPr>
        <w:t>The products we currently market in the United States have either received premarket clearance under Section 510(k) of the United States. Federal Food, Drug, and Cosmetic Act (“FDCA”), or are exempt from premarket review. Those marketed in the European Union (“EU”) have been the subject of a CE Certificate of Conformity. The 510(k) clearance process of the U.S. Food and Drug Administration (“FDA”) requires us to document that our product is “substantially equivalent” to another 510(k)-cleared product. The 510(k) process is shorter and typically requires the submission of less supporting documentation than other FDA approval processes, such as a premarket approval (“PMA”), and does not usually require pre-clinical or clinical studies.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p>
    <w:p>
      <w:pPr>
        <w:spacing w:after="0" w:line="194" w:lineRule="exact"/>
        <w:rPr>
          <w:sz w:val="20"/>
          <w:szCs w:val="20"/>
          <w:color w:val="auto"/>
        </w:rPr>
      </w:pPr>
    </w:p>
    <w:p>
      <w:pPr>
        <w:jc w:val="both"/>
        <w:ind w:firstLine="439"/>
        <w:spacing w:after="0" w:line="275" w:lineRule="auto"/>
        <w:rPr>
          <w:sz w:val="20"/>
          <w:szCs w:val="20"/>
          <w:color w:val="auto"/>
        </w:rPr>
      </w:pPr>
      <w:r>
        <w:rPr>
          <w:rFonts w:ascii="Times New Roman" w:cs="Times New Roman" w:eastAsia="Times New Roman" w:hAnsi="Times New Roman"/>
          <w:sz w:val="17"/>
          <w:szCs w:val="17"/>
          <w:color w:val="auto"/>
        </w:rPr>
        <w:t>If competitive forces drive down the prices we are able to charge for our product, our profit margins will shrink, which will adversely affect our ability to invest in and maintain and grow our market share.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180" w:lineRule="exact"/>
        <w:rPr>
          <w:sz w:val="20"/>
          <w:szCs w:val="20"/>
          <w:color w:val="auto"/>
        </w:rPr>
      </w:pPr>
    </w:p>
    <w:p>
      <w:pPr>
        <w:jc w:val="both"/>
        <w:ind w:firstLine="439"/>
        <w:spacing w:after="0" w:line="253" w:lineRule="auto"/>
        <w:rPr>
          <w:sz w:val="20"/>
          <w:szCs w:val="20"/>
          <w:color w:val="auto"/>
        </w:rPr>
      </w:pPr>
      <w:r>
        <w:rPr>
          <w:rFonts w:ascii="Times New Roman" w:cs="Times New Roman" w:eastAsia="Times New Roman" w:hAnsi="Times New Roman"/>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and revenue down and harm our ability to market and sell our products.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2" w:name="page43"/>
    <w:bookmarkEnd w:id="42"/>
    <w:p>
      <w:pPr>
        <w:jc w:val="both"/>
        <w:ind w:firstLine="439"/>
        <w:spacing w:after="0" w:line="239" w:lineRule="auto"/>
        <w:rPr>
          <w:sz w:val="20"/>
          <w:szCs w:val="20"/>
          <w:color w:val="auto"/>
        </w:rPr>
      </w:pPr>
      <w:r>
        <w:rPr>
          <w:rFonts w:ascii="Times New Roman" w:cs="Times New Roman" w:eastAsia="Times New Roman" w:hAnsi="Times New Roman"/>
          <w:sz w:val="18"/>
          <w:szCs w:val="18"/>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2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Practice trends or other factors, including the COVID-19 pandemic, may cause procedures to shift from the hospital environment to ambulatory surgical centers, or ASCs, where pressure on the prices of our products is generally more acute.</w:t>
      </w:r>
    </w:p>
    <w:p>
      <w:pPr>
        <w:spacing w:after="0" w:line="199" w:lineRule="exact"/>
        <w:rPr>
          <w:sz w:val="20"/>
          <w:szCs w:val="20"/>
          <w:color w:val="auto"/>
        </w:rPr>
      </w:pPr>
    </w:p>
    <w:p>
      <w:pPr>
        <w:jc w:val="both"/>
        <w:ind w:firstLine="439"/>
        <w:spacing w:after="0" w:line="255" w:lineRule="auto"/>
        <w:rPr>
          <w:sz w:val="20"/>
          <w:szCs w:val="20"/>
          <w:color w:val="auto"/>
        </w:rPr>
      </w:pPr>
      <w:r>
        <w:rPr>
          <w:rFonts w:ascii="Times New Roman" w:cs="Times New Roman" w:eastAsia="Times New Roman" w:hAnsi="Times New Roman"/>
          <w:sz w:val="17"/>
          <w:szCs w:val="17"/>
          <w:color w:val="auto"/>
        </w:rPr>
        <w:t>To protect health care professionals involved in surgical care and their patients, we anticipate that more outpatient eligible procedures will be performed in ASCs during the COVID-19 pandemic, and as its acuity declines and the healthcare system returns to a more normalized state. We anticipate that this trend will nevertheless continue as a cost control measure with the healthcare system. Since patients do not stay overnight in ASCs and COVID-19 patients would not otherwise be treated in ASCs, it is likely that the ASC will be viewed as a safer site of service for patients and health care providers, where the risk of transmission of the novel coronavirus can be more effectively controlled. In addition, ASC are generally more economically favorable site of service, and surgeons performing the procedures sometimes have ownership interests in the ASC. Because ASC facility fee reimbursement is typically less than facility fee reimbursement for hospitals and due to surgeons’ economic interest in ASCs, we typically experience more pressure on the pricing of our products by ASCs than by hospitals, and the average price for which we sell our products to ASCs is less than the average prices we charge to hospitals. In addition, some surgeons may choose to use fewer implants due to their interest in the profitability of the ASC. An accelerated shift of procedures using our products to ASCs as a result of the COVID-19 pandemic could adversely impact the average selling prices of our products and our revenues could suffer as a result.</w:t>
      </w:r>
    </w:p>
    <w:p>
      <w:pPr>
        <w:spacing w:after="0" w:line="16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business environment and if we are unable to compete successfully against our existing or potential competitors, our sales and operating results may be adversely affected.</w:t>
      </w:r>
    </w:p>
    <w:p>
      <w:pPr>
        <w:spacing w:after="0" w:line="173" w:lineRule="exact"/>
        <w:rPr>
          <w:sz w:val="20"/>
          <w:szCs w:val="20"/>
          <w:color w:val="auto"/>
        </w:rPr>
      </w:pPr>
    </w:p>
    <w:p>
      <w:pPr>
        <w:jc w:val="both"/>
        <w:ind w:firstLine="439"/>
        <w:spacing w:after="0"/>
        <w:rPr>
          <w:sz w:val="20"/>
          <w:szCs w:val="20"/>
          <w:color w:val="auto"/>
        </w:rPr>
      </w:pPr>
      <w:r>
        <w:rPr>
          <w:rFonts w:ascii="Times New Roman" w:cs="Times New Roman" w:eastAsia="Times New Roman" w:hAnsi="Times New Roman"/>
          <w:sz w:val="18"/>
          <w:szCs w:val="18"/>
          <w:color w:val="auto"/>
        </w:rPr>
        <w:t>Our currently marketed products are, and any future products we commercialize will likely be, subject to intense competition. Our field is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222" w:lineRule="exact"/>
        <w:rPr>
          <w:sz w:val="20"/>
          <w:szCs w:val="20"/>
          <w:color w:val="auto"/>
        </w:rPr>
      </w:pPr>
    </w:p>
    <w:p>
      <w:pPr>
        <w:jc w:val="both"/>
        <w:ind w:firstLine="439"/>
        <w:spacing w:after="0" w:line="256" w:lineRule="auto"/>
        <w:rPr>
          <w:sz w:val="20"/>
          <w:szCs w:val="20"/>
          <w:color w:val="auto"/>
        </w:rPr>
      </w:pPr>
      <w:r>
        <w:rPr>
          <w:rFonts w:ascii="Times New Roman" w:cs="Times New Roman" w:eastAsia="Times New Roman" w:hAnsi="Times New Roman"/>
          <w:sz w:val="17"/>
          <w:szCs w:val="17"/>
          <w:color w:val="auto"/>
        </w:rPr>
        <w:t>The number of competitors that we are aware of marketing sacroiliac joint fusion products in the United States has grown from zero to more than 20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implants intended to treat different conditions affecting the spine and pelvis. The ability of these competitors to sell these products together or as</w:t>
      </w:r>
    </w:p>
    <w:p>
      <w:pPr>
        <w:spacing w:after="0" w:line="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part of larger purchasing arrangements may put us at a disadvantage. In addition, if these competitors use technology, contracts, or intellectual property measures to limit or eliminate the compatibility of their surgical imaging, navigation and robotic systems with our products, sales of our products could decline or fail to grow, which could adversely affect our business and results of operations.</w:t>
      </w:r>
    </w:p>
    <w:p>
      <w:pPr>
        <w:spacing w:after="0" w:line="220" w:lineRule="exact"/>
        <w:rPr>
          <w:sz w:val="20"/>
          <w:szCs w:val="20"/>
          <w:color w:val="auto"/>
        </w:rPr>
      </w:pPr>
    </w:p>
    <w:p>
      <w:pPr>
        <w:jc w:val="both"/>
        <w:ind w:firstLine="439"/>
        <w:spacing w:after="0" w:line="257" w:lineRule="auto"/>
        <w:rPr>
          <w:sz w:val="20"/>
          <w:szCs w:val="20"/>
          <w:color w:val="auto"/>
        </w:rPr>
      </w:pPr>
      <w:r>
        <w:rPr>
          <w:rFonts w:ascii="Times New Roman" w:cs="Times New Roman" w:eastAsia="Times New Roman" w:hAnsi="Times New Roman"/>
          <w:sz w:val="17"/>
          <w:szCs w:val="17"/>
          <w:color w:val="auto"/>
        </w:rPr>
        <w:t>In the United States, we believe that our primary competitors marketing implantable devices currently are Medtronic plc and Globus Medical, Inc. In addition, a number of smaller companies selling allograft implants to a variety of physicians have collectively become a larger presence in our market. Our primary competitors in Europe are Globus Medical, Inc. and SIGNUS Medizintechnik GmbH.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(“EEA”), more rapidly than we can, which could impair our ability to develop</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43" w:name="page44"/>
    <w:bookmarkEnd w:id="43"/>
    <w:p>
      <w:pPr>
        <w:jc w:val="both"/>
        <w:spacing w:after="0" w:line="260" w:lineRule="auto"/>
        <w:rPr>
          <w:sz w:val="20"/>
          <w:szCs w:val="20"/>
          <w:color w:val="auto"/>
        </w:rPr>
      </w:pPr>
      <w:r>
        <w:rPr>
          <w:rFonts w:ascii="Times New Roman" w:cs="Times New Roman" w:eastAsia="Times New Roman" w:hAnsi="Times New Roman"/>
          <w:sz w:val="18"/>
          <w:szCs w:val="18"/>
          <w:color w:val="auto"/>
        </w:rPr>
        <w:t>and commercialize similar processes or products. If alternative treatments are, or are perceived to be, superior to our products, sales of our products and our results of operations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439"/>
        <w:spacing w:after="0" w:line="242" w:lineRule="auto"/>
        <w:rPr>
          <w:sz w:val="20"/>
          <w:szCs w:val="20"/>
          <w:color w:val="auto"/>
        </w:rPr>
      </w:pPr>
      <w:r>
        <w:rPr>
          <w:rFonts w:ascii="Times New Roman" w:cs="Times New Roman" w:eastAsia="Times New Roman" w:hAnsi="Times New Roman"/>
          <w:sz w:val="18"/>
          <w:szCs w:val="18"/>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current or planned future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208" w:lineRule="exact"/>
        <w:rPr>
          <w:sz w:val="20"/>
          <w:szCs w:val="20"/>
          <w:color w:val="auto"/>
        </w:rPr>
      </w:pPr>
    </w:p>
    <w:p>
      <w:pPr>
        <w:jc w:val="both"/>
        <w:ind w:firstLine="439"/>
        <w:spacing w:after="0" w:line="253" w:lineRule="auto"/>
        <w:rPr>
          <w:sz w:val="20"/>
          <w:szCs w:val="20"/>
          <w:color w:val="auto"/>
        </w:rPr>
      </w:pPr>
      <w:r>
        <w:rPr>
          <w:rFonts w:ascii="Times New Roman" w:cs="Times New Roman" w:eastAsia="Times New Roman" w:hAnsi="Times New Roman"/>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market share or product margins could decrease, thereby harming our business.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p>
    <w:p>
      <w:pPr>
        <w:spacing w:after="0" w:line="194" w:lineRule="exact"/>
        <w:rPr>
          <w:sz w:val="20"/>
          <w:szCs w:val="20"/>
          <w:color w:val="auto"/>
        </w:rPr>
      </w:pPr>
    </w:p>
    <w:p>
      <w:pPr>
        <w:jc w:val="both"/>
        <w:ind w:firstLine="439"/>
        <w:spacing w:after="0" w:line="246" w:lineRule="auto"/>
        <w:rPr>
          <w:sz w:val="20"/>
          <w:szCs w:val="20"/>
          <w:color w:val="auto"/>
        </w:rPr>
      </w:pPr>
      <w:r>
        <w:rPr>
          <w:rFonts w:ascii="Times New Roman" w:cs="Times New Roman" w:eastAsia="Times New Roman" w:hAnsi="Times New Roman"/>
          <w:sz w:val="18"/>
          <w:szCs w:val="18"/>
          <w:color w:val="auto"/>
        </w:rPr>
        <w:t>Substantially all of our revenue comes from the sale of iFuse, iFuse-3D and iFuse-TORQ implants, and related tools and instruments. Therefore, we are dependent on widespread market adoption of iFuse and we will continue to be dependent on the success of this single product family for some time. There can be no assurance that iFuse will maintain a substantial degree of market acceptance among surgeons, patients or healthcare providers. Our failure to successfully grow the market for iFuse and increase our share within that market or any other event impeding our ability to sell iFuse, could adversely affect our results of operations, financial condition and continuing operations.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If clinical experience with our iFuse Bedrock technique or iFuse Bedrock Granite does not result in positive outcomes for patients, or if clinical trials involving the use of iFuse Bedrock and/or iFuse Bedrock Granite fail to show meaningful patient benefit, sales of our iFuse and/or iFuse Bedrock Granite implants could be adversely impacted.</w:t>
      </w:r>
    </w:p>
    <w:p>
      <w:pPr>
        <w:spacing w:after="0" w:line="194" w:lineRule="exact"/>
        <w:rPr>
          <w:sz w:val="20"/>
          <w:szCs w:val="20"/>
          <w:color w:val="auto"/>
        </w:rPr>
      </w:pPr>
    </w:p>
    <w:p>
      <w:pPr>
        <w:jc w:val="both"/>
        <w:ind w:firstLine="439"/>
        <w:spacing w:after="0" w:line="255" w:lineRule="auto"/>
        <w:rPr>
          <w:sz w:val="20"/>
          <w:szCs w:val="20"/>
          <w:color w:val="auto"/>
        </w:rPr>
      </w:pPr>
      <w:r>
        <w:rPr>
          <w:rFonts w:ascii="Times New Roman" w:cs="Times New Roman" w:eastAsia="Times New Roman" w:hAnsi="Times New Roman"/>
          <w:sz w:val="17"/>
          <w:szCs w:val="17"/>
          <w:color w:val="auto"/>
        </w:rPr>
        <w:t>In November 2018, we introduced our iFuse Bedrock technique, in which spine surgeons place iFuse triangular implants across the sacroiliac joint using a different surgical approach to treat sacroiliac joint dysfunction at the same time they are fusing multiple levels of the spine above and affixing those spinal fusion devices to the pelvis. In April 2019, the FDA cleared promotion of iFuse Bedrock for a broader and more general purpose, to provide additional stability and immobilization of the sacroiliac joint in connection with a thoracolumbar fusion procedure. In May 2022, we introduced iFuse Bedrock Granite, an implant which fuses the sacroiliac joint and attaches to the rods placed in a multi-segment spinal fusion construct, and which is used in substantially similar procedures to the iFuse Bedrock Technique. To date, clinical experience with the iFuse Bedrock technique and with iFuse Bedrock Granite is limited and we have yet to complete a clinical trial to evaluate the iFuse Bedrock technique or the iFuse Bedrock Granite implant. Surgeons do not know if the addition of sacroiliac fusion devices to the implants used to fuse multiple levels of the lumbar spine will result in patient benefit. If surgeons' clinical experience with our implants in these procedures is not positive, or if our clinical trials do not show meaningful benefits to the patients undergoing this procedure, sale of our iFuse implants for this indication could be adversely impacted, which could negatively affect our operations and financial condition.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network of direct sales representatives and third-party distributors, we may not be able to generate anticipated sales.</w:t>
      </w:r>
    </w:p>
    <w:p>
      <w:pPr>
        <w:spacing w:after="0" w:line="223" w:lineRule="exact"/>
        <w:rPr>
          <w:sz w:val="20"/>
          <w:szCs w:val="20"/>
          <w:color w:val="auto"/>
        </w:rPr>
      </w:pPr>
    </w:p>
    <w:p>
      <w:pPr>
        <w:jc w:val="both"/>
        <w:ind w:firstLine="439"/>
        <w:spacing w:after="0" w:line="241" w:lineRule="auto"/>
        <w:rPr>
          <w:sz w:val="20"/>
          <w:szCs w:val="20"/>
          <w:color w:val="auto"/>
        </w:rPr>
      </w:pPr>
      <w:r>
        <w:rPr>
          <w:rFonts w:ascii="Times New Roman" w:cs="Times New Roman" w:eastAsia="Times New Roman" w:hAnsi="Times New Roman"/>
          <w:sz w:val="18"/>
          <w:szCs w:val="18"/>
          <w:color w:val="auto"/>
        </w:rPr>
        <w:t>As of June 30, 2022, our U.S. sales force consisted of 85 territory sales managers and 76 clinical support specialists directly employed by us, and 73 third-party distributors. As of June 30, 2022, our international sales force consisted of 18 sales representatives directly employed by us and 30 third-party distributors, which together have had sales in 38 countries through June 30, 2022. Our operating results are directly dependent upon the sales and marketing efforts of both our direct sales force and of our third-party distributors.</w:t>
      </w:r>
    </w:p>
    <w:p>
      <w:pPr>
        <w:spacing w:after="0" w:line="194" w:lineRule="exact"/>
        <w:rPr>
          <w:sz w:val="20"/>
          <w:szCs w:val="20"/>
          <w:color w:val="auto"/>
        </w:rPr>
      </w:pPr>
    </w:p>
    <w:p>
      <w:pPr>
        <w:jc w:val="both"/>
        <w:ind w:firstLine="439"/>
        <w:spacing w:after="0" w:line="239" w:lineRule="auto"/>
        <w:rPr>
          <w:sz w:val="20"/>
          <w:szCs w:val="20"/>
          <w:color w:val="auto"/>
        </w:rPr>
      </w:pPr>
      <w:r>
        <w:rPr>
          <w:rFonts w:ascii="Times New Roman" w:cs="Times New Roman" w:eastAsia="Times New Roman" w:hAnsi="Times New Roman"/>
          <w:sz w:val="18"/>
          <w:szCs w:val="18"/>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w:t>
      </w:r>
    </w:p>
    <w:p>
      <w:pPr>
        <w:sectPr>
          <w:pgSz w:w="11900" w:h="16838" w:orient="portrait"/>
          <w:cols w:equalWidth="0" w:num="1">
            <w:col w:w="11240"/>
          </w:cols>
          <w:pgMar w:left="320" w:top="760"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44" w:name="page45"/>
    <w:bookmarkEnd w:id="44"/>
    <w:p>
      <w:pPr>
        <w:jc w:val="both"/>
        <w:spacing w:after="0" w:line="260" w:lineRule="auto"/>
        <w:rPr>
          <w:sz w:val="20"/>
          <w:szCs w:val="20"/>
          <w:color w:val="auto"/>
        </w:rPr>
      </w:pPr>
      <w:r>
        <w:rPr>
          <w:rFonts w:ascii="Times New Roman" w:cs="Times New Roman" w:eastAsia="Times New Roman" w:hAnsi="Times New Roman"/>
          <w:sz w:val="18"/>
          <w:szCs w:val="18"/>
          <w:color w:val="auto"/>
        </w:rPr>
        <w:t>and generating sales. If our direct sales representatives or third-party distributors fail to adequately promote, market and sell our products or decide to leave or cease to do business with us, our sales could significantly decrease.</w:t>
      </w:r>
    </w:p>
    <w:p>
      <w:pPr>
        <w:spacing w:after="0" w:line="204" w:lineRule="exact"/>
        <w:rPr>
          <w:sz w:val="20"/>
          <w:szCs w:val="20"/>
          <w:color w:val="auto"/>
        </w:rPr>
      </w:pPr>
    </w:p>
    <w:p>
      <w:pPr>
        <w:jc w:val="both"/>
        <w:ind w:firstLine="439"/>
        <w:spacing w:after="0" w:line="260" w:lineRule="auto"/>
        <w:rPr>
          <w:sz w:val="20"/>
          <w:szCs w:val="20"/>
          <w:color w:val="auto"/>
        </w:rPr>
      </w:pPr>
      <w:r>
        <w:rPr>
          <w:rFonts w:ascii="Times New Roman" w:cs="Times New Roman" w:eastAsia="Times New Roman" w:hAnsi="Times New Roman"/>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if we lose the services of key members of our senior management, key advisors or personnel.</w:t>
      </w:r>
    </w:p>
    <w:p>
      <w:pPr>
        <w:spacing w:after="0" w:line="223" w:lineRule="exact"/>
        <w:rPr>
          <w:sz w:val="20"/>
          <w:szCs w:val="20"/>
          <w:color w:val="auto"/>
        </w:rPr>
      </w:pPr>
    </w:p>
    <w:p>
      <w:pPr>
        <w:jc w:val="both"/>
        <w:ind w:firstLine="439"/>
        <w:spacing w:after="0"/>
        <w:rPr>
          <w:sz w:val="20"/>
          <w:szCs w:val="20"/>
          <w:color w:val="auto"/>
        </w:rPr>
      </w:pPr>
      <w:r>
        <w:rPr>
          <w:rFonts w:ascii="Times New Roman" w:cs="Times New Roman" w:eastAsia="Times New Roman" w:hAnsi="Times New Roman"/>
          <w:sz w:val="18"/>
          <w:szCs w:val="18"/>
          <w:color w:val="auto"/>
        </w:rPr>
        <w:t>We are dependent upon the continued services of key members of our senior management and a limited number of key advisors and personnel.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222" w:lineRule="exact"/>
        <w:rPr>
          <w:sz w:val="20"/>
          <w:szCs w:val="20"/>
          <w:color w:val="auto"/>
        </w:rPr>
      </w:pPr>
    </w:p>
    <w:p>
      <w:pPr>
        <w:jc w:val="both"/>
        <w:ind w:firstLine="639"/>
        <w:spacing w:after="0" w:line="280" w:lineRule="auto"/>
        <w:rPr>
          <w:sz w:val="20"/>
          <w:szCs w:val="20"/>
          <w:color w:val="auto"/>
        </w:rPr>
      </w:pPr>
      <w:r>
        <w:rPr>
          <w:rFonts w:ascii="Times New Roman" w:cs="Times New Roman" w:eastAsia="Times New Roman" w:hAnsi="Times New Roman"/>
          <w:sz w:val="18"/>
          <w:szCs w:val="18"/>
          <w:color w:val="auto"/>
        </w:rPr>
        <w:t>Our business is highly reliant on a base of skilled employees, including those serving in engineering, information technology, operational, strategic marketing and sales functions. Many of these employees have developed specialized skills which are valuable within the medical device and life sciences industry, and, in some cases, in a broader variety of industries. Competition for skilled employees is significant, and some of the labor markets we compete in have experienced tightening in the past year. In addition, rates of employee turnover have increased among our employees, consistent with the rates experienced by other companies in these industries. If these conditions persist, we could experience further turnover among our employees which could</w:t>
      </w:r>
    </w:p>
    <w:p>
      <w:pPr>
        <w:spacing w:after="0" w:line="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become difficult and more costly to manage, adversely impacting our results of operation. Sustained pressure in these labor markets could also cause prevailing wages to rise, which could adversely impact our business and results of operation and financial condition.</w:t>
      </w:r>
    </w:p>
    <w:p>
      <w:pPr>
        <w:spacing w:after="0" w:line="14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use of our products results in adverse events, this may require them to be taken off the market, require them to include safety warnings or otherwise limit their sales.</w:t>
      </w:r>
    </w:p>
    <w:p>
      <w:pPr>
        <w:spacing w:after="0" w:line="147" w:lineRule="exact"/>
        <w:rPr>
          <w:sz w:val="20"/>
          <w:szCs w:val="20"/>
          <w:color w:val="auto"/>
        </w:rPr>
      </w:pPr>
    </w:p>
    <w:p>
      <w:pPr>
        <w:jc w:val="both"/>
        <w:ind w:firstLine="439"/>
        <w:spacing w:after="0" w:line="242" w:lineRule="auto"/>
        <w:rPr>
          <w:sz w:val="20"/>
          <w:szCs w:val="20"/>
          <w:color w:val="auto"/>
        </w:rPr>
      </w:pPr>
      <w:r>
        <w:rPr>
          <w:rFonts w:ascii="Times New Roman" w:cs="Times New Roman" w:eastAsia="Times New Roman" w:hAnsi="Times New Roman"/>
          <w:sz w:val="18"/>
          <w:szCs w:val="18"/>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we or others later identify adverse events caused by our products:</w:t>
      </w:r>
    </w:p>
    <w:p>
      <w:pPr>
        <w:spacing w:after="0" w:line="206" w:lineRule="exact"/>
        <w:rPr>
          <w:sz w:val="20"/>
          <w:szCs w:val="20"/>
          <w:color w:val="auto"/>
        </w:rPr>
      </w:pPr>
    </w:p>
    <w:p>
      <w:pPr>
        <w:ind w:left="720" w:hanging="234"/>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 and we may not achieve the anticipated market share;</w:t>
      </w:r>
    </w:p>
    <w:p>
      <w:pPr>
        <w:spacing w:after="0" w:line="205" w:lineRule="exact"/>
        <w:rPr>
          <w:rFonts w:ascii="Times New Roman" w:cs="Times New Roman" w:eastAsia="Times New Roman" w:hAnsi="Times New Roman"/>
          <w:sz w:val="18"/>
          <w:szCs w:val="18"/>
          <w:color w:val="auto"/>
        </w:rPr>
      </w:pPr>
    </w:p>
    <w:p>
      <w:pPr>
        <w:ind w:left="880" w:hanging="394"/>
        <w:spacing w:after="0" w:line="276" w:lineRule="auto"/>
        <w:tabs>
          <w:tab w:leader="none" w:pos="8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149"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instructions regarding the way the product is implanted or conduct additional clinical trials;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205" w:lineRule="exact"/>
        <w:rPr>
          <w:rFonts w:ascii="Times New Roman" w:cs="Times New Roman" w:eastAsia="Times New Roman" w:hAnsi="Times New Roman"/>
          <w:sz w:val="18"/>
          <w:szCs w:val="18"/>
          <w:color w:val="auto"/>
        </w:rPr>
      </w:pPr>
    </w:p>
    <w:p>
      <w:pPr>
        <w:ind w:left="880" w:hanging="394"/>
        <w:spacing w:after="0" w:line="276" w:lineRule="auto"/>
        <w:tabs>
          <w:tab w:leader="none" w:pos="8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temporarily or permanently take our approved product off the market or to conduct other field safety corrective actions;</w:t>
      </w:r>
    </w:p>
    <w:p>
      <w:pPr>
        <w:spacing w:after="0" w:line="149"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modify our product;</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fines or product liability claims; and</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6" w:lineRule="exact"/>
        <w:rPr>
          <w:sz w:val="20"/>
          <w:szCs w:val="20"/>
          <w:color w:val="auto"/>
        </w:rPr>
      </w:pPr>
    </w:p>
    <w:p>
      <w:pPr>
        <w:ind w:firstLine="439"/>
        <w:spacing w:after="0" w:line="260"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7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Unfavorable media reports or other negative publicity concerning both alleged improper methods of tissue recovery from donors and disease transmission from donated tissue could limit widespread acceptance of some of our products.</w:t>
      </w:r>
    </w:p>
    <w:p>
      <w:pPr>
        <w:sectPr>
          <w:pgSz w:w="11900" w:h="16838" w:orient="portrait"/>
          <w:cols w:equalWidth="0" w:num="1">
            <w:col w:w="11240"/>
          </w:cols>
          <w:pgMar w:left="320" w:top="7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45" w:name="page46"/>
    <w:bookmarkEnd w:id="45"/>
    <w:p>
      <w:pPr>
        <w:jc w:val="both"/>
        <w:ind w:firstLine="399"/>
        <w:spacing w:after="0" w:line="243" w:lineRule="auto"/>
        <w:rPr>
          <w:sz w:val="20"/>
          <w:szCs w:val="20"/>
          <w:color w:val="auto"/>
        </w:rPr>
      </w:pPr>
      <w:r>
        <w:rPr>
          <w:rFonts w:ascii="Times New Roman" w:cs="Times New Roman" w:eastAsia="Times New Roman" w:hAnsi="Times New Roman"/>
          <w:sz w:val="18"/>
          <w:szCs w:val="18"/>
          <w:color w:val="auto"/>
        </w:rPr>
        <w:t>We introduced iFuse Bone, an implantable bone product manufactured from sterilized recovered cadaveric bone tissue, to meet the demand of some of our surgeon customers to use implantable bone products to support and augment the patient's own bone tissue in orthopedic procedures. Unfavorable reports of improper or illegal tissue recovery practices, both in the United States and internationally, as well as incidents of improperly processed tissue leading to the transmission of disease, may affect the rate of future tissue donation and market acceptance of technologies incorporating human tissue. In addition, negative publicity could cause the families of potential donors to become reluctant to donate tissue to for-profit tissue processors. These reports could have a negative effect on sales of iFuse Bone.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Various factors outside our direct control may adversely affect manufacturing, sterilization, and distribution of our products.</w:t>
      </w:r>
    </w:p>
    <w:p>
      <w:pPr>
        <w:spacing w:after="0" w:line="210" w:lineRule="exact"/>
        <w:rPr>
          <w:sz w:val="20"/>
          <w:szCs w:val="20"/>
          <w:color w:val="auto"/>
        </w:rPr>
      </w:pPr>
    </w:p>
    <w:p>
      <w:pPr>
        <w:jc w:val="both"/>
        <w:ind w:firstLine="439"/>
        <w:spacing w:after="0" w:line="253" w:lineRule="auto"/>
        <w:rPr>
          <w:sz w:val="20"/>
          <w:szCs w:val="20"/>
          <w:color w:val="auto"/>
        </w:rPr>
      </w:pPr>
      <w:r>
        <w:rPr>
          <w:rFonts w:ascii="Times New Roman" w:cs="Times New Roman" w:eastAsia="Times New Roman" w:hAnsi="Times New Roman"/>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171" w:lineRule="exact"/>
        <w:rPr>
          <w:sz w:val="20"/>
          <w:szCs w:val="20"/>
          <w:color w:val="auto"/>
        </w:rPr>
      </w:pPr>
    </w:p>
    <w:p>
      <w:pPr>
        <w:ind w:left="720" w:hanging="234"/>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sterilization on time or in compliance with the required regulatory standards;</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and import and export risk;</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analytical results or failure of analytical techniques that we depend on for quality control and release of products;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large-scale epidemics of communicable diseases such as COVID-19;</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including those caused by material and labor supply shortages in the wake of COVID-19;</w:t>
      </w:r>
    </w:p>
    <w:p>
      <w:pPr>
        <w:spacing w:after="0" w:line="205" w:lineRule="exact"/>
        <w:rPr>
          <w:rFonts w:ascii="Times New Roman" w:cs="Times New Roman" w:eastAsia="Times New Roman" w:hAnsi="Times New Roman"/>
          <w:sz w:val="18"/>
          <w:szCs w:val="18"/>
          <w:color w:val="auto"/>
        </w:rPr>
      </w:pPr>
    </w:p>
    <w:p>
      <w:pPr>
        <w:ind w:left="880" w:hanging="394"/>
        <w:spacing w:after="0" w:line="260" w:lineRule="auto"/>
        <w:tabs>
          <w:tab w:leader="none" w:pos="7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177" w:lineRule="exact"/>
        <w:rPr>
          <w:rFonts w:ascii="Times New Roman" w:cs="Times New Roman" w:eastAsia="Times New Roman" w:hAnsi="Times New Roman"/>
          <w:sz w:val="18"/>
          <w:szCs w:val="18"/>
          <w:color w:val="auto"/>
        </w:rPr>
      </w:pPr>
    </w:p>
    <w:p>
      <w:pPr>
        <w:ind w:left="880" w:right="500" w:hanging="394"/>
        <w:spacing w:after="0" w:line="26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latent defects that may become apparent after products have been released and that may result in a recall or field safety corrective action with respect to such products.</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any of these risks were to materialize, our ability to provide our products to customers on a timely basis could be adversely impacted.</w:t>
      </w:r>
    </w:p>
    <w:p>
      <w:pPr>
        <w:spacing w:after="0" w:line="2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188" w:lineRule="exact"/>
        <w:rPr>
          <w:sz w:val="20"/>
          <w:szCs w:val="20"/>
          <w:color w:val="auto"/>
        </w:rPr>
      </w:pPr>
    </w:p>
    <w:p>
      <w:pPr>
        <w:jc w:val="both"/>
        <w:ind w:firstLine="439"/>
        <w:spacing w:after="0" w:line="242" w:lineRule="auto"/>
        <w:rPr>
          <w:sz w:val="20"/>
          <w:szCs w:val="20"/>
          <w:color w:val="auto"/>
        </w:rPr>
      </w:pPr>
      <w:r>
        <w:rPr>
          <w:rFonts w:ascii="Times New Roman" w:cs="Times New Roman" w:eastAsia="Times New Roman" w:hAnsi="Times New Roman"/>
          <w:sz w:val="18"/>
          <w:szCs w:val="18"/>
          <w:color w:val="auto"/>
        </w:rPr>
        <w:t>We rely on third-party suppliers to manufacture and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including our implants, from a single supplier. Therefore, we cannot assure investors that we will be able to obtain sufficient quantities of product in the future.</w:t>
      </w:r>
    </w:p>
    <w:p>
      <w:pPr>
        <w:spacing w:after="0" w:line="181" w:lineRule="exact"/>
        <w:rPr>
          <w:sz w:val="20"/>
          <w:szCs w:val="20"/>
          <w:color w:val="auto"/>
        </w:rPr>
      </w:pPr>
    </w:p>
    <w:p>
      <w:pPr>
        <w:jc w:val="both"/>
        <w:ind w:firstLine="439"/>
        <w:spacing w:after="0" w:line="253" w:lineRule="auto"/>
        <w:rPr>
          <w:sz w:val="20"/>
          <w:szCs w:val="20"/>
          <w:color w:val="auto"/>
        </w:rPr>
      </w:pPr>
      <w:r>
        <w:rPr>
          <w:rFonts w:ascii="Times New Roman" w:cs="Times New Roman" w:eastAsia="Times New Roman" w:hAnsi="Times New Roman"/>
          <w:sz w:val="18"/>
          <w:szCs w:val="18"/>
          <w:color w:val="auto"/>
        </w:rPr>
        <w:t>In addition, future growth could strain the ability of our suppliers to deliver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171" w:lineRule="exact"/>
        <w:rPr>
          <w:sz w:val="20"/>
          <w:szCs w:val="20"/>
          <w:color w:val="auto"/>
        </w:rPr>
      </w:pPr>
    </w:p>
    <w:p>
      <w:pPr>
        <w:jc w:val="both"/>
        <w:ind w:firstLine="439"/>
        <w:spacing w:after="0" w:line="276" w:lineRule="auto"/>
        <w:rPr>
          <w:sz w:val="20"/>
          <w:szCs w:val="20"/>
          <w:color w:val="auto"/>
        </w:rPr>
      </w:pPr>
      <w:r>
        <w:rPr>
          <w:rFonts w:ascii="Times New Roman" w:cs="Times New Roman" w:eastAsia="Times New Roman" w:hAnsi="Times New Roman"/>
          <w:sz w:val="18"/>
          <w:szCs w:val="18"/>
          <w:color w:val="auto"/>
        </w:rPr>
        <w:t>We generally use a small number of suppliers for our instruments and currently rely on RMS for iFuse-3D implants and Orchid for iFuse implants. Our dependence on such a limited number of suppliers exposes us to risks, including, among other things:</w:t>
      </w:r>
    </w:p>
    <w:p>
      <w:pPr>
        <w:spacing w:after="0" w:line="150" w:lineRule="exact"/>
        <w:rPr>
          <w:sz w:val="20"/>
          <w:szCs w:val="20"/>
          <w:color w:val="auto"/>
        </w:rPr>
      </w:pPr>
    </w:p>
    <w:p>
      <w:pPr>
        <w:ind w:left="880" w:hanging="394"/>
        <w:spacing w:after="0" w:line="260" w:lineRule="auto"/>
        <w:tabs>
          <w:tab w:leader="none" w:pos="8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163" w:lineRule="exact"/>
        <w:rPr>
          <w:rFonts w:ascii="Times New Roman" w:cs="Times New Roman" w:eastAsia="Times New Roman" w:hAnsi="Times New Roman"/>
          <w:sz w:val="18"/>
          <w:szCs w:val="18"/>
          <w:color w:val="auto"/>
        </w:rPr>
      </w:pPr>
    </w:p>
    <w:p>
      <w:pPr>
        <w:ind w:left="880" w:hanging="394"/>
        <w:spacing w:after="0" w:line="276" w:lineRule="auto"/>
        <w:tabs>
          <w:tab w:leader="none" w:pos="7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manufacturers or suppliers may fail to maintain good manufacturing practices, leading to quality control problems or regulatory findings that could cause disruptions in their manufacturing processes and lead to delays in shipments of our products;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6" w:name="page47"/>
    <w:bookmarkEnd w:id="46"/>
    <w:p>
      <w:pPr>
        <w:ind w:left="880" w:hanging="394"/>
        <w:spacing w:after="0" w:line="260" w:lineRule="auto"/>
        <w:tabs>
          <w:tab w:leader="none" w:pos="7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177" w:lineRule="exact"/>
        <w:rPr>
          <w:rFonts w:ascii="Times New Roman" w:cs="Times New Roman" w:eastAsia="Times New Roman" w:hAnsi="Times New Roman"/>
          <w:sz w:val="18"/>
          <w:szCs w:val="18"/>
          <w:color w:val="auto"/>
        </w:rPr>
      </w:pPr>
    </w:p>
    <w:p>
      <w:pPr>
        <w:ind w:left="880" w:hanging="394"/>
        <w:spacing w:after="0" w:line="260" w:lineRule="auto"/>
        <w:tabs>
          <w:tab w:leader="none" w:pos="7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manufacturers and suppliers may be subject to price fluctuations due to a lack of long-term supply arrangements for key components;</w:t>
      </w:r>
    </w:p>
    <w:p>
      <w:pPr>
        <w:spacing w:after="0" w:line="163" w:lineRule="exact"/>
        <w:rPr>
          <w:rFonts w:ascii="Times New Roman" w:cs="Times New Roman" w:eastAsia="Times New Roman" w:hAnsi="Times New Roman"/>
          <w:sz w:val="18"/>
          <w:szCs w:val="18"/>
          <w:color w:val="auto"/>
        </w:rPr>
      </w:pPr>
    </w:p>
    <w:p>
      <w:pPr>
        <w:ind w:left="880" w:hanging="394"/>
        <w:spacing w:after="0" w:line="276" w:lineRule="auto"/>
        <w:tabs>
          <w:tab w:leader="none" w:pos="7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manufacturers and suppliers may lose access to critical services, raw materials and components, or experience significant delays in obtaining them, resulting in an interruption in the manufacture, assembly and shipment of our systems;</w:t>
      </w:r>
    </w:p>
    <w:p>
      <w:pPr>
        <w:spacing w:after="0" w:line="149" w:lineRule="exact"/>
        <w:rPr>
          <w:rFonts w:ascii="Times New Roman" w:cs="Times New Roman" w:eastAsia="Times New Roman" w:hAnsi="Times New Roman"/>
          <w:sz w:val="18"/>
          <w:szCs w:val="18"/>
          <w:color w:val="auto"/>
        </w:rPr>
      </w:pPr>
    </w:p>
    <w:p>
      <w:pPr>
        <w:ind w:left="880" w:hanging="394"/>
        <w:spacing w:after="0" w:line="260" w:lineRule="auto"/>
        <w:tabs>
          <w:tab w:leader="none" w:pos="7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manufacturers could experience plant closures due to local epidemics of communicable diseases, such as COVID-19, or local outbreaks of such diseases among their workforce, thereby shuttering a plant in which our products are manufactured;</w:t>
      </w:r>
    </w:p>
    <w:p>
      <w:pPr>
        <w:spacing w:after="0" w:line="177"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delivery by our third-party manufacturers and suppliers due to changes in demand from us or their other customers;</w:t>
      </w:r>
    </w:p>
    <w:p>
      <w:pPr>
        <w:spacing w:after="0" w:line="205" w:lineRule="exact"/>
        <w:rPr>
          <w:rFonts w:ascii="Times New Roman" w:cs="Times New Roman" w:eastAsia="Times New Roman" w:hAnsi="Times New Roman"/>
          <w:sz w:val="18"/>
          <w:szCs w:val="18"/>
          <w:color w:val="auto"/>
        </w:rPr>
      </w:pPr>
    </w:p>
    <w:p>
      <w:pPr>
        <w:ind w:left="880" w:hanging="394"/>
        <w:spacing w:after="0" w:line="260" w:lineRule="auto"/>
        <w:tabs>
          <w:tab w:leader="none" w:pos="7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177"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and suppliers may wish to discontinue supplying components or services to us for risk management reasons;</w:t>
      </w:r>
    </w:p>
    <w:p>
      <w:pPr>
        <w:spacing w:after="0" w:line="205" w:lineRule="exact"/>
        <w:rPr>
          <w:rFonts w:ascii="Times New Roman" w:cs="Times New Roman" w:eastAsia="Times New Roman" w:hAnsi="Times New Roman"/>
          <w:sz w:val="18"/>
          <w:szCs w:val="18"/>
          <w:color w:val="auto"/>
        </w:rPr>
      </w:pPr>
    </w:p>
    <w:p>
      <w:pPr>
        <w:ind w:left="880" w:hanging="394"/>
        <w:spacing w:after="0" w:line="260" w:lineRule="auto"/>
        <w:tabs>
          <w:tab w:leader="none" w:pos="81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find new or alternative components or reconfigure our system and manufacturing processes in a timely manner if the necessary components become unavailable; and</w:t>
      </w:r>
    </w:p>
    <w:p>
      <w:pPr>
        <w:spacing w:after="0" w:line="177" w:lineRule="exact"/>
        <w:rPr>
          <w:rFonts w:ascii="Times New Roman" w:cs="Times New Roman" w:eastAsia="Times New Roman" w:hAnsi="Times New Roman"/>
          <w:sz w:val="18"/>
          <w:szCs w:val="18"/>
          <w:color w:val="auto"/>
        </w:rPr>
      </w:pPr>
    </w:p>
    <w:p>
      <w:pPr>
        <w:ind w:left="880" w:hanging="394"/>
        <w:spacing w:after="0" w:line="260" w:lineRule="auto"/>
        <w:tabs>
          <w:tab w:leader="none" w:pos="7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and suppliers may encounter financial hardships unrelated to our demand, which could inhibit their ability to fulfill our orders and meet our requirements.</w:t>
      </w:r>
    </w:p>
    <w:p>
      <w:pPr>
        <w:spacing w:after="0" w:line="164" w:lineRule="exact"/>
        <w:rPr>
          <w:sz w:val="20"/>
          <w:szCs w:val="20"/>
          <w:color w:val="auto"/>
        </w:rPr>
      </w:pPr>
    </w:p>
    <w:p>
      <w:pPr>
        <w:jc w:val="both"/>
        <w:ind w:firstLine="439"/>
        <w:spacing w:after="0" w:line="246" w:lineRule="auto"/>
        <w:rPr>
          <w:sz w:val="20"/>
          <w:szCs w:val="20"/>
          <w:color w:val="auto"/>
        </w:rPr>
      </w:pPr>
      <w:r>
        <w:rPr>
          <w:rFonts w:ascii="Times New Roman" w:cs="Times New Roman" w:eastAsia="Times New Roman" w:hAnsi="Times New Roman"/>
          <w:sz w:val="18"/>
          <w:szCs w:val="18"/>
          <w:color w:val="auto"/>
        </w:rPr>
        <w:t>If any one or more of these risks materialize, it could significantly increase our costs and impact our ability to meet demand for our products and to launch new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190" w:lineRule="exact"/>
        <w:rPr>
          <w:sz w:val="20"/>
          <w:szCs w:val="20"/>
          <w:color w:val="auto"/>
        </w:rPr>
      </w:pPr>
    </w:p>
    <w:p>
      <w:pPr>
        <w:jc w:val="both"/>
        <w:ind w:firstLine="439"/>
        <w:spacing w:after="0" w:line="239" w:lineRule="auto"/>
        <w:rPr>
          <w:sz w:val="20"/>
          <w:szCs w:val="20"/>
          <w:color w:val="auto"/>
        </w:rPr>
      </w:pPr>
      <w:r>
        <w:rPr>
          <w:rFonts w:ascii="Times New Roman" w:cs="Times New Roman" w:eastAsia="Times New Roman" w:hAnsi="Times New Roman"/>
          <w:sz w:val="18"/>
          <w:szCs w:val="18"/>
          <w:color w:val="auto"/>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spacing w:after="0" w:line="209" w:lineRule="exact"/>
        <w:rPr>
          <w:sz w:val="20"/>
          <w:szCs w:val="20"/>
          <w:color w:val="auto"/>
        </w:rPr>
      </w:pPr>
    </w:p>
    <w:p>
      <w:pPr>
        <w:jc w:val="both"/>
        <w:ind w:firstLine="439"/>
        <w:spacing w:after="0" w:line="243" w:lineRule="auto"/>
        <w:rPr>
          <w:sz w:val="20"/>
          <w:szCs w:val="20"/>
          <w:color w:val="auto"/>
        </w:rPr>
      </w:pPr>
      <w:r>
        <w:rPr>
          <w:rFonts w:ascii="Times New Roman" w:cs="Times New Roman" w:eastAsia="Times New Roman" w:hAnsi="Times New Roman"/>
          <w:sz w:val="18"/>
          <w:szCs w:val="18"/>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207" w:lineRule="exact"/>
        <w:rPr>
          <w:sz w:val="20"/>
          <w:szCs w:val="20"/>
          <w:color w:val="auto"/>
        </w:rPr>
      </w:pPr>
    </w:p>
    <w:p>
      <w:pPr>
        <w:jc w:val="both"/>
        <w:ind w:firstLine="439"/>
        <w:spacing w:after="0" w:line="242" w:lineRule="auto"/>
        <w:rPr>
          <w:sz w:val="20"/>
          <w:szCs w:val="20"/>
          <w:color w:val="auto"/>
        </w:rPr>
      </w:pPr>
      <w:r>
        <w:rPr>
          <w:rFonts w:ascii="Times New Roman" w:cs="Times New Roman" w:eastAsia="Times New Roman" w:hAnsi="Times New Roman"/>
          <w:sz w:val="18"/>
          <w:szCs w:val="18"/>
          <w:color w:val="auto"/>
        </w:rPr>
        <w:t>We may also have difficulty obtaining similar components from other suppliers that are acceptable to the FDA, our Notified Body and the competent authorities in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47" w:name="page48"/>
    <w:bookmarkEnd w:id="47"/>
    <w:p>
      <w:pPr>
        <w:jc w:val="both"/>
        <w:spacing w:after="0" w:line="260" w:lineRule="auto"/>
        <w:rPr>
          <w:sz w:val="20"/>
          <w:szCs w:val="20"/>
          <w:color w:val="auto"/>
        </w:rPr>
      </w:pPr>
      <w:r>
        <w:rPr>
          <w:rFonts w:ascii="Times New Roman" w:cs="Times New Roman" w:eastAsia="Times New Roman" w:hAnsi="Times New Roman"/>
          <w:sz w:val="18"/>
          <w:szCs w:val="18"/>
          <w:color w:val="auto"/>
        </w:rPr>
        <w:t>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204" w:lineRule="exact"/>
        <w:rPr>
          <w:sz w:val="20"/>
          <w:szCs w:val="20"/>
          <w:color w:val="auto"/>
        </w:rPr>
      </w:pPr>
    </w:p>
    <w:p>
      <w:pPr>
        <w:jc w:val="both"/>
        <w:ind w:firstLine="439"/>
        <w:spacing w:after="0" w:line="242" w:lineRule="auto"/>
        <w:rPr>
          <w:sz w:val="20"/>
          <w:szCs w:val="20"/>
          <w:color w:val="auto"/>
        </w:rPr>
      </w:pPr>
      <w:r>
        <w:rPr>
          <w:rFonts w:ascii="Times New Roman" w:cs="Times New Roman" w:eastAsia="Times New Roman" w:hAnsi="Times New Roman"/>
          <w:sz w:val="18"/>
          <w:szCs w:val="18"/>
          <w:color w:val="auto"/>
        </w:rPr>
        <w:t>In addition, each of our third-party suppliers operates at a facility in a single location and substantially all of our inventory of component supplies and finished goods is held at these locations. A local outbreak of COVID-19 cases,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encounter problems or delays in the assembly of our products or fail to meet certain regulatory requirements which could result in an adverse effect on our business and financial results.</w:t>
      </w:r>
    </w:p>
    <w:p>
      <w:pPr>
        <w:spacing w:after="0" w:line="147" w:lineRule="exact"/>
        <w:rPr>
          <w:sz w:val="20"/>
          <w:szCs w:val="20"/>
          <w:color w:val="auto"/>
        </w:rPr>
      </w:pPr>
    </w:p>
    <w:p>
      <w:pPr>
        <w:jc w:val="both"/>
        <w:ind w:firstLine="439"/>
        <w:spacing w:after="0" w:line="253" w:lineRule="auto"/>
        <w:rPr>
          <w:sz w:val="20"/>
          <w:szCs w:val="20"/>
          <w:color w:val="auto"/>
        </w:rPr>
      </w:pPr>
      <w:r>
        <w:rPr>
          <w:rFonts w:ascii="Times New Roman" w:cs="Times New Roman" w:eastAsia="Times New Roman" w:hAnsi="Times New Roman"/>
          <w:sz w:val="18"/>
          <w:szCs w:val="18"/>
          <w:color w:val="auto"/>
        </w:rPr>
        <w:t>After the impacts of the COVID-19 pandemic subside, 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171" w:lineRule="exact"/>
        <w:rPr>
          <w:sz w:val="20"/>
          <w:szCs w:val="20"/>
          <w:color w:val="auto"/>
        </w:rPr>
      </w:pPr>
    </w:p>
    <w:p>
      <w:pPr>
        <w:ind w:left="720" w:hanging="234"/>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production yields;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quality control and assurance;</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component and service availability;</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adequate control policies and procedures;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retaining qualified personnel; and</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state, federal, and foreign regulations.</w:t>
      </w:r>
    </w:p>
    <w:p>
      <w:pPr>
        <w:spacing w:after="0" w:line="206" w:lineRule="exact"/>
        <w:rPr>
          <w:sz w:val="20"/>
          <w:szCs w:val="20"/>
          <w:color w:val="auto"/>
        </w:rPr>
      </w:pPr>
    </w:p>
    <w:p>
      <w:pPr>
        <w:jc w:val="both"/>
        <w:ind w:firstLine="439"/>
        <w:spacing w:after="0" w:line="260" w:lineRule="auto"/>
        <w:rPr>
          <w:sz w:val="20"/>
          <w:szCs w:val="20"/>
          <w:color w:val="auto"/>
        </w:rPr>
      </w:pPr>
      <w:r>
        <w:rPr>
          <w:rFonts w:ascii="Times New Roman" w:cs="Times New Roman" w:eastAsia="Times New Roman" w:hAnsi="Times New Roman"/>
          <w:sz w:val="18"/>
          <w:szCs w:val="18"/>
          <w:color w:val="auto"/>
        </w:rPr>
        <w:t>If we are unable to satisfy commercial demand for our products due to our inability to assemble and test, our ability to generate revenue would be impaired, market acceptance of our products could be adversely affected and customers may instead purchase or use our competitors’ products.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enhance and broaden our product offerings through our research and development efforts, we may be unable to compete effectively.</w:t>
      </w:r>
    </w:p>
    <w:p>
      <w:pPr>
        <w:spacing w:after="0" w:line="210" w:lineRule="exact"/>
        <w:rPr>
          <w:sz w:val="20"/>
          <w:szCs w:val="20"/>
          <w:color w:val="auto"/>
        </w:rPr>
      </w:pPr>
    </w:p>
    <w:p>
      <w:pPr>
        <w:jc w:val="both"/>
        <w:ind w:firstLine="439"/>
        <w:spacing w:after="0" w:line="242" w:lineRule="auto"/>
        <w:rPr>
          <w:sz w:val="20"/>
          <w:szCs w:val="20"/>
          <w:color w:val="auto"/>
        </w:rPr>
      </w:pPr>
      <w:r>
        <w:rPr>
          <w:rFonts w:ascii="Times New Roman" w:cs="Times New Roman" w:eastAsia="Times New Roman" w:hAnsi="Times New Roman"/>
          <w:sz w:val="18"/>
          <w:szCs w:val="18"/>
          <w:color w:val="auto"/>
        </w:rPr>
        <w:t>In order to increase our market share in the sacroiliac joint fusion and related markets, we must enhance and broaden our product offerings in response to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194" w:lineRule="exact"/>
        <w:rPr>
          <w:sz w:val="20"/>
          <w:szCs w:val="20"/>
          <w:color w:val="auto"/>
        </w:rPr>
      </w:pPr>
    </w:p>
    <w:p>
      <w:pPr>
        <w:ind w:left="720" w:hanging="234"/>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anticipate surgeon and patient needs;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or product enhancements in a timely manner;</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our intellectual property and avoid infringing upon the intellectual property rights of third parties;</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safety and effectiveness of new products; and</w:t>
      </w:r>
    </w:p>
    <w:p>
      <w:pPr>
        <w:spacing w:after="0" w:line="205" w:lineRule="exact"/>
        <w:rPr>
          <w:rFonts w:ascii="Times New Roman" w:cs="Times New Roman" w:eastAsia="Times New Roman" w:hAnsi="Times New Roman"/>
          <w:sz w:val="18"/>
          <w:szCs w:val="18"/>
          <w:color w:val="auto"/>
        </w:rPr>
      </w:pPr>
    </w:p>
    <w:p>
      <w:pPr>
        <w:ind w:left="880" w:right="20" w:hanging="394"/>
        <w:spacing w:after="0" w:line="260" w:lineRule="auto"/>
        <w:tabs>
          <w:tab w:leader="none" w:pos="7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domestic and international regulatory clearances or approvals and CE Certificates of Conformity for new products or product enhancements.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8" w:name="page49"/>
    <w:bookmarkEnd w:id="48"/>
    <w:p>
      <w:pPr>
        <w:jc w:val="both"/>
        <w:ind w:firstLine="439"/>
        <w:spacing w:after="0" w:line="250" w:lineRule="auto"/>
        <w:rPr>
          <w:sz w:val="20"/>
          <w:szCs w:val="20"/>
          <w:color w:val="auto"/>
        </w:rPr>
      </w:pPr>
      <w:r>
        <w:rPr>
          <w:rFonts w:ascii="Times New Roman" w:cs="Times New Roman" w:eastAsia="Times New Roman" w:hAnsi="Times New Roman"/>
          <w:sz w:val="18"/>
          <w:szCs w:val="18"/>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business could be adversely affected. Our research and development efforts may require a substantial investment of time and resources before we are adequately able to determine the commercial viability of a new product, technology, material, or other innovation. In some cases, following a successful product development effort, we may need to invest substantial resources in surgical instrumentation and implant inventory, prior to launch of the product, and before we understand the demand for such product. If we overestimate the demand for such products and invest too heavily in inventory to support the product line, the additional revenue and product margins may not produce a positive return on such investments, which could cause our financial results to suffer.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required to maintain adequate levels of inventory, the failure of which could consume our resources and reduce our cash flows.</w:t>
      </w:r>
    </w:p>
    <w:p>
      <w:pPr>
        <w:spacing w:after="0" w:line="223" w:lineRule="exact"/>
        <w:rPr>
          <w:sz w:val="20"/>
          <w:szCs w:val="20"/>
          <w:color w:val="auto"/>
        </w:rPr>
      </w:pPr>
    </w:p>
    <w:p>
      <w:pPr>
        <w:jc w:val="both"/>
        <w:ind w:firstLine="439"/>
        <w:spacing w:after="0" w:line="241" w:lineRule="auto"/>
        <w:rPr>
          <w:sz w:val="20"/>
          <w:szCs w:val="20"/>
          <w:color w:val="auto"/>
        </w:rPr>
      </w:pPr>
      <w:r>
        <w:rPr>
          <w:rFonts w:ascii="Times New Roman" w:cs="Times New Roman" w:eastAsia="Times New Roman" w:hAnsi="Times New Roman"/>
          <w:sz w:val="18"/>
          <w:szCs w:val="18"/>
          <w:color w:val="auto"/>
        </w:rPr>
        <w:t>As a result of the need to maintain adequate levels of inventory, we are subject to the risk of inventory obsolescence. Many of our products come in sets, which feature components in a variety of sizes so that the implant or device may be chosen for size based on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addition, as we introduce new implants and instruments with the same intended uses as existing products, the older products may fall out of favor with our customers, causing them to become obsolete.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size and future growth in the market for iFuse has not been established with precision and may be smaller than we estimate, possibly materially. In addition, we estimate cost savings to the economy and healthcare system as a result of the iFuse procedure based on our market research. If our estimates and projections overestimate the size of this market or these benefits and cost savings, our sales growth may be adversely affected.</w:t>
      </w:r>
    </w:p>
    <w:p>
      <w:pPr>
        <w:spacing w:after="0" w:line="194" w:lineRule="exact"/>
        <w:rPr>
          <w:sz w:val="20"/>
          <w:szCs w:val="20"/>
          <w:color w:val="auto"/>
        </w:rPr>
      </w:pPr>
    </w:p>
    <w:p>
      <w:pPr>
        <w:jc w:val="both"/>
        <w:ind w:firstLine="439"/>
        <w:spacing w:after="0" w:line="239" w:lineRule="auto"/>
        <w:rPr>
          <w:sz w:val="20"/>
          <w:szCs w:val="20"/>
          <w:color w:val="auto"/>
        </w:rPr>
      </w:pPr>
      <w:r>
        <w:rPr>
          <w:rFonts w:ascii="Times New Roman" w:cs="Times New Roman" w:eastAsia="Times New Roman" w:hAnsi="Times New Roman"/>
          <w:sz w:val="18"/>
          <w:szCs w:val="18"/>
          <w:color w:val="auto"/>
        </w:rPr>
        <w:t>We are not aware of an independent third-party study that reliably reports the potential market size for iFuse or cost savings as a result of the iFuse procedure. Therefore, our estimates of the size and potential for future growth in the market for our iFuse products, cost savings to patients, the healthcare system and the economy overall from its use,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sales growth and have an adverse impact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could suffer if we are unable to manage our international business effectively.</w:t>
      </w:r>
    </w:p>
    <w:p>
      <w:pPr>
        <w:spacing w:after="0" w:line="210" w:lineRule="exact"/>
        <w:rPr>
          <w:sz w:val="20"/>
          <w:szCs w:val="20"/>
          <w:color w:val="auto"/>
        </w:rPr>
      </w:pPr>
    </w:p>
    <w:p>
      <w:pPr>
        <w:jc w:val="both"/>
        <w:ind w:firstLine="439"/>
        <w:spacing w:after="0" w:line="239" w:lineRule="auto"/>
        <w:rPr>
          <w:sz w:val="20"/>
          <w:szCs w:val="20"/>
          <w:color w:val="auto"/>
        </w:rPr>
      </w:pPr>
      <w:r>
        <w:rPr>
          <w:rFonts w:ascii="Times New Roman" w:cs="Times New Roman" w:eastAsia="Times New Roman" w:hAnsi="Times New Roman"/>
          <w:sz w:val="18"/>
          <w:szCs w:val="18"/>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U.S., including the Office of Foreign Asset Control of the U.S. Treasury. Any failure to comply with applicable legal and regulatory obligations in the U.S.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9" w:name="page50"/>
    <w:bookmarkEnd w:id="49"/>
    <w:p>
      <w:pPr>
        <w:ind w:left="440"/>
        <w:spacing w:after="0"/>
        <w:rPr>
          <w:sz w:val="20"/>
          <w:szCs w:val="20"/>
          <w:color w:val="auto"/>
        </w:rPr>
      </w:pPr>
      <w:r>
        <w:rPr>
          <w:rFonts w:ascii="Times New Roman" w:cs="Times New Roman" w:eastAsia="Times New Roman" w:hAnsi="Times New Roman"/>
          <w:sz w:val="18"/>
          <w:szCs w:val="18"/>
          <w:color w:val="auto"/>
        </w:rPr>
        <w:t>In addition, some of the countries in which we sell or plan to sell our products are, to some degree, subject to various risks, including:</w:t>
      </w:r>
    </w:p>
    <w:p>
      <w:pPr>
        <w:spacing w:after="0" w:line="206" w:lineRule="exact"/>
        <w:rPr>
          <w:sz w:val="20"/>
          <w:szCs w:val="20"/>
          <w:color w:val="auto"/>
        </w:rPr>
      </w:pPr>
    </w:p>
    <w:p>
      <w:pPr>
        <w:ind w:left="720" w:hanging="234"/>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different legal and regulatory standards;</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stringent protection of intellectual property;</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the local healthcare system to absorb prices for our product that would enable our business to become profitable in those markets;</w:t>
      </w:r>
    </w:p>
    <w:p>
      <w:pPr>
        <w:spacing w:after="0" w:line="205" w:lineRule="exact"/>
        <w:rPr>
          <w:rFonts w:ascii="Times New Roman" w:cs="Times New Roman" w:eastAsia="Times New Roman" w:hAnsi="Times New Roman"/>
          <w:sz w:val="18"/>
          <w:szCs w:val="18"/>
          <w:color w:val="auto"/>
        </w:rPr>
      </w:pPr>
    </w:p>
    <w:p>
      <w:pPr>
        <w:ind w:left="880" w:right="200" w:hanging="394"/>
        <w:spacing w:after="0" w:line="27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obstacles to obtaining domestic and foreign export, import, and other governmental approvals, permits, and licenses and compliance with foreign laws;</w:t>
      </w:r>
    </w:p>
    <w:p>
      <w:pPr>
        <w:spacing w:after="0" w:line="149"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and the complexities of foreign value-added tax systems;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tariffs and trade restrictions;</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repatriation of earnings;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numbers of patients requiring procedures that use our products;</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difficulties of managing international distribution channels;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collection periods and difficulties in collecting receivables from foreign entities;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financing costs;</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risks; and</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and increased security concerns.</w:t>
      </w:r>
    </w:p>
    <w:p>
      <w:pPr>
        <w:spacing w:after="0" w:line="206" w:lineRule="exact"/>
        <w:rPr>
          <w:sz w:val="20"/>
          <w:szCs w:val="20"/>
          <w:color w:val="auto"/>
        </w:rPr>
      </w:pPr>
    </w:p>
    <w:p>
      <w:pPr>
        <w:jc w:val="both"/>
        <w:ind w:firstLine="439"/>
        <w:spacing w:after="0" w:line="276" w:lineRule="auto"/>
        <w:rPr>
          <w:sz w:val="20"/>
          <w:szCs w:val="20"/>
          <w:color w:val="auto"/>
        </w:rPr>
      </w:pPr>
      <w:r>
        <w:rPr>
          <w:rFonts w:ascii="Times New Roman" w:cs="Times New Roman" w:eastAsia="Times New Roman" w:hAnsi="Times New Roman"/>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50" w:lineRule="exact"/>
        <w:rPr>
          <w:sz w:val="20"/>
          <w:szCs w:val="20"/>
          <w:color w:val="auto"/>
        </w:rPr>
      </w:pPr>
    </w:p>
    <w:p>
      <w:pPr>
        <w:jc w:val="both"/>
        <w:ind w:firstLine="439"/>
        <w:spacing w:after="0" w:line="253" w:lineRule="auto"/>
        <w:rPr>
          <w:sz w:val="20"/>
          <w:szCs w:val="20"/>
          <w:color w:val="auto"/>
        </w:rPr>
      </w:pPr>
      <w:r>
        <w:rPr>
          <w:rFonts w:ascii="Times New Roman" w:cs="Times New Roman" w:eastAsia="Times New Roman" w:hAnsi="Times New Roman"/>
          <w:sz w:val="18"/>
          <w:szCs w:val="18"/>
          <w:color w:val="auto"/>
        </w:rPr>
        <w:t>Our successful conduct of our international business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the future our products may become obsolete, which would negatively affect operations and financial condition.</w:t>
      </w:r>
    </w:p>
    <w:p>
      <w:pPr>
        <w:spacing w:after="0" w:line="210" w:lineRule="exact"/>
        <w:rPr>
          <w:sz w:val="20"/>
          <w:szCs w:val="20"/>
          <w:color w:val="auto"/>
        </w:rPr>
      </w:pPr>
    </w:p>
    <w:p>
      <w:pPr>
        <w:jc w:val="both"/>
        <w:ind w:firstLine="439"/>
        <w:spacing w:after="0" w:line="243" w:lineRule="auto"/>
        <w:rPr>
          <w:sz w:val="20"/>
          <w:szCs w:val="20"/>
          <w:color w:val="auto"/>
        </w:rPr>
      </w:pPr>
      <w:r>
        <w:rPr>
          <w:rFonts w:ascii="Times New Roman" w:cs="Times New Roman" w:eastAsia="Times New Roman" w:hAnsi="Times New Roman"/>
          <w:sz w:val="18"/>
          <w:szCs w:val="18"/>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changes in technology and the practice of medicine through the development and introduction of new products. Product development involves a high degree of risk and there can be no assurance that our new product development efforts will result in any commercially successful products.</w:t>
      </w:r>
    </w:p>
    <w:p>
      <w:pPr>
        <w:spacing w:after="0" w:line="17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147" w:lineRule="exact"/>
        <w:rPr>
          <w:sz w:val="20"/>
          <w:szCs w:val="20"/>
          <w:color w:val="auto"/>
        </w:rPr>
      </w:pPr>
    </w:p>
    <w:p>
      <w:pPr>
        <w:jc w:val="both"/>
        <w:ind w:right="20" w:firstLine="439"/>
        <w:spacing w:after="0" w:line="260" w:lineRule="auto"/>
        <w:rPr>
          <w:sz w:val="20"/>
          <w:szCs w:val="20"/>
          <w:color w:val="auto"/>
        </w:rPr>
      </w:pPr>
      <w:r>
        <w:rPr>
          <w:rFonts w:ascii="Times New Roman" w:cs="Times New Roman" w:eastAsia="Times New Roman" w:hAnsi="Times New Roman"/>
          <w:sz w:val="18"/>
          <w:szCs w:val="18"/>
          <w:color w:val="auto"/>
        </w:rPr>
        <w:t>The efficient operation of our business depends on our information technology systems. We rely on our information technology systems to effectively manage:</w:t>
      </w:r>
    </w:p>
    <w:p>
      <w:pPr>
        <w:spacing w:after="0" w:line="177" w:lineRule="exact"/>
        <w:rPr>
          <w:sz w:val="20"/>
          <w:szCs w:val="20"/>
          <w:color w:val="auto"/>
        </w:rPr>
      </w:pPr>
    </w:p>
    <w:p>
      <w:pPr>
        <w:ind w:left="720" w:hanging="234"/>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accounting, and financial functions;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management;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50" w:name="page51"/>
    <w:bookmarkEnd w:id="50"/>
    <w:p>
      <w:pPr>
        <w:ind w:left="720" w:hanging="234"/>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and product development tasks; and</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data.</w:t>
      </w:r>
    </w:p>
    <w:p>
      <w:pPr>
        <w:spacing w:after="0" w:line="2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information technology systems are vulnerable to damage or interruption from:</w:t>
      </w:r>
    </w:p>
    <w:p>
      <w:pPr>
        <w:spacing w:after="0" w:line="206" w:lineRule="exact"/>
        <w:rPr>
          <w:sz w:val="20"/>
          <w:szCs w:val="20"/>
          <w:color w:val="auto"/>
        </w:rPr>
      </w:pPr>
    </w:p>
    <w:p>
      <w:pPr>
        <w:ind w:left="720" w:hanging="234"/>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fires, floods, and other natural disasters;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and attacks by computer viruses or hackers or breach of our cybersecurity;</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losses; and</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systems, or Internet, telecommunications, or data network failures.</w:t>
      </w:r>
    </w:p>
    <w:p>
      <w:pPr>
        <w:spacing w:after="0" w:line="206" w:lineRule="exact"/>
        <w:rPr>
          <w:sz w:val="20"/>
          <w:szCs w:val="20"/>
          <w:color w:val="auto"/>
        </w:rPr>
      </w:pPr>
    </w:p>
    <w:p>
      <w:pPr>
        <w:jc w:val="both"/>
        <w:ind w:firstLine="439"/>
        <w:spacing w:after="0" w:line="253" w:lineRule="auto"/>
        <w:rPr>
          <w:sz w:val="20"/>
          <w:szCs w:val="20"/>
          <w:color w:val="auto"/>
        </w:rPr>
      </w:pPr>
      <w:r>
        <w:rPr>
          <w:rFonts w:ascii="Times New Roman" w:cs="Times New Roman" w:eastAsia="Times New Roman" w:hAnsi="Times New Roman"/>
          <w:sz w:val="18"/>
          <w:szCs w:val="18"/>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71" w:lineRule="exact"/>
        <w:rPr>
          <w:sz w:val="20"/>
          <w:szCs w:val="20"/>
          <w:color w:val="auto"/>
        </w:rPr>
      </w:pPr>
    </w:p>
    <w:p>
      <w:pPr>
        <w:jc w:val="both"/>
        <w:ind w:firstLine="439"/>
        <w:spacing w:after="0" w:line="258" w:lineRule="auto"/>
        <w:rPr>
          <w:sz w:val="20"/>
          <w:szCs w:val="20"/>
          <w:color w:val="auto"/>
        </w:rPr>
      </w:pPr>
      <w:r>
        <w:rPr>
          <w:rFonts w:ascii="Times New Roman" w:cs="Times New Roman" w:eastAsia="Times New Roman" w:hAnsi="Times New Roman"/>
          <w:sz w:val="17"/>
          <w:szCs w:val="17"/>
          <w:color w:val="auto"/>
        </w:rPr>
        <w:t>Like other public companies, we have in the past, and could be in the future, subject to instances of phishing attacks on our email systems, other cyber-attacks, industrial espionage, insider threats, computer denial-of-service attacks, computer viruses, ransomware and other malware, wire fraud or other cyber incidents. The techniques used to obtain unauthorized access, or to sabotage systems, are becoming more sophisticated, frequent and adaptive, and therefore we may be unable to anticipate these techniques or to implement adequate preventative measures. Any security breach could result in: the unauthorized publication of our confidential business or proprietary information; the unauthorized release of employee, customer or vendor data and payment information; a loss of confidence by our customers; damage to our reputation; a disruption to our business; litigation and legal liability; and a negative impact on our future sales. In addition, the cost and operational consequences of implementing further data protection or data restoration measures could be significant.</w:t>
      </w:r>
    </w:p>
    <w:p>
      <w:pPr>
        <w:spacing w:after="0" w:line="180" w:lineRule="exact"/>
        <w:rPr>
          <w:sz w:val="20"/>
          <w:szCs w:val="20"/>
          <w:color w:val="auto"/>
        </w:rPr>
      </w:pPr>
    </w:p>
    <w:p>
      <w:pPr>
        <w:jc w:val="both"/>
        <w:ind w:firstLine="439"/>
        <w:spacing w:after="0" w:line="239" w:lineRule="auto"/>
        <w:rPr>
          <w:sz w:val="20"/>
          <w:szCs w:val="20"/>
          <w:color w:val="auto"/>
        </w:rPr>
      </w:pPr>
      <w:r>
        <w:rPr>
          <w:rFonts w:ascii="Times New Roman" w:cs="Times New Roman" w:eastAsia="Times New Roman" w:hAnsi="Times New Roman"/>
          <w:sz w:val="18"/>
          <w:szCs w:val="18"/>
          <w:color w:val="auto"/>
        </w:rPr>
        <w:t>In addition, we accept payments for many of our sales through credit card transactions, which are handled through third-party payment processors.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processors are breached. 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card payments from our customers, and there may be an adverse impact on our business.</w:t>
      </w:r>
    </w:p>
    <w:p>
      <w:pPr>
        <w:spacing w:after="0" w:line="18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73" w:lineRule="exact"/>
        <w:rPr>
          <w:sz w:val="20"/>
          <w:szCs w:val="20"/>
          <w:color w:val="auto"/>
        </w:rPr>
      </w:pPr>
    </w:p>
    <w:p>
      <w:pPr>
        <w:jc w:val="both"/>
        <w:ind w:firstLine="439"/>
        <w:spacing w:after="0" w:line="246" w:lineRule="auto"/>
        <w:rPr>
          <w:sz w:val="20"/>
          <w:szCs w:val="20"/>
          <w:color w:val="auto"/>
        </w:rPr>
      </w:pPr>
      <w:r>
        <w:rPr>
          <w:rFonts w:ascii="Times New Roman" w:cs="Times New Roman" w:eastAsia="Times New Roman" w:hAnsi="Times New Roman"/>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189" w:lineRule="exact"/>
        <w:rPr>
          <w:sz w:val="20"/>
          <w:szCs w:val="20"/>
          <w:color w:val="auto"/>
        </w:rPr>
      </w:pPr>
    </w:p>
    <w:p>
      <w:pPr>
        <w:ind w:left="720" w:hanging="234"/>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assimilating the purchased technologies, products, or business operations;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and liabilities associated with acquisitions;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and customers;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acquired businesses; and</w:t>
      </w:r>
    </w:p>
    <w:p>
      <w:pPr>
        <w:sectPr>
          <w:pgSz w:w="11900" w:h="16838" w:orient="portrait"/>
          <w:cols w:equalWidth="0" w:num="1">
            <w:col w:w="11240"/>
          </w:cols>
          <w:pgMar w:left="320" w:top="9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type w:val="continuous"/>
        </w:sectPr>
      </w:pPr>
    </w:p>
    <w:bookmarkStart w:id="51" w:name="page52"/>
    <w:bookmarkEnd w:id="51"/>
    <w:p>
      <w:pPr>
        <w:ind w:left="480"/>
        <w:spacing w:after="0"/>
        <w:tabs>
          <w:tab w:leader="none" w:pos="7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increased legal and accounting compliance costs.</w:t>
      </w:r>
    </w:p>
    <w:p>
      <w:pPr>
        <w:spacing w:after="0" w:line="206" w:lineRule="exact"/>
        <w:rPr>
          <w:sz w:val="20"/>
          <w:szCs w:val="20"/>
          <w:color w:val="auto"/>
        </w:rPr>
      </w:pPr>
    </w:p>
    <w:p>
      <w:pPr>
        <w:jc w:val="both"/>
        <w:ind w:firstLine="439"/>
        <w:spacing w:after="0" w:line="241" w:lineRule="auto"/>
        <w:rPr>
          <w:sz w:val="20"/>
          <w:szCs w:val="20"/>
          <w:color w:val="auto"/>
        </w:rPr>
      </w:pPr>
      <w:r>
        <w:rPr>
          <w:rFonts w:ascii="Times New Roman" w:cs="Times New Roman" w:eastAsia="Times New Roman" w:hAnsi="Times New Roman"/>
          <w:sz w:val="18"/>
          <w:szCs w:val="18"/>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1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159" w:lineRule="exact"/>
        <w:rPr>
          <w:sz w:val="20"/>
          <w:szCs w:val="20"/>
          <w:color w:val="auto"/>
        </w:rPr>
      </w:pPr>
    </w:p>
    <w:p>
      <w:pPr>
        <w:jc w:val="both"/>
        <w:ind w:firstLine="439"/>
        <w:spacing w:after="0" w:line="242" w:lineRule="auto"/>
        <w:rPr>
          <w:sz w:val="20"/>
          <w:szCs w:val="20"/>
          <w:color w:val="auto"/>
        </w:rPr>
      </w:pPr>
      <w:r>
        <w:rPr>
          <w:rFonts w:ascii="Times New Roman" w:cs="Times New Roman" w:eastAsia="Times New Roman" w:hAnsi="Times New Roman"/>
          <w:sz w:val="18"/>
          <w:szCs w:val="18"/>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207" w:lineRule="exact"/>
        <w:rPr>
          <w:sz w:val="20"/>
          <w:szCs w:val="20"/>
          <w:color w:val="auto"/>
        </w:rPr>
      </w:pPr>
    </w:p>
    <w:p>
      <w:pPr>
        <w:jc w:val="both"/>
        <w:ind w:firstLine="439"/>
        <w:spacing w:after="0" w:line="241" w:lineRule="auto"/>
        <w:rPr>
          <w:sz w:val="20"/>
          <w:szCs w:val="20"/>
          <w:color w:val="auto"/>
        </w:rPr>
      </w:pPr>
      <w:r>
        <w:rPr>
          <w:rFonts w:ascii="Times New Roman" w:cs="Times New Roman" w:eastAsia="Times New Roman" w:hAnsi="Times New Roman"/>
          <w:sz w:val="18"/>
          <w:szCs w:val="18"/>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209" w:lineRule="exact"/>
        <w:rPr>
          <w:sz w:val="20"/>
          <w:szCs w:val="20"/>
          <w:color w:val="auto"/>
        </w:rPr>
      </w:pPr>
    </w:p>
    <w:p>
      <w:pPr>
        <w:jc w:val="both"/>
        <w:ind w:firstLine="439"/>
        <w:spacing w:after="0" w:line="239" w:lineRule="auto"/>
        <w:rPr>
          <w:sz w:val="20"/>
          <w:szCs w:val="20"/>
          <w:color w:val="auto"/>
        </w:rPr>
      </w:pPr>
      <w:r>
        <w:rPr>
          <w:rFonts w:ascii="Times New Roman" w:cs="Times New Roman" w:eastAsia="Times New Roman" w:hAnsi="Times New Roman"/>
          <w:sz w:val="18"/>
          <w:szCs w:val="18"/>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term loan contains covenants that may restrict our business and financing activities.</w:t>
      </w:r>
    </w:p>
    <w:p>
      <w:pPr>
        <w:spacing w:after="0" w:line="250" w:lineRule="exact"/>
        <w:rPr>
          <w:sz w:val="20"/>
          <w:szCs w:val="20"/>
          <w:color w:val="auto"/>
        </w:rPr>
      </w:pPr>
    </w:p>
    <w:p>
      <w:pPr>
        <w:jc w:val="both"/>
        <w:ind w:firstLine="439"/>
        <w:spacing w:after="0" w:line="243" w:lineRule="auto"/>
        <w:rPr>
          <w:sz w:val="20"/>
          <w:szCs w:val="20"/>
          <w:color w:val="auto"/>
        </w:rPr>
      </w:pPr>
      <w:r>
        <w:rPr>
          <w:rFonts w:ascii="Times New Roman" w:cs="Times New Roman" w:eastAsia="Times New Roman" w:hAnsi="Times New Roman"/>
          <w:sz w:val="18"/>
          <w:szCs w:val="18"/>
          <w:color w:val="auto"/>
        </w:rPr>
        <w:t>On August 12, 2021, we entered into a Loan and Security Agreement with Silicon Valley Bank (“SVB”), pursuant to which we borrowed $35.0 million pursuant to a term loan (the “SVB Term Loan”). The Loan and Security Agreement with SVB contains customary events of default, including bankruptcy, the failure to make payments when due, the occurrence of a material impairment on SVB's security interest over the collateral, a material adverse change, the occurrence of a default under certain other indebtedness incurred by us or our subsidiaries, the rendering of certain types of judgments against us and our subsidiaries, the revocation of certain government approvals, violation of covenants, and incorrectness of representations and warranties in any material respect.</w:t>
      </w:r>
    </w:p>
    <w:p>
      <w:pPr>
        <w:spacing w:after="0" w:line="207" w:lineRule="exact"/>
        <w:rPr>
          <w:sz w:val="20"/>
          <w:szCs w:val="20"/>
          <w:color w:val="auto"/>
        </w:rPr>
      </w:pPr>
    </w:p>
    <w:p>
      <w:pPr>
        <w:jc w:val="both"/>
        <w:ind w:firstLine="439"/>
        <w:spacing w:after="0" w:line="243" w:lineRule="auto"/>
        <w:rPr>
          <w:sz w:val="20"/>
          <w:szCs w:val="20"/>
          <w:color w:val="auto"/>
        </w:rPr>
      </w:pPr>
      <w:r>
        <w:rPr>
          <w:rFonts w:ascii="Times New Roman" w:cs="Times New Roman" w:eastAsia="Times New Roman" w:hAnsi="Times New Roman"/>
          <w:sz w:val="18"/>
          <w:szCs w:val="18"/>
          <w:color w:val="auto"/>
        </w:rPr>
        <w:t>The SVB Term Loan is secured by substantially all our assets other than our intellectual property. The Loan and Security Agreement with SVB includes affirmative and negative covenants applicable to us and certain of our foreign subsidiaries. The affirmative covenants include, among others, covenants requiring us to maintain our legal existence and governmental compliance, deliver certain financial reports, and maintain insurance coverage. The negative covenants include, among others, restrictions regarding transferring collateral, pledging our intellectual property to other parties, engaging in mergers or acquisitions, paying dividends or making other distributions, incurring indebtedness, transacting with affiliates, and entering into certain investments, in each case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52" w:name="page53"/>
    <w:bookmarkEnd w:id="52"/>
    <w:p>
      <w:pPr>
        <w:jc w:val="both"/>
        <w:ind w:firstLine="639"/>
        <w:spacing w:after="0" w:line="246" w:lineRule="auto"/>
        <w:rPr>
          <w:sz w:val="20"/>
          <w:szCs w:val="20"/>
          <w:color w:val="auto"/>
        </w:rPr>
      </w:pPr>
      <w:r>
        <w:rPr>
          <w:rFonts w:ascii="Times New Roman" w:cs="Times New Roman" w:eastAsia="Times New Roman" w:hAnsi="Times New Roman"/>
          <w:sz w:val="18"/>
          <w:szCs w:val="18"/>
          <w:color w:val="auto"/>
        </w:rPr>
        <w:t>The covenants in the SVB Term Loan,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our Loan and Security Agreement with SVB to become immediately due and payable.</w:t>
      </w:r>
    </w:p>
    <w:p>
      <w:pPr>
        <w:spacing w:after="0" w:line="203" w:lineRule="exact"/>
        <w:rPr>
          <w:sz w:val="20"/>
          <w:szCs w:val="20"/>
          <w:color w:val="auto"/>
        </w:rPr>
      </w:pPr>
    </w:p>
    <w:p>
      <w:pPr>
        <w:ind w:right="260" w:firstLine="639"/>
        <w:spacing w:after="0" w:line="261" w:lineRule="auto"/>
        <w:rPr>
          <w:sz w:val="20"/>
          <w:szCs w:val="20"/>
          <w:color w:val="auto"/>
        </w:rPr>
      </w:pPr>
      <w:r>
        <w:rPr>
          <w:rFonts w:ascii="Times New Roman" w:cs="Times New Roman" w:eastAsia="Times New Roman" w:hAnsi="Times New Roman"/>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1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our suppliers, and our third-party manufacturers are subject to extensive governmental regulation both in the U.S. and abroad, and failure to comply with applicable requirements could cause our business to suffer.</w:t>
      </w:r>
    </w:p>
    <w:p>
      <w:pPr>
        <w:spacing w:after="0" w:line="159" w:lineRule="exact"/>
        <w:rPr>
          <w:sz w:val="20"/>
          <w:szCs w:val="20"/>
          <w:color w:val="auto"/>
        </w:rPr>
      </w:pPr>
    </w:p>
    <w:p>
      <w:pPr>
        <w:ind w:firstLine="439"/>
        <w:spacing w:after="0" w:line="276" w:lineRule="auto"/>
        <w:rPr>
          <w:sz w:val="20"/>
          <w:szCs w:val="20"/>
          <w:color w:val="auto"/>
        </w:rPr>
      </w:pPr>
      <w:r>
        <w:rPr>
          <w:rFonts w:ascii="Times New Roman" w:cs="Times New Roman" w:eastAsia="Times New Roman" w:hAnsi="Times New Roman"/>
          <w:sz w:val="18"/>
          <w:szCs w:val="18"/>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150" w:lineRule="exact"/>
        <w:rPr>
          <w:sz w:val="20"/>
          <w:szCs w:val="20"/>
          <w:color w:val="auto"/>
        </w:rPr>
      </w:pPr>
    </w:p>
    <w:p>
      <w:pPr>
        <w:ind w:left="720" w:hanging="234"/>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development, and manufacturing;</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labeling, content, and language of instructions for use and storage;</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sales, and distribution;</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and approval;</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conformity assessment procedures;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procedures;</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good manufacturing practices requirements;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and field safety corrective actions;</w:t>
      </w:r>
    </w:p>
    <w:p>
      <w:pPr>
        <w:spacing w:after="0" w:line="218" w:lineRule="exact"/>
        <w:rPr>
          <w:rFonts w:ascii="Times New Roman" w:cs="Times New Roman" w:eastAsia="Times New Roman" w:hAnsi="Times New Roman"/>
          <w:sz w:val="18"/>
          <w:szCs w:val="18"/>
          <w:color w:val="auto"/>
        </w:rPr>
      </w:pPr>
    </w:p>
    <w:p>
      <w:pPr>
        <w:ind w:left="880" w:hanging="394"/>
        <w:spacing w:after="0" w:line="260" w:lineRule="auto"/>
        <w:tabs>
          <w:tab w:leader="none" w:pos="7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including reporting of deaths or serious injuries and malfunctions that, if they were to recur, could lead to death or serious injury;</w:t>
      </w:r>
    </w:p>
    <w:p>
      <w:pPr>
        <w:spacing w:after="0" w:line="163"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206" w:lineRule="exact"/>
        <w:rPr>
          <w:sz w:val="20"/>
          <w:szCs w:val="20"/>
          <w:color w:val="auto"/>
        </w:rPr>
      </w:pPr>
    </w:p>
    <w:p>
      <w:pPr>
        <w:jc w:val="both"/>
        <w:ind w:firstLine="439"/>
        <w:spacing w:after="0" w:line="253"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3" w:name="page54"/>
    <w:bookmarkEnd w:id="53"/>
    <w:p>
      <w:pPr>
        <w:jc w:val="both"/>
        <w:ind w:firstLine="439"/>
        <w:spacing w:after="0" w:line="238" w:lineRule="auto"/>
        <w:rPr>
          <w:sz w:val="20"/>
          <w:szCs w:val="20"/>
          <w:color w:val="auto"/>
        </w:rPr>
      </w:pPr>
      <w:r>
        <w:rPr>
          <w:rFonts w:ascii="Times New Roman" w:cs="Times New Roman" w:eastAsia="Times New Roman" w:hAnsi="Times New Roman"/>
          <w:sz w:val="18"/>
          <w:szCs w:val="18"/>
          <w:color w:val="auto"/>
        </w:rPr>
        <w:t>Before we can market or sell a new regulated product or make a significant modification to an existing product in the U.S., with only limited exceptions, we must obtain either clearance under Section 510(k) of the FDCA for Class II devices or approval of a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pacing w:after="0" w:line="201" w:lineRule="exact"/>
        <w:rPr>
          <w:sz w:val="20"/>
          <w:szCs w:val="20"/>
          <w:color w:val="auto"/>
        </w:rPr>
      </w:pPr>
    </w:p>
    <w:p>
      <w:pPr>
        <w:jc w:val="both"/>
        <w:ind w:firstLine="439"/>
        <w:spacing w:after="0"/>
        <w:rPr>
          <w:sz w:val="20"/>
          <w:szCs w:val="20"/>
          <w:color w:val="auto"/>
        </w:rPr>
      </w:pPr>
      <w:r>
        <w:rPr>
          <w:rFonts w:ascii="Times New Roman" w:cs="Times New Roman" w:eastAsia="Times New Roman" w:hAnsi="Times New Roman"/>
          <w:sz w:val="18"/>
          <w:szCs w:val="18"/>
          <w:color w:val="auto"/>
        </w:rPr>
        <w:t>In the U.S.,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219" w:lineRule="exact"/>
        <w:rPr>
          <w:sz w:val="20"/>
          <w:szCs w:val="20"/>
          <w:color w:val="auto"/>
        </w:rPr>
      </w:pPr>
    </w:p>
    <w:p>
      <w:pPr>
        <w:ind w:left="720" w:hanging="234"/>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to the FDA’s satisfaction that our products are safe and effective for their intended uses;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 and</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w:t>
      </w:r>
    </w:p>
    <w:p>
      <w:pPr>
        <w:spacing w:after="0" w:line="219" w:lineRule="exact"/>
        <w:rPr>
          <w:sz w:val="20"/>
          <w:szCs w:val="20"/>
          <w:color w:val="auto"/>
        </w:rPr>
      </w:pPr>
    </w:p>
    <w:p>
      <w:pPr>
        <w:jc w:val="both"/>
        <w:ind w:firstLine="439"/>
        <w:spacing w:after="0" w:line="246"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89" w:lineRule="exact"/>
        <w:rPr>
          <w:sz w:val="20"/>
          <w:szCs w:val="20"/>
          <w:color w:val="auto"/>
        </w:rPr>
      </w:pPr>
    </w:p>
    <w:p>
      <w:pPr>
        <w:jc w:val="both"/>
        <w:ind w:firstLine="439"/>
        <w:spacing w:after="0" w:line="260" w:lineRule="auto"/>
        <w:rPr>
          <w:sz w:val="20"/>
          <w:szCs w:val="20"/>
          <w:color w:val="auto"/>
        </w:rPr>
      </w:pPr>
      <w:r>
        <w:rPr>
          <w:rFonts w:ascii="Times New Roman" w:cs="Times New Roman" w:eastAsia="Times New Roman" w:hAnsi="Times New Roman"/>
          <w:sz w:val="18"/>
          <w:szCs w:val="18"/>
          <w:color w:val="auto"/>
        </w:rPr>
        <w:t>Any delay in, or failure to receive or maintain, clearance or approval for our products under development could prevent us from generating revenue from these products or achieving profitability.</w:t>
      </w:r>
    </w:p>
    <w:p>
      <w:pPr>
        <w:spacing w:after="0" w:line="164" w:lineRule="exact"/>
        <w:rPr>
          <w:sz w:val="20"/>
          <w:szCs w:val="20"/>
          <w:color w:val="auto"/>
        </w:rPr>
      </w:pPr>
    </w:p>
    <w:p>
      <w:pPr>
        <w:jc w:val="both"/>
        <w:ind w:firstLine="439"/>
        <w:spacing w:after="0" w:line="246" w:lineRule="auto"/>
        <w:rPr>
          <w:sz w:val="20"/>
          <w:szCs w:val="20"/>
          <w:color w:val="auto"/>
        </w:rPr>
      </w:pPr>
      <w:r>
        <w:rPr>
          <w:rFonts w:ascii="Times New Roman" w:cs="Times New Roman" w:eastAsia="Times New Roman" w:hAnsi="Times New Roman"/>
          <w:sz w:val="18"/>
          <w:szCs w:val="18"/>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U.S.</w:t>
      </w:r>
    </w:p>
    <w:p>
      <w:pPr>
        <w:spacing w:after="0" w:line="176" w:lineRule="exact"/>
        <w:rPr>
          <w:sz w:val="20"/>
          <w:szCs w:val="20"/>
          <w:color w:val="auto"/>
        </w:rPr>
      </w:pPr>
    </w:p>
    <w:p>
      <w:pPr>
        <w:jc w:val="both"/>
        <w:ind w:firstLine="439"/>
        <w:spacing w:after="0" w:line="239" w:lineRule="auto"/>
        <w:rPr>
          <w:sz w:val="20"/>
          <w:szCs w:val="20"/>
          <w:color w:val="auto"/>
        </w:rPr>
      </w:pPr>
      <w:r>
        <w:rPr>
          <w:rFonts w:ascii="Times New Roman" w:cs="Times New Roman" w:eastAsia="Times New Roman" w:hAnsi="Times New Roman"/>
          <w:sz w:val="18"/>
          <w:szCs w:val="18"/>
          <w:color w:val="auto"/>
        </w:rPr>
        <w:t>In the EEA., a single regulatory approval process exists, and conformity with its requirements is required to affix a CE mark to our medical devices, without which they cannot be marketed or sold in the EEA. To obtain a CE mark, defined products must meet minimum standards of performance, safety, and quality, and then, according to their classification, undergo a conformity assessment procedure. Except for low risk medical devices, a conformity assessment procedure requires the intervention of a third-party organization designated by the competent authorities of a EEA country, known as a Notified Body. The competent authorities of the E.U. countries separately regulate the clinical research for medical devices and the market surveillance of products once they are placed on the market. A new Medical Device Regulation was published by the E.U. in 2017 and became effective on May 26, 2021. Medical devices marketed in the EEA will require certification according to these new requirements, except that devices with valid CE certificates, issued pursuant to the Medical Device Directives before May 2020, can be placed on the market until May 2024. The new EU MDR includes significant additional premarket and post-market requirements. Penalties for regulatory non-compliance could be severe, including fines and revocation or suspension of a company’s business license, mandatory price reductions and criminal sanctions.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54" w:name="page55"/>
    <w:bookmarkEnd w:id="54"/>
    <w:p>
      <w:pPr>
        <w:jc w:val="both"/>
        <w:ind w:firstLine="439"/>
        <w:spacing w:after="0" w:line="253" w:lineRule="auto"/>
        <w:rPr>
          <w:sz w:val="20"/>
          <w:szCs w:val="20"/>
          <w:color w:val="auto"/>
        </w:rPr>
      </w:pPr>
      <w:r>
        <w:rPr>
          <w:rFonts w:ascii="Times New Roman" w:cs="Times New Roman" w:eastAsia="Times New Roman" w:hAnsi="Times New Roman"/>
          <w:sz w:val="18"/>
          <w:szCs w:val="18"/>
          <w:color w:val="auto"/>
        </w:rPr>
        <w:t>The FDA and other regulatory authorities, including foreign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Failure to comply with applicable regulations could jeopardize our ability to sell our products and result in enforcement actions such as:</w:t>
      </w:r>
    </w:p>
    <w:p>
      <w:pPr>
        <w:spacing w:after="0" w:line="206" w:lineRule="exact"/>
        <w:rPr>
          <w:sz w:val="20"/>
          <w:szCs w:val="20"/>
          <w:color w:val="auto"/>
        </w:rPr>
      </w:pPr>
    </w:p>
    <w:p>
      <w:pPr>
        <w:ind w:left="720" w:hanging="234"/>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penalties;</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distribution;</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or seizures of products;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introduction of products into the market;</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closures;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or our Notified Body or other regulator to grant future clearances or approvals or to issue CE Certificates of Conformity;</w:t>
      </w:r>
    </w:p>
    <w:p>
      <w:pPr>
        <w:spacing w:after="0" w:line="218" w:lineRule="exact"/>
        <w:rPr>
          <w:rFonts w:ascii="Times New Roman" w:cs="Times New Roman" w:eastAsia="Times New Roman" w:hAnsi="Times New Roman"/>
          <w:sz w:val="18"/>
          <w:szCs w:val="18"/>
          <w:color w:val="auto"/>
        </w:rPr>
      </w:pPr>
    </w:p>
    <w:p>
      <w:pPr>
        <w:ind w:left="880" w:hanging="394"/>
        <w:spacing w:after="0" w:line="260" w:lineRule="auto"/>
        <w:tabs>
          <w:tab w:leader="none" w:pos="7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variation, or suspensions of current clearances or approvals and CE Certificates of Conformity, resulting in prohibitions on sales of our products; and</w:t>
      </w:r>
    </w:p>
    <w:p>
      <w:pPr>
        <w:spacing w:after="0" w:line="163"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most serious cases, criminal penalties.</w:t>
      </w:r>
    </w:p>
    <w:p>
      <w:pPr>
        <w:spacing w:after="0" w:line="219" w:lineRule="exact"/>
        <w:rPr>
          <w:sz w:val="20"/>
          <w:szCs w:val="20"/>
          <w:color w:val="auto"/>
        </w:rPr>
      </w:pPr>
    </w:p>
    <w:p>
      <w:pPr>
        <w:jc w:val="both"/>
        <w:ind w:firstLine="439"/>
        <w:spacing w:after="0" w:line="246" w:lineRule="auto"/>
        <w:rPr>
          <w:sz w:val="20"/>
          <w:szCs w:val="20"/>
          <w:color w:val="auto"/>
        </w:rPr>
      </w:pPr>
      <w:r>
        <w:rPr>
          <w:rFonts w:ascii="Times New Roman" w:cs="Times New Roman" w:eastAsia="Times New Roman" w:hAnsi="Times New Roman"/>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spacing w:after="0" w:line="214" w:lineRule="exact"/>
        <w:rPr>
          <w:sz w:val="20"/>
          <w:szCs w:val="20"/>
          <w:color w:val="auto"/>
        </w:rPr>
      </w:pPr>
    </w:p>
    <w:p>
      <w:pPr>
        <w:jc w:val="both"/>
        <w:ind w:firstLine="439"/>
        <w:spacing w:after="0" w:line="239" w:lineRule="auto"/>
        <w:rPr>
          <w:sz w:val="20"/>
          <w:szCs w:val="20"/>
          <w:color w:val="auto"/>
        </w:rPr>
      </w:pPr>
      <w:r>
        <w:rPr>
          <w:rFonts w:ascii="Times New Roman" w:cs="Times New Roman" w:eastAsia="Times New Roman" w:hAnsi="Times New Roman"/>
          <w:sz w:val="18"/>
          <w:szCs w:val="18"/>
          <w:color w:val="auto"/>
        </w:rPr>
        <w:t>Healthcare providers, distributors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and government authorities may conclude that our business practices do not comply with applicable fraud and abuse or other healthcare laws and regulations or guidance despite our good faith efforts to comply.</w:t>
      </w:r>
    </w:p>
    <w:p>
      <w:pPr>
        <w:spacing w:after="0" w:line="209" w:lineRule="exact"/>
        <w:rPr>
          <w:sz w:val="20"/>
          <w:szCs w:val="20"/>
          <w:color w:val="auto"/>
        </w:rPr>
      </w:pPr>
    </w:p>
    <w:p>
      <w:pPr>
        <w:jc w:val="both"/>
        <w:ind w:firstLine="439"/>
        <w:spacing w:after="0" w:line="254" w:lineRule="auto"/>
        <w:rPr>
          <w:sz w:val="20"/>
          <w:szCs w:val="20"/>
          <w:color w:val="auto"/>
        </w:rPr>
      </w:pPr>
      <w:r>
        <w:rPr>
          <w:rFonts w:ascii="Times New Roman" w:cs="Times New Roman" w:eastAsia="Times New Roman" w:hAnsi="Times New Roman"/>
          <w:sz w:val="18"/>
          <w:szCs w:val="18"/>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 For example, we are subject to the federal health care Anti-Kickback Statute, the federal civil False Claims Act, the Health Insurance Portability and Accountability Act (“HIPAA”) and the federal Physician Payment Sunshine Act, each of which is described in detail in Item 1 Business - Healthcare Fraud and Abuse” and “-Data Privacy and Security Laws” in our Annual Report on Form 10-K filed with the SEC on March 1,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55" w:name="page56"/>
    <w:bookmarkEnd w:id="55"/>
    <w:p>
      <w:pPr>
        <w:jc w:val="both"/>
        <w:ind w:firstLine="439"/>
        <w:spacing w:after="0" w:line="246" w:lineRule="auto"/>
        <w:rPr>
          <w:sz w:val="20"/>
          <w:szCs w:val="20"/>
          <w:color w:val="auto"/>
        </w:rPr>
      </w:pPr>
      <w:r>
        <w:rPr>
          <w:rFonts w:ascii="Times New Roman" w:cs="Times New Roman" w:eastAsia="Times New Roman" w:hAnsi="Times New Roman"/>
          <w:sz w:val="18"/>
          <w:szCs w:val="18"/>
          <w:color w:val="auto"/>
        </w:rPr>
        <w:t>Certain states also have enacted analogous state and foreign law equivalents of each of the above federal laws and certain states may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Many of these state laws differ from each other in significant ways and may not have the same effect, thus complicating compliance efforts.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639"/>
        <w:spacing w:after="0" w:line="246" w:lineRule="auto"/>
        <w:rPr>
          <w:sz w:val="20"/>
          <w:szCs w:val="20"/>
          <w:color w:val="auto"/>
        </w:rPr>
      </w:pPr>
      <w:r>
        <w:rPr>
          <w:rFonts w:ascii="Times New Roman" w:cs="Times New Roman" w:eastAsia="Times New Roman" w:hAnsi="Times New Roman"/>
          <w:sz w:val="18"/>
          <w:szCs w:val="18"/>
          <w:color w:val="auto"/>
        </w:rPr>
        <w:t>If we or our employees are found to have violated any of the above laws we may be subject to significant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spacing w:after="0" w:line="216" w:lineRule="exact"/>
        <w:rPr>
          <w:sz w:val="20"/>
          <w:szCs w:val="20"/>
          <w:color w:val="auto"/>
        </w:rPr>
      </w:pPr>
    </w:p>
    <w:p>
      <w:pPr>
        <w:jc w:val="both"/>
        <w:ind w:firstLine="444"/>
        <w:spacing w:after="0" w:line="239" w:lineRule="auto"/>
        <w:rPr>
          <w:sz w:val="20"/>
          <w:szCs w:val="20"/>
          <w:color w:val="auto"/>
        </w:rPr>
      </w:pPr>
      <w:r>
        <w:rPr>
          <w:rFonts w:ascii="Times New Roman" w:cs="Times New Roman" w:eastAsia="Times New Roman" w:hAnsi="Times New Roman"/>
          <w:sz w:val="18"/>
          <w:szCs w:val="18"/>
          <w:color w:val="auto"/>
        </w:rPr>
        <w:t>We have entered into consulting agreements and royalty agreements with physicians and healthcare executives, including some who are customers. We also engage in co-marketing arrangements with certain surgeons who use our products. In addition, prior to our IPO, a small number of our current customer surgeons acquired from us less than 1.0% of our current outstanding common stock, which they either purchased in an arm’s length transaction on terms identical to those offered to others or received from us as fair market value consideration for consulting services performed. While all of these transactions were structured to comply with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222" w:lineRule="exact"/>
        <w:rPr>
          <w:sz w:val="20"/>
          <w:szCs w:val="20"/>
          <w:color w:val="auto"/>
        </w:rPr>
      </w:pPr>
    </w:p>
    <w:p>
      <w:pPr>
        <w:jc w:val="both"/>
        <w:ind w:firstLine="444"/>
        <w:spacing w:after="0" w:line="254" w:lineRule="auto"/>
        <w:rPr>
          <w:sz w:val="20"/>
          <w:szCs w:val="20"/>
          <w:color w:val="auto"/>
        </w:rPr>
      </w:pPr>
      <w:r>
        <w:rPr>
          <w:rFonts w:ascii="Times New Roman" w:cs="Times New Roman" w:eastAsia="Times New Roman" w:hAnsi="Times New Roman"/>
          <w:sz w:val="17"/>
          <w:szCs w:val="17"/>
          <w:color w:val="auto"/>
        </w:rPr>
        <w:t>Various state and federal regulatory and enforcement agencies continue actively to investigate violations of health care laws and regulations, and the U.S. Congress continues to strengthen the arsenal of enforcement tools. To enforce compliance with the federal laws, the U.S. Department of Justice has continued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deferred or non-prosecution agreement,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215" w:lineRule="exact"/>
        <w:rPr>
          <w:sz w:val="20"/>
          <w:szCs w:val="20"/>
          <w:color w:val="auto"/>
        </w:rPr>
      </w:pPr>
    </w:p>
    <w:p>
      <w:pPr>
        <w:jc w:val="both"/>
        <w:ind w:firstLine="444"/>
        <w:spacing w:after="0" w:line="246" w:lineRule="auto"/>
        <w:rPr>
          <w:sz w:val="20"/>
          <w:szCs w:val="20"/>
          <w:color w:val="auto"/>
        </w:rPr>
      </w:pPr>
      <w:r>
        <w:rPr>
          <w:rFonts w:ascii="Times New Roman" w:cs="Times New Roman" w:eastAsia="Times New Roman" w:hAnsi="Times New Roman"/>
          <w:sz w:val="18"/>
          <w:szCs w:val="18"/>
          <w:color w:val="auto"/>
        </w:rPr>
        <w:t>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personal information in compliance with evolving legal requirements could harm our business.</w:t>
      </w:r>
    </w:p>
    <w:p>
      <w:pPr>
        <w:spacing w:after="0" w:line="210" w:lineRule="exact"/>
        <w:rPr>
          <w:sz w:val="20"/>
          <w:szCs w:val="20"/>
          <w:color w:val="auto"/>
        </w:rPr>
      </w:pPr>
    </w:p>
    <w:p>
      <w:pPr>
        <w:jc w:val="both"/>
        <w:ind w:firstLine="439"/>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legally protected personally identifiable information. We collect this kind of information for billing, reimbursement support, marketing purposes, post-marketing safety vigilance, servicing potential warranty claims and during the course of clinical trials. In doing so, we are subject to various federal, state and foreign laws that protect the confidentiality of certain patient health information, including patient medical records, and restrict the use and disclosure of patient health information by healthcare providers, such as HIPAA in the U.S. and regulations in the European Union (“EU”), which are described in detail in Item 1 Business - Data Privacy and Security Laws” in our Annual Report on Form 10-K filed with the SEC on March 1, 2022.</w:t>
      </w:r>
    </w:p>
    <w:p>
      <w:pPr>
        <w:spacing w:after="0" w:line="214" w:lineRule="exact"/>
        <w:rPr>
          <w:sz w:val="20"/>
          <w:szCs w:val="20"/>
          <w:color w:val="auto"/>
        </w:rPr>
      </w:pPr>
    </w:p>
    <w:p>
      <w:pPr>
        <w:jc w:val="both"/>
        <w:ind w:firstLine="439"/>
        <w:spacing w:after="0" w:line="262" w:lineRule="auto"/>
        <w:rPr>
          <w:sz w:val="20"/>
          <w:szCs w:val="20"/>
          <w:color w:val="auto"/>
        </w:rPr>
      </w:pPr>
      <w:r>
        <w:rPr>
          <w:rFonts w:ascii="Times New Roman" w:cs="Times New Roman" w:eastAsia="Times New Roman" w:hAnsi="Times New Roman"/>
          <w:sz w:val="17"/>
          <w:szCs w:val="17"/>
          <w:color w:val="auto"/>
        </w:rPr>
        <w:t>The California Consumer Privacy Act (“CCPA”), which became effective on January 1, 2020, requires a broad range of businesses to honor the requests of California residents to access and require deletion of their personal information, opt out of certain personal information sharing, and receive detailed information about how their personal information is used and shared. The CCPA provides for civil penalties of up to $7,500 for intentional violations, and a private right of action for data breaches that allows private plaintiffs to seek the greater of actual damages or statutory damages of up to $750 per consumer per data breach. These remedies are expected to increase data breach litigation. Although the CCPA includes exemptions for certain clinical</w:t>
      </w:r>
    </w:p>
    <w:p>
      <w:pPr>
        <w:spacing w:after="0" w:line="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trials data, and protected health information governed by HIPAA, the law may increase our compliance costs and potential liability with respect to other personal information we collect about California residents. Our compliance costs and potential liability with respect to personal information may also increase in response to other states adopting and considering initiative regarding protection of personal</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56" w:name="page57"/>
    <w:bookmarkEnd w:id="56"/>
    <w:p>
      <w:pPr>
        <w:jc w:val="both"/>
        <w:spacing w:after="0" w:line="260" w:lineRule="auto"/>
        <w:rPr>
          <w:sz w:val="20"/>
          <w:szCs w:val="20"/>
          <w:color w:val="auto"/>
        </w:rPr>
      </w:pPr>
      <w:r>
        <w:rPr>
          <w:rFonts w:ascii="Times New Roman" w:cs="Times New Roman" w:eastAsia="Times New Roman" w:hAnsi="Times New Roman"/>
          <w:sz w:val="17"/>
          <w:szCs w:val="17"/>
          <w:color w:val="auto"/>
        </w:rPr>
        <w:t>information. In March 2021, Virginia passed the Consumer Data Protection Act (“CDPA”) which will take effect on January 1, 2023. Virginia is the second state to pass comprehensive privacy litigation. Colorado passed the Colorado Privacy Act (“CPA”) on July 7, 2021 with enforcement to begin on July 1, 2023. In 2022, both Utah and Connecticut also enacted comprehensive data privacy legislation. While these laws are similar in certain respects, the laws differ and compliance with one law does not equate to compliance with the other laws. Several other states (including Washington, New York, and Minnesota) also are considering comprehensive privacy legislation that could further complicate and increase the cost of complying with various state privacy laws. If states pass a patchwork of privacy laws, this also could increase pressure on the U.S. Congress to harmonize privacy laws through federal legislation.</w:t>
      </w:r>
    </w:p>
    <w:p>
      <w:pPr>
        <w:spacing w:after="0" w:line="180" w:lineRule="exact"/>
        <w:rPr>
          <w:sz w:val="20"/>
          <w:szCs w:val="20"/>
          <w:color w:val="auto"/>
        </w:rPr>
      </w:pPr>
    </w:p>
    <w:p>
      <w:pPr>
        <w:jc w:val="both"/>
        <w:ind w:firstLine="444"/>
        <w:spacing w:after="0" w:line="233" w:lineRule="auto"/>
        <w:rPr>
          <w:sz w:val="20"/>
          <w:szCs w:val="20"/>
          <w:color w:val="auto"/>
        </w:rPr>
      </w:pPr>
      <w:r>
        <w:rPr>
          <w:rFonts w:ascii="Times New Roman" w:cs="Times New Roman" w:eastAsia="Times New Roman" w:hAnsi="Times New Roman"/>
          <w:sz w:val="18"/>
          <w:szCs w:val="18"/>
          <w:color w:val="auto"/>
        </w:rPr>
        <w:t>We have in the past, and could be in the future, subject to data breaches. 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our operations, financial performance, and business. Evolving and changing definitions of personal data and personal information, within the European Union, the U.S.,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non-U.S. operations.</w:t>
      </w:r>
    </w:p>
    <w:p>
      <w:pPr>
        <w:spacing w:after="0" w:line="223" w:lineRule="exact"/>
        <w:rPr>
          <w:sz w:val="20"/>
          <w:szCs w:val="20"/>
          <w:color w:val="auto"/>
        </w:rPr>
      </w:pPr>
    </w:p>
    <w:p>
      <w:pPr>
        <w:jc w:val="both"/>
        <w:ind w:firstLine="439"/>
        <w:spacing w:after="0" w:line="239" w:lineRule="auto"/>
        <w:rPr>
          <w:sz w:val="20"/>
          <w:szCs w:val="20"/>
          <w:color w:val="auto"/>
        </w:rPr>
      </w:pPr>
      <w:r>
        <w:rPr>
          <w:rFonts w:ascii="Times New Roman" w:cs="Times New Roman" w:eastAsia="Times New Roman" w:hAnsi="Times New Roman"/>
          <w:sz w:val="18"/>
          <w:szCs w:val="18"/>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209" w:lineRule="exact"/>
        <w:rPr>
          <w:sz w:val="20"/>
          <w:szCs w:val="20"/>
          <w:color w:val="auto"/>
        </w:rPr>
      </w:pPr>
    </w:p>
    <w:p>
      <w:pPr>
        <w:jc w:val="both"/>
        <w:ind w:firstLine="439"/>
        <w:spacing w:after="0" w:line="241" w:lineRule="auto"/>
        <w:rPr>
          <w:sz w:val="20"/>
          <w:szCs w:val="20"/>
          <w:color w:val="auto"/>
        </w:rPr>
      </w:pPr>
      <w:r>
        <w:rPr>
          <w:rFonts w:ascii="Times New Roman" w:cs="Times New Roman" w:eastAsia="Times New Roman" w:hAnsi="Times New Roman"/>
          <w:sz w:val="18"/>
          <w:szCs w:val="18"/>
          <w:color w:val="auto"/>
        </w:rPr>
        <w:t>Furthermore, we are subject to anti-boycott laws, anti-money laundering laws, and the export controls and economic embargo rules and regulations of the U.S.,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174" w:lineRule="exact"/>
        <w:rPr>
          <w:sz w:val="20"/>
          <w:szCs w:val="20"/>
          <w:color w:val="auto"/>
        </w:rPr>
      </w:pPr>
    </w:p>
    <w:p>
      <w:pPr>
        <w:jc w:val="both"/>
        <w:ind w:firstLine="439"/>
        <w:spacing w:after="0" w:line="243" w:lineRule="auto"/>
        <w:rPr>
          <w:sz w:val="20"/>
          <w:szCs w:val="20"/>
          <w:color w:val="auto"/>
        </w:rPr>
      </w:pPr>
      <w:r>
        <w:rPr>
          <w:rFonts w:ascii="Times New Roman" w:cs="Times New Roman" w:eastAsia="Times New Roman" w:hAnsi="Times New Roman"/>
          <w:sz w:val="18"/>
          <w:szCs w:val="18"/>
          <w:color w:val="auto"/>
        </w:rPr>
        <w:t>For any product for which we obtain regulatory clearance or approval, or a CE Certificate of Conformity,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(“QSR”) and International Standards Organization (“ISO”)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7" w:name="page58"/>
    <w:bookmarkEnd w:id="57"/>
    <w:p>
      <w:pPr>
        <w:ind w:firstLine="439"/>
        <w:spacing w:after="0" w:line="260" w:lineRule="auto"/>
        <w:rPr>
          <w:sz w:val="20"/>
          <w:szCs w:val="20"/>
          <w:color w:val="auto"/>
        </w:rPr>
      </w:pPr>
      <w:r>
        <w:rPr>
          <w:rFonts w:ascii="Times New Roman" w:cs="Times New Roman" w:eastAsia="Times New Roman" w:hAnsi="Times New Roman"/>
          <w:sz w:val="18"/>
          <w:szCs w:val="18"/>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177" w:lineRule="exact"/>
        <w:rPr>
          <w:sz w:val="20"/>
          <w:szCs w:val="20"/>
          <w:color w:val="auto"/>
        </w:rPr>
      </w:pPr>
    </w:p>
    <w:p>
      <w:pPr>
        <w:ind w:left="720" w:hanging="234"/>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and civil penalties;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premarket approval and conformity assessments of new products or modified products;</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intended uses for which the product may be marketed;</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PMA approvals that have already been granted;</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variation or withdrawal of CE Certificates of Conformity;</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and</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19" w:lineRule="exact"/>
        <w:rPr>
          <w:sz w:val="20"/>
          <w:szCs w:val="20"/>
          <w:color w:val="auto"/>
        </w:rPr>
      </w:pPr>
    </w:p>
    <w:p>
      <w:pPr>
        <w:jc w:val="both"/>
        <w:ind w:firstLine="439"/>
        <w:spacing w:after="0"/>
        <w:rPr>
          <w:sz w:val="20"/>
          <w:szCs w:val="20"/>
          <w:color w:val="auto"/>
        </w:rPr>
      </w:pPr>
      <w:r>
        <w:rPr>
          <w:rFonts w:ascii="Times New Roman" w:cs="Times New Roman" w:eastAsia="Times New Roman" w:hAnsi="Times New Roman"/>
          <w:sz w:val="18"/>
          <w:szCs w:val="18"/>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208" w:lineRule="exact"/>
        <w:rPr>
          <w:sz w:val="20"/>
          <w:szCs w:val="20"/>
          <w:color w:val="auto"/>
        </w:rPr>
      </w:pPr>
    </w:p>
    <w:p>
      <w:pPr>
        <w:jc w:val="both"/>
        <w:ind w:firstLine="439"/>
        <w:spacing w:after="0" w:line="243" w:lineRule="auto"/>
        <w:rPr>
          <w:sz w:val="20"/>
          <w:szCs w:val="20"/>
          <w:color w:val="auto"/>
        </w:rPr>
      </w:pPr>
      <w:r>
        <w:rPr>
          <w:rFonts w:ascii="Times New Roman" w:cs="Times New Roman" w:eastAsia="Times New Roman" w:hAnsi="Times New Roman"/>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 Any of these actions would harm our reputation and cause our product sales and profitability to suffer and may prevent us from generating revenue.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58" w:name="page59"/>
    <w:bookmarkEnd w:id="58"/>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173" w:lineRule="exact"/>
        <w:rPr>
          <w:sz w:val="20"/>
          <w:szCs w:val="20"/>
          <w:color w:val="auto"/>
        </w:rPr>
      </w:pPr>
    </w:p>
    <w:p>
      <w:pPr>
        <w:jc w:val="both"/>
        <w:ind w:firstLine="439"/>
        <w:spacing w:after="0" w:line="239"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state and foreign healthcare laws and regulations, data privacy laws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1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173" w:lineRule="exact"/>
        <w:rPr>
          <w:sz w:val="20"/>
          <w:szCs w:val="20"/>
          <w:color w:val="auto"/>
        </w:rPr>
      </w:pPr>
    </w:p>
    <w:p>
      <w:pPr>
        <w:jc w:val="both"/>
        <w:ind w:firstLine="439"/>
        <w:spacing w:after="0" w:line="239"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national and foreign laws and regulations, including the prohibition of the promotion of off-label use. Physicians may use our products off-label, as the FDA and equivalent third country authorities do not restrict or regulate a physician’s choice of treatment within the practice of medicine. In the U.S., the full indication for the iFuse Implant System is: “The iFuse Implant System is intended for sacroiliac fusion for the following conditions: (i) Sacroiliac joint dysfunction that is a direct result of sacroiliac joint disruption and degenerative sacroiliitis. This includes conditions whose symptoms began during pregnancy or in the peripartum period and have persisted postpartum for more than 6 months. (ii) To augment immobilization and stabilization of the sacroiliac joint in skeletally mature patients undergoing sacropelvic fixation as part of a lumbar or thoracolumbar fusion. (iii) Acute, non-acute, and non-traumatic fractures involving the sacroiliac joint.” In the U.S., our marketing strategies must adhere to the above statements. In all other countries, the indication statement for the iFuse Implant System (including iFuse-3D) more broadly indicates that the device is indicated for sacroiliac joint fusion. The above-described potential limitation in indication statements in the U.S. does not apply in other geographies.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39"/>
        <w:spacing w:after="0" w:line="238" w:lineRule="auto"/>
        <w:rPr>
          <w:sz w:val="20"/>
          <w:szCs w:val="20"/>
          <w:color w:val="auto"/>
        </w:rPr>
      </w:pPr>
      <w:r>
        <w:rPr>
          <w:rFonts w:ascii="Times New Roman" w:cs="Times New Roman" w:eastAsia="Times New Roman" w:hAnsi="Times New Roman"/>
          <w:sz w:val="18"/>
          <w:szCs w:val="18"/>
          <w:color w:val="auto"/>
        </w:rPr>
        <w:t>We believe that the specific surgical procedures for which our products are marketed fall within the scope of the surgical applications that have been cleared by the FDA and our notified body. However, if the FDA or an equivalent third country authority determines that our promotional materials or training constitutes promotion of an off-label use, it could request that we modify our training or promotional materials, require us to stop promoting our products for those specific procedures until we obtain FDA or third country authority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19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159" w:lineRule="exact"/>
        <w:rPr>
          <w:sz w:val="20"/>
          <w:szCs w:val="20"/>
          <w:color w:val="auto"/>
        </w:rPr>
      </w:pPr>
    </w:p>
    <w:p>
      <w:pPr>
        <w:jc w:val="both"/>
        <w:ind w:firstLine="439"/>
        <w:spacing w:after="0" w:line="246" w:lineRule="auto"/>
        <w:rPr>
          <w:sz w:val="20"/>
          <w:szCs w:val="20"/>
          <w:color w:val="auto"/>
        </w:rPr>
      </w:pPr>
      <w:r>
        <w:rPr>
          <w:rFonts w:ascii="Times New Roman" w:cs="Times New Roman" w:eastAsia="Times New Roman" w:hAnsi="Times New Roman"/>
          <w:sz w:val="18"/>
          <w:szCs w:val="18"/>
          <w:color w:val="auto"/>
        </w:rPr>
        <w:t>Under the FDA’s medical device reporting, regulations, and equivalent rules of other countries we are required to report to the FDA or a similar authority in such other country, any information that our product may have caused or contributed to a death or serious injury or in which our product malfunctioned and, if the malfunction were to recur, would likely cause or contribute to death or serious injury. In the EEA, we must report serious incidents and field safety corrective actions through the Commission’s electronic system on vigilance and post-market surveillance, which reports are transmitted to the competent authority of the Member State in which the incident occurred.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59" w:name="page60"/>
    <w:bookmarkEnd w:id="59"/>
    <w:p>
      <w:pPr>
        <w:jc w:val="both"/>
        <w:ind w:firstLine="439"/>
        <w:spacing w:after="0" w:line="243" w:lineRule="auto"/>
        <w:rPr>
          <w:sz w:val="20"/>
          <w:szCs w:val="20"/>
          <w:color w:val="auto"/>
        </w:rPr>
      </w:pPr>
      <w:r>
        <w:rPr>
          <w:rFonts w:ascii="Times New Roman" w:cs="Times New Roman" w:eastAsia="Times New Roman" w:hAnsi="Times New Roman"/>
          <w:sz w:val="18"/>
          <w:szCs w:val="18"/>
          <w:color w:val="auto"/>
        </w:rPr>
        <w:t>If we fail to report these events to the FDA or applicable authority in another country within the required timeframes, or at all, FDA, or the applicable authority in the other country could take enforcement action against us. Any such adverse event involving our products or repeated product malfunctions may result in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80" w:lineRule="exact"/>
        <w:rPr>
          <w:sz w:val="20"/>
          <w:szCs w:val="20"/>
          <w:color w:val="auto"/>
        </w:rPr>
      </w:pPr>
    </w:p>
    <w:p>
      <w:pPr>
        <w:jc w:val="both"/>
        <w:ind w:firstLine="439"/>
        <w:spacing w:after="0" w:line="243" w:lineRule="auto"/>
        <w:rPr>
          <w:sz w:val="20"/>
          <w:szCs w:val="20"/>
          <w:color w:val="auto"/>
        </w:rPr>
      </w:pPr>
      <w:r>
        <w:rPr>
          <w:rFonts w:ascii="Times New Roman" w:cs="Times New Roman" w:eastAsia="Times New Roman" w:hAnsi="Times New Roman"/>
          <w:sz w:val="18"/>
          <w:szCs w:val="18"/>
          <w:color w:val="auto"/>
        </w:rPr>
        <w:t>Any adverse event involving our products, whether in the U.S.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167" w:lineRule="exact"/>
        <w:rPr>
          <w:sz w:val="20"/>
          <w:szCs w:val="20"/>
          <w:color w:val="auto"/>
        </w:rPr>
      </w:pPr>
    </w:p>
    <w:p>
      <w:pPr>
        <w:jc w:val="both"/>
        <w:ind w:firstLine="439"/>
        <w:spacing w:after="0" w:line="253"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97" w:lineRule="exact"/>
        <w:rPr>
          <w:sz w:val="20"/>
          <w:szCs w:val="20"/>
          <w:color w:val="auto"/>
        </w:rPr>
      </w:pPr>
    </w:p>
    <w:p>
      <w:pPr>
        <w:jc w:val="both"/>
        <w:ind w:firstLine="439"/>
        <w:spacing w:after="0" w:line="241" w:lineRule="auto"/>
        <w:rPr>
          <w:sz w:val="20"/>
          <w:szCs w:val="20"/>
          <w:color w:val="auto"/>
        </w:rPr>
      </w:pPr>
      <w:r>
        <w:rPr>
          <w:rFonts w:ascii="Times New Roman" w:cs="Times New Roman" w:eastAsia="Times New Roman" w:hAnsi="Times New Roman"/>
          <w:sz w:val="18"/>
          <w:szCs w:val="18"/>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209" w:lineRule="exact"/>
        <w:rPr>
          <w:sz w:val="20"/>
          <w:szCs w:val="20"/>
          <w:color w:val="auto"/>
        </w:rPr>
      </w:pPr>
    </w:p>
    <w:p>
      <w:pPr>
        <w:jc w:val="both"/>
        <w:ind w:firstLine="439"/>
        <w:spacing w:after="0" w:line="243" w:lineRule="auto"/>
        <w:rPr>
          <w:sz w:val="20"/>
          <w:szCs w:val="20"/>
          <w:color w:val="auto"/>
        </w:rPr>
      </w:pPr>
      <w:r>
        <w:rPr>
          <w:rFonts w:ascii="Times New Roman" w:cs="Times New Roman" w:eastAsia="Times New Roman" w:hAnsi="Times New Roman"/>
          <w:sz w:val="18"/>
          <w:szCs w:val="18"/>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 Equivalent procedures and penalties have been established in other countries including EU Member States.</w:t>
      </w:r>
    </w:p>
    <w:p>
      <w:pPr>
        <w:spacing w:after="0" w:line="17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47" w:lineRule="exact"/>
        <w:rPr>
          <w:sz w:val="20"/>
          <w:szCs w:val="20"/>
          <w:color w:val="auto"/>
        </w:rPr>
      </w:pPr>
    </w:p>
    <w:p>
      <w:pPr>
        <w:jc w:val="both"/>
        <w:ind w:firstLine="439"/>
        <w:spacing w:after="0"/>
        <w:rPr>
          <w:sz w:val="20"/>
          <w:szCs w:val="20"/>
          <w:color w:val="auto"/>
        </w:rPr>
      </w:pPr>
      <w:r>
        <w:rPr>
          <w:rFonts w:ascii="Times New Roman" w:cs="Times New Roman" w:eastAsia="Times New Roman" w:hAnsi="Times New Roman"/>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w:t>
      </w:r>
    </w:p>
    <w:p>
      <w:pPr>
        <w:spacing w:after="0" w:line="222" w:lineRule="exact"/>
        <w:rPr>
          <w:sz w:val="20"/>
          <w:szCs w:val="20"/>
          <w:color w:val="auto"/>
        </w:rPr>
      </w:pPr>
    </w:p>
    <w:p>
      <w:pPr>
        <w:jc w:val="both"/>
        <w:ind w:firstLine="439"/>
        <w:spacing w:after="0" w:line="242" w:lineRule="auto"/>
        <w:rPr>
          <w:sz w:val="20"/>
          <w:szCs w:val="20"/>
          <w:color w:val="auto"/>
        </w:rPr>
      </w:pPr>
      <w:r>
        <w:rPr>
          <w:rFonts w:ascii="Times New Roman" w:cs="Times New Roman" w:eastAsia="Times New Roman" w:hAnsi="Times New Roman"/>
          <w:sz w:val="18"/>
          <w:szCs w:val="18"/>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In these circumstances, we may be subject to significant enforcement actions, regulatory fines, or penalties, which could require us to redesign our products and harm our operating results.</w:t>
      </w:r>
    </w:p>
    <w:p>
      <w:pPr>
        <w:spacing w:after="0" w:line="200" w:lineRule="exact"/>
        <w:rPr>
          <w:sz w:val="20"/>
          <w:szCs w:val="20"/>
          <w:color w:val="auto"/>
        </w:rPr>
      </w:pPr>
    </w:p>
    <w:p>
      <w:pPr>
        <w:spacing w:after="0" w:line="247" w:lineRule="exact"/>
        <w:rPr>
          <w:sz w:val="20"/>
          <w:szCs w:val="20"/>
          <w:color w:val="auto"/>
        </w:rPr>
      </w:pPr>
    </w:p>
    <w:p>
      <w:pPr>
        <w:jc w:val="both"/>
        <w:ind w:firstLine="439"/>
        <w:spacing w:after="0" w:line="246" w:lineRule="auto"/>
        <w:rPr>
          <w:sz w:val="20"/>
          <w:szCs w:val="20"/>
          <w:color w:val="auto"/>
        </w:rPr>
      </w:pPr>
      <w:r>
        <w:rPr>
          <w:rFonts w:ascii="Times New Roman" w:cs="Times New Roman" w:eastAsia="Times New Roman" w:hAnsi="Times New Roman"/>
          <w:sz w:val="18"/>
          <w:szCs w:val="18"/>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w:t>
      </w:r>
    </w:p>
    <w:p>
      <w:pPr>
        <w:sectPr>
          <w:pgSz w:w="11900" w:h="16838" w:orient="portrait"/>
          <w:cols w:equalWidth="0" w:num="1">
            <w:col w:w="11240"/>
          </w:cols>
          <w:pgMar w:left="320" w:top="973"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type w:val="continuous"/>
        </w:sectPr>
      </w:pPr>
    </w:p>
    <w:bookmarkStart w:id="60" w:name="page61"/>
    <w:bookmarkEnd w:id="60"/>
    <w:p>
      <w:pPr>
        <w:jc w:val="both"/>
        <w:spacing w:after="0" w:line="253" w:lineRule="auto"/>
        <w:rPr>
          <w:sz w:val="20"/>
          <w:szCs w:val="20"/>
          <w:color w:val="auto"/>
        </w:rPr>
      </w:pPr>
      <w:r>
        <w:rPr>
          <w:rFonts w:ascii="Times New Roman" w:cs="Times New Roman" w:eastAsia="Times New Roman" w:hAnsi="Times New Roman"/>
          <w:sz w:val="18"/>
          <w:szCs w:val="18"/>
          <w:color w:val="auto"/>
        </w:rPr>
        <w:t>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97" w:lineRule="exact"/>
        <w:rPr>
          <w:sz w:val="20"/>
          <w:szCs w:val="20"/>
          <w:color w:val="auto"/>
        </w:rPr>
      </w:pPr>
    </w:p>
    <w:p>
      <w:pPr>
        <w:jc w:val="both"/>
        <w:ind w:firstLine="439"/>
        <w:spacing w:after="0" w:line="241" w:lineRule="auto"/>
        <w:rPr>
          <w:sz w:val="20"/>
          <w:szCs w:val="20"/>
          <w:color w:val="auto"/>
        </w:rPr>
      </w:pPr>
      <w:r>
        <w:rPr>
          <w:rFonts w:ascii="Times New Roman" w:cs="Times New Roman" w:eastAsia="Times New Roman" w:hAnsi="Times New Roman"/>
          <w:sz w:val="18"/>
          <w:szCs w:val="18"/>
          <w:color w:val="auto"/>
        </w:rPr>
        <w:t>In the EEA, we must inform the Notified Body that carried out the conformity assessment of the medical devices we market or sell in the EEA of any planned substantial changes to our quality system, manufacturing process, or changes to our devices which could affect compliance with the essential requirements or the devices’ intended use. The Notified Body will then assess the changes and verify whether they affect the products’ conformity with Essential Requirements and related applicable laws. There can be no assurances that the assessment will be favorable and that the Notified Body will attest to our compliance with the essential requirements, which will prevent us from selling our products in the EEA. Moreover, any substantial changes that take place in the coming years may impact the continuing effectiveness of our CE Certificates of Conformity that were issued on the basis of the Medical Device Directive.</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business prospects.</w:t>
      </w:r>
    </w:p>
    <w:p>
      <w:pPr>
        <w:spacing w:after="0" w:line="167" w:lineRule="exact"/>
        <w:rPr>
          <w:sz w:val="20"/>
          <w:szCs w:val="20"/>
          <w:color w:val="auto"/>
        </w:rPr>
      </w:pPr>
    </w:p>
    <w:p>
      <w:pPr>
        <w:jc w:val="both"/>
        <w:ind w:firstLine="439"/>
        <w:spacing w:after="0" w:line="239" w:lineRule="auto"/>
        <w:rPr>
          <w:sz w:val="20"/>
          <w:szCs w:val="20"/>
          <w:color w:val="auto"/>
        </w:rPr>
      </w:pPr>
      <w:r>
        <w:rPr>
          <w:rFonts w:ascii="Times New Roman" w:cs="Times New Roman" w:eastAsia="Times New Roman" w:hAnsi="Times New Roman"/>
          <w:sz w:val="18"/>
          <w:szCs w:val="18"/>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or significant clinical evidence to support regulatory approval and we may not successfully complete these clinical trials. 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adversely affect our business prospects.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and our Notified Body may refuse to issue new CE Certificates of Conformity. Failure to receive clearance, approval, or Certificates of Conformity for our new products would have an adverse effect on our ability to expand our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obtain or maintain foreign regulatory approvals to market our products in other countries.</w:t>
      </w:r>
    </w:p>
    <w:p>
      <w:pPr>
        <w:spacing w:after="0" w:line="210" w:lineRule="exact"/>
        <w:rPr>
          <w:sz w:val="20"/>
          <w:szCs w:val="20"/>
          <w:color w:val="auto"/>
        </w:rPr>
      </w:pPr>
    </w:p>
    <w:p>
      <w:pPr>
        <w:jc w:val="both"/>
        <w:ind w:firstLine="439"/>
        <w:spacing w:after="0" w:line="242" w:lineRule="auto"/>
        <w:rPr>
          <w:sz w:val="20"/>
          <w:szCs w:val="20"/>
          <w:color w:val="auto"/>
        </w:rPr>
      </w:pPr>
      <w:r>
        <w:rPr>
          <w:rFonts w:ascii="Times New Roman" w:cs="Times New Roman" w:eastAsia="Times New Roman" w:hAnsi="Times New Roman"/>
          <w:sz w:val="18"/>
          <w:szCs w:val="18"/>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94" w:lineRule="exact"/>
        <w:rPr>
          <w:sz w:val="20"/>
          <w:szCs w:val="20"/>
          <w:color w:val="auto"/>
        </w:rPr>
      </w:pPr>
    </w:p>
    <w:p>
      <w:pPr>
        <w:jc w:val="both"/>
        <w:ind w:firstLine="439"/>
        <w:spacing w:after="0"/>
        <w:rPr>
          <w:sz w:val="20"/>
          <w:szCs w:val="20"/>
          <w:color w:val="auto"/>
        </w:rPr>
      </w:pPr>
      <w:r>
        <w:rPr>
          <w:rFonts w:ascii="Times New Roman" w:cs="Times New Roman" w:eastAsia="Times New Roman" w:hAnsi="Times New Roman"/>
          <w:sz w:val="18"/>
          <w:szCs w:val="18"/>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Clinical trials necessary to support a De Novo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or new indications for use for existing products, and will adversely affect our business, operating results and prospects.</w:t>
      </w:r>
    </w:p>
    <w:p>
      <w:pPr>
        <w:spacing w:after="0" w:line="177" w:lineRule="exact"/>
        <w:rPr>
          <w:sz w:val="20"/>
          <w:szCs w:val="20"/>
          <w:color w:val="auto"/>
        </w:rPr>
      </w:pPr>
    </w:p>
    <w:p>
      <w:pPr>
        <w:jc w:val="both"/>
        <w:ind w:firstLine="439"/>
        <w:spacing w:after="0" w:line="246" w:lineRule="auto"/>
        <w:rPr>
          <w:sz w:val="20"/>
          <w:szCs w:val="20"/>
          <w:color w:val="auto"/>
        </w:rPr>
      </w:pPr>
      <w:r>
        <w:rPr>
          <w:rFonts w:ascii="Times New Roman" w:cs="Times New Roman" w:eastAsia="Times New Roman" w:hAnsi="Times New Roman"/>
          <w:sz w:val="18"/>
          <w:szCs w:val="18"/>
          <w:color w:val="auto"/>
        </w:rPr>
        <w:t>Initiating and completing clinical trials necessary to support a De Novo 510(k) or PMA application for our possible future products or to support a conformity assessment procedure for a new CE Certificate of Conformity would be time consuming and expensive and the outcome uncertain. Moreover, the results of early clinical trials are not necessarily predictive of future results, and any product, or new indication for use, we advance into clinical trials may not have favorable results in later clinical trials.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1" w:name="page62"/>
    <w:bookmarkEnd w:id="61"/>
    <w:p>
      <w:pPr>
        <w:jc w:val="both"/>
        <w:ind w:firstLine="439"/>
        <w:spacing w:after="0" w:line="239" w:lineRule="auto"/>
        <w:rPr>
          <w:sz w:val="20"/>
          <w:szCs w:val="20"/>
          <w:color w:val="auto"/>
        </w:rPr>
      </w:pPr>
      <w:r>
        <w:rPr>
          <w:rFonts w:ascii="Times New Roman" w:cs="Times New Roman" w:eastAsia="Times New Roman" w:hAnsi="Times New Roman"/>
          <w:sz w:val="18"/>
          <w:szCs w:val="18"/>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and support staff, the proximity of patients to clinical sites, and the ability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For example, the COVID-19 pandemic has caused substantial delays in site initiation and patient enrollment in our SILVIA trial designed to assess the safety and efficacy of our Bedrock technique.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82" w:lineRule="exact"/>
        <w:rPr>
          <w:sz w:val="20"/>
          <w:szCs w:val="20"/>
          <w:color w:val="auto"/>
        </w:rPr>
      </w:pPr>
    </w:p>
    <w:p>
      <w:pPr>
        <w:jc w:val="both"/>
        <w:ind w:firstLine="439"/>
        <w:spacing w:after="0" w:line="246" w:lineRule="auto"/>
        <w:rPr>
          <w:sz w:val="20"/>
          <w:szCs w:val="20"/>
          <w:color w:val="auto"/>
        </w:rPr>
      </w:pPr>
      <w:r>
        <w:rPr>
          <w:rFonts w:ascii="Times New Roman" w:cs="Times New Roman" w:eastAsia="Times New Roman" w:hAnsi="Times New Roman"/>
          <w:sz w:val="18"/>
          <w:szCs w:val="18"/>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our clinical trials may not support our product candidate claims or may result in the occurrence of adverse events.</w:t>
      </w:r>
    </w:p>
    <w:p>
      <w:pPr>
        <w:spacing w:after="0" w:line="210" w:lineRule="exact"/>
        <w:rPr>
          <w:sz w:val="20"/>
          <w:szCs w:val="20"/>
          <w:color w:val="auto"/>
        </w:rPr>
      </w:pPr>
    </w:p>
    <w:p>
      <w:pPr>
        <w:jc w:val="both"/>
        <w:ind w:firstLine="439"/>
        <w:spacing w:after="0" w:line="241" w:lineRule="auto"/>
        <w:rPr>
          <w:sz w:val="20"/>
          <w:szCs w:val="20"/>
          <w:color w:val="auto"/>
        </w:rPr>
      </w:pPr>
      <w:r>
        <w:rPr>
          <w:rFonts w:ascii="Times New Roman" w:cs="Times New Roman" w:eastAsia="Times New Roman" w:hAnsi="Times New Roman"/>
          <w:sz w:val="18"/>
          <w:szCs w:val="18"/>
          <w:color w:val="auto"/>
        </w:rPr>
        <w:t>Even if our clinical trials are completed as planned, or on a delayed basis,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events that are not currently part of the product candidate’s profile.</w:t>
      </w:r>
    </w:p>
    <w:p>
      <w:pPr>
        <w:spacing w:after="0" w:line="1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86" w:lineRule="exact"/>
        <w:rPr>
          <w:sz w:val="20"/>
          <w:szCs w:val="20"/>
          <w:color w:val="auto"/>
        </w:rPr>
      </w:pPr>
    </w:p>
    <w:p>
      <w:pPr>
        <w:jc w:val="both"/>
        <w:ind w:firstLine="439"/>
        <w:spacing w:after="0" w:line="243" w:lineRule="auto"/>
        <w:rPr>
          <w:sz w:val="20"/>
          <w:szCs w:val="20"/>
          <w:color w:val="auto"/>
        </w:rPr>
      </w:pPr>
      <w:r>
        <w:rPr>
          <w:rFonts w:ascii="Times New Roman" w:cs="Times New Roman" w:eastAsia="Times New Roman" w:hAnsi="Times New Roman"/>
          <w:sz w:val="18"/>
          <w:szCs w:val="18"/>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Moreover, the new Medical Device Regulation entered into application on May 26, 2021. Any new regulations or revisions or reinterpretations of existing regulations may impose additional costs or lengthen review times of future products. It is impossible to predict whether legislative changes will be enacted or FDA regulations, guidance, or interpretations changed, and what the impact of such changes, if any, may be.</w:t>
      </w:r>
    </w:p>
    <w:p>
      <w:pPr>
        <w:spacing w:after="0" w:line="207" w:lineRule="exact"/>
        <w:rPr>
          <w:sz w:val="20"/>
          <w:szCs w:val="20"/>
          <w:color w:val="auto"/>
        </w:rPr>
      </w:pPr>
    </w:p>
    <w:p>
      <w:pPr>
        <w:jc w:val="both"/>
        <w:ind w:firstLine="439"/>
        <w:spacing w:after="0" w:line="242" w:lineRule="auto"/>
        <w:rPr>
          <w:sz w:val="20"/>
          <w:szCs w:val="20"/>
          <w:color w:val="auto"/>
        </w:rPr>
      </w:pPr>
      <w:r>
        <w:rPr>
          <w:rFonts w:ascii="Times New Roman" w:cs="Times New Roman" w:eastAsia="Times New Roman" w:hAnsi="Times New Roman"/>
          <w:sz w:val="18"/>
          <w:szCs w:val="18"/>
          <w:color w:val="auto"/>
        </w:rPr>
        <w:t>Leadership, personnel and structural changes within the FDA as well as recent federal election outcomes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221" w:lineRule="exact"/>
        <w:rPr>
          <w:sz w:val="20"/>
          <w:szCs w:val="20"/>
          <w:color w:val="auto"/>
        </w:rPr>
      </w:pPr>
    </w:p>
    <w:p>
      <w:pPr>
        <w:jc w:val="both"/>
        <w:ind w:firstLine="439"/>
        <w:spacing w:after="0" w:line="246" w:lineRule="auto"/>
        <w:rPr>
          <w:sz w:val="20"/>
          <w:szCs w:val="20"/>
          <w:color w:val="auto"/>
        </w:rPr>
      </w:pPr>
      <w:r>
        <w:rPr>
          <w:rFonts w:ascii="Times New Roman" w:cs="Times New Roman" w:eastAsia="Times New Roman" w:hAnsi="Times New Roman"/>
          <w:sz w:val="18"/>
          <w:szCs w:val="18"/>
          <w:color w:val="auto"/>
        </w:rPr>
        <w:t>Another example can be found in the EEA. The Medical Devices Regulation (“MDR”) entered into application on May 26, 2021. MDR introduced substantial changes to the obligations with which medical device manufacturers must comply in the EEA. Examples of the changes which will be introduced by these regulations include the following:</w:t>
      </w:r>
    </w:p>
    <w:p>
      <w:pPr>
        <w:spacing w:after="0" w:line="189" w:lineRule="exact"/>
        <w:rPr>
          <w:sz w:val="20"/>
          <w:szCs w:val="20"/>
          <w:color w:val="auto"/>
        </w:rPr>
      </w:pPr>
    </w:p>
    <w:p>
      <w:pPr>
        <w:ind w:left="720" w:hanging="234"/>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scrutiny during the conformity assessment procedure for high risk medical devices;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of the clinical data requirements related to medical devices;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of the designation and monitoring processes governing notified bodies;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62" w:name="page63"/>
    <w:bookmarkEnd w:id="62"/>
    <w:p>
      <w:pPr>
        <w:ind w:left="880" w:hanging="394"/>
        <w:spacing w:after="0" w:line="260" w:lineRule="auto"/>
        <w:tabs>
          <w:tab w:leader="none" w:pos="84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for manufacturers and authorized representative to have a person responsible for regulatory compliance continuously at their disposal;</w:t>
      </w:r>
    </w:p>
    <w:p>
      <w:pPr>
        <w:spacing w:after="0" w:line="177"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representatives held legally responsible and liable for defective products placed on the EU market;</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traceability of medical devices following the introduction of a Unique Device Identification (“UDI”), system;</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rules governing the reprocessing of medical devices; and</w:t>
      </w:r>
    </w:p>
    <w:p>
      <w:pPr>
        <w:spacing w:after="0" w:line="218" w:lineRule="exact"/>
        <w:rPr>
          <w:rFonts w:ascii="Times New Roman" w:cs="Times New Roman" w:eastAsia="Times New Roman" w:hAnsi="Times New Roman"/>
          <w:sz w:val="18"/>
          <w:szCs w:val="18"/>
          <w:color w:val="auto"/>
        </w:rPr>
      </w:pPr>
    </w:p>
    <w:p>
      <w:pPr>
        <w:ind w:left="880" w:hanging="394"/>
        <w:spacing w:after="0" w:line="246" w:lineRule="auto"/>
        <w:tabs>
          <w:tab w:leader="none" w:pos="7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transparency with the establishment of European database on medical devices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189" w:lineRule="exact"/>
        <w:rPr>
          <w:sz w:val="20"/>
          <w:szCs w:val="20"/>
          <w:color w:val="auto"/>
        </w:rPr>
      </w:pPr>
    </w:p>
    <w:p>
      <w:pPr>
        <w:jc w:val="both"/>
        <w:ind w:firstLine="439"/>
        <w:spacing w:after="0"/>
        <w:rPr>
          <w:sz w:val="20"/>
          <w:szCs w:val="20"/>
          <w:color w:val="auto"/>
        </w:rPr>
      </w:pPr>
      <w:r>
        <w:rPr>
          <w:rFonts w:ascii="Times New Roman" w:cs="Times New Roman" w:eastAsia="Times New Roman" w:hAnsi="Times New Roman"/>
          <w:sz w:val="18"/>
          <w:szCs w:val="18"/>
          <w:color w:val="auto"/>
        </w:rPr>
        <w:t>The Medical Device Regulation also substantially impacts clinical investigations of medical devices. Among other things, it imposes specific obligations concerning incapacitated subjects, minors, pregnant or breastfeeding women and clinical investigations in emergency situations.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for compensation for any damage suffered by a subject resulting from participation in a clinical investigation conducted on their territory are in place and places on sponsors and investigators the obligation to ensure they make use of these systems.</w:t>
      </w: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Transition from the regulation of our products under the Medical Device Directive, and implementing legislation in each EU Member State, to</w:t>
      </w:r>
    </w:p>
    <w:p>
      <w:pPr>
        <w:spacing w:after="0" w:line="2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regulation under the Medical Devices Regulation has required and will continue to require a substantial transition effort by us. In addition, detail as to how certain aspects of the Medical Devices Regulation will be applied remains unclear. Failure to update our quality system and regulatory documentation could delay our transition to compliance with the Medical Devices Regulation and delay or prevent us from obtaining new CE Certificates of Conformity under the Regulation. Transition from compliance with the Medical Device Directive to the Medical Devices Regulation could result in disruption to our business in the EEA which could adversely affect our business, results of operation and financial condition.</w:t>
      </w:r>
    </w:p>
    <w:p>
      <w:pPr>
        <w:spacing w:after="0" w:line="196" w:lineRule="exact"/>
        <w:rPr>
          <w:sz w:val="20"/>
          <w:szCs w:val="20"/>
          <w:color w:val="auto"/>
        </w:rPr>
      </w:pPr>
    </w:p>
    <w:p>
      <w:pPr>
        <w:jc w:val="both"/>
        <w:ind w:firstLine="439"/>
        <w:spacing w:after="0" w:line="226" w:lineRule="auto"/>
        <w:rPr>
          <w:sz w:val="20"/>
          <w:szCs w:val="20"/>
          <w:color w:val="auto"/>
        </w:rPr>
      </w:pPr>
      <w:r>
        <w:rPr>
          <w:rFonts w:ascii="Times New Roman" w:cs="Times New Roman" w:eastAsia="Times New Roman" w:hAnsi="Times New Roman"/>
          <w:sz w:val="18"/>
          <w:szCs w:val="18"/>
          <w:color w:val="auto"/>
        </w:rPr>
        <w:t>In addition, any changes to the membership of the European Union, such as the departure of the United Kingdom from the EU, may impact the regulatory requirements for the impacted countries and impair our business operations and our ability to market products in such countries. For example, pursuant to guidance issued by the UK Government as a result of the UK formally withdrawing from the European Union, the Medicines and Healthcare products Regulatory Agency (“MHRA”) became the standalone medicines and medical devices regulator for the UK as of January 1, 2021. A new mark referred to as “UKCA” (UK Conformity Assessed) has also been introduced and will replace the CE conformity mark. Although CE conformity marketing and certificates issued by Notified Bodies will continue to be recognized in the UK through June 2023, all medical devices must be registered with the MHRA as of January 1, 2021. Complying with this new regulatory framework will require us to invest in additional resources and could be expensive, time-consuming and disruptive to our existing operations in the UK.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product liability losses, and insurance coverage may be inadequate or unavailable to cover these losses.</w:t>
      </w:r>
    </w:p>
    <w:p>
      <w:pPr>
        <w:spacing w:after="0" w:line="223" w:lineRule="exact"/>
        <w:rPr>
          <w:sz w:val="20"/>
          <w:szCs w:val="20"/>
          <w:color w:val="auto"/>
        </w:rPr>
      </w:pPr>
    </w:p>
    <w:p>
      <w:pPr>
        <w:jc w:val="both"/>
        <w:ind w:firstLine="439"/>
        <w:spacing w:after="0"/>
        <w:rPr>
          <w:sz w:val="20"/>
          <w:szCs w:val="20"/>
          <w:color w:val="auto"/>
        </w:rPr>
      </w:pPr>
      <w:r>
        <w:rPr>
          <w:rFonts w:ascii="Times New Roman" w:cs="Times New Roman" w:eastAsia="Times New Roman" w:hAnsi="Times New Roman"/>
          <w:sz w:val="18"/>
          <w:szCs w:val="18"/>
          <w:color w:val="auto"/>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Surgeons may misuse or ineffectively use our products, which may result in unsatisfactory patient outcomes or patient injury. In addition, if longer-term patient results and experience indicate that our products or any component of a product cause tissue damage, motor impairment, or other adverse effects, we could be subject to significant liability.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181" w:lineRule="exact"/>
        <w:rPr>
          <w:sz w:val="20"/>
          <w:szCs w:val="20"/>
          <w:color w:val="auto"/>
        </w:rPr>
      </w:pPr>
    </w:p>
    <w:p>
      <w:pPr>
        <w:jc w:val="both"/>
        <w:ind w:firstLine="439"/>
        <w:spacing w:after="0" w:line="246" w:lineRule="auto"/>
        <w:rPr>
          <w:sz w:val="20"/>
          <w:szCs w:val="20"/>
          <w:color w:val="auto"/>
        </w:rPr>
      </w:pPr>
      <w:r>
        <w:rPr>
          <w:rFonts w:ascii="Times New Roman" w:cs="Times New Roman" w:eastAsia="Times New Roman" w:hAnsi="Times New Roman"/>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90" w:lineRule="exact"/>
        <w:rPr>
          <w:sz w:val="20"/>
          <w:szCs w:val="20"/>
          <w:color w:val="auto"/>
        </w:rPr>
      </w:pPr>
    </w:p>
    <w:p>
      <w:pPr>
        <w:jc w:val="both"/>
        <w:ind w:firstLine="439"/>
        <w:spacing w:after="0" w:line="246" w:lineRule="auto"/>
        <w:rPr>
          <w:sz w:val="20"/>
          <w:szCs w:val="20"/>
          <w:color w:val="auto"/>
        </w:rPr>
      </w:pPr>
      <w:r>
        <w:rPr>
          <w:rFonts w:ascii="Times New Roman" w:cs="Times New Roman" w:eastAsia="Times New Roman" w:hAnsi="Times New Roman"/>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environmental laws and regulations that can impose significant costs and expose us to potential financial liabilities.</w:t>
      </w:r>
    </w:p>
    <w:p>
      <w:pPr>
        <w:spacing w:after="0" w:line="210"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7"/>
          <w:szCs w:val="17"/>
          <w:color w:val="auto"/>
        </w:rPr>
        <w:t>The manufacture of certain of our products, including our implants and products, and the handling of materials used in the product testing process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We own and operate certain x-ray equipment at our facilities which requires</w:t>
      </w:r>
    </w:p>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adoption of a radiation safety plan. Our failure to follow such safety plan or otherwise use this equipment properly could be hazardous to our employees and expose us to liability as the employer.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products are derived from human tissue and are or could be subject to additional regulations and requirements.</w:t>
      </w:r>
    </w:p>
    <w:p>
      <w:pPr>
        <w:spacing w:after="0" w:line="250" w:lineRule="exact"/>
        <w:rPr>
          <w:sz w:val="20"/>
          <w:szCs w:val="20"/>
          <w:color w:val="auto"/>
        </w:rPr>
      </w:pPr>
    </w:p>
    <w:p>
      <w:pPr>
        <w:jc w:val="both"/>
        <w:ind w:firstLine="399"/>
        <w:spacing w:after="0" w:line="242" w:lineRule="auto"/>
        <w:rPr>
          <w:sz w:val="20"/>
          <w:szCs w:val="20"/>
          <w:color w:val="auto"/>
        </w:rPr>
      </w:pPr>
      <w:r>
        <w:rPr>
          <w:rFonts w:ascii="Times New Roman" w:cs="Times New Roman" w:eastAsia="Times New Roman" w:hAnsi="Times New Roman"/>
          <w:sz w:val="18"/>
          <w:szCs w:val="18"/>
          <w:color w:val="auto"/>
        </w:rPr>
        <w:t>Our iFuse Bone product is derived from human bone tissue, and as a result is subject to FDA and certain state regulations regarding human cells, tissues and cellular or tissue-based products, or HCT/Ps. To date, iFuse Bone is our only HCT/P product, and as a product regulated under Section 361 of the Public Health Service Act, we have not been required to file a 510(k) with respect to iFuse Bone. However, the FDA could require us to obtain a 510(k) clearance for future tissue products not regulated as 361 HCT/Ps. The process of obtaining a 510(k) clearance could take time and consume resources, and failing to receive such a clearance would render us unable to market and sell such products, which could have a material and adverse effect on our business.</w:t>
      </w:r>
    </w:p>
    <w:p>
      <w:pPr>
        <w:spacing w:after="0" w:line="208" w:lineRule="exact"/>
        <w:rPr>
          <w:sz w:val="20"/>
          <w:szCs w:val="20"/>
          <w:color w:val="auto"/>
        </w:rPr>
      </w:pPr>
    </w:p>
    <w:p>
      <w:pPr>
        <w:jc w:val="both"/>
        <w:ind w:firstLine="399"/>
        <w:spacing w:after="0" w:line="239" w:lineRule="auto"/>
        <w:rPr>
          <w:sz w:val="20"/>
          <w:szCs w:val="20"/>
          <w:color w:val="auto"/>
        </w:rPr>
      </w:pPr>
      <w:r>
        <w:rPr>
          <w:rFonts w:ascii="Times New Roman" w:cs="Times New Roman" w:eastAsia="Times New Roman" w:hAnsi="Times New Roman"/>
          <w:sz w:val="18"/>
          <w:szCs w:val="18"/>
          <w:color w:val="auto"/>
        </w:rPr>
        <w:t>In addition, procurement of certain human organs and tissue for transplantation is subject to the National Organ Transplant Act, or NOTA, which prohibits the transfer of certain human organs, including skin and related tissue, for valuable consideration, but permits the reasonable payment for costs associated with the removal, transportation, implantation, processing, preservation, quality control and storage of human tissue and skin. We reimburse tissue banks for their expenses associated with the recovery, storage and transportation of donated human tissue they provide to us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we can recover in our pricing for our products, thereby reducing our future revenue and profitability. If we were to be found to have violated NOTA’s prohibition on the sale or transfer of human tissue for valuable consideration, we would potentially be subject to criminal enforcement sanctions, which could materially and adversely affect our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173" w:lineRule="exact"/>
        <w:rPr>
          <w:sz w:val="20"/>
          <w:szCs w:val="20"/>
          <w:color w:val="auto"/>
        </w:rPr>
      </w:pPr>
    </w:p>
    <w:p>
      <w:pPr>
        <w:jc w:val="both"/>
        <w:ind w:firstLine="479"/>
        <w:spacing w:after="0"/>
        <w:rPr>
          <w:sz w:val="20"/>
          <w:szCs w:val="20"/>
          <w:color w:val="auto"/>
        </w:rPr>
      </w:pPr>
      <w:r>
        <w:rPr>
          <w:rFonts w:ascii="Times New Roman" w:cs="Times New Roman" w:eastAsia="Times New Roman" w:hAnsi="Times New Roman"/>
          <w:sz w:val="18"/>
          <w:szCs w:val="18"/>
          <w:color w:val="auto"/>
        </w:rPr>
        <w:t>We rely primarily on patent, copyright, trademark and trade secret laws, as well as confidentiality and nondisclosure agreements and other methods, to protect our proprietary technologies and know-how. As of June 30, 2022, we owned 48 issued U.S. patents and had 38 pending U.S. patent applications, and we owned 15 issued foreign patents and had 19 pending foreign patent applications. We have focused the majority of our foreign patent efforts in China, Europe, and Japan. Our current U.S. patents on iFuse, including the triangular shape, expire in November 2024. Competitors may market similar triangular shaped devices upon the expiration of the patents in late 2024. Our current U.S. patents on iFuse-3D, including the fenestrated design, expire in September 2035. Our foreign patents will expire between August 2025 and October 2031.</w:t>
      </w:r>
    </w:p>
    <w:p>
      <w:pPr>
        <w:spacing w:after="0" w:line="196" w:lineRule="exact"/>
        <w:rPr>
          <w:sz w:val="20"/>
          <w:szCs w:val="20"/>
          <w:color w:val="auto"/>
        </w:rPr>
      </w:pPr>
    </w:p>
    <w:p>
      <w:pPr>
        <w:ind w:right="440" w:firstLine="479"/>
        <w:spacing w:after="0" w:line="260" w:lineRule="auto"/>
        <w:rPr>
          <w:sz w:val="20"/>
          <w:szCs w:val="20"/>
          <w:color w:val="auto"/>
        </w:rPr>
      </w:pPr>
      <w:r>
        <w:rPr>
          <w:rFonts w:ascii="Times New Roman" w:cs="Times New Roman" w:eastAsia="Times New Roman" w:hAnsi="Times New Roman"/>
          <w:sz w:val="18"/>
          <w:szCs w:val="18"/>
          <w:color w:val="auto"/>
        </w:rPr>
        <w:t>As of June 30, 2022, we have 18 registered trademarks in the U.S. and have filed for 10 more. We have sought protection for at least two of these trademarks in 60 countries including the 27 European member countries of the Madrid Protocol.</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64" w:name="page65"/>
    <w:bookmarkEnd w:id="64"/>
    <w:p>
      <w:pPr>
        <w:jc w:val="both"/>
        <w:ind w:firstLine="439"/>
        <w:spacing w:after="0" w:line="255" w:lineRule="auto"/>
        <w:rPr>
          <w:sz w:val="20"/>
          <w:szCs w:val="20"/>
          <w:color w:val="auto"/>
        </w:rPr>
      </w:pPr>
      <w:r>
        <w:rPr>
          <w:rFonts w:ascii="Times New Roman" w:cs="Times New Roman" w:eastAsia="Times New Roman" w:hAnsi="Times New Roman"/>
          <w:sz w:val="17"/>
          <w:szCs w:val="17"/>
          <w:color w:val="auto"/>
        </w:rPr>
        <w:t>We have applied for patent protection relating to certain existing and proposed products and processes. While we generally apply for patents in those countries where we intend to make, have made, use, or sell our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U.S. Even if patents are granted outside the U.S., effective enforcement in those countries may not be available. Since most of our issued patents are for the U.S.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97" w:lineRule="exact"/>
        <w:rPr>
          <w:sz w:val="20"/>
          <w:szCs w:val="20"/>
          <w:color w:val="auto"/>
        </w:rPr>
      </w:pPr>
    </w:p>
    <w:p>
      <w:pPr>
        <w:jc w:val="both"/>
        <w:ind w:firstLine="439"/>
        <w:spacing w:after="0" w:line="260" w:lineRule="auto"/>
        <w:rPr>
          <w:sz w:val="20"/>
          <w:szCs w:val="20"/>
          <w:color w:val="auto"/>
        </w:rPr>
      </w:pPr>
      <w:r>
        <w:rPr>
          <w:rFonts w:ascii="Times New Roman" w:cs="Times New Roman" w:eastAsia="Times New Roman" w:hAnsi="Times New Roman"/>
          <w:sz w:val="17"/>
          <w:szCs w:val="17"/>
          <w:color w:val="auto"/>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spacing w:after="0" w:line="206" w:lineRule="exact"/>
        <w:rPr>
          <w:sz w:val="20"/>
          <w:szCs w:val="20"/>
          <w:color w:val="auto"/>
        </w:rPr>
      </w:pPr>
    </w:p>
    <w:p>
      <w:pPr>
        <w:jc w:val="both"/>
        <w:ind w:firstLine="439"/>
        <w:spacing w:after="0"/>
        <w:rPr>
          <w:sz w:val="20"/>
          <w:szCs w:val="20"/>
          <w:color w:val="auto"/>
        </w:rPr>
      </w:pPr>
      <w:r>
        <w:rPr>
          <w:rFonts w:ascii="Times New Roman" w:cs="Times New Roman" w:eastAsia="Times New Roman" w:hAnsi="Times New Roman"/>
          <w:sz w:val="18"/>
          <w:szCs w:val="18"/>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208" w:lineRule="exact"/>
        <w:rPr>
          <w:sz w:val="20"/>
          <w:szCs w:val="20"/>
          <w:color w:val="auto"/>
        </w:rPr>
      </w:pPr>
    </w:p>
    <w:p>
      <w:pPr>
        <w:jc w:val="both"/>
        <w:ind w:firstLine="439"/>
        <w:spacing w:after="0" w:line="241" w:lineRule="auto"/>
        <w:rPr>
          <w:sz w:val="20"/>
          <w:szCs w:val="20"/>
          <w:color w:val="auto"/>
        </w:rPr>
      </w:pPr>
      <w:r>
        <w:rPr>
          <w:rFonts w:ascii="Times New Roman" w:cs="Times New Roman" w:eastAsia="Times New Roman" w:hAnsi="Times New Roman"/>
          <w:sz w:val="18"/>
          <w:szCs w:val="18"/>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222" w:lineRule="exact"/>
        <w:rPr>
          <w:sz w:val="20"/>
          <w:szCs w:val="20"/>
          <w:color w:val="auto"/>
        </w:rPr>
      </w:pPr>
    </w:p>
    <w:p>
      <w:pPr>
        <w:jc w:val="both"/>
        <w:ind w:firstLine="439"/>
        <w:spacing w:after="0"/>
        <w:rPr>
          <w:sz w:val="20"/>
          <w:szCs w:val="20"/>
          <w:color w:val="auto"/>
        </w:rPr>
      </w:pPr>
      <w:r>
        <w:rPr>
          <w:rFonts w:ascii="Times New Roman" w:cs="Times New Roman" w:eastAsia="Times New Roman" w:hAnsi="Times New Roman"/>
          <w:sz w:val="18"/>
          <w:szCs w:val="18"/>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5" w:name="page66"/>
    <w:bookmarkEnd w:id="65"/>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173" w:lineRule="exact"/>
        <w:rPr>
          <w:sz w:val="20"/>
          <w:szCs w:val="20"/>
          <w:color w:val="auto"/>
        </w:rPr>
      </w:pPr>
    </w:p>
    <w:p>
      <w:pPr>
        <w:jc w:val="both"/>
        <w:ind w:firstLine="439"/>
        <w:spacing w:after="0" w:line="254" w:lineRule="auto"/>
        <w:rPr>
          <w:sz w:val="20"/>
          <w:szCs w:val="20"/>
          <w:color w:val="auto"/>
        </w:rPr>
      </w:pPr>
      <w:r>
        <w:rPr>
          <w:rFonts w:ascii="Times New Roman" w:cs="Times New Roman" w:eastAsia="Times New Roman" w:hAnsi="Times New Roman"/>
          <w:sz w:val="17"/>
          <w:szCs w:val="17"/>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occur,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2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59" w:lineRule="exact"/>
        <w:rPr>
          <w:sz w:val="20"/>
          <w:szCs w:val="20"/>
          <w:color w:val="auto"/>
        </w:rPr>
      </w:pPr>
    </w:p>
    <w:p>
      <w:pPr>
        <w:jc w:val="both"/>
        <w:ind w:firstLine="439"/>
        <w:spacing w:after="0" w:line="238" w:lineRule="auto"/>
        <w:rPr>
          <w:sz w:val="20"/>
          <w:szCs w:val="20"/>
          <w:color w:val="auto"/>
        </w:rPr>
      </w:pPr>
      <w:r>
        <w:rPr>
          <w:rFonts w:ascii="Times New Roman" w:cs="Times New Roman" w:eastAsia="Times New Roman" w:hAnsi="Times New Roman"/>
          <w:sz w:val="18"/>
          <w:szCs w:val="18"/>
          <w:color w:val="auto"/>
        </w:rPr>
        <w:t>Our commercial success will depend in part on not infringing the patents or violating the other proprietary rights of third parties. Significant litigation regarding patent rights exists in our industry. Our competitors in both the U.S.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w:t>
      </w:r>
    </w:p>
    <w:p>
      <w:pPr>
        <w:spacing w:after="0" w:line="203" w:lineRule="exact"/>
        <w:rPr>
          <w:sz w:val="20"/>
          <w:szCs w:val="20"/>
          <w:color w:val="auto"/>
        </w:rPr>
      </w:pPr>
    </w:p>
    <w:p>
      <w:pPr>
        <w:jc w:val="both"/>
        <w:ind w:firstLine="439"/>
        <w:spacing w:after="0"/>
        <w:rPr>
          <w:sz w:val="20"/>
          <w:szCs w:val="20"/>
          <w:color w:val="auto"/>
        </w:rPr>
      </w:pPr>
      <w:r>
        <w:rPr>
          <w:rFonts w:ascii="Times New Roman" w:cs="Times New Roman" w:eastAsia="Times New Roman" w:hAnsi="Times New Roman"/>
          <w:sz w:val="18"/>
          <w:szCs w:val="18"/>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the value of an investment in our common stock could decline.</w:t>
      </w:r>
    </w:p>
    <w:p>
      <w:pPr>
        <w:spacing w:after="0" w:line="210" w:lineRule="exact"/>
        <w:rPr>
          <w:sz w:val="20"/>
          <w:szCs w:val="20"/>
          <w:color w:val="auto"/>
        </w:rPr>
      </w:pPr>
    </w:p>
    <w:p>
      <w:pPr>
        <w:jc w:val="both"/>
        <w:ind w:firstLine="439"/>
        <w:spacing w:after="0" w:line="253" w:lineRule="auto"/>
        <w:rPr>
          <w:sz w:val="20"/>
          <w:szCs w:val="20"/>
          <w:color w:val="auto"/>
        </w:rPr>
      </w:pPr>
      <w:r>
        <w:rPr>
          <w:rFonts w:ascii="Times New Roman" w:cs="Times New Roman" w:eastAsia="Times New Roman" w:hAnsi="Times New Roman"/>
          <w:sz w:val="18"/>
          <w:szCs w:val="18"/>
          <w:color w:val="auto"/>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spacing w:after="0" w:line="171" w:lineRule="exact"/>
        <w:rPr>
          <w:sz w:val="20"/>
          <w:szCs w:val="20"/>
          <w:color w:val="auto"/>
        </w:rPr>
      </w:pPr>
    </w:p>
    <w:p>
      <w:pPr>
        <w:ind w:left="720" w:hanging="234"/>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the COVID-19 pandemic has on our business;</w:t>
      </w:r>
    </w:p>
    <w:p>
      <w:pPr>
        <w:spacing w:after="0" w:line="205" w:lineRule="exact"/>
        <w:rPr>
          <w:rFonts w:ascii="Times New Roman" w:cs="Times New Roman" w:eastAsia="Times New Roman" w:hAnsi="Times New Roman"/>
          <w:sz w:val="18"/>
          <w:szCs w:val="18"/>
          <w:color w:val="auto"/>
        </w:rPr>
      </w:pPr>
    </w:p>
    <w:p>
      <w:pPr>
        <w:ind w:left="880" w:right="320" w:hanging="394"/>
        <w:spacing w:after="0" w:line="276" w:lineRule="auto"/>
        <w:tabs>
          <w:tab w:leader="none" w:pos="8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investor risk appetite and other macroeconomic factors impacting the market for securities issued by medical device companies;</w:t>
      </w:r>
    </w:p>
    <w:p>
      <w:pPr>
        <w:spacing w:after="0" w:line="149" w:lineRule="exact"/>
        <w:rPr>
          <w:rFonts w:ascii="Times New Roman" w:cs="Times New Roman" w:eastAsia="Times New Roman" w:hAnsi="Times New Roman"/>
          <w:sz w:val="18"/>
          <w:szCs w:val="18"/>
          <w:color w:val="auto"/>
        </w:rPr>
      </w:pPr>
    </w:p>
    <w:p>
      <w:pPr>
        <w:ind w:left="880" w:right="220" w:hanging="394"/>
        <w:spacing w:after="0" w:line="260" w:lineRule="auto"/>
        <w:tabs>
          <w:tab w:leader="none" w:pos="8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inflation, interest rate increases and other macroeconomic factors impacting patients’ economic ability and likelihood of undergoing elective procedures, whether real or as perceived by investors;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66" w:name="page67"/>
    <w:bookmarkEnd w:id="66"/>
    <w:p>
      <w:pPr>
        <w:ind w:left="880" w:hanging="394"/>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clinical trials and that of our competitors’ products;</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205" w:lineRule="exact"/>
        <w:rPr>
          <w:rFonts w:ascii="Times New Roman" w:cs="Times New Roman" w:eastAsia="Times New Roman" w:hAnsi="Times New Roman"/>
          <w:sz w:val="18"/>
          <w:szCs w:val="18"/>
          <w:color w:val="auto"/>
        </w:rPr>
      </w:pPr>
    </w:p>
    <w:p>
      <w:pPr>
        <w:ind w:left="880" w:hanging="394"/>
        <w:spacing w:after="0" w:line="260" w:lineRule="auto"/>
        <w:tabs>
          <w:tab w:leader="none" w:pos="88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products, services or technologies, commercial relationships, acquisitions, or other events by us or our competitors;</w:t>
      </w:r>
    </w:p>
    <w:p>
      <w:pPr>
        <w:spacing w:after="0" w:line="177"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05" w:lineRule="exact"/>
        <w:rPr>
          <w:rFonts w:ascii="Times New Roman" w:cs="Times New Roman" w:eastAsia="Times New Roman" w:hAnsi="Times New Roman"/>
          <w:sz w:val="18"/>
          <w:szCs w:val="18"/>
          <w:color w:val="auto"/>
        </w:rPr>
      </w:pPr>
    </w:p>
    <w:p>
      <w:pPr>
        <w:ind w:left="880" w:right="20" w:hanging="394"/>
        <w:spacing w:after="0" w:line="260"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healthcare companies, in general, and of companies in the medical device industry in particular;</w:t>
      </w:r>
    </w:p>
    <w:p>
      <w:pPr>
        <w:spacing w:after="0" w:line="177"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results of operations meet the expectations of securities analysts or investors or those expectations change;</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U.S., foreign countries, or both;</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lock-up releases and sales of large blocks of our common stock;</w:t>
      </w:r>
    </w:p>
    <w:p>
      <w:pPr>
        <w:spacing w:after="0" w:line="218"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employees or scientific personnel; and</w:t>
      </w:r>
    </w:p>
    <w:p>
      <w:pPr>
        <w:spacing w:after="0" w:line="205" w:lineRule="exact"/>
        <w:rPr>
          <w:rFonts w:ascii="Times New Roman" w:cs="Times New Roman" w:eastAsia="Times New Roman" w:hAnsi="Times New Roman"/>
          <w:sz w:val="18"/>
          <w:szCs w:val="18"/>
          <w:color w:val="auto"/>
        </w:rPr>
      </w:pPr>
    </w:p>
    <w:p>
      <w:pPr>
        <w:ind w:left="720" w:hanging="2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206" w:lineRule="exact"/>
        <w:rPr>
          <w:sz w:val="20"/>
          <w:szCs w:val="20"/>
          <w:color w:val="auto"/>
        </w:rPr>
      </w:pPr>
    </w:p>
    <w:p>
      <w:pPr>
        <w:jc w:val="both"/>
        <w:ind w:firstLine="439"/>
        <w:spacing w:after="0" w:line="243" w:lineRule="auto"/>
        <w:rPr>
          <w:sz w:val="20"/>
          <w:szCs w:val="20"/>
          <w:color w:val="auto"/>
        </w:rPr>
      </w:pPr>
      <w:r>
        <w:rPr>
          <w:rFonts w:ascii="Times New Roman" w:cs="Times New Roman" w:eastAsia="Times New Roman" w:hAnsi="Times New Roman"/>
          <w:sz w:val="18"/>
          <w:szCs w:val="18"/>
          <w:color w:val="auto"/>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volumes and our operating results may fluctuate over the course of the year, which could affect the price of our common stock.</w:t>
      </w:r>
    </w:p>
    <w:p>
      <w:pPr>
        <w:spacing w:after="0" w:line="223" w:lineRule="exact"/>
        <w:rPr>
          <w:sz w:val="20"/>
          <w:szCs w:val="20"/>
          <w:color w:val="auto"/>
        </w:rPr>
      </w:pPr>
    </w:p>
    <w:p>
      <w:pPr>
        <w:jc w:val="both"/>
        <w:ind w:firstLine="444"/>
        <w:spacing w:after="0" w:line="260" w:lineRule="auto"/>
        <w:rPr>
          <w:sz w:val="20"/>
          <w:szCs w:val="20"/>
          <w:color w:val="auto"/>
        </w:rPr>
      </w:pPr>
      <w:r>
        <w:rPr>
          <w:rFonts w:ascii="Times New Roman" w:cs="Times New Roman" w:eastAsia="Times New Roman" w:hAnsi="Times New Roman"/>
          <w:sz w:val="18"/>
          <w:szCs w:val="18"/>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164" w:lineRule="exact"/>
        <w:rPr>
          <w:sz w:val="20"/>
          <w:szCs w:val="20"/>
          <w:color w:val="auto"/>
        </w:rPr>
      </w:pPr>
    </w:p>
    <w:p>
      <w:pPr>
        <w:ind w:left="880" w:hanging="394"/>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the COVID-19 pandemic has on our business;</w:t>
      </w:r>
    </w:p>
    <w:p>
      <w:pPr>
        <w:spacing w:after="0" w:line="218" w:lineRule="exact"/>
        <w:rPr>
          <w:rFonts w:ascii="Times New Roman" w:cs="Times New Roman" w:eastAsia="Times New Roman" w:hAnsi="Times New Roman"/>
          <w:sz w:val="18"/>
          <w:szCs w:val="18"/>
          <w:color w:val="auto"/>
        </w:rPr>
      </w:pPr>
    </w:p>
    <w:p>
      <w:pPr>
        <w:ind w:left="880" w:hanging="394"/>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payor coverage and reimbursement;</w:t>
      </w:r>
    </w:p>
    <w:p>
      <w:pPr>
        <w:spacing w:after="0" w:line="205" w:lineRule="exact"/>
        <w:rPr>
          <w:rFonts w:ascii="Times New Roman" w:cs="Times New Roman" w:eastAsia="Times New Roman" w:hAnsi="Times New Roman"/>
          <w:sz w:val="18"/>
          <w:szCs w:val="18"/>
          <w:color w:val="auto"/>
        </w:rPr>
      </w:pPr>
    </w:p>
    <w:p>
      <w:pPr>
        <w:ind w:left="880" w:hanging="394"/>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products sold in the quarter and our ability to drive increased sales of our products;</w:t>
      </w:r>
    </w:p>
    <w:p>
      <w:pPr>
        <w:spacing w:after="0" w:line="205" w:lineRule="exact"/>
        <w:rPr>
          <w:rFonts w:ascii="Times New Roman" w:cs="Times New Roman" w:eastAsia="Times New Roman" w:hAnsi="Times New Roman"/>
          <w:sz w:val="18"/>
          <w:szCs w:val="18"/>
          <w:color w:val="auto"/>
        </w:rPr>
      </w:pPr>
    </w:p>
    <w:p>
      <w:pPr>
        <w:ind w:left="880" w:hanging="394"/>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an effective and dedicated sales force;</w:t>
      </w:r>
    </w:p>
    <w:p>
      <w:pPr>
        <w:spacing w:after="0" w:line="218" w:lineRule="exact"/>
        <w:rPr>
          <w:rFonts w:ascii="Times New Roman" w:cs="Times New Roman" w:eastAsia="Times New Roman" w:hAnsi="Times New Roman"/>
          <w:sz w:val="18"/>
          <w:szCs w:val="18"/>
          <w:color w:val="auto"/>
        </w:rPr>
      </w:pPr>
    </w:p>
    <w:p>
      <w:pPr>
        <w:ind w:left="880" w:hanging="394"/>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applicable to our products, including adverse third-party coverage and reimbursement outcomes;</w:t>
      </w:r>
    </w:p>
    <w:p>
      <w:pPr>
        <w:spacing w:after="0" w:line="205" w:lineRule="exact"/>
        <w:rPr>
          <w:rFonts w:ascii="Times New Roman" w:cs="Times New Roman" w:eastAsia="Times New Roman" w:hAnsi="Times New Roman"/>
          <w:sz w:val="18"/>
          <w:szCs w:val="18"/>
          <w:color w:val="auto"/>
        </w:rPr>
      </w:pPr>
    </w:p>
    <w:p>
      <w:pPr>
        <w:ind w:left="880" w:hanging="394"/>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research and trials on our existing products and products in development;</w:t>
      </w:r>
    </w:p>
    <w:p>
      <w:pPr>
        <w:spacing w:after="0" w:line="205" w:lineRule="exact"/>
        <w:rPr>
          <w:rFonts w:ascii="Times New Roman" w:cs="Times New Roman" w:eastAsia="Times New Roman" w:hAnsi="Times New Roman"/>
          <w:sz w:val="18"/>
          <w:szCs w:val="18"/>
          <w:color w:val="auto"/>
        </w:rPr>
      </w:pPr>
    </w:p>
    <w:p>
      <w:pPr>
        <w:ind w:left="880" w:hanging="394"/>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our products sold because profit margins differ amongst our products;</w:t>
      </w:r>
    </w:p>
    <w:p>
      <w:pPr>
        <w:spacing w:after="0" w:line="218" w:lineRule="exact"/>
        <w:rPr>
          <w:rFonts w:ascii="Times New Roman" w:cs="Times New Roman" w:eastAsia="Times New Roman" w:hAnsi="Times New Roman"/>
          <w:sz w:val="18"/>
          <w:szCs w:val="18"/>
          <w:color w:val="auto"/>
        </w:rPr>
      </w:pPr>
    </w:p>
    <w:p>
      <w:pPr>
        <w:ind w:left="880" w:hanging="394"/>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product offerings, acquisitions, licenses or other significant events by us or our competitors;</w:t>
      </w:r>
    </w:p>
    <w:p>
      <w:pPr>
        <w:spacing w:after="0" w:line="205" w:lineRule="exact"/>
        <w:rPr>
          <w:rFonts w:ascii="Times New Roman" w:cs="Times New Roman" w:eastAsia="Times New Roman" w:hAnsi="Times New Roman"/>
          <w:sz w:val="18"/>
          <w:szCs w:val="18"/>
          <w:color w:val="auto"/>
        </w:rPr>
      </w:pPr>
    </w:p>
    <w:p>
      <w:pPr>
        <w:ind w:left="880" w:hanging="394"/>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to timely provide us with an adequate supply of materials and components;</w:t>
      </w:r>
    </w:p>
    <w:p>
      <w:pPr>
        <w:sectPr>
          <w:pgSz w:w="11900" w:h="16838" w:orient="portrait"/>
          <w:cols w:equalWidth="0" w:num="1">
            <w:col w:w="11240"/>
          </w:cols>
          <w:pgMar w:left="320" w:top="9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type w:val="continuous"/>
        </w:sectPr>
      </w:pPr>
    </w:p>
    <w:bookmarkStart w:id="67" w:name="page68"/>
    <w:bookmarkEnd w:id="67"/>
    <w:p>
      <w:pPr>
        <w:ind w:left="880" w:hanging="394"/>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product offerings of our competitors;</w:t>
      </w:r>
    </w:p>
    <w:p>
      <w:pPr>
        <w:spacing w:after="0" w:line="205" w:lineRule="exact"/>
        <w:rPr>
          <w:rFonts w:ascii="Times New Roman" w:cs="Times New Roman" w:eastAsia="Times New Roman" w:hAnsi="Times New Roman"/>
          <w:sz w:val="18"/>
          <w:szCs w:val="18"/>
          <w:color w:val="auto"/>
        </w:rPr>
      </w:pPr>
    </w:p>
    <w:p>
      <w:pPr>
        <w:ind w:left="880" w:hanging="394"/>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and pricing of, our products and the products of our competitors;</w:t>
      </w:r>
    </w:p>
    <w:p>
      <w:pPr>
        <w:spacing w:after="0" w:line="218" w:lineRule="exact"/>
        <w:rPr>
          <w:rFonts w:ascii="Times New Roman" w:cs="Times New Roman" w:eastAsia="Times New Roman" w:hAnsi="Times New Roman"/>
          <w:sz w:val="18"/>
          <w:szCs w:val="18"/>
          <w:color w:val="auto"/>
        </w:rPr>
      </w:pPr>
    </w:p>
    <w:p>
      <w:pPr>
        <w:ind w:left="880" w:hanging="394"/>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may affect the sale of our products, including seasonality and budgets of our customers;</w:t>
      </w:r>
    </w:p>
    <w:p>
      <w:pPr>
        <w:spacing w:after="0" w:line="205" w:lineRule="exact"/>
        <w:rPr>
          <w:rFonts w:ascii="Times New Roman" w:cs="Times New Roman" w:eastAsia="Times New Roman" w:hAnsi="Times New Roman"/>
          <w:sz w:val="18"/>
          <w:szCs w:val="18"/>
          <w:color w:val="auto"/>
        </w:rPr>
      </w:pPr>
    </w:p>
    <w:p>
      <w:pPr>
        <w:ind w:left="880" w:right="20" w:hanging="394"/>
        <w:spacing w:after="0" w:line="260" w:lineRule="auto"/>
        <w:tabs>
          <w:tab w:leader="none" w:pos="8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regulatory clearances or approvals, or CE Certificates of Conformity, and legislative changes affecting the products we may offer or those of our competitors;</w:t>
      </w:r>
    </w:p>
    <w:p>
      <w:pPr>
        <w:spacing w:after="0" w:line="177" w:lineRule="exact"/>
        <w:rPr>
          <w:rFonts w:ascii="Times New Roman" w:cs="Times New Roman" w:eastAsia="Times New Roman" w:hAnsi="Times New Roman"/>
          <w:sz w:val="18"/>
          <w:szCs w:val="18"/>
          <w:color w:val="auto"/>
        </w:rPr>
      </w:pPr>
    </w:p>
    <w:p>
      <w:pPr>
        <w:ind w:left="880" w:hanging="394"/>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the manufacturing or distribution of our products;</w:t>
      </w:r>
    </w:p>
    <w:p>
      <w:pPr>
        <w:spacing w:after="0" w:line="205" w:lineRule="exact"/>
        <w:rPr>
          <w:rFonts w:ascii="Times New Roman" w:cs="Times New Roman" w:eastAsia="Times New Roman" w:hAnsi="Times New Roman"/>
          <w:sz w:val="18"/>
          <w:szCs w:val="18"/>
          <w:color w:val="auto"/>
        </w:rPr>
      </w:pPr>
    </w:p>
    <w:p>
      <w:pPr>
        <w:ind w:left="880" w:hanging="394"/>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industry and market developments;</w:t>
      </w:r>
    </w:p>
    <w:p>
      <w:pPr>
        <w:spacing w:after="0" w:line="205" w:lineRule="exact"/>
        <w:rPr>
          <w:rFonts w:ascii="Times New Roman" w:cs="Times New Roman" w:eastAsia="Times New Roman" w:hAnsi="Times New Roman"/>
          <w:sz w:val="18"/>
          <w:szCs w:val="18"/>
          <w:color w:val="auto"/>
        </w:rPr>
      </w:pPr>
    </w:p>
    <w:p>
      <w:pPr>
        <w:ind w:left="880" w:hanging="394"/>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the geographic reach of our sales and marketing efforts;</w:t>
      </w:r>
    </w:p>
    <w:p>
      <w:pPr>
        <w:spacing w:after="0" w:line="218" w:lineRule="exact"/>
        <w:rPr>
          <w:rFonts w:ascii="Times New Roman" w:cs="Times New Roman" w:eastAsia="Times New Roman" w:hAnsi="Times New Roman"/>
          <w:sz w:val="18"/>
          <w:szCs w:val="18"/>
          <w:color w:val="auto"/>
        </w:rPr>
      </w:pPr>
    </w:p>
    <w:p>
      <w:pPr>
        <w:ind w:left="880" w:hanging="394"/>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adequate insurance coverage, including product liability insurance;</w:t>
      </w:r>
    </w:p>
    <w:p>
      <w:pPr>
        <w:spacing w:after="0" w:line="205" w:lineRule="exact"/>
        <w:rPr>
          <w:rFonts w:ascii="Times New Roman" w:cs="Times New Roman" w:eastAsia="Times New Roman" w:hAnsi="Times New Roman"/>
          <w:sz w:val="18"/>
          <w:szCs w:val="18"/>
          <w:color w:val="auto"/>
        </w:rPr>
      </w:pPr>
    </w:p>
    <w:p>
      <w:pPr>
        <w:ind w:left="880" w:hanging="394"/>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components and materials;</w:t>
      </w:r>
    </w:p>
    <w:p>
      <w:pPr>
        <w:spacing w:after="0" w:line="205" w:lineRule="exact"/>
        <w:rPr>
          <w:rFonts w:ascii="Times New Roman" w:cs="Times New Roman" w:eastAsia="Times New Roman" w:hAnsi="Times New Roman"/>
          <w:sz w:val="18"/>
          <w:szCs w:val="18"/>
          <w:color w:val="auto"/>
        </w:rPr>
      </w:pPr>
    </w:p>
    <w:p>
      <w:pPr>
        <w:ind w:left="880" w:hanging="394"/>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selling days in the quarter;</w:t>
      </w:r>
    </w:p>
    <w:p>
      <w:pPr>
        <w:spacing w:after="0" w:line="218" w:lineRule="exact"/>
        <w:rPr>
          <w:rFonts w:ascii="Times New Roman" w:cs="Times New Roman" w:eastAsia="Times New Roman" w:hAnsi="Times New Roman"/>
          <w:sz w:val="18"/>
          <w:szCs w:val="18"/>
          <w:color w:val="auto"/>
        </w:rPr>
      </w:pPr>
    </w:p>
    <w:p>
      <w:pPr>
        <w:ind w:left="880" w:hanging="394"/>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foreign currency exchange rates; and</w:t>
      </w:r>
    </w:p>
    <w:p>
      <w:pPr>
        <w:spacing w:after="0" w:line="205" w:lineRule="exact"/>
        <w:rPr>
          <w:rFonts w:ascii="Times New Roman" w:cs="Times New Roman" w:eastAsia="Times New Roman" w:hAnsi="Times New Roman"/>
          <w:sz w:val="18"/>
          <w:szCs w:val="18"/>
          <w:color w:val="auto"/>
        </w:rPr>
      </w:pPr>
    </w:p>
    <w:p>
      <w:pPr>
        <w:ind w:left="880" w:hanging="394"/>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and other special charges.</w:t>
      </w:r>
    </w:p>
    <w:p>
      <w:pPr>
        <w:spacing w:after="0" w:line="206" w:lineRule="exact"/>
        <w:rPr>
          <w:sz w:val="20"/>
          <w:szCs w:val="20"/>
          <w:color w:val="auto"/>
        </w:rPr>
      </w:pPr>
    </w:p>
    <w:p>
      <w:pPr>
        <w:jc w:val="both"/>
        <w:ind w:firstLine="444"/>
        <w:spacing w:after="0" w:line="241" w:lineRule="auto"/>
        <w:rPr>
          <w:sz w:val="20"/>
          <w:szCs w:val="20"/>
          <w:color w:val="auto"/>
        </w:rPr>
      </w:pPr>
      <w:r>
        <w:rPr>
          <w:rFonts w:ascii="Times New Roman" w:cs="Times New Roman" w:eastAsia="Times New Roman" w:hAnsi="Times New Roman"/>
          <w:sz w:val="18"/>
          <w:szCs w:val="18"/>
          <w:color w:val="auto"/>
        </w:rPr>
        <w:t>Some of the products we may seek to develop and introduce in the future will require FDA clearance or approval before commercialization in the U.S., and commercialization of such products outside of the U.S.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utilize our federal and state net operating loss carryforwards to reduce our income taxes.</w:t>
      </w:r>
    </w:p>
    <w:p>
      <w:pPr>
        <w:spacing w:after="0" w:line="210" w:lineRule="exact"/>
        <w:rPr>
          <w:sz w:val="20"/>
          <w:szCs w:val="20"/>
          <w:color w:val="auto"/>
        </w:rPr>
      </w:pPr>
    </w:p>
    <w:p>
      <w:pPr>
        <w:jc w:val="both"/>
        <w:ind w:firstLine="439"/>
        <w:spacing w:after="0" w:line="267" w:lineRule="auto"/>
        <w:rPr>
          <w:sz w:val="20"/>
          <w:szCs w:val="20"/>
          <w:color w:val="auto"/>
        </w:rPr>
      </w:pPr>
      <w:r>
        <w:rPr>
          <w:rFonts w:ascii="Times New Roman" w:cs="Times New Roman" w:eastAsia="Times New Roman" w:hAnsi="Times New Roman"/>
          <w:sz w:val="17"/>
          <w:szCs w:val="17"/>
          <w:color w:val="auto"/>
        </w:rPr>
        <w:t>As of December 31, 2021, we had net operating loss (“NOL”) carryforwards of $255.5 million and $203.2 million available to reduce future taxable income, if any, for U.S. federal income tax and state income tax purposes, respectively. If not utilized, our federal and state NOL carryforwards begin to expire in 2029 and 2022, respectively, subject to the recent California franchise tax law change affecting California state NOLs mentioned below. Portions of these NOL carryforwards could expire unused and be unavailable to offset future income tax liabilities. Under legislation enacted in 2017, as modified by</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legislation enacted in 2020, unused U.S. federal NOLs generated in tax years beginning after December 31, 2017</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will not expire and may be carried forward indefinitely, but the deductibility of such federal NOLs in taxable years beginning after December 31, 2020, is limited to 80% of taxable income. At the state level, there may be periods during which the use of NOLs is suspended or otherwise limited.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updated our Section 382 ownership change analysis through December 31, 2020. The analysis determined that we have experienced Section 382 ownership changes in 2010 and 2020. A total of $1.4 million of our NOLs and tax credit carryforwards are subject to limitation as a result of the ownership change.</w:t>
      </w:r>
    </w:p>
    <w:p>
      <w:pPr>
        <w:spacing w:after="0" w:line="218" w:lineRule="exact"/>
        <w:rPr>
          <w:sz w:val="20"/>
          <w:szCs w:val="20"/>
          <w:color w:val="auto"/>
        </w:rPr>
      </w:pPr>
    </w:p>
    <w:p>
      <w:pPr>
        <w:jc w:val="both"/>
        <w:ind w:firstLine="439"/>
        <w:spacing w:after="0" w:line="252" w:lineRule="auto"/>
        <w:rPr>
          <w:sz w:val="20"/>
          <w:szCs w:val="20"/>
          <w:color w:val="auto"/>
        </w:rPr>
      </w:pPr>
      <w:r>
        <w:rPr>
          <w:rFonts w:ascii="Times New Roman" w:cs="Times New Roman" w:eastAsia="Times New Roman" w:hAnsi="Times New Roman"/>
          <w:sz w:val="18"/>
          <w:szCs w:val="18"/>
          <w:color w:val="auto"/>
        </w:rPr>
        <w:t>The California Assembly Bill 85 (AB 85) was signed into law by Governor Gavin Newsom on June 29, 2020. The legislation suspends the California NOL deductions for 2020, 2021 and 2022 for certain taxpayers and imposes a limitation of certain California Tax Credits for 2020, 2021 and 2022. The legislation disallows the use of California NOL deductions if the taxpayer recognizes business income and its adjusted gross income is greater than $1.0 million. The carryover periods for NOL deductions disallowed by this provision will be extended. On February 9, 2022, California Senate Bill 133 (SB 133) was signed into law. The new bill lifted the limitation for California NOL and credit utilization disallowed by AB 85. We will continue to monitor the possible California NOLs and credit limitation in future periods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could discourage takeover attempts and lead to management entrenchment.</w:t>
      </w:r>
    </w:p>
    <w:p>
      <w:pPr>
        <w:spacing w:after="0" w:line="210" w:lineRule="exact"/>
        <w:rPr>
          <w:sz w:val="20"/>
          <w:szCs w:val="20"/>
          <w:color w:val="auto"/>
        </w:rPr>
      </w:pPr>
    </w:p>
    <w:p>
      <w:pPr>
        <w:jc w:val="both"/>
        <w:ind w:firstLine="439"/>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71" w:lineRule="exact"/>
        <w:rPr>
          <w:sz w:val="20"/>
          <w:szCs w:val="20"/>
          <w:color w:val="auto"/>
        </w:rPr>
      </w:pPr>
    </w:p>
    <w:p>
      <w:pPr>
        <w:ind w:left="880" w:hanging="394"/>
        <w:spacing w:after="0" w:line="276" w:lineRule="auto"/>
        <w:tabs>
          <w:tab w:leader="none" w:pos="8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149" w:lineRule="exact"/>
        <w:rPr>
          <w:rFonts w:ascii="Times New Roman" w:cs="Times New Roman" w:eastAsia="Times New Roman" w:hAnsi="Times New Roman"/>
          <w:sz w:val="18"/>
          <w:szCs w:val="18"/>
          <w:color w:val="auto"/>
        </w:rPr>
      </w:pPr>
    </w:p>
    <w:p>
      <w:pPr>
        <w:ind w:left="880" w:hanging="394"/>
        <w:spacing w:after="0" w:line="260" w:lineRule="auto"/>
        <w:tabs>
          <w:tab w:leader="none" w:pos="8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77" w:lineRule="exact"/>
        <w:rPr>
          <w:rFonts w:ascii="Times New Roman" w:cs="Times New Roman" w:eastAsia="Times New Roman" w:hAnsi="Times New Roman"/>
          <w:sz w:val="18"/>
          <w:szCs w:val="18"/>
          <w:color w:val="auto"/>
        </w:rPr>
      </w:pPr>
    </w:p>
    <w:p>
      <w:pPr>
        <w:ind w:left="880" w:right="20" w:hanging="394"/>
        <w:spacing w:after="0" w:line="260" w:lineRule="auto"/>
        <w:tabs>
          <w:tab w:leader="none" w:pos="7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63" w:lineRule="exact"/>
        <w:rPr>
          <w:rFonts w:ascii="Times New Roman" w:cs="Times New Roman" w:eastAsia="Times New Roman" w:hAnsi="Times New Roman"/>
          <w:sz w:val="18"/>
          <w:szCs w:val="18"/>
          <w:color w:val="auto"/>
        </w:rPr>
      </w:pPr>
    </w:p>
    <w:p>
      <w:pPr>
        <w:ind w:left="880" w:hanging="394"/>
        <w:spacing w:after="0" w:line="276" w:lineRule="auto"/>
        <w:tabs>
          <w:tab w:leader="none" w:pos="84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49" w:lineRule="exact"/>
        <w:rPr>
          <w:rFonts w:ascii="Times New Roman" w:cs="Times New Roman" w:eastAsia="Times New Roman" w:hAnsi="Times New Roman"/>
          <w:sz w:val="18"/>
          <w:szCs w:val="18"/>
          <w:color w:val="auto"/>
        </w:rPr>
      </w:pPr>
    </w:p>
    <w:p>
      <w:pPr>
        <w:ind w:left="880" w:hanging="394"/>
        <w:spacing w:after="0" w:line="253" w:lineRule="auto"/>
        <w:tabs>
          <w:tab w:leader="none" w:pos="7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70" w:lineRule="exact"/>
        <w:rPr>
          <w:rFonts w:ascii="Times New Roman" w:cs="Times New Roman" w:eastAsia="Times New Roman" w:hAnsi="Times New Roman"/>
          <w:sz w:val="18"/>
          <w:szCs w:val="18"/>
          <w:color w:val="auto"/>
        </w:rPr>
      </w:pPr>
    </w:p>
    <w:p>
      <w:pPr>
        <w:ind w:left="880" w:hanging="394"/>
        <w:spacing w:after="0" w:line="246" w:lineRule="auto"/>
        <w:tabs>
          <w:tab w:leader="none" w:pos="7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176" w:lineRule="exact"/>
        <w:rPr>
          <w:rFonts w:ascii="Times New Roman" w:cs="Times New Roman" w:eastAsia="Times New Roman" w:hAnsi="Times New Roman"/>
          <w:sz w:val="18"/>
          <w:szCs w:val="18"/>
          <w:color w:val="auto"/>
        </w:rPr>
      </w:pPr>
    </w:p>
    <w:p>
      <w:pPr>
        <w:ind w:left="880" w:hanging="394"/>
        <w:spacing w:after="0" w:line="253" w:lineRule="auto"/>
        <w:tabs>
          <w:tab w:leader="none" w:pos="73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1" w:lineRule="exact"/>
        <w:rPr>
          <w:sz w:val="20"/>
          <w:szCs w:val="20"/>
          <w:color w:val="auto"/>
        </w:rPr>
      </w:pPr>
    </w:p>
    <w:p>
      <w:pPr>
        <w:jc w:val="both"/>
        <w:ind w:firstLine="439"/>
        <w:spacing w:after="0" w:line="276"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50"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7"/>
          <w:szCs w:val="17"/>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53" w:lineRule="exact"/>
        <w:rPr>
          <w:sz w:val="20"/>
          <w:szCs w:val="20"/>
          <w:color w:val="auto"/>
        </w:rPr>
      </w:pPr>
    </w:p>
    <w:p>
      <w:pPr>
        <w:jc w:val="both"/>
        <w:ind w:firstLine="439"/>
        <w:spacing w:after="0" w:line="246"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U.S. federal district courts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167" w:lineRule="exact"/>
        <w:rPr>
          <w:sz w:val="20"/>
          <w:szCs w:val="20"/>
          <w:color w:val="auto"/>
        </w:rPr>
      </w:pPr>
    </w:p>
    <w:p>
      <w:pPr>
        <w:jc w:val="both"/>
        <w:ind w:firstLine="439"/>
        <w:spacing w:after="0"/>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69" w:name="page70"/>
    <w:bookmarkEnd w:id="69"/>
    <w:p>
      <w:pPr>
        <w:ind w:firstLine="439"/>
        <w:spacing w:after="0" w:line="260"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the U.S. federal district courts are the exclusive forum for resolving any complaint asserting a cause of action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Nothing to report.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1" w:lineRule="exact"/>
        <w:rPr>
          <w:sz w:val="20"/>
          <w:szCs w:val="20"/>
          <w:color w:val="auto"/>
        </w:rPr>
      </w:pPr>
    </w:p>
    <w:p>
      <w:pPr>
        <w:ind w:right="160" w:firstLine="479"/>
        <w:spacing w:after="0" w:line="252" w:lineRule="auto"/>
        <w:rPr>
          <w:sz w:val="20"/>
          <w:szCs w:val="20"/>
          <w:color w:val="auto"/>
        </w:rPr>
      </w:pPr>
      <w:r>
        <w:rPr>
          <w:rFonts w:ascii="Times New Roman" w:cs="Times New Roman" w:eastAsia="Times New Roman" w:hAnsi="Times New Roman"/>
          <w:sz w:val="18"/>
          <w:szCs w:val="18"/>
          <w:color w:val="auto"/>
        </w:rPr>
        <w:t>On June 16, 2022, we held our 2022 Annual Meeting of Stockholders, at which our stockholders voted, on an advisory basis, that the stockholders be able to cast an advisory vote on the description of the compensation paid to our named executive officers each year. We have determined, in light of and consistent with the advisory vote of our stockholders as to the preferred frequency of stockholder advisory votes on executive compensation, to include a stockholder advisory vote on executive compensation in our annual meeting proxy materials in each of the next six years. Under Section 14A(a)(2) of the Securities Exchange Act of 1934, as amended, we will hold the next non-binding advisory vote on the frequency of future stockholder advisory votes to approve our executive compensation no later than our 2028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2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0" w:type="dxa"/>
            <w:vAlign w:val="bottom"/>
            <w:gridSpan w:val="16"/>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tcBorders>
              <w:top w:val="single" w:sz="8" w:color="auto"/>
            </w:tcBorders>
            <w:vMerge w:val="restart"/>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900" w:type="dxa"/>
            <w:vAlign w:val="bottom"/>
            <w:tcBorders>
              <w:top w:val="single" w:sz="8" w:color="auto"/>
            </w:tcBorders>
          </w:tcPr>
          <w:p>
            <w:pPr>
              <w:jc w:val="center"/>
              <w:ind w:right="118"/>
              <w:spacing w:after="0" w:line="12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1"/>
                <w:szCs w:val="11"/>
                <w:color w:val="auto"/>
              </w:rPr>
            </w:pPr>
          </w:p>
        </w:tc>
        <w:tc>
          <w:tcPr>
            <w:tcW w:w="12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0" w:type="dxa"/>
            <w:vAlign w:val="bottom"/>
            <w:gridSpan w:val="16"/>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60" w:type="dxa"/>
            <w:vAlign w:val="bottom"/>
            <w:tcBorders>
              <w:top w:val="single" w:sz="8" w:color="auto"/>
            </w:tcBorders>
          </w:tcPr>
          <w:p>
            <w:pPr>
              <w:ind w:left="20"/>
              <w:spacing w:after="0" w:line="185" w:lineRule="exact"/>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680" w:type="dxa"/>
            <w:vAlign w:val="bottom"/>
            <w:tcBorders>
              <w:top w:val="single" w:sz="8" w:color="auto"/>
              <w:bottom w:val="single" w:sz="8" w:color="0000FF"/>
            </w:tcBorders>
            <w:gridSpan w:val="7"/>
          </w:tcPr>
          <w:p>
            <w:pPr>
              <w:spacing w:after="0" w:line="185" w:lineRule="exact"/>
              <w:rPr>
                <w:rFonts w:ascii="Times New Roman" w:cs="Times New Roman" w:eastAsia="Times New Roman" w:hAnsi="Times New Roman"/>
                <w:sz w:val="18"/>
                <w:szCs w:val="18"/>
                <w:color w:val="0000FF"/>
                <w:w w:val="97"/>
              </w:rPr>
            </w:pPr>
            <w:hyperlink r:id="rId81">
              <w:r>
                <w:rPr>
                  <w:rFonts w:ascii="Times New Roman" w:cs="Times New Roman" w:eastAsia="Times New Roman" w:hAnsi="Times New Roman"/>
                  <w:sz w:val="18"/>
                  <w:szCs w:val="18"/>
                  <w:color w:val="0000FF"/>
                  <w:w w:val="97"/>
                </w:rPr>
                <w:t>Amended and Restated Certificate of Incorporation.</w:t>
              </w:r>
            </w:hyperlink>
          </w:p>
        </w:tc>
        <w:tc>
          <w:tcPr>
            <w:tcW w:w="1100" w:type="dxa"/>
            <w:vAlign w:val="bottom"/>
            <w:tcBorders>
              <w:top w:val="single" w:sz="8" w:color="auto"/>
            </w:tcBorders>
            <w:gridSpan w:val="9"/>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top w:val="single" w:sz="8" w:color="auto"/>
            </w:tcBorders>
          </w:tcPr>
          <w:p>
            <w:pPr>
              <w:jc w:val="center"/>
              <w:ind w:left="76"/>
              <w:spacing w:after="0" w:line="185" w:lineRule="exact"/>
              <w:rPr>
                <w:sz w:val="20"/>
                <w:szCs w:val="20"/>
                <w:color w:val="auto"/>
              </w:rPr>
            </w:pPr>
            <w:r>
              <w:rPr>
                <w:rFonts w:ascii="Times New Roman" w:cs="Times New Roman" w:eastAsia="Times New Roman" w:hAnsi="Times New Roman"/>
                <w:sz w:val="18"/>
                <w:szCs w:val="18"/>
                <w:color w:val="auto"/>
                <w:w w:val="99"/>
              </w:rPr>
              <w:t>8-K</w:t>
            </w:r>
          </w:p>
        </w:tc>
        <w:tc>
          <w:tcPr>
            <w:tcW w:w="1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001-38701</w:t>
            </w: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18"/>
              <w:spacing w:after="0" w:line="185" w:lineRule="exact"/>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16"/>
                <w:szCs w:val="16"/>
                <w:color w:val="auto"/>
              </w:rPr>
            </w:pPr>
          </w:p>
        </w:tc>
        <w:tc>
          <w:tcPr>
            <w:tcW w:w="12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10/19/2018</w:t>
            </w:r>
          </w:p>
        </w:tc>
        <w:tc>
          <w:tcPr>
            <w:tcW w:w="0" w:type="dxa"/>
            <w:vAlign w:val="bottom"/>
          </w:tcPr>
          <w:p>
            <w:pPr>
              <w:spacing w:after="0"/>
              <w:rPr>
                <w:sz w:val="1"/>
                <w:szCs w:val="1"/>
                <w:color w:val="auto"/>
              </w:rPr>
            </w:pPr>
          </w:p>
        </w:tc>
      </w:tr>
      <w:tr>
        <w:trPr>
          <w:trHeight w:val="26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7"/>
              </w:rPr>
            </w:pPr>
            <w:hyperlink r:id="rId82">
              <w:r>
                <w:rPr>
                  <w:rFonts w:ascii="Times New Roman" w:cs="Times New Roman" w:eastAsia="Times New Roman" w:hAnsi="Times New Roman"/>
                  <w:sz w:val="18"/>
                  <w:szCs w:val="18"/>
                  <w:color w:val="0000FF"/>
                  <w:w w:val="97"/>
                </w:rPr>
                <w:t>Amended and Restated Bylaws.</w:t>
              </w:r>
            </w:hyperlink>
          </w:p>
        </w:tc>
        <w:tc>
          <w:tcPr>
            <w:tcW w:w="2720" w:type="dxa"/>
            <w:vAlign w:val="bottom"/>
            <w:gridSpan w:val="14"/>
          </w:tcPr>
          <w:p>
            <w:pPr>
              <w:spacing w:after="0"/>
              <w:rPr>
                <w:sz w:val="22"/>
                <w:szCs w:val="22"/>
                <w:color w:val="auto"/>
              </w:rPr>
            </w:pPr>
          </w:p>
        </w:tc>
        <w:tc>
          <w:tcPr>
            <w:tcW w:w="80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7"/>
              </w:rPr>
              <w:t>S-1/A</w:t>
            </w:r>
          </w:p>
        </w:tc>
        <w:tc>
          <w:tcPr>
            <w:tcW w:w="1500" w:type="dxa"/>
            <w:vAlign w:val="bottom"/>
            <w:gridSpan w:val="3"/>
          </w:tcPr>
          <w:p>
            <w:pPr>
              <w:jc w:val="center"/>
              <w:ind w:left="237"/>
              <w:spacing w:after="0"/>
              <w:rPr>
                <w:sz w:val="20"/>
                <w:szCs w:val="20"/>
                <w:color w:val="auto"/>
              </w:rPr>
            </w:pPr>
            <w:r>
              <w:rPr>
                <w:rFonts w:ascii="Times New Roman" w:cs="Times New Roman" w:eastAsia="Times New Roman" w:hAnsi="Times New Roman"/>
                <w:sz w:val="18"/>
                <w:szCs w:val="18"/>
                <w:color w:val="auto"/>
                <w:w w:val="98"/>
              </w:rPr>
              <w:t>333-227445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center"/>
              <w:ind w:right="118"/>
              <w:spacing w:after="0"/>
              <w:rPr>
                <w:sz w:val="20"/>
                <w:szCs w:val="20"/>
                <w:color w:val="auto"/>
              </w:rPr>
            </w:pPr>
            <w:r>
              <w:rPr>
                <w:rFonts w:ascii="Times New Roman" w:cs="Times New Roman" w:eastAsia="Times New Roman" w:hAnsi="Times New Roman"/>
                <w:sz w:val="18"/>
                <w:szCs w:val="18"/>
                <w:color w:val="auto"/>
                <w:w w:val="97"/>
              </w:rPr>
              <w:t>3.4</w:t>
            </w:r>
          </w:p>
        </w:tc>
        <w:tc>
          <w:tcPr>
            <w:tcW w:w="16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10/5/2018</w:t>
            </w:r>
          </w:p>
        </w:tc>
        <w:tc>
          <w:tcPr>
            <w:tcW w:w="0" w:type="dxa"/>
            <w:vAlign w:val="bottom"/>
          </w:tcPr>
          <w:p>
            <w:pPr>
              <w:spacing w:after="0"/>
              <w:rPr>
                <w:sz w:val="1"/>
                <w:szCs w:val="1"/>
                <w:color w:val="auto"/>
              </w:rPr>
            </w:pPr>
          </w:p>
        </w:tc>
      </w:tr>
      <w:tr>
        <w:trPr>
          <w:trHeight w:val="26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7"/>
              </w:rPr>
            </w:pPr>
            <w:hyperlink r:id="rId83">
              <w:r>
                <w:rPr>
                  <w:rFonts w:ascii="Times New Roman" w:cs="Times New Roman" w:eastAsia="Times New Roman" w:hAnsi="Times New Roman"/>
                  <w:sz w:val="18"/>
                  <w:szCs w:val="18"/>
                  <w:color w:val="0000FF"/>
                  <w:w w:val="97"/>
                </w:rPr>
                <w:t>Form of Common Stock Certificate of the Company.</w:t>
              </w:r>
            </w:hyperlink>
          </w:p>
        </w:tc>
        <w:tc>
          <w:tcPr>
            <w:tcW w:w="1240" w:type="dxa"/>
            <w:vAlign w:val="bottom"/>
            <w:gridSpan w:val="9"/>
          </w:tcPr>
          <w:p>
            <w:pPr>
              <w:spacing w:after="0"/>
              <w:rPr>
                <w:sz w:val="22"/>
                <w:szCs w:val="22"/>
                <w:color w:val="auto"/>
              </w:rPr>
            </w:pPr>
          </w:p>
        </w:tc>
        <w:tc>
          <w:tcPr>
            <w:tcW w:w="80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7"/>
              </w:rPr>
              <w:t>S-1/A</w:t>
            </w:r>
          </w:p>
        </w:tc>
        <w:tc>
          <w:tcPr>
            <w:tcW w:w="1500" w:type="dxa"/>
            <w:vAlign w:val="bottom"/>
            <w:gridSpan w:val="3"/>
          </w:tcPr>
          <w:p>
            <w:pPr>
              <w:jc w:val="center"/>
              <w:ind w:left="237"/>
              <w:spacing w:after="0"/>
              <w:rPr>
                <w:sz w:val="20"/>
                <w:szCs w:val="20"/>
                <w:color w:val="auto"/>
              </w:rPr>
            </w:pPr>
            <w:r>
              <w:rPr>
                <w:rFonts w:ascii="Times New Roman" w:cs="Times New Roman" w:eastAsia="Times New Roman" w:hAnsi="Times New Roman"/>
                <w:sz w:val="18"/>
                <w:szCs w:val="18"/>
                <w:color w:val="auto"/>
                <w:w w:val="98"/>
              </w:rPr>
              <w:t>333-227445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center"/>
              <w:ind w:right="118"/>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10/5/2018</w:t>
            </w:r>
          </w:p>
        </w:tc>
        <w:tc>
          <w:tcPr>
            <w:tcW w:w="0" w:type="dxa"/>
            <w:vAlign w:val="bottom"/>
          </w:tcPr>
          <w:p>
            <w:pPr>
              <w:spacing w:after="0"/>
              <w:rPr>
                <w:sz w:val="1"/>
                <w:szCs w:val="1"/>
                <w:color w:val="auto"/>
              </w:rPr>
            </w:pPr>
          </w:p>
        </w:tc>
      </w:tr>
      <w:tr>
        <w:trPr>
          <w:trHeight w:val="26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80" w:type="dxa"/>
            <w:vAlign w:val="bottom"/>
            <w:gridSpan w:val="1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81">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82">
              <w:r>
                <w:rPr>
                  <w:rFonts w:ascii="Times New Roman" w:cs="Times New Roman" w:eastAsia="Times New Roman" w:hAnsi="Times New Roman"/>
                  <w:sz w:val="18"/>
                  <w:szCs w:val="18"/>
                  <w:color w:val="0000FF"/>
                </w:rPr>
                <w:t>3.2</w:t>
              </w:r>
            </w:hyperlink>
            <w:r>
              <w:rPr>
                <w:rFonts w:ascii="Times New Roman" w:cs="Times New Roman" w:eastAsia="Times New Roman" w:hAnsi="Times New Roman"/>
                <w:sz w:val="18"/>
                <w:szCs w:val="18"/>
                <w:color w:val="auto"/>
              </w:rPr>
              <w:t>.</w:t>
            </w: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14"/>
          </w:tcPr>
          <w:p>
            <w:pPr>
              <w:spacing w:after="0" w:line="153" w:lineRule="exact"/>
              <w:rPr>
                <w:sz w:val="20"/>
                <w:szCs w:val="20"/>
                <w:color w:val="auto"/>
              </w:rPr>
            </w:pPr>
            <w:r>
              <w:rPr>
                <w:rFonts w:ascii="Times New Roman" w:cs="Times New Roman" w:eastAsia="Times New Roman" w:hAnsi="Times New Roman"/>
                <w:sz w:val="17"/>
                <w:szCs w:val="17"/>
                <w:color w:val="0000FF"/>
              </w:rPr>
              <w:t>14(a) and 15d-14(a) under the Securities Exchange Act of 1934, as</w:t>
            </w:r>
          </w:p>
        </w:tc>
        <w:tc>
          <w:tcPr>
            <w:tcW w:w="20" w:type="dxa"/>
            <w:vAlign w:val="bottom"/>
            <w:tcBorders>
              <w:bottom w:val="single" w:sz="8" w:color="0000FF"/>
            </w:tcBorders>
          </w:tcPr>
          <w:p>
            <w:pPr>
              <w:spacing w:after="0"/>
              <w:rPr>
                <w:sz w:val="13"/>
                <w:szCs w:val="13"/>
                <w:color w:val="auto"/>
              </w:rPr>
            </w:pPr>
          </w:p>
        </w:tc>
        <w:tc>
          <w:tcPr>
            <w:tcW w:w="2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gridSpan w:val="15"/>
          </w:tcPr>
          <w:p>
            <w:pPr>
              <w:spacing w:after="0" w:line="16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w:t>
            </w:r>
          </w:p>
        </w:tc>
        <w:tc>
          <w:tcPr>
            <w:tcW w:w="24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top w:val="single" w:sz="8" w:color="0000FF"/>
              <w:bottom w:val="single" w:sz="8" w:color="0000FF"/>
            </w:tcBorders>
          </w:tcPr>
          <w:p>
            <w:pPr>
              <w:spacing w:after="0" w:line="153" w:lineRule="exact"/>
              <w:rPr>
                <w:sz w:val="20"/>
                <w:szCs w:val="20"/>
                <w:color w:val="auto"/>
              </w:rPr>
            </w:pPr>
            <w:r>
              <w:rPr>
                <w:rFonts w:ascii="Times New Roman" w:cs="Times New Roman" w:eastAsia="Times New Roman" w:hAnsi="Times New Roman"/>
                <w:sz w:val="17"/>
                <w:szCs w:val="17"/>
                <w:color w:val="0000FF"/>
                <w:w w:val="93"/>
              </w:rPr>
              <w:t>2002.</w:t>
            </w:r>
          </w:p>
        </w:tc>
        <w:tc>
          <w:tcPr>
            <w:tcW w:w="17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7"/>
              </w:rPr>
              <w:t>Certification of Principal Financial Officer Pursuant to Rules 13a-</w:t>
            </w:r>
          </w:p>
        </w:tc>
        <w:tc>
          <w:tcPr>
            <w:tcW w:w="300" w:type="dxa"/>
            <w:vAlign w:val="bottom"/>
            <w:gridSpan w:val="4"/>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gridSpan w:val="17"/>
          </w:tcPr>
          <w:p>
            <w:pPr>
              <w:spacing w:after="0" w:line="153" w:lineRule="exact"/>
              <w:rPr>
                <w:sz w:val="20"/>
                <w:szCs w:val="20"/>
                <w:color w:val="auto"/>
              </w:rPr>
            </w:pPr>
            <w:r>
              <w:rPr>
                <w:rFonts w:ascii="Times New Roman" w:cs="Times New Roman" w:eastAsia="Times New Roman" w:hAnsi="Times New Roman"/>
                <w:sz w:val="17"/>
                <w:szCs w:val="17"/>
                <w:color w:val="0000FF"/>
              </w:rPr>
              <w:t>14(a) and 15d-14(a) under the Securities Exchange Act of 1934, as</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tcBorders>
            <w:gridSpan w:val="15"/>
          </w:tcPr>
          <w:p>
            <w:pPr>
              <w:spacing w:after="0" w:line="16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w:t>
            </w:r>
          </w:p>
        </w:tc>
        <w:tc>
          <w:tcPr>
            <w:tcW w:w="24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top w:val="single" w:sz="8" w:color="0000FF"/>
              <w:bottom w:val="single" w:sz="8" w:color="0000FF"/>
            </w:tcBorders>
          </w:tcPr>
          <w:p>
            <w:pPr>
              <w:spacing w:after="0" w:line="153" w:lineRule="exact"/>
              <w:rPr>
                <w:sz w:val="20"/>
                <w:szCs w:val="20"/>
                <w:color w:val="auto"/>
              </w:rPr>
            </w:pPr>
            <w:r>
              <w:rPr>
                <w:rFonts w:ascii="Times New Roman" w:cs="Times New Roman" w:eastAsia="Times New Roman" w:hAnsi="Times New Roman"/>
                <w:sz w:val="17"/>
                <w:szCs w:val="17"/>
                <w:color w:val="0000FF"/>
                <w:w w:val="93"/>
              </w:rPr>
              <w:t>2002.</w:t>
            </w:r>
          </w:p>
        </w:tc>
        <w:tc>
          <w:tcPr>
            <w:tcW w:w="17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9"/>
          </w:tcPr>
          <w:p>
            <w:pPr>
              <w:spacing w:after="0" w:line="153" w:lineRule="exact"/>
              <w:rPr>
                <w:sz w:val="20"/>
                <w:szCs w:val="20"/>
                <w:color w:val="auto"/>
              </w:rPr>
            </w:pPr>
            <w:r>
              <w:rPr>
                <w:rFonts w:ascii="Times New Roman" w:cs="Times New Roman" w:eastAsia="Times New Roman" w:hAnsi="Times New Roman"/>
                <w:sz w:val="17"/>
                <w:szCs w:val="17"/>
                <w:color w:val="0000FF"/>
              </w:rPr>
              <w:t>Financial Officer Pursuant to 18 U.S.C. Section 1350, as</w:t>
            </w:r>
          </w:p>
        </w:tc>
        <w:tc>
          <w:tcPr>
            <w:tcW w:w="920" w:type="dxa"/>
            <w:vAlign w:val="bottom"/>
            <w:gridSpan w:val="8"/>
          </w:tcPr>
          <w:p>
            <w:pPr>
              <w:spacing w:after="0" w:line="153" w:lineRule="exact"/>
              <w:rPr>
                <w:sz w:val="20"/>
                <w:szCs w:val="20"/>
                <w:color w:val="auto"/>
              </w:rPr>
            </w:pPr>
            <w:r>
              <w:rPr>
                <w:rFonts w:ascii="Times New Roman" w:cs="Times New Roman" w:eastAsia="Times New Roman" w:hAnsi="Times New Roman"/>
                <w:sz w:val="17"/>
                <w:szCs w:val="17"/>
                <w:color w:val="0000FF"/>
              </w:rPr>
              <w:t>Adopted</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tcBorders>
              <w:top w:val="single" w:sz="8" w:color="0000FF"/>
            </w:tcBorders>
            <w:gridSpan w:val="12"/>
          </w:tcPr>
          <w:p>
            <w:pPr>
              <w:spacing w:after="0" w:line="16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320" w:type="dxa"/>
            <w:vAlign w:val="bottom"/>
            <w:gridSpan w:val="5"/>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gridSpan w:val="10"/>
            <w:shd w:val="clear" w:color="auto" w:fill="0000FF"/>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49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49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49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0"/>
                <w:szCs w:val="20"/>
                <w:color w:val="auto"/>
              </w:rPr>
            </w:pPr>
          </w:p>
        </w:tc>
        <w:tc>
          <w:tcPr>
            <w:tcW w:w="49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49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49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280" w:right="5340" w:hanging="1229"/>
        <w:spacing w:after="0" w:line="234" w:lineRule="auto"/>
        <w:tabs>
          <w:tab w:leader="none" w:pos="12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5" w:lineRule="exact"/>
        <w:rPr>
          <w:rFonts w:ascii="Times New Roman" w:cs="Times New Roman" w:eastAsia="Times New Roman" w:hAnsi="Times New Roman"/>
          <w:sz w:val="18"/>
          <w:szCs w:val="18"/>
          <w:color w:val="auto"/>
        </w:rPr>
      </w:pPr>
    </w:p>
    <w:p>
      <w:pPr>
        <w:ind w:left="320" w:right="180" w:hanging="314"/>
        <w:spacing w:after="0" w:line="249" w:lineRule="auto"/>
        <w:tabs>
          <w:tab w:leader="none" w:pos="31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760095</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758" w:right="35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1" w:lineRule="exact"/>
        <w:rPr>
          <w:sz w:val="20"/>
          <w:szCs w:val="20"/>
          <w:color w:val="auto"/>
        </w:rPr>
      </w:pPr>
    </w:p>
    <w:p>
      <w:pPr>
        <w:ind w:firstLine="439"/>
        <w:spacing w:after="0" w:line="27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in Santa Clara, California, on August 9, 2022.</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SI-BONE, Inc.</w:t>
      </w:r>
    </w:p>
    <w:p>
      <w:pPr>
        <w:spacing w:after="0" w:line="272" w:lineRule="exact"/>
        <w:rPr>
          <w:sz w:val="20"/>
          <w:szCs w:val="20"/>
          <w:color w:val="auto"/>
        </w:rPr>
      </w:pPr>
    </w:p>
    <w:p>
      <w:pPr>
        <w:ind w:left="920"/>
        <w:spacing w:after="0"/>
        <w:tabs>
          <w:tab w:leader="none" w:pos="1540" w:val="left"/>
          <w:tab w:leader="none" w:pos="5460" w:val="left"/>
          <w:tab w:leader="none" w:pos="6160" w:val="left"/>
        </w:tabs>
        <w:rPr>
          <w:sz w:val="20"/>
          <w:szCs w:val="20"/>
          <w:color w:val="auto"/>
        </w:rPr>
      </w:pPr>
      <w:r>
        <w:rPr>
          <w:rFonts w:ascii="Times New Roman" w:cs="Times New Roman" w:eastAsia="Times New Roman" w:hAnsi="Times New Roman"/>
          <w:sz w:val="18"/>
          <w:szCs w:val="18"/>
          <w:color w:val="auto"/>
        </w:rPr>
        <w:t>Date:</w:t>
        <w:tab/>
        <w:t>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15240</wp:posOffset>
            </wp:positionV>
            <wp:extent cx="26543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654300" cy="8255"/>
                    </a:xfrm>
                    <a:prstGeom prst="rect">
                      <a:avLst/>
                    </a:prstGeom>
                    <a:noFill/>
                  </pic:spPr>
                </pic:pic>
              </a:graphicData>
            </a:graphic>
          </wp:anchor>
        </w:drawing>
      </w:r>
    </w:p>
    <w:p>
      <w:pPr>
        <w:spacing w:after="0" w:line="2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Laura A. Francis</w:t>
      </w:r>
    </w:p>
    <w:p>
      <w:pPr>
        <w:spacing w:after="0" w:line="4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(Duly Authorized Officer and Principal Executive</w:t>
      </w:r>
    </w:p>
    <w:p>
      <w:pPr>
        <w:ind w:left="6180"/>
        <w:spacing w:after="0"/>
        <w:rPr>
          <w:sz w:val="20"/>
          <w:szCs w:val="20"/>
          <w:color w:val="auto"/>
        </w:rPr>
      </w:pPr>
      <w:r>
        <w:rPr>
          <w:rFonts w:ascii="Times New Roman" w:cs="Times New Roman" w:eastAsia="Times New Roman" w:hAnsi="Times New Roman"/>
          <w:sz w:val="18"/>
          <w:szCs w:val="18"/>
          <w:color w:val="auto"/>
        </w:rPr>
        <w:t>Officer</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5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SI-BONE, Inc.</w:t>
      </w:r>
    </w:p>
    <w:p>
      <w:pPr>
        <w:spacing w:after="0" w:line="272" w:lineRule="exact"/>
        <w:rPr>
          <w:sz w:val="20"/>
          <w:szCs w:val="20"/>
          <w:color w:val="auto"/>
        </w:rPr>
      </w:pPr>
    </w:p>
    <w:p>
      <w:pPr>
        <w:ind w:left="920"/>
        <w:spacing w:after="0"/>
        <w:tabs>
          <w:tab w:leader="none" w:pos="1540" w:val="left"/>
          <w:tab w:leader="none" w:pos="5460" w:val="left"/>
          <w:tab w:leader="none" w:pos="6160" w:val="left"/>
        </w:tabs>
        <w:rPr>
          <w:sz w:val="20"/>
          <w:szCs w:val="20"/>
          <w:color w:val="auto"/>
        </w:rPr>
      </w:pPr>
      <w:r>
        <w:rPr>
          <w:rFonts w:ascii="Times New Roman" w:cs="Times New Roman" w:eastAsia="Times New Roman" w:hAnsi="Times New Roman"/>
          <w:sz w:val="18"/>
          <w:szCs w:val="18"/>
          <w:color w:val="auto"/>
        </w:rPr>
        <w:t>Date:</w:t>
        <w:tab/>
        <w:t>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15240</wp:posOffset>
            </wp:positionV>
            <wp:extent cx="26543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2654300" cy="8255"/>
                    </a:xfrm>
                    <a:prstGeom prst="rect">
                      <a:avLst/>
                    </a:prstGeom>
                    <a:noFill/>
                  </pic:spPr>
                </pic:pic>
              </a:graphicData>
            </a:graphic>
          </wp:anchor>
        </w:drawing>
      </w:r>
    </w:p>
    <w:p>
      <w:pPr>
        <w:spacing w:after="0" w:line="2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Anshul Maheshwari</w:t>
      </w:r>
    </w:p>
    <w:p>
      <w:pPr>
        <w:spacing w:after="0" w:line="5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(Duly Authorized Officer and Principal Financial and</w:t>
      </w:r>
    </w:p>
    <w:p>
      <w:pPr>
        <w:ind w:left="6180"/>
        <w:spacing w:after="0"/>
        <w:rPr>
          <w:sz w:val="20"/>
          <w:szCs w:val="20"/>
          <w:color w:val="auto"/>
        </w:rPr>
      </w:pPr>
      <w:r>
        <w:rPr>
          <w:rFonts w:ascii="Times New Roman" w:cs="Times New Roman" w:eastAsia="Times New Roman" w:hAnsi="Times New Roman"/>
          <w:sz w:val="18"/>
          <w:szCs w:val="18"/>
          <w:color w:val="auto"/>
        </w:rPr>
        <w:t>Accounting Officer)</w:t>
      </w:r>
    </w:p>
    <w:p>
      <w:pPr>
        <w:sectPr>
          <w:pgSz w:w="11900" w:h="16838" w:orient="portrait"/>
          <w:cols w:equalWidth="0" w:num="1">
            <w:col w:w="11240"/>
          </w:cols>
          <w:pgMar w:left="320" w:top="119"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Laura A. Francis, certify that:</w:t>
      </w:r>
    </w:p>
    <w:p>
      <w:pPr>
        <w:spacing w:after="0" w:line="246" w:lineRule="exact"/>
        <w:rPr>
          <w:sz w:val="20"/>
          <w:szCs w:val="20"/>
          <w:color w:val="auto"/>
        </w:rPr>
      </w:pPr>
    </w:p>
    <w:p>
      <w:pPr>
        <w:ind w:left="640" w:hanging="314"/>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SI-BONE, Inc.;</w:t>
      </w:r>
    </w:p>
    <w:p>
      <w:pPr>
        <w:spacing w:after="0" w:line="245" w:lineRule="exact"/>
        <w:rPr>
          <w:rFonts w:ascii="Times New Roman" w:cs="Times New Roman" w:eastAsia="Times New Roman" w:hAnsi="Times New Roman"/>
          <w:sz w:val="18"/>
          <w:szCs w:val="18"/>
          <w:color w:val="auto"/>
        </w:rPr>
      </w:pPr>
    </w:p>
    <w:p>
      <w:pPr>
        <w:jc w:val="both"/>
        <w:ind w:left="640" w:hanging="314"/>
        <w:spacing w:after="0" w:line="261"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640" w:hanging="314"/>
        <w:spacing w:after="0" w:line="261"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1040" w:hanging="395"/>
        <w:spacing w:after="0" w:line="261" w:lineRule="auto"/>
        <w:tabs>
          <w:tab w:leader="none" w:pos="103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040" w:hanging="395"/>
        <w:spacing w:after="0" w:line="261" w:lineRule="auto"/>
        <w:tabs>
          <w:tab w:leader="none" w:pos="102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040" w:hanging="395"/>
        <w:spacing w:after="0" w:line="276" w:lineRule="auto"/>
        <w:tabs>
          <w:tab w:leader="none" w:pos="103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040" w:hanging="395"/>
        <w:spacing w:after="0" w:line="261" w:lineRule="auto"/>
        <w:tabs>
          <w:tab w:leader="none" w:pos="102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40" w:right="20" w:hanging="314"/>
        <w:spacing w:after="0" w:line="276"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040" w:hanging="395"/>
        <w:spacing w:after="0" w:line="276" w:lineRule="auto"/>
        <w:tabs>
          <w:tab w:leader="none" w:pos="103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040" w:hanging="395"/>
        <w:spacing w:after="0" w:line="270" w:lineRule="auto"/>
        <w:tabs>
          <w:tab w:leader="none" w:pos="102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ind w:left="6560"/>
        <w:spacing w:after="0"/>
        <w:rPr>
          <w:sz w:val="20"/>
          <w:szCs w:val="20"/>
          <w:color w:val="auto"/>
        </w:rPr>
      </w:pPr>
      <w:r>
        <w:rPr>
          <w:rFonts w:ascii="Times New Roman" w:cs="Times New Roman" w:eastAsia="Times New Roman" w:hAnsi="Times New Roman"/>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3131820</wp:posOffset>
            </wp:positionH>
            <wp:positionV relativeFrom="paragraph">
              <wp:posOffset>15240</wp:posOffset>
            </wp:positionV>
            <wp:extent cx="29667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2966720" cy="8255"/>
                    </a:xfrm>
                    <a:prstGeom prst="rect">
                      <a:avLst/>
                    </a:prstGeom>
                    <a:noFill/>
                  </pic:spPr>
                </pic:pic>
              </a:graphicData>
            </a:graphic>
          </wp:anchor>
        </w:drawing>
      </w:r>
    </w:p>
    <w:p>
      <w:pPr>
        <w:spacing w:after="0" w:line="13" w:lineRule="exact"/>
        <w:rPr>
          <w:sz w:val="20"/>
          <w:szCs w:val="20"/>
          <w:color w:val="auto"/>
        </w:rPr>
      </w:pPr>
    </w:p>
    <w:p>
      <w:pPr>
        <w:ind w:left="400"/>
        <w:spacing w:after="0"/>
        <w:tabs>
          <w:tab w:leader="none" w:pos="920" w:val="left"/>
          <w:tab w:leader="none" w:pos="6640" w:val="left"/>
        </w:tabs>
        <w:rPr>
          <w:sz w:val="20"/>
          <w:szCs w:val="20"/>
          <w:color w:val="auto"/>
        </w:rPr>
      </w:pPr>
      <w:r>
        <w:rPr>
          <w:rFonts w:ascii="Times New Roman" w:cs="Times New Roman" w:eastAsia="Times New Roman" w:hAnsi="Times New Roman"/>
          <w:sz w:val="18"/>
          <w:szCs w:val="18"/>
          <w:color w:val="auto"/>
        </w:rPr>
        <w:t>Date:</w:t>
        <w:tab/>
        <w:t>August 9, 2022</w:t>
      </w:r>
      <w:r>
        <w:rPr>
          <w:sz w:val="20"/>
          <w:szCs w:val="20"/>
          <w:color w:val="auto"/>
        </w:rPr>
        <w:tab/>
      </w:r>
      <w:r>
        <w:rPr>
          <w:rFonts w:ascii="Times New Roman" w:cs="Times New Roman" w:eastAsia="Times New Roman" w:hAnsi="Times New Roman"/>
          <w:sz w:val="17"/>
          <w:szCs w:val="17"/>
          <w:color w:val="auto"/>
        </w:rPr>
        <w:t>Laura A. Francis</w:t>
      </w:r>
    </w:p>
    <w:p>
      <w:pPr>
        <w:spacing w:after="0" w:line="25" w:lineRule="exact"/>
        <w:rPr>
          <w:sz w:val="20"/>
          <w:szCs w:val="20"/>
          <w:color w:val="auto"/>
        </w:rPr>
      </w:pPr>
    </w:p>
    <w:p>
      <w:pPr>
        <w:jc w:val="center"/>
        <w:ind w:left="3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 w:lineRule="exact"/>
        <w:rPr>
          <w:sz w:val="20"/>
          <w:szCs w:val="20"/>
          <w:color w:val="auto"/>
        </w:rPr>
      </w:pPr>
    </w:p>
    <w:p>
      <w:pPr>
        <w:jc w:val="center"/>
        <w:ind w:left="32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758"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Anshul Maheshwari, certify that:</w:t>
      </w:r>
    </w:p>
    <w:p>
      <w:pPr>
        <w:spacing w:after="0" w:line="379" w:lineRule="exact"/>
        <w:rPr>
          <w:sz w:val="20"/>
          <w:szCs w:val="20"/>
          <w:color w:val="auto"/>
        </w:rPr>
      </w:pPr>
    </w:p>
    <w:p>
      <w:pPr>
        <w:ind w:left="640" w:hanging="314"/>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SI-BONE, Inc.;</w:t>
      </w:r>
    </w:p>
    <w:p>
      <w:pPr>
        <w:spacing w:after="0" w:line="245" w:lineRule="exact"/>
        <w:rPr>
          <w:rFonts w:ascii="Times New Roman" w:cs="Times New Roman" w:eastAsia="Times New Roman" w:hAnsi="Times New Roman"/>
          <w:sz w:val="18"/>
          <w:szCs w:val="18"/>
          <w:color w:val="auto"/>
        </w:rPr>
      </w:pPr>
    </w:p>
    <w:p>
      <w:pPr>
        <w:jc w:val="both"/>
        <w:ind w:left="640" w:hanging="314"/>
        <w:spacing w:after="0" w:line="261"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640" w:hanging="314"/>
        <w:spacing w:after="0" w:line="261"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1040" w:hanging="395"/>
        <w:spacing w:after="0" w:line="261" w:lineRule="auto"/>
        <w:tabs>
          <w:tab w:leader="none" w:pos="103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040" w:hanging="395"/>
        <w:spacing w:after="0" w:line="261" w:lineRule="auto"/>
        <w:tabs>
          <w:tab w:leader="none" w:pos="102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040" w:hanging="395"/>
        <w:spacing w:after="0" w:line="276" w:lineRule="auto"/>
        <w:tabs>
          <w:tab w:leader="none" w:pos="103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040" w:hanging="395"/>
        <w:spacing w:after="0" w:line="261" w:lineRule="auto"/>
        <w:tabs>
          <w:tab w:leader="none" w:pos="102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40" w:right="20" w:hanging="314"/>
        <w:spacing w:after="0" w:line="276"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040" w:hanging="395"/>
        <w:spacing w:after="0" w:line="276" w:lineRule="auto"/>
        <w:tabs>
          <w:tab w:leader="none" w:pos="103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040" w:hanging="395"/>
        <w:spacing w:after="0" w:line="276" w:lineRule="auto"/>
        <w:tabs>
          <w:tab w:leader="none" w:pos="102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3148330</wp:posOffset>
            </wp:positionH>
            <wp:positionV relativeFrom="paragraph">
              <wp:posOffset>15240</wp:posOffset>
            </wp:positionV>
            <wp:extent cx="30600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3" w:lineRule="exact"/>
        <w:rPr>
          <w:sz w:val="20"/>
          <w:szCs w:val="20"/>
          <w:color w:val="auto"/>
        </w:rPr>
      </w:pPr>
    </w:p>
    <w:p>
      <w:pPr>
        <w:ind w:left="80"/>
        <w:spacing w:after="0"/>
        <w:tabs>
          <w:tab w:leader="none" w:pos="660" w:val="left"/>
          <w:tab w:leader="none" w:pos="6640" w:val="left"/>
        </w:tabs>
        <w:rPr>
          <w:sz w:val="20"/>
          <w:szCs w:val="20"/>
          <w:color w:val="auto"/>
        </w:rPr>
      </w:pPr>
      <w:r>
        <w:rPr>
          <w:rFonts w:ascii="Times New Roman" w:cs="Times New Roman" w:eastAsia="Times New Roman" w:hAnsi="Times New Roman"/>
          <w:sz w:val="18"/>
          <w:szCs w:val="18"/>
          <w:color w:val="auto"/>
        </w:rPr>
        <w:t>Date:</w:t>
        <w:tab/>
        <w:t>August 9, 2022</w:t>
      </w:r>
      <w:r>
        <w:rPr>
          <w:sz w:val="20"/>
          <w:szCs w:val="20"/>
          <w:color w:val="auto"/>
        </w:rPr>
        <w:tab/>
      </w:r>
      <w:r>
        <w:rPr>
          <w:rFonts w:ascii="Times New Roman" w:cs="Times New Roman" w:eastAsia="Times New Roman" w:hAnsi="Times New Roman"/>
          <w:sz w:val="17"/>
          <w:szCs w:val="17"/>
          <w:color w:val="auto"/>
        </w:rPr>
        <w:t>Anshul Maheshwari</w:t>
      </w:r>
    </w:p>
    <w:p>
      <w:pPr>
        <w:spacing w:after="0" w:line="25"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9"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758"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Laura A. Francis, Chief Executive Officer of SI-BONE, Inc. (the “Company”), and Anshul Maheshwari, Chief Financial Officer of the Company, each hereby certify that, to the best of her or his knowledge:</w:t>
      </w:r>
    </w:p>
    <w:p>
      <w:pPr>
        <w:spacing w:after="0" w:line="177" w:lineRule="exact"/>
        <w:rPr>
          <w:sz w:val="20"/>
          <w:szCs w:val="20"/>
          <w:color w:val="auto"/>
        </w:rPr>
      </w:pPr>
    </w:p>
    <w:p>
      <w:pPr>
        <w:ind w:right="20" w:firstLine="6"/>
        <w:spacing w:after="0" w:line="276" w:lineRule="auto"/>
        <w:tabs>
          <w:tab w:leader="none" w:pos="1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2022, to which this Certification is attached as Exhibit 32.1 (the “Periodic Report”), fully complies with the requirements of Section 13(a) or Section 15(d) of the Exchange Act; and</w:t>
      </w:r>
    </w:p>
    <w:p>
      <w:pPr>
        <w:spacing w:after="0" w:line="162" w:lineRule="exact"/>
        <w:rPr>
          <w:rFonts w:ascii="Times New Roman" w:cs="Times New Roman" w:eastAsia="Times New Roman" w:hAnsi="Times New Roman"/>
          <w:sz w:val="18"/>
          <w:szCs w:val="18"/>
          <w:color w:val="auto"/>
        </w:rPr>
      </w:pPr>
    </w:p>
    <w:p>
      <w:pPr>
        <w:ind w:left="180" w:hanging="174"/>
        <w:spacing w:after="0"/>
        <w:tabs>
          <w:tab w:leader="none" w:pos="1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3292475</wp:posOffset>
            </wp:positionH>
            <wp:positionV relativeFrom="paragraph">
              <wp:posOffset>15240</wp:posOffset>
            </wp:positionV>
            <wp:extent cx="33305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spacing w:after="0" w:line="13" w:lineRule="exact"/>
        <w:rPr>
          <w:sz w:val="20"/>
          <w:szCs w:val="20"/>
          <w:color w:val="auto"/>
        </w:rPr>
      </w:pPr>
    </w:p>
    <w:p>
      <w:pPr>
        <w:ind w:left="20"/>
        <w:spacing w:after="0"/>
        <w:tabs>
          <w:tab w:leader="none" w:pos="600" w:val="left"/>
          <w:tab w:leader="none" w:pos="7180" w:val="left"/>
        </w:tabs>
        <w:rPr>
          <w:sz w:val="20"/>
          <w:szCs w:val="20"/>
          <w:color w:val="auto"/>
        </w:rPr>
      </w:pPr>
      <w:r>
        <w:rPr>
          <w:rFonts w:ascii="Times New Roman" w:cs="Times New Roman" w:eastAsia="Times New Roman" w:hAnsi="Times New Roman"/>
          <w:sz w:val="18"/>
          <w:szCs w:val="18"/>
          <w:color w:val="auto"/>
        </w:rPr>
        <w:t>Date:</w:t>
        <w:tab/>
        <w:t>August 9, 2022</w:t>
      </w:r>
      <w:r>
        <w:rPr>
          <w:sz w:val="20"/>
          <w:szCs w:val="20"/>
          <w:color w:val="auto"/>
        </w:rPr>
        <w:tab/>
      </w:r>
      <w:r>
        <w:rPr>
          <w:rFonts w:ascii="Times New Roman" w:cs="Times New Roman" w:eastAsia="Times New Roman" w:hAnsi="Times New Roman"/>
          <w:sz w:val="17"/>
          <w:szCs w:val="17"/>
          <w:color w:val="auto"/>
        </w:rPr>
        <w:t>Laura A. Francis</w:t>
      </w:r>
    </w:p>
    <w:p>
      <w:pPr>
        <w:spacing w:after="0" w:line="2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3292475</wp:posOffset>
            </wp:positionH>
            <wp:positionV relativeFrom="paragraph">
              <wp:posOffset>15240</wp:posOffset>
            </wp:positionV>
            <wp:extent cx="33305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spacing w:after="0" w:line="13" w:lineRule="exact"/>
        <w:rPr>
          <w:sz w:val="20"/>
          <w:szCs w:val="20"/>
          <w:color w:val="auto"/>
        </w:rPr>
      </w:pPr>
    </w:p>
    <w:p>
      <w:pPr>
        <w:ind w:left="20"/>
        <w:spacing w:after="0"/>
        <w:tabs>
          <w:tab w:leader="none" w:pos="600" w:val="left"/>
          <w:tab w:leader="none" w:pos="7080" w:val="left"/>
        </w:tabs>
        <w:rPr>
          <w:sz w:val="20"/>
          <w:szCs w:val="20"/>
          <w:color w:val="auto"/>
        </w:rPr>
      </w:pPr>
      <w:r>
        <w:rPr>
          <w:rFonts w:ascii="Times New Roman" w:cs="Times New Roman" w:eastAsia="Times New Roman" w:hAnsi="Times New Roman"/>
          <w:sz w:val="18"/>
          <w:szCs w:val="18"/>
          <w:color w:val="auto"/>
        </w:rPr>
        <w:t>Date:</w:t>
        <w:tab/>
        <w:t>August 9, 2022</w:t>
      </w:r>
      <w:r>
        <w:rPr>
          <w:sz w:val="20"/>
          <w:szCs w:val="20"/>
          <w:color w:val="auto"/>
        </w:rPr>
        <w:tab/>
      </w:r>
      <w:r>
        <w:rPr>
          <w:rFonts w:ascii="Times New Roman" w:cs="Times New Roman" w:eastAsia="Times New Roman" w:hAnsi="Times New Roman"/>
          <w:sz w:val="17"/>
          <w:szCs w:val="17"/>
          <w:color w:val="auto"/>
        </w:rPr>
        <w:t>Anshul Maheshwari</w:t>
      </w:r>
    </w:p>
    <w:p>
      <w:pPr>
        <w:spacing w:after="0" w:line="25"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9"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5"/>
    </w:lvl>
  </w:abstractNum>
  <w:abstractNum w:abstractNumId="5">
    <w:nsid w:val="2443A858"/>
    <w:multiLevelType w:val="hybridMultilevel"/>
    <w:lvl w:ilvl="0">
      <w:lvlJc w:val="left"/>
      <w:lvlText w:val="%1."/>
      <w:numFmt w:val="decimal"/>
      <w:start w:val="6"/>
    </w:lvl>
  </w:abstractNum>
  <w:abstractNum w:abstractNumId="6">
    <w:nsid w:val="2D1D5AE9"/>
    <w:multiLevelType w:val="hybridMultilevel"/>
    <w:lvl w:ilvl="0">
      <w:lvlJc w:val="left"/>
      <w:lvlText w:val="%1."/>
      <w:numFmt w:val="decimal"/>
      <w:start w:val="7"/>
    </w:lvl>
  </w:abstractNum>
  <w:abstractNum w:abstractNumId="7">
    <w:nsid w:val="6763845E"/>
    <w:multiLevelType w:val="hybridMultilevel"/>
    <w:lvl w:ilvl="0">
      <w:lvlJc w:val="left"/>
      <w:lvlText w:val="(%1)"/>
      <w:numFmt w:val="lowerLetter"/>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lvl w:ilvl="1">
      <w:lvlJc w:val="left"/>
      <w:lvlText w:val="%2"/>
      <w:numFmt w:val="decimal"/>
      <w:start w:val="104"/>
    </w:lvl>
  </w:abstractNum>
  <w:abstractNum w:abstractNumId="35">
    <w:nsid w:val="7724C67E"/>
    <w:multiLevelType w:val="hybridMultilevel"/>
    <w:lvl w:ilvl="0">
      <w:lvlJc w:val="left"/>
      <w:lvlText w:val="**"/>
      <w:numFmt w:val="bullet"/>
      <w:start w:val="1"/>
    </w:lvl>
    <w:lvl w:ilvl="1">
      <w:lvlJc w:val="left"/>
      <w:lvlText w:val="%2"/>
      <w:numFmt w:val="decimal"/>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81" Type="http://schemas.openxmlformats.org/officeDocument/2006/relationships/hyperlink" Target="http://www.sec.gov/Archives/edgar/data/1459839/000119312518303020/d641574dex31.htm" TargetMode="External"/><Relationship Id="rId82" Type="http://schemas.openxmlformats.org/officeDocument/2006/relationships/hyperlink" Target="http://www.sec.gov/Archives/edgar/data/1459839/000119312518293978/d452987dex34.htm" TargetMode="External"/><Relationship Id="rId83" Type="http://schemas.openxmlformats.org/officeDocument/2006/relationships/hyperlink" Target="http://www.sec.gov/Archives/edgar/data/1459839/000119312518293978/d45298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2022-08-09T16:45:24Z</dcterms:created>
  <dcterms:modified xsi:type="dcterms:W3CDTF">2022-08-09T16:45:24Z</dcterms:modified>
</cp:coreProperties>
</file>