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No.__)</w:t>
      </w:r>
    </w:p>
    <w:p>
      <w:pPr>
        <w:spacing w:after="0" w:line="232"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right="5020" w:firstLine="8"/>
        <w:spacing w:after="0" w:line="230" w:lineRule="exact"/>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152400</wp:posOffset>
            </wp:positionV>
            <wp:extent cx="2202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125730</wp:posOffset>
            </wp:positionV>
            <wp:extent cx="2228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85"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2" w:lineRule="exact"/>
        <w:rPr>
          <w:sz w:val="24"/>
          <w:szCs w:val="24"/>
          <w:color w:val="auto"/>
        </w:rPr>
      </w:pPr>
    </w:p>
    <w:p>
      <w:pPr>
        <w:ind w:right="5440" w:firstLine="8"/>
        <w:spacing w:after="0" w:line="532" w:lineRule="auto"/>
        <w:tabs>
          <w:tab w:leader="none" w:pos="34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3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right="20" w:firstLine="8"/>
        <w:spacing w:after="0" w:line="274" w:lineRule="auto"/>
        <w:tabs>
          <w:tab w:leader="none" w:pos="389"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INVITATION TO 2021 ANNUAL MEETING OF STOCKHOLDERS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Thursday, June 10, 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8:00 a.m., local time</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Please join me at the Annual Meeting of Stockholders of SI-BONE, Inc. on June 10, 2021. This year, we will be conducting a virtual annual meeting due to the continuing public health impact of coronavirus disease (COVID-19). You will not be able to attend the meeting in person, but we do encourage our stockholders participate in our annual meeting online by way of our live webcast as outlined in this proxy statement. At the annual meeting, we will ask you to:</w:t>
      </w:r>
    </w:p>
    <w:p>
      <w:pPr>
        <w:spacing w:after="0" w:line="2" w:lineRule="exact"/>
        <w:rPr>
          <w:sz w:val="20"/>
          <w:szCs w:val="20"/>
          <w:color w:val="auto"/>
        </w:rPr>
      </w:pPr>
    </w:p>
    <w:p>
      <w:pPr>
        <w:jc w:val="both"/>
        <w:ind w:firstLine="8"/>
        <w:spacing w:after="0" w:line="255" w:lineRule="auto"/>
        <w:tabs>
          <w:tab w:leader="none" w:pos="377"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the Board of Directors’ three nominees, Helen Loh, Mika Nishimura and Keith C. Valentine, as directors serving in Class III of the Board of Directors of SI-BONE, each to serve until the next annual meeting in which directors in Class III shall be elected, or until a successor is duly elected and qualified;</w:t>
      </w: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firstLine="8"/>
        <w:spacing w:after="0" w:line="277"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by the Audit Committee of the Board of Directors of PricewaterhouseCoopers LLP as our independent registered public accounting firm for our fiscal year ending December 31, 2021;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any other business properly brought before the meeting.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 will also be present.</w:t>
      </w:r>
    </w:p>
    <w:p>
      <w:pPr>
        <w:spacing w:after="0" w:line="26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Whether or not you are able to attend the annual meeting by webcast, it is important that your shares be represented. We have provided in the accompanying proxy statement instructions on how to vote your shares. Please vote as soon as possible.</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 yours,</w:t>
      </w:r>
    </w:p>
    <w:p>
      <w:pPr>
        <w:spacing w:after="0" w:line="1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0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78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10, 2021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cordially invited to attend the virtual Annual Meeting of Stockholders of SI-BONE, Inc., a Delaware corporation. The meeting will be a completely virtual meeting of stockholders and will be held on Thursday, June 10, 2021 at 8:00 a.m. local time by live webcast as described in the proxy statement accompanying this notice. The Annual Meeting is being held for the following purposes:</w:t>
      </w:r>
    </w:p>
    <w:p>
      <w:pPr>
        <w:spacing w:after="0" w:line="211" w:lineRule="exact"/>
        <w:rPr>
          <w:sz w:val="20"/>
          <w:szCs w:val="20"/>
          <w:color w:val="auto"/>
        </w:rPr>
      </w:pPr>
    </w:p>
    <w:p>
      <w:pPr>
        <w:ind w:firstLine="8"/>
        <w:spacing w:after="0" w:line="277"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Board of Director’s three nominees for director to serve until the 2024 Annual Meeting of Stockholders or until their successors are elected and qualified.</w:t>
      </w:r>
    </w:p>
    <w:p>
      <w:pPr>
        <w:spacing w:after="0" w:line="197" w:lineRule="exact"/>
        <w:rPr>
          <w:rFonts w:ascii="Arial" w:cs="Arial" w:eastAsia="Arial" w:hAnsi="Arial"/>
          <w:sz w:val="18"/>
          <w:szCs w:val="18"/>
          <w:color w:val="auto"/>
        </w:rPr>
      </w:pPr>
    </w:p>
    <w:p>
      <w:pPr>
        <w:ind w:right="20" w:firstLine="8"/>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PricewaterhouseCoopers LLP as our independent registered public accounting firm for the fiscal year ending December 31, 2021.</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will be able to attend the virtual Annual Meeting and submit your questions and vote your shares online during the meeting by visiting www.virtualshareholdermeeting.com/SIBN2021 and using your 16-digit control number to enter the virtual Annual Meeting. If you determine to attend the Annual Meeting by webcast, you will only be able to participate by using your 16-digit control number provided on the proxy or information card to enter the Annual Meeting. Without your 16-digit control number, you will only be able to enter as a guest in listen-only mode and will not be able to vote. Therefore, it is important to retain a copy of your proxy or information card you receive to enable you to gain participation access to the virtual Annual Meeting.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stockholder list will also be available during the Annual Meeting at www.virtualshareholdermeeting.com/SIBN2021. Instructions on how stockholders of record can view the stockholder list during the Annual Meeting are posted at www.virtualshareholdermeeting.com/SIBN2021. The record date for the Annual Meeting is April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40" w:right="4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2021 Stockholders’ Meeting to Be Held on June 10, 2021 via live webcast at www.virtualshareholdermeeting.com/SIBN2021. You will need the 16-digit control number provided on the proxy or information card in order to gain access to the Annual Meeting by live webcast.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proxy statement and annual report to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01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Michael A. Pisetsky</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Secretary and Chief Legal</w:t>
      </w:r>
    </w:p>
    <w:p>
      <w:pPr>
        <w:ind w:left="4560"/>
        <w:spacing w:after="0"/>
        <w:rPr>
          <w:sz w:val="20"/>
          <w:szCs w:val="20"/>
          <w:color w:val="auto"/>
        </w:rPr>
      </w:pPr>
      <w:r>
        <w:rPr>
          <w:rFonts w:ascii="Arial" w:cs="Arial" w:eastAsia="Arial" w:hAnsi="Arial"/>
          <w:sz w:val="18"/>
          <w:szCs w:val="18"/>
          <w:color w:val="auto"/>
        </w:rPr>
        <w:t>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spacing w:after="0" w:line="274" w:lineRule="auto"/>
        <w:rPr>
          <w:sz w:val="20"/>
          <w:szCs w:val="20"/>
          <w:color w:val="auto"/>
        </w:rPr>
      </w:pPr>
      <w:r>
        <w:rPr>
          <w:rFonts w:ascii="Arial" w:cs="Arial" w:eastAsia="Arial" w:hAnsi="Arial"/>
          <w:sz w:val="17"/>
          <w:szCs w:val="17"/>
          <w:b w:val="1"/>
          <w:bCs w:val="1"/>
          <w:color w:val="auto"/>
        </w:rPr>
        <w:t>You are cordially invited to attend the meeting by live webcast as described in the proxy statement accompanying this notice. Whether or not you expect to attend the meeting, please vote as soon as possible. You may vote over the internet or by a toll-free telephone number. If, however, you requested to receive paper proxy materials, then you may vote by mailing a completed, signed and dated proxy card or voting instruction card in the envelope provided with the proxy card or voting instruction card. Please note that any stockholder attending the virtual Annual Meeting may vote online during the meeting, even if the stockholder has already returned a proxy card or voting instruction card. Please see the instructions in the attached proxy statement and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10, 2021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 TO BE HELD ON JUNE 10, 2021</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proxy statement and our 2021 Annual Report to Stockholders, which includes our Annual Report on Form 10-K for the fiscal year ended December 31, 2020, are available on our website at https://investor.si-bone.com/financial-information/annual-reports and www.proxyvote.com. We intend to mail these proxy materials on or about April 30, 2021 to all stockholders of record entitled to vote at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 AGENDA</w:t>
      </w:r>
    </w:p>
    <w:p>
      <w:pPr>
        <w:sectPr>
          <w:pgSz w:w="11900" w:h="16838" w:orient="portrait"/>
          <w:cols w:equalWidth="0" w:num="1">
            <w:col w:w="11240"/>
          </w:cols>
          <w:pgMar w:left="320" w:top="918"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Proposal</w:t>
      </w:r>
    </w:p>
    <w:p>
      <w:pPr>
        <w:ind w:left="1000"/>
        <w:spacing w:after="0"/>
        <w:tabs>
          <w:tab w:leader="none" w:pos="36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8890</wp:posOffset>
            </wp:positionV>
            <wp:extent cx="3145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2040" w:right="40" w:hanging="788"/>
        <w:spacing w:after="0" w:line="219" w:lineRule="auto"/>
        <w:tabs>
          <w:tab w:leader="none" w:pos="2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Board of Directors' three nominees for director to serve until the 2024 Annual Meeting of Stockholders or until their successors are elected and qualified.</w:t>
      </w:r>
    </w:p>
    <w:p>
      <w:pPr>
        <w:spacing w:after="0" w:line="68" w:lineRule="exact"/>
        <w:rPr>
          <w:sz w:val="20"/>
          <w:szCs w:val="20"/>
          <w:color w:val="auto"/>
        </w:rPr>
      </w:pPr>
    </w:p>
    <w:p>
      <w:pPr>
        <w:ind w:left="2040" w:hanging="788"/>
        <w:spacing w:after="0" w:line="228" w:lineRule="auto"/>
        <w:tabs>
          <w:tab w:leader="none" w:pos="2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ratify the selection by the Audit Committee of the Board of Directors of PricewaterhouseCoopers LLP as our independent registered public accounting firm for the fiscal year ending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20320</wp:posOffset>
            </wp:positionV>
            <wp:extent cx="2408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 w:lineRule="exact"/>
        <w:rPr>
          <w:sz w:val="20"/>
          <w:szCs w:val="20"/>
          <w:color w:val="auto"/>
        </w:rPr>
      </w:pPr>
    </w:p>
    <w:p>
      <w:pPr>
        <w:ind w:right="1520"/>
        <w:spacing w:after="0" w:line="224" w:lineRule="auto"/>
        <w:rPr>
          <w:sz w:val="20"/>
          <w:szCs w:val="20"/>
          <w:color w:val="auto"/>
        </w:rPr>
      </w:pPr>
      <w:r>
        <w:rPr>
          <w:rFonts w:ascii="Arial" w:cs="Arial" w:eastAsia="Arial" w:hAnsi="Arial"/>
          <w:sz w:val="18"/>
          <w:szCs w:val="18"/>
          <w:color w:val="auto"/>
        </w:rPr>
        <w:t>The three nominees receiving the most “For” votes will be elected; withheld votes will have no effect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“For” votes from the holders of a</w:t>
      </w:r>
    </w:p>
    <w:p>
      <w:pPr>
        <w:spacing w:after="0" w:line="203" w:lineRule="auto"/>
        <w:rPr>
          <w:sz w:val="20"/>
          <w:szCs w:val="20"/>
          <w:color w:val="auto"/>
        </w:rPr>
      </w:pPr>
      <w:r>
        <w:rPr>
          <w:rFonts w:ascii="Arial" w:cs="Arial" w:eastAsia="Arial" w:hAnsi="Arial"/>
          <w:sz w:val="18"/>
          <w:szCs w:val="18"/>
          <w:color w:val="auto"/>
        </w:rPr>
        <w:t>majority of shares present in person,</w:t>
      </w:r>
    </w:p>
    <w:p>
      <w:pPr>
        <w:spacing w:after="0" w:line="203" w:lineRule="auto"/>
        <w:rPr>
          <w:sz w:val="20"/>
          <w:szCs w:val="20"/>
          <w:color w:val="auto"/>
        </w:rPr>
      </w:pPr>
      <w:r>
        <w:rPr>
          <w:rFonts w:ascii="Arial" w:cs="Arial" w:eastAsia="Arial" w:hAnsi="Arial"/>
          <w:sz w:val="18"/>
          <w:szCs w:val="18"/>
          <w:color w:val="auto"/>
        </w:rPr>
        <w:t>via webcast or represented by proxy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entitled to vote on the matter</w:t>
      </w:r>
    </w:p>
    <w:p>
      <w:pPr>
        <w:sectPr>
          <w:pgSz w:w="11900" w:h="16838" w:orient="portrait"/>
          <w:cols w:equalWidth="0" w:num="2">
            <w:col w:w="5600" w:space="560"/>
            <w:col w:w="5080"/>
          </w:cols>
          <w:pgMar w:left="320" w:top="918" w:right="339" w:bottom="1440" w:gutter="0" w:footer="0" w:header="0"/>
          <w:type w:val="continuous"/>
        </w:sectPr>
      </w:pPr>
    </w:p>
    <w:bookmarkStart w:id="4" w:name="page5"/>
    <w:bookmarkEnd w:id="4"/>
    <w:p>
      <w:pPr>
        <w:jc w:val="center"/>
        <w:ind w:right="-239"/>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ind w:left="3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64"/>
        </w:trPr>
        <w:tc>
          <w:tcPr>
            <w:tcW w:w="8980" w:type="dxa"/>
            <w:vAlign w:val="bottom"/>
            <w:gridSpan w:val="4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QUESTIONS AND ANSWERS ABOUT THESE PROXY MATERIALS AND VOTING</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0000FF"/>
            </w:tcBorders>
            <w:gridSpan w:val="4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PROPOSAL NO. 1 ELECTION OF DIRECTORS</w:t>
              </w:r>
            </w:hyperlink>
          </w:p>
        </w:tc>
        <w:tc>
          <w:tcPr>
            <w:tcW w:w="250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7</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5"/>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INFORMATION REGARDING THE BOARD OF DIRECTORS AND CORPORATE GOVERNANCE</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020" w:type="dxa"/>
            <w:vAlign w:val="bottom"/>
            <w:tcBorders>
              <w:top w:val="single" w:sz="8" w:color="0000FF"/>
            </w:tcBorders>
            <w:gridSpan w:val="41"/>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Family Relationships</w:t>
              </w:r>
            </w:hyperlink>
          </w:p>
        </w:tc>
        <w:tc>
          <w:tcPr>
            <w:tcW w:w="1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15">
              <w:r>
                <w:rPr>
                  <w:rFonts w:ascii="Arial" w:cs="Arial" w:eastAsia="Arial" w:hAnsi="Arial"/>
                  <w:sz w:val="18"/>
                  <w:szCs w:val="18"/>
                  <w:color w:val="0000FF"/>
                  <w:w w:val="90"/>
                </w:rPr>
                <w:t>Independence of the Board of Directors</w:t>
              </w:r>
            </w:hyperlink>
          </w:p>
        </w:tc>
        <w:tc>
          <w:tcPr>
            <w:tcW w:w="5600" w:type="dxa"/>
            <w:vAlign w:val="bottom"/>
            <w:gridSpan w:val="1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5">
              <w:r>
                <w:rPr>
                  <w:rFonts w:ascii="Arial" w:cs="Arial" w:eastAsia="Arial" w:hAnsi="Arial"/>
                  <w:sz w:val="18"/>
                  <w:szCs w:val="18"/>
                  <w:color w:val="0000FF"/>
                  <w:w w:val="92"/>
                </w:rPr>
                <w:t>Board Skills and Attributes</w:t>
              </w:r>
            </w:hyperlink>
          </w:p>
        </w:tc>
        <w:tc>
          <w:tcPr>
            <w:tcW w:w="6480" w:type="dxa"/>
            <w:vAlign w:val="bottom"/>
            <w:gridSpan w:val="29"/>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Board Leadership Structure</w:t>
              </w:r>
            </w:hyperlink>
          </w:p>
        </w:tc>
        <w:tc>
          <w:tcPr>
            <w:tcW w:w="6460" w:type="dxa"/>
            <w:vAlign w:val="bottom"/>
            <w:gridSpan w:val="2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Role of the Board in Risk Oversight</w:t>
              </w:r>
            </w:hyperlink>
          </w:p>
        </w:tc>
        <w:tc>
          <w:tcPr>
            <w:tcW w:w="600" w:type="dxa"/>
            <w:vAlign w:val="bottom"/>
            <w:gridSpan w:val="2"/>
          </w:tcPr>
          <w:p>
            <w:pPr>
              <w:jc w:val="center"/>
              <w:ind w:left="410"/>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Meetings of The Board of Directors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w w:val="95"/>
              </w:rPr>
            </w:pPr>
            <w:hyperlink w:anchor="page17">
              <w:r>
                <w:rPr>
                  <w:rFonts w:ascii="Arial" w:cs="Arial" w:eastAsia="Arial" w:hAnsi="Arial"/>
                  <w:sz w:val="18"/>
                  <w:szCs w:val="18"/>
                  <w:color w:val="0000FF"/>
                  <w:w w:val="95"/>
                </w:rPr>
                <w:t>Board Committees and Meetings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16"/>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Audit Committee</w:t>
              </w:r>
            </w:hyperlink>
          </w:p>
        </w:tc>
        <w:tc>
          <w:tcPr>
            <w:tcW w:w="6120" w:type="dxa"/>
            <w:vAlign w:val="bottom"/>
            <w:gridSpan w:val="25"/>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34"/>
          </w:tcPr>
          <w:p>
            <w:pPr>
              <w:spacing w:after="0"/>
              <w:rPr>
                <w:rFonts w:ascii="Arial" w:cs="Arial" w:eastAsia="Arial" w:hAnsi="Arial"/>
                <w:sz w:val="18"/>
                <w:szCs w:val="18"/>
                <w:color w:val="0000FF"/>
                <w:w w:val="92"/>
              </w:rPr>
            </w:pPr>
            <w:hyperlink w:anchor="page18">
              <w:r>
                <w:rPr>
                  <w:rFonts w:ascii="Arial" w:cs="Arial" w:eastAsia="Arial" w:hAnsi="Arial"/>
                  <w:sz w:val="18"/>
                  <w:szCs w:val="18"/>
                  <w:color w:val="0000FF"/>
                  <w:w w:val="92"/>
                </w:rPr>
                <w:t>Report of the Audit Committee of the Board of Directors</w:t>
              </w:r>
            </w:hyperlink>
          </w:p>
        </w:tc>
        <w:tc>
          <w:tcPr>
            <w:tcW w:w="3900" w:type="dxa"/>
            <w:vAlign w:val="bottom"/>
            <w:gridSpan w:val="7"/>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16"/>
          </w:tcPr>
          <w:p>
            <w:pPr>
              <w:spacing w:after="0"/>
              <w:rPr>
                <w:rFonts w:ascii="Arial" w:cs="Arial" w:eastAsia="Arial" w:hAnsi="Arial"/>
                <w:sz w:val="18"/>
                <w:szCs w:val="18"/>
                <w:color w:val="0000FF"/>
                <w:w w:val="88"/>
              </w:rPr>
            </w:pPr>
            <w:hyperlink w:anchor="page18">
              <w:r>
                <w:rPr>
                  <w:rFonts w:ascii="Arial" w:cs="Arial" w:eastAsia="Arial" w:hAnsi="Arial"/>
                  <w:sz w:val="18"/>
                  <w:szCs w:val="18"/>
                  <w:color w:val="0000FF"/>
                  <w:w w:val="88"/>
                </w:rPr>
                <w:t>Compensation Committee</w:t>
              </w:r>
            </w:hyperlink>
          </w:p>
        </w:tc>
        <w:tc>
          <w:tcPr>
            <w:tcW w:w="2220" w:type="dxa"/>
            <w:vAlign w:val="bottom"/>
            <w:gridSpan w:val="18"/>
          </w:tcPr>
          <w:p>
            <w:pPr>
              <w:spacing w:after="0"/>
              <w:rPr>
                <w:sz w:val="18"/>
                <w:szCs w:val="18"/>
                <w:color w:val="auto"/>
              </w:rPr>
            </w:pPr>
          </w:p>
        </w:tc>
        <w:tc>
          <w:tcPr>
            <w:tcW w:w="3900" w:type="dxa"/>
            <w:vAlign w:val="bottom"/>
            <w:gridSpan w:val="7"/>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31"/>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Nominating and Corporate Governance Committee</w:t>
              </w:r>
            </w:hyperlink>
          </w:p>
        </w:tc>
        <w:tc>
          <w:tcPr>
            <w:tcW w:w="4320" w:type="dxa"/>
            <w:vAlign w:val="bottom"/>
            <w:gridSpan w:val="10"/>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13</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Stockholder Communications With The Board Of Directors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gridSpan w:val="3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Code of Business Conduct and Ethics</w:t>
              </w:r>
            </w:hyperlink>
          </w:p>
        </w:tc>
        <w:tc>
          <w:tcPr>
            <w:tcW w:w="4160" w:type="dxa"/>
            <w:vAlign w:val="bottom"/>
            <w:gridSpan w:val="9"/>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2"/>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Corporate Governance Guidelines</w:t>
              </w:r>
            </w:hyperlink>
          </w:p>
        </w:tc>
        <w:tc>
          <w:tcPr>
            <w:tcW w:w="5740" w:type="dxa"/>
            <w:vAlign w:val="bottom"/>
            <w:gridSpan w:val="2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16"/>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Stock Ownership Guidelines</w:t>
              </w:r>
            </w:hyperlink>
          </w:p>
        </w:tc>
        <w:tc>
          <w:tcPr>
            <w:tcW w:w="380" w:type="dxa"/>
            <w:vAlign w:val="bottom"/>
            <w:gridSpan w:val="3"/>
          </w:tcPr>
          <w:p>
            <w:pPr>
              <w:spacing w:after="0"/>
              <w:rPr>
                <w:sz w:val="18"/>
                <w:szCs w:val="18"/>
                <w:color w:val="auto"/>
              </w:rPr>
            </w:pPr>
          </w:p>
        </w:tc>
        <w:tc>
          <w:tcPr>
            <w:tcW w:w="6000" w:type="dxa"/>
            <w:vAlign w:val="bottom"/>
            <w:gridSpan w:val="24"/>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5"/>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PROPOSAL NO. 2 RATIFICATION OF SELECTION OF INDEPENDENT REGISTERED PUBLIC ACCOUNTING</w:t>
              </w:r>
            </w:hyperlink>
          </w:p>
        </w:tc>
        <w:tc>
          <w:tcPr>
            <w:tcW w:w="600" w:type="dxa"/>
            <w:vAlign w:val="bottom"/>
            <w:gridSpan w:val="2"/>
            <w:vMerge w:val="restart"/>
          </w:tcPr>
          <w:p>
            <w:pPr>
              <w:jc w:val="center"/>
              <w:ind w:left="33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60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w:anchor="page22">
              <w:r>
                <w:rPr>
                  <w:rFonts w:ascii="Arial" w:cs="Arial" w:eastAsia="Arial" w:hAnsi="Arial"/>
                  <w:sz w:val="18"/>
                  <w:szCs w:val="18"/>
                  <w:color w:val="0000FF"/>
                </w:rPr>
                <w:t>FIRM</w:t>
              </w:r>
            </w:hyperlink>
          </w:p>
        </w:tc>
        <w:tc>
          <w:tcPr>
            <w:tcW w:w="3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Principal Accountant Fees and Services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24"/>
          </w:tcPr>
          <w:p>
            <w:pPr>
              <w:spacing w:after="0"/>
              <w:rPr>
                <w:rFonts w:ascii="Arial" w:cs="Arial" w:eastAsia="Arial" w:hAnsi="Arial"/>
                <w:sz w:val="18"/>
                <w:szCs w:val="18"/>
                <w:color w:val="0000FF"/>
                <w:w w:val="93"/>
              </w:rPr>
            </w:pPr>
            <w:hyperlink w:anchor="page23">
              <w:r>
                <w:rPr>
                  <w:rFonts w:ascii="Arial" w:cs="Arial" w:eastAsia="Arial" w:hAnsi="Arial"/>
                  <w:sz w:val="18"/>
                  <w:szCs w:val="18"/>
                  <w:color w:val="0000FF"/>
                  <w:w w:val="93"/>
                </w:rPr>
                <w:t>Pre-Approval Policies and Procedures</w:t>
              </w:r>
            </w:hyperlink>
          </w:p>
        </w:tc>
        <w:tc>
          <w:tcPr>
            <w:tcW w:w="5600" w:type="dxa"/>
            <w:vAlign w:val="bottom"/>
            <w:gridSpan w:val="19"/>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16</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4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SECURITY OWNERSHIP OF CERTAIN BENEFICIAL OWNERS AND MANAGEMENT</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17</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5"/>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MANAGEMENT</w:t>
              </w:r>
            </w:hyperlink>
          </w:p>
        </w:tc>
        <w:tc>
          <w:tcPr>
            <w:tcW w:w="5480" w:type="dxa"/>
            <w:vAlign w:val="bottom"/>
            <w:gridSpan w:val="37"/>
          </w:tcPr>
          <w:p>
            <w:pPr>
              <w:spacing w:after="0"/>
              <w:rPr>
                <w:sz w:val="18"/>
                <w:szCs w:val="18"/>
                <w:color w:val="auto"/>
              </w:rPr>
            </w:pPr>
          </w:p>
        </w:tc>
        <w:tc>
          <w:tcPr>
            <w:tcW w:w="2260" w:type="dxa"/>
            <w:vAlign w:val="bottom"/>
            <w:gridSpan w:val="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18</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4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EXECUTIVE COMPENSATION</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19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Overview</w:t>
              </w:r>
            </w:hyperlink>
          </w:p>
        </w:tc>
        <w:tc>
          <w:tcPr>
            <w:tcW w:w="1200" w:type="dxa"/>
            <w:vAlign w:val="bottom"/>
            <w:gridSpan w:val="10"/>
          </w:tcPr>
          <w:p>
            <w:pPr>
              <w:spacing w:after="0"/>
              <w:rPr>
                <w:sz w:val="18"/>
                <w:szCs w:val="18"/>
                <w:color w:val="auto"/>
              </w:rPr>
            </w:pPr>
          </w:p>
        </w:tc>
        <w:tc>
          <w:tcPr>
            <w:tcW w:w="6540" w:type="dxa"/>
            <w:vAlign w:val="bottom"/>
            <w:gridSpan w:val="30"/>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19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80" w:type="dxa"/>
            <w:vAlign w:val="bottom"/>
            <w:gridSpan w:val="32"/>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Compensation and Governance Practices and Policies</w:t>
              </w:r>
            </w:hyperlink>
          </w:p>
        </w:tc>
        <w:tc>
          <w:tcPr>
            <w:tcW w:w="4580" w:type="dxa"/>
            <w:vAlign w:val="bottom"/>
            <w:gridSpan w:val="1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19</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Peer Group</w:t>
              </w:r>
            </w:hyperlink>
          </w:p>
        </w:tc>
        <w:tc>
          <w:tcPr>
            <w:tcW w:w="3040" w:type="dxa"/>
            <w:vAlign w:val="bottom"/>
            <w:gridSpan w:val="28"/>
          </w:tcPr>
          <w:p>
            <w:pPr>
              <w:spacing w:after="0"/>
              <w:rPr>
                <w:sz w:val="18"/>
                <w:szCs w:val="18"/>
                <w:color w:val="auto"/>
              </w:rPr>
            </w:pPr>
          </w:p>
        </w:tc>
        <w:tc>
          <w:tcPr>
            <w:tcW w:w="4580" w:type="dxa"/>
            <w:vAlign w:val="bottom"/>
            <w:gridSpan w:val="1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17"/>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Summary Compensation Table</w:t>
              </w:r>
            </w:hyperlink>
          </w:p>
        </w:tc>
        <w:tc>
          <w:tcPr>
            <w:tcW w:w="6220" w:type="dxa"/>
            <w:vAlign w:val="bottom"/>
            <w:gridSpan w:val="2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20</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Outstanding Equity Awards at Outstanding Equity Awards at December 31, 2020</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40" w:type="dxa"/>
            <w:vAlign w:val="bottom"/>
            <w:gridSpan w:val="3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Narrative of Executive Compensation</w:t>
              </w:r>
            </w:hyperlink>
          </w:p>
        </w:tc>
        <w:tc>
          <w:tcPr>
            <w:tcW w:w="2620" w:type="dxa"/>
            <w:vAlign w:val="bottom"/>
            <w:gridSpan w:val="5"/>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Base Salaries</w:t>
              </w:r>
            </w:hyperlink>
          </w:p>
        </w:tc>
        <w:tc>
          <w:tcPr>
            <w:tcW w:w="5740" w:type="dxa"/>
            <w:vAlign w:val="bottom"/>
            <w:gridSpan w:val="21"/>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21</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20" w:type="dxa"/>
            <w:vAlign w:val="bottom"/>
            <w:gridSpan w:val="4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Annual Bonuses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20" w:type="dxa"/>
            <w:vAlign w:val="bottom"/>
            <w:gridSpan w:val="4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Equity Compensation</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5"/>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401(k) Plan</w:t>
              </w:r>
            </w:hyperlink>
          </w:p>
        </w:tc>
        <w:tc>
          <w:tcPr>
            <w:tcW w:w="7600" w:type="dxa"/>
            <w:vAlign w:val="bottom"/>
            <w:gridSpan w:val="3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Emerging Growth Company Status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20" w:type="dxa"/>
            <w:vAlign w:val="bottom"/>
            <w:gridSpan w:val="10"/>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20"/>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Pension Benefits</w:t>
              </w:r>
            </w:hyperlink>
          </w:p>
        </w:tc>
        <w:tc>
          <w:tcPr>
            <w:tcW w:w="5920" w:type="dxa"/>
            <w:vAlign w:val="bottom"/>
            <w:gridSpan w:val="2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Nonqualified Deferred Compensation</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20" w:type="dxa"/>
            <w:vAlign w:val="bottom"/>
            <w:gridSpan w:val="35"/>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Employment Severance and Change in Control Agreements</w:t>
              </w:r>
            </w:hyperlink>
          </w:p>
        </w:tc>
        <w:tc>
          <w:tcPr>
            <w:tcW w:w="4140" w:type="dxa"/>
            <w:vAlign w:val="bottom"/>
            <w:gridSpan w:val="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5"/>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SI-BONE, Inc. Severance Benefit Plan</w:t>
              </w:r>
            </w:hyperlink>
          </w:p>
        </w:tc>
        <w:tc>
          <w:tcPr>
            <w:tcW w:w="1060" w:type="dxa"/>
            <w:vAlign w:val="bottom"/>
            <w:gridSpan w:val="8"/>
          </w:tcPr>
          <w:p>
            <w:pPr>
              <w:spacing w:after="0"/>
              <w:rPr>
                <w:sz w:val="18"/>
                <w:szCs w:val="18"/>
                <w:color w:val="auto"/>
              </w:rPr>
            </w:pPr>
          </w:p>
        </w:tc>
        <w:tc>
          <w:tcPr>
            <w:tcW w:w="4140" w:type="dxa"/>
            <w:vAlign w:val="bottom"/>
            <w:gridSpan w:val="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4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Offer and Severance Arrangement Letters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22</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gridSpan w:val="4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Securities Authorized for Issuance under Equity Compensation Plans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0" w:type="dxa"/>
            <w:vAlign w:val="bottom"/>
            <w:gridSpan w:val="30"/>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Compensation of Non-Employee Board Members</w:t>
              </w:r>
            </w:hyperlink>
          </w:p>
        </w:tc>
        <w:tc>
          <w:tcPr>
            <w:tcW w:w="1360" w:type="dxa"/>
            <w:vAlign w:val="bottom"/>
            <w:gridSpan w:val="7"/>
          </w:tcPr>
          <w:p>
            <w:pPr>
              <w:spacing w:after="0"/>
              <w:rPr>
                <w:sz w:val="18"/>
                <w:szCs w:val="18"/>
                <w:color w:val="auto"/>
              </w:rPr>
            </w:pPr>
          </w:p>
        </w:tc>
        <w:tc>
          <w:tcPr>
            <w:tcW w:w="3500" w:type="dxa"/>
            <w:vAlign w:val="bottom"/>
            <w:gridSpan w:val="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28"/>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Non-Employee Director Compensation Policy</w:t>
              </w:r>
            </w:hyperlink>
          </w:p>
        </w:tc>
        <w:tc>
          <w:tcPr>
            <w:tcW w:w="260" w:type="dxa"/>
            <w:vAlign w:val="bottom"/>
            <w:gridSpan w:val="2"/>
          </w:tcPr>
          <w:p>
            <w:pPr>
              <w:spacing w:after="0"/>
              <w:rPr>
                <w:sz w:val="18"/>
                <w:szCs w:val="18"/>
                <w:color w:val="auto"/>
              </w:rPr>
            </w:pPr>
          </w:p>
        </w:tc>
        <w:tc>
          <w:tcPr>
            <w:tcW w:w="4860" w:type="dxa"/>
            <w:vAlign w:val="bottom"/>
            <w:gridSpan w:val="13"/>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24</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39"/>
          </w:tcPr>
          <w:p>
            <w:pPr>
              <w:spacing w:after="0"/>
              <w:rPr>
                <w:rFonts w:ascii="Arial" w:cs="Arial" w:eastAsia="Arial" w:hAnsi="Arial"/>
                <w:sz w:val="18"/>
                <w:szCs w:val="18"/>
                <w:color w:val="0000FF"/>
                <w:w w:val="95"/>
              </w:rPr>
            </w:pPr>
            <w:hyperlink w:anchor="page35">
              <w:r>
                <w:rPr>
                  <w:rFonts w:ascii="Arial" w:cs="Arial" w:eastAsia="Arial" w:hAnsi="Arial"/>
                  <w:sz w:val="18"/>
                  <w:szCs w:val="18"/>
                  <w:color w:val="0000FF"/>
                  <w:w w:val="95"/>
                </w:rPr>
                <w:t>CERTAIN RELATIONSHIPS AND RELATED PARTY TRANSACTIONS</w:t>
              </w:r>
            </w:hyperlink>
          </w:p>
        </w:tc>
        <w:tc>
          <w:tcPr>
            <w:tcW w:w="3500" w:type="dxa"/>
            <w:vAlign w:val="bottom"/>
            <w:gridSpan w:val="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gridSpan w:val="3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Related Person Transactions Policy and Procedures</w:t>
              </w:r>
            </w:hyperlink>
          </w:p>
        </w:tc>
        <w:tc>
          <w:tcPr>
            <w:tcW w:w="3500" w:type="dxa"/>
            <w:vAlign w:val="bottom"/>
            <w:gridSpan w:val="6"/>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gridSpan w:val="3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Certain Related Person Transactions</w:t>
              </w:r>
            </w:hyperlink>
          </w:p>
        </w:tc>
        <w:tc>
          <w:tcPr>
            <w:tcW w:w="4760" w:type="dxa"/>
            <w:vAlign w:val="bottom"/>
            <w:gridSpan w:val="12"/>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25</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8"/>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540" w:type="dxa"/>
            <w:vAlign w:val="bottom"/>
            <w:tcBorders>
              <w:left w:val="single" w:sz="8" w:color="0000FF"/>
            </w:tcBorders>
            <w:gridSpan w:val="7"/>
            <w:shd w:val="clear" w:color="auto" w:fill="0000FF"/>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20"/>
          </w:tcPr>
          <w:p>
            <w:pPr>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INDEMNIFICATION AGREEMENTS</w:t>
              </w:r>
            </w:hyperlink>
          </w:p>
        </w:tc>
        <w:tc>
          <w:tcPr>
            <w:tcW w:w="6120" w:type="dxa"/>
            <w:vAlign w:val="bottom"/>
            <w:gridSpan w:val="25"/>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26</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8"/>
            <w:shd w:val="clear" w:color="auto" w:fill="0000FF"/>
          </w:tcPr>
          <w:p>
            <w:pPr>
              <w:spacing w:after="0" w:line="20" w:lineRule="exact"/>
              <w:rPr>
                <w:sz w:val="1"/>
                <w:szCs w:val="1"/>
                <w:color w:val="auto"/>
              </w:rPr>
            </w:pPr>
          </w:p>
        </w:tc>
        <w:tc>
          <w:tcPr>
            <w:tcW w:w="1400" w:type="dxa"/>
            <w:vAlign w:val="bottom"/>
            <w:gridSpan w:val="12"/>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4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HOUSEHOLDING OF PROXY MATERIALS</w:t>
              </w:r>
            </w:hyperlink>
          </w:p>
        </w:tc>
        <w:tc>
          <w:tcPr>
            <w:tcW w:w="600" w:type="dxa"/>
            <w:vAlign w:val="bottom"/>
            <w:gridSpan w:val="2"/>
          </w:tcPr>
          <w:p>
            <w:pPr>
              <w:jc w:val="center"/>
              <w:ind w:left="3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26</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gridSpan w:val="8"/>
            <w:shd w:val="clear" w:color="auto" w:fill="0000FF"/>
          </w:tcPr>
          <w:p>
            <w:pPr>
              <w:spacing w:after="0" w:line="20" w:lineRule="exact"/>
              <w:rPr>
                <w:sz w:val="1"/>
                <w:szCs w:val="1"/>
                <w:color w:val="auto"/>
              </w:rPr>
            </w:pPr>
          </w:p>
        </w:tc>
        <w:tc>
          <w:tcPr>
            <w:tcW w:w="1940" w:type="dxa"/>
            <w:vAlign w:val="bottom"/>
            <w:gridSpan w:val="19"/>
            <w:shd w:val="clear" w:color="auto" w:fill="0000FF"/>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OTHER MATTERS</w:t>
              </w:r>
            </w:hyperlink>
          </w:p>
        </w:tc>
        <w:tc>
          <w:tcPr>
            <w:tcW w:w="5580" w:type="dxa"/>
            <w:vAlign w:val="bottom"/>
            <w:gridSpan w:val="18"/>
          </w:tcPr>
          <w:p>
            <w:pPr>
              <w:spacing w:after="0"/>
              <w:rPr>
                <w:sz w:val="18"/>
                <w:szCs w:val="18"/>
                <w:color w:val="auto"/>
              </w:rPr>
            </w:pPr>
          </w:p>
        </w:tc>
        <w:tc>
          <w:tcPr>
            <w:tcW w:w="600" w:type="dxa"/>
            <w:vAlign w:val="bottom"/>
            <w:gridSpan w:val="2"/>
          </w:tcPr>
          <w:p>
            <w:pPr>
              <w:jc w:val="center"/>
              <w:ind w:left="3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27</w:t>
              </w:r>
            </w:hyperlink>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20"/>
          </w:cols>
          <w:pgMar w:left="960" w:top="126" w:right="1219" w:bottom="1440" w:gutter="0" w:footer="0" w:header="0"/>
        </w:sectPr>
      </w:pPr>
    </w:p>
    <w:bookmarkStart w:id="5" w:name="page6"/>
    <w:bookmarkEnd w:id="5"/>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24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have sent you these proxy materials because our Board of Directors (the “Board” or “Board of Directors”) is soliciting your proxy to vote at the 2021 Annual Meeting of Stockholders, including at any adjournments or postponements of the meeting. You are invited to attend the virtual annual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on the internet.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included in the proxy materials?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225" w:lineRule="exact"/>
        <w:rPr>
          <w:sz w:val="20"/>
          <w:szCs w:val="20"/>
          <w:color w:val="auto"/>
        </w:rPr>
      </w:pPr>
    </w:p>
    <w:p>
      <w:pPr>
        <w:ind w:left="66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proxy statement, which includes information regarding the proposals to be voted on at the Annual Meeting, the voting process, corporate governance, the compensation of our directors and certain executive officers, and other required information;</w:t>
      </w:r>
    </w:p>
    <w:p>
      <w:pPr>
        <w:spacing w:after="0" w:line="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2020 Annual Report to Stockholders, which is our Annual Report on Form 10-K for the fiscal year ended December 31, 2020; and</w:t>
      </w:r>
    </w:p>
    <w:p>
      <w:pPr>
        <w:spacing w:after="0" w:line="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proxy card or a voting instruction card for the Annual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annual meeting will be held on Thursday, June 10, 2021 at 8:00 a.m. local time by live webcast. There will not be a physical meeting location and you will not be able to attend the meeting in person physically. We invite you to attend the annual meeting by live webcast. The live audio webcast will be held on Thursday, June 10, 2021, and will begin promptly at 8:00 a.m. local time. Online check-in will begin approximately 15 minutes prior to the start of the Annual Meeting. We encourage our stockholders to access the meeting in advance of the designated start time to have ample time for check-in procedures. To attend the Annual Meeting virtually via the internet, please visit www.virtualshareholdermeeting.com/SIBN2021. To attend by live webcast you will need the 16-digit control number provided on the proxy or information card you receive in order to gain access to the annual meeting. Therefore, it is important to retain a copy of your proxy or information card you receive to enable you to gain access to the annual meeting. However, as noted above, you do not need to attend the annual meeting to vote your shares. Instead, you may simply complete, sign and return a proxy card, or follow the instructions below to submit your proxy over the telephone or on the internet.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do not have your 16-digit control number, you will be able to access and listen to the Annual Meeting, but you will not be able to vote your shares or submit questions during the Annual Meeting. See caption below titled “Attending the Annual Meeting as a Guest.”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 as a Guest</w:t>
      </w:r>
    </w:p>
    <w:p>
      <w:pPr>
        <w:spacing w:after="0" w:line="28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Guests may enter the Annual Meeting in “listen-only” mode by entering the Annual Meeting at www.virtualshareholdermeeting.com/SIBN2021 and entering the information requested in the “Guest Login” section. Guests will not have the ability to vote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SI-BONE having a virtual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Due to the continuing concerns regarding the COVID-19 outbreak and to assist in protecting the health and well-being of our stockholders and employees, this year’s annual meeting of our stockholders of will be held virtually via the internet. Stockholders attending virtually via the internet will be able to listen and vote regardless of location via the internet at www.virtualshareholdermeeting.com/SIBN2021 by using the 16-digit control number included on your proxy card or information card and the instructions that accompanied your proxy materials.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Only stockholders of record and beneficial owners at the close of business on April 12, 2021 will be entitled to vote at the annual meeting. On this record date, there were 32,811,927 shares of common stock outstanding and entitled to vote.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on April 12, 2021, your shares were registered directly in your name with our transfer agent, American Stock Transfer &amp; Trust Company, LLC, then you are a stockholder of record. As a stockholder of record, you may vote via webcast at the meeting or vote by proxy. Whether or not you plan to attend the meeting via webcast, we urge you to fill out and return the enclosed proxy card or vote by proxy over the telephone or on the internet as instructed below to ensure your vote is counted.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3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If on April 12, 2021,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Broadridge, the hosting service for the annual meeting, has advised us that even as a beneficial owner in street name, you will be able to vote your shares at the annual meeting using your 16-digit control number you can find on your voter information card. Beneficial owners who did not receive a 16-digit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ask questions at the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are attending the Annual Meeting as a stockholder of record or as a beneficial owner, questions can be submitted by accessing the meeting center at www.virtualshareholdermeeting.com/SIBN2021, entering your 16-digit control number and following the instructions. Instructions on how to ask questions and participate in the Annual Meeting are posted at www.virtualshareholdermeeting.com/SIBN2021. Guests will not have the ability to ask questions during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Stockholders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 list of stockholders entitled to vote at the Annual Meeting will be available for examination for any purpose germane to the Annual Meeting during normal business hours for ten days prior to the Annual Meeting at our corporate headquarters. Due to the COVID-19 pandemic, please email us at StockholderCommunications@si-bone.com to arrange a time to review. The stockholder list will also be available during the Annual Meeting at www.virtualshareholdermeeting.com/SIBN2021. Instructions on how stockholders of record can view the stockholder list during the Annual Meeting are posted at www.virtualshareholdermeeting.com/SIBN2021.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two matters scheduled for a vote: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Election of three directors (Proposal No. 1); and</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Ratification of selection by the Audit Committee of the Board of Directors of PricewaterhouseCoopers LLP as independent registered public accounting firm of SI-BONE for its fiscal year ending December 31, 2021 (Proposal No. 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24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to the extent permitted under Rule 14a-4(c)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under the Exchange Act, in accordance with their best judgment.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do I vote?</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You may either vote “For” all of the nominees to the Board of Directors or you may “Withhold” your vote for any nominee you specify. For the ratification of selection by the Audit Committee of the Board of Directors of PricewaterhouseCoopers LLP as independent registered public accounting firm of SI-BONE for its fiscal year ending December 31, 2021, you may vote “For” or “Against” or abstain from voting.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fairly simple: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If you are a stockholder of record, you may vote via webcast at the annual meeting, vote by proxy using the enclosed proxy card, vote by proxy over the telephone, or vote by proxy through the internet. Whether or not you plan to attend the meeting, we urge you to vote by proxy to ensure your vote is counted. You may still attend the meeting and vote via webcast even if you have already voted by proxy.</w:t>
      </w:r>
    </w:p>
    <w:p>
      <w:pPr>
        <w:spacing w:after="0" w:line="169" w:lineRule="exact"/>
        <w:rPr>
          <w:sz w:val="20"/>
          <w:szCs w:val="20"/>
          <w:color w:val="auto"/>
        </w:rPr>
      </w:pPr>
    </w:p>
    <w:p>
      <w:pPr>
        <w:ind w:left="660" w:right="20" w:hanging="328"/>
        <w:spacing w:after="0" w:line="25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at the live webcast, follow the instructions at www.virtualshareholdermeeting.com/SIBN2021. You will need the 16-digit control number provided on the proxy card in order to gain access to the annual meeting via webcast.</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using the proxy card, simply complete, sign and date the enclosed proxy card and return it promptly in the envelope provided. If you return your signed proxy card to us before the annual meeting, we will vote your shares as you direct.</w:t>
      </w:r>
    </w:p>
    <w:p>
      <w:pPr>
        <w:jc w:val="both"/>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control number from the enclosed proxy card. Your telephone vote must be received by 11:59 p.m., Eastern Time on June 9, 2021, to be counted.</w:t>
      </w:r>
    </w:p>
    <w:p>
      <w:pPr>
        <w:spacing w:after="0" w:line="1" w:lineRule="exact"/>
        <w:rPr>
          <w:rFonts w:ascii="Arial" w:cs="Arial" w:eastAsia="Arial" w:hAnsi="Arial"/>
          <w:sz w:val="18"/>
          <w:szCs w:val="18"/>
          <w:color w:val="auto"/>
        </w:rPr>
      </w:pPr>
    </w:p>
    <w:p>
      <w:pPr>
        <w:ind w:left="660" w:hanging="328"/>
        <w:spacing w:after="0" w:line="290"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vote through the internet, go to www.proxyvote.com to complete an electronic proxy card. You will be asked to provide control number from the enclosed proxy card. Your internet vote must be received by 11:59 p.m. Eastern Time on June 9, 2021 to be counted.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at the live webcast, Broadridge, the hosting service for the annual meeting, has advised us that even as a beneficial owner in street name, you will be able to vote your shares at the annual meeting using your 16-digit control number you can find on your voter information card. Whether or not you plan to attend the meeting, we urge you to vote by proxy to ensure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share of common stock you owned as of April 12, 2021.</w:t>
      </w:r>
    </w:p>
    <w:p>
      <w:pPr>
        <w:spacing w:after="0" w:line="234"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via webcast at the annual meeting, your shares will not be voted.</w:t>
      </w:r>
    </w:p>
    <w:p>
      <w:pPr>
        <w:spacing w:after="0" w:line="1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all of the nominees for director, and “For” the ratification of selection by the Audit Committee of the Board of Directors of PricewaterhouseCoopers LLP as independent registered public accounting firm of SI-BONE for its fiscal year ending December 31, 2021. If any other matter is properly presented at the meeting, your proxyholder (one of the individuals named on your proxy card) will vote your shares using his or her best judgment.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2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1, the election of directors, is considered to be “non-routine” under NYSE rules meaning that your broker may not vote your shares on that proposals in the absence of your voting instructions. However, Proposal 2 is considered to be a “routine” matter under NYSE rules meaning that if you do not return voting instructions to your broker by its deadline, your shares may be voted by your broker in its discretion on Proposal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130"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the attention of our Chief Legal Officer and Secretary at 471 El Camino Real, Suite 101, Santa Clara, California 95050.</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attend the annual meeting and vote via webcast. Simply attending the meeting will not, by itself, revoke your proxy.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If your shares are held by your broker, bank or other agent, you should follow the instructions provided by your broker, bank or other agent, or you may attend the virtual annual meeting and vote online. Simply attending the meeting will not, by itself, revoke your proxy.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by December 31, 2021, to SI-BONE, Inc., Attn: Michael A. Pisetsky, Chief Legal Officer, 471 El Camino Real, Suite 101, Santa Clara, California 95050; provided, however, that if the 2022 annual meeting of stockholders is held before May 11, 2022 or after July 10, 2022, then your proposal must be submitted in writing a reasonable amount of time before the 2022 annual meeting of stockholders.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If you wish to submit a proposal (including a director nomination) at the meeting that is not to be included in next year’s proxy materials, your proposal must be submitted in writing and received by our Secretary at our executive offices located at 471 El Camino Real, Suite 101, Santa Clara, California 95050, not later than the close of business on March 12, 2022, nor earlier than the close of business on February 10, 2022; provided, however, that in the event that the date of the annual meeting is held earlier than May 11, 2022, or held later than July 10, 2022,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Stockholders wishing to make stockholder proposals or nominations for directors should consult our bylaws, which contain additional requirements and information regarding these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(a) for the proposal to elect directors, votes “For,” votes “Withheld” and broker non-votes, and (b) with respect to the ratification of selection by the Audit Committee of the Board of Directors of PricewaterhouseCoopers LLP as independent registered public accounting firm of SI-BONE for its fiscal year ending December 31, 2021, or any other proposals, votes “For” and “Against,” abstentions and, if applicable, broker non-votes.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Abstentions will be counted towards the vote total for Proposal No. 2, and will have the same effect as “Against” votes. As Proposal No. 2 is a “routine” matter we do not expect there to be any broker non-votes, but if there are broker non-votes, they will have no effect and will not be counted towards the vote total for any proposal.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minimum vote needed to approve each proposal and the effect of abstentions and broker non-votes.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b w:val="1"/>
                <w:bCs w:val="1"/>
                <w:color w:val="auto"/>
              </w:rPr>
              <w:t>Proposal</w:t>
            </w:r>
          </w:p>
        </w:tc>
        <w:tc>
          <w:tcPr>
            <w:tcW w:w="2160" w:type="dxa"/>
            <w:vAlign w:val="bottom"/>
            <w:vMerge w:val="restart"/>
          </w:tcPr>
          <w:p>
            <w:pPr>
              <w:ind w:left="720"/>
              <w:spacing w:after="0"/>
              <w:rPr>
                <w:sz w:val="20"/>
                <w:szCs w:val="20"/>
                <w:color w:val="auto"/>
              </w:rPr>
            </w:pPr>
            <w:r>
              <w:rPr>
                <w:rFonts w:ascii="Arial" w:cs="Arial" w:eastAsia="Arial" w:hAnsi="Arial"/>
                <w:sz w:val="16"/>
                <w:szCs w:val="16"/>
                <w:b w:val="1"/>
                <w:bCs w:val="1"/>
                <w:color w:val="auto"/>
                <w:w w:val="88"/>
              </w:rPr>
              <w:t>Proposal Description</w:t>
            </w:r>
          </w:p>
        </w:tc>
        <w:tc>
          <w:tcPr>
            <w:tcW w:w="0" w:type="dxa"/>
            <w:vAlign w:val="bottom"/>
          </w:tcPr>
          <w:p>
            <w:pPr>
              <w:spacing w:after="0"/>
              <w:rPr>
                <w:sz w:val="1"/>
                <w:szCs w:val="1"/>
                <w:color w:val="auto"/>
              </w:rPr>
            </w:pPr>
          </w:p>
        </w:tc>
      </w:tr>
      <w:tr>
        <w:trPr>
          <w:trHeight w:val="210"/>
        </w:trPr>
        <w:tc>
          <w:tcPr>
            <w:tcW w:w="1340" w:type="dxa"/>
            <w:vAlign w:val="bottom"/>
          </w:tcPr>
          <w:p>
            <w:pPr>
              <w:ind w:left="20"/>
              <w:spacing w:after="0"/>
              <w:rPr>
                <w:sz w:val="20"/>
                <w:szCs w:val="20"/>
                <w:color w:val="auto"/>
              </w:rPr>
            </w:pPr>
            <w:r>
              <w:rPr>
                <w:rFonts w:ascii="Arial" w:cs="Arial" w:eastAsia="Arial" w:hAnsi="Arial"/>
                <w:sz w:val="16"/>
                <w:szCs w:val="16"/>
                <w:b w:val="1"/>
                <w:bCs w:val="1"/>
                <w:color w:val="auto"/>
              </w:rPr>
              <w:t>Number</w:t>
            </w: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3810</wp:posOffset>
            </wp:positionV>
            <wp:extent cx="29832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1200" w:hanging="76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0" w:hanging="764"/>
        <w:spacing w:after="0" w:line="249" w:lineRule="auto"/>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Ratification of the selection of PricewaterhouseCoopers LLP as SI-BONE’s independent registered public accounting firm for the fiscal year ending December 31, 2021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Effect of</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Effect of</w:t>
            </w:r>
          </w:p>
        </w:tc>
        <w:tc>
          <w:tcPr>
            <w:tcW w:w="0" w:type="dxa"/>
            <w:vAlign w:val="bottom"/>
          </w:tcPr>
          <w:p>
            <w:pPr>
              <w:spacing w:after="0"/>
              <w:rPr>
                <w:sz w:val="1"/>
                <w:szCs w:val="1"/>
                <w:color w:val="auto"/>
              </w:rPr>
            </w:pPr>
          </w:p>
        </w:tc>
      </w:tr>
      <w:tr>
        <w:trPr>
          <w:trHeight w:val="162"/>
        </w:trPr>
        <w:tc>
          <w:tcPr>
            <w:tcW w:w="360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Vote Required for Approval</w:t>
            </w:r>
          </w:p>
        </w:tc>
        <w:tc>
          <w:tcPr>
            <w:tcW w:w="1520" w:type="dxa"/>
            <w:vAlign w:val="bottom"/>
            <w:gridSpan w:val="2"/>
            <w:vMerge w:val="continue"/>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Broker Non-</w:t>
            </w:r>
          </w:p>
        </w:tc>
        <w:tc>
          <w:tcPr>
            <w:tcW w:w="0" w:type="dxa"/>
            <w:vAlign w:val="bottom"/>
          </w:tcPr>
          <w:p>
            <w:pPr>
              <w:spacing w:after="0"/>
              <w:rPr>
                <w:sz w:val="1"/>
                <w:szCs w:val="1"/>
                <w:color w:val="auto"/>
              </w:rPr>
            </w:pPr>
          </w:p>
        </w:tc>
      </w:tr>
      <w:tr>
        <w:trPr>
          <w:trHeight w:val="213"/>
        </w:trPr>
        <w:tc>
          <w:tcPr>
            <w:tcW w:w="3600" w:type="dxa"/>
            <w:vAlign w:val="bottom"/>
            <w:gridSpan w:val="2"/>
            <w:vMerge w:val="continue"/>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Abstentions</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2"/>
              </w:rPr>
              <w:t>Votes</w:t>
            </w:r>
          </w:p>
        </w:tc>
        <w:tc>
          <w:tcPr>
            <w:tcW w:w="0" w:type="dxa"/>
            <w:vAlign w:val="bottom"/>
          </w:tcPr>
          <w:p>
            <w:pPr>
              <w:spacing w:after="0"/>
              <w:rPr>
                <w:sz w:val="1"/>
                <w:szCs w:val="1"/>
                <w:color w:val="auto"/>
              </w:rPr>
            </w:pPr>
          </w:p>
        </w:tc>
      </w:tr>
      <w:tr>
        <w:trPr>
          <w:trHeight w:val="172"/>
        </w:trPr>
        <w:tc>
          <w:tcPr>
            <w:tcW w:w="3340" w:type="dxa"/>
            <w:vAlign w:val="bottom"/>
            <w:tcBorders>
              <w:top w:val="single" w:sz="8" w:color="auto"/>
            </w:tcBorders>
          </w:tcPr>
          <w:p>
            <w:pPr>
              <w:ind w:left="80"/>
              <w:spacing w:after="0" w:line="172" w:lineRule="exact"/>
              <w:rPr>
                <w:sz w:val="20"/>
                <w:szCs w:val="20"/>
                <w:color w:val="auto"/>
              </w:rPr>
            </w:pPr>
            <w:r>
              <w:rPr>
                <w:rFonts w:ascii="Arial" w:cs="Arial" w:eastAsia="Arial" w:hAnsi="Arial"/>
                <w:sz w:val="18"/>
                <w:szCs w:val="18"/>
                <w:color w:val="auto"/>
              </w:rPr>
              <w:t>The three nominees receiving the most</w:t>
            </w:r>
          </w:p>
        </w:tc>
        <w:tc>
          <w:tcPr>
            <w:tcW w:w="260" w:type="dxa"/>
            <w:vAlign w:val="bottom"/>
          </w:tcPr>
          <w:p>
            <w:pPr>
              <w:spacing w:after="0"/>
              <w:rPr>
                <w:sz w:val="14"/>
                <w:szCs w:val="14"/>
                <w:color w:val="auto"/>
              </w:rPr>
            </w:pPr>
          </w:p>
        </w:tc>
        <w:tc>
          <w:tcPr>
            <w:tcW w:w="126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8"/>
                <w:szCs w:val="18"/>
                <w:color w:val="auto"/>
                <w:w w:val="91"/>
              </w:rPr>
              <w:t>Not applicable</w:t>
            </w:r>
          </w:p>
        </w:tc>
        <w:tc>
          <w:tcPr>
            <w:tcW w:w="260" w:type="dxa"/>
            <w:vAlign w:val="bottom"/>
          </w:tcPr>
          <w:p>
            <w:pPr>
              <w:spacing w:after="0"/>
              <w:rPr>
                <w:sz w:val="14"/>
                <w:szCs w:val="14"/>
                <w:color w:val="auto"/>
              </w:rPr>
            </w:pPr>
          </w:p>
        </w:tc>
        <w:tc>
          <w:tcPr>
            <w:tcW w:w="1060" w:type="dxa"/>
            <w:vAlign w:val="bottom"/>
            <w:tcBorders>
              <w:top w:val="single" w:sz="8" w:color="auto"/>
            </w:tcBorders>
          </w:tcPr>
          <w:p>
            <w:pPr>
              <w:spacing w:after="0" w:line="172"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175"/>
        </w:trPr>
        <w:tc>
          <w:tcPr>
            <w:tcW w:w="36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“For” votes will be elected; withheld votes</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80"/>
              <w:spacing w:after="0"/>
              <w:rPr>
                <w:sz w:val="20"/>
                <w:szCs w:val="20"/>
                <w:color w:val="auto"/>
              </w:rPr>
            </w:pPr>
            <w:r>
              <w:rPr>
                <w:rFonts w:ascii="Arial" w:cs="Arial" w:eastAsia="Arial" w:hAnsi="Arial"/>
                <w:sz w:val="18"/>
                <w:szCs w:val="18"/>
                <w:color w:val="auto"/>
              </w:rPr>
              <w:t>will have no effect</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600" w:type="dxa"/>
            <w:vAlign w:val="bottom"/>
            <w:gridSpan w:val="2"/>
          </w:tcPr>
          <w:p>
            <w:pPr>
              <w:ind w:left="80"/>
              <w:spacing w:after="0"/>
              <w:rPr>
                <w:sz w:val="20"/>
                <w:szCs w:val="20"/>
                <w:color w:val="auto"/>
              </w:rPr>
            </w:pPr>
            <w:r>
              <w:rPr>
                <w:rFonts w:ascii="Arial" w:cs="Arial" w:eastAsia="Arial" w:hAnsi="Arial"/>
                <w:sz w:val="18"/>
                <w:szCs w:val="18"/>
                <w:color w:val="auto"/>
              </w:rPr>
              <w:t>“For” votes from the holders of a majority</w:t>
            </w: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Against</w:t>
            </w:r>
          </w:p>
        </w:tc>
        <w:tc>
          <w:tcPr>
            <w:tcW w:w="1060" w:type="dxa"/>
            <w:vAlign w:val="bottom"/>
          </w:tcPr>
          <w:p>
            <w:pPr>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175"/>
        </w:trPr>
        <w:tc>
          <w:tcPr>
            <w:tcW w:w="36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of shares present in person, via webcast or</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represented by proxy and entitled to vote</w:t>
            </w: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80"/>
              <w:spacing w:after="0"/>
              <w:rPr>
                <w:sz w:val="20"/>
                <w:szCs w:val="20"/>
                <w:color w:val="auto"/>
              </w:rPr>
            </w:pPr>
            <w:r>
              <w:rPr>
                <w:rFonts w:ascii="Arial" w:cs="Arial" w:eastAsia="Arial" w:hAnsi="Arial"/>
                <w:sz w:val="18"/>
                <w:szCs w:val="18"/>
                <w:color w:val="auto"/>
              </w:rPr>
              <w:t>on the matter</w:t>
            </w: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ectPr>
          <w:pgSz w:w="11900" w:h="16838" w:orient="portrait"/>
          <w:cols w:equalWidth="0" w:num="2">
            <w:col w:w="4520" w:space="500"/>
            <w:col w:w="6220"/>
          </w:cols>
          <w:pgMar w:left="320" w:top="931" w:right="339" w:bottom="1440"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3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4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meeting via webcast or represented by proxy. On the record date, there were 32,811,927 shares outstanding and entitled to vote. Thus, the holders of 16,405,964 shares must be present via webcast or represented by proxy at the meeting to have a quorum.</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are a stockholder of record your shares will be counted towards the quorum only if you submit a valid proxy (or one is submitted on your behalf by your broker, bank or other nominee) or if you vote via webcast at the meeting. Abstentions and broker non-votes will be counted towards the quorum requirement. If there is no quorum, the chairman of the meeting or the holders of a majority of shares present at the meeting via webcast or represented by proxy may adjourn the meeting to another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4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Annual Report to </w:t>
      </w:r>
      <w:r>
        <w:rPr>
          <w:rFonts w:ascii="Arial" w:cs="Arial" w:eastAsia="Arial" w:hAnsi="Arial"/>
          <w:sz w:val="18"/>
          <w:szCs w:val="18"/>
          <w:b w:val="1"/>
          <w:bCs w:val="1"/>
          <w:color w:val="auto"/>
        </w:rPr>
        <w:t>S</w:t>
      </w:r>
      <w:r>
        <w:rPr>
          <w:rFonts w:ascii="Arial" w:cs="Arial" w:eastAsia="Arial" w:hAnsi="Arial"/>
          <w:sz w:val="18"/>
          <w:szCs w:val="18"/>
          <w:color w:val="auto"/>
        </w:rPr>
        <w:t>tockholders are available at www.proxyvote.com</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45"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PROPOSAL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Board of Directors currently consists of eleven members and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Board of Directors currently has eleven members. There are four directors in Class III, the class the term of which expires in 2021: Karen Licitra, Helen Loh, Mika Nishimura and Keith Valentine. Each is currently a member of our Board. Ms. Licitra has declined to stand for re-election and, accordingly, there are three nominees for election. In addition, Mark Foley, a director in the class the term of which will expire at our 2022 annual meeting of stockholders, has resigned from the Board of Directors effective at the close of the annual meeting. Accordingly, the size of the Board will be reduced to nine directors effective at the close of the annual meeting. If elected at the annual meeting, each of the three nominees would serve until the 2024 annual meeting and until his or her successor has been duly elected and qualified, or, if sooner, until the director’s death, resignation or removal. It is our policy to encourage directors and nominees for director to attend the Annual Meeting. All of our then-continuing directors and the nominees attended our 2020 annual meeting of stockholders.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Ms. Loh and Ms. Nishimura were recommended for nomination to the Nominating and Corporate Governance Committee by members of our management team. Prior to our initial public offering of our common stock, our voting agreement and the related provisions of our amended and restated certificate of incorporation in effect prior to the initial public offering of our common stock governed the election of directors. Under the terms of this voting agreement, the stockholders party thereto agreed to vote their respective shares to elect our directors, which included Mr. Valentine. Upon the closing of our initial public offering, the provisions of this voting agreement terminated and our amended and restated certificate of incorporation was amended and restated to, among other things, remove the related voting provisions.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Directors are elected by a plurality of the votes of the holders of shares present in person or represented by proxy and entitled to vote on the election of directors. Accordingly, the three nominees receiving the highest number of affirmative votes will be elected.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FOR A THREE-YEAR TERM EXPIRING AT THE 2024 ANNUAL MEETING</w:t>
      </w: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b w:val="1"/>
          <w:bCs w:val="1"/>
          <w:i w:val="1"/>
          <w:iCs w:val="1"/>
          <w:color w:val="auto"/>
        </w:rPr>
        <w:t xml:space="preserve">Helen Loh, </w:t>
      </w:r>
      <w:r>
        <w:rPr>
          <w:rFonts w:ascii="Arial" w:cs="Arial" w:eastAsia="Arial" w:hAnsi="Arial"/>
          <w:sz w:val="17"/>
          <w:szCs w:val="17"/>
          <w:color w:val="auto"/>
        </w:rPr>
        <w:t>age 58, has served as a member of our Board of Directors since April, 2021. Since 2004, Ms. Loh has served as a marketing executive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Charles Schwab, most recently as Senior Vice President, Digital, Product &amp; Client Marketing. From 1999 to 2004, Ms. Loh served as Vice President of Marketing and Product at seeUthere Technologies, an enterprise event management software company. Earlier in her career, Ms. Loh held marketing roles at SINA Corporation, MySoftware Company, and the Clorox Company. Ms. Loh began her career as a management consultant at Marakon, a global strategy consulting firm. Ms. Loh has served on the board of directors of the Charles Schwab Foundation since November 2014. Ms. Loh received a B.S. in Industrial Engineering from Stanford University, and a M.B.A. from Stanford Business School. We believe that Ms. Loh’s experience with digital and consumer marketing will enable her to make valuable contributions to our Board of Directors.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Mika Nishimura, </w:t>
      </w:r>
      <w:r>
        <w:rPr>
          <w:rFonts w:ascii="Arial" w:cs="Arial" w:eastAsia="Arial" w:hAnsi="Arial"/>
          <w:sz w:val="17"/>
          <w:szCs w:val="17"/>
          <w:color w:val="auto"/>
        </w:rPr>
        <w:t>age 57, has served as a member of our Board of Directors since March 2021. Since 2011, Ms. Nishimura has served as an Operational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with Gilde Healthcare Partners. Ms. Nishimura is an independent board member for MobileODT, a commercial-stage Israeli company and is also a board advisor to Tristel, plc, a UK-based company. From 2016 to April 2020, Ms. Nishimura was Vice President, Commercialization at nVision Medical Corporation, an early clinical-stage company focused on early detection of ovarian cancer acquired by Boston Scientific. From 2011 to 2015, Ms. Nishimura was Vice President, Commercial Development at Auxogyn, which was acquired by Progyny in 2015. Earlier in her career, Mika was Vice President, International Sales Operations and Marketing at ev3 Inc. Ms. Nishimura has a BA in Economics from Yale University and an MBA from Harvard Graduate School of Business Administration. We believe that Ms. Nishimura’s experience working for medical device companies across multiple phases of commercialization will enable her to make valuable contributions to our Board of Directors.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Keith C. Valentine, </w:t>
      </w:r>
      <w:r>
        <w:rPr>
          <w:rFonts w:ascii="Arial" w:cs="Arial" w:eastAsia="Arial" w:hAnsi="Arial"/>
          <w:sz w:val="16"/>
          <w:szCs w:val="16"/>
          <w:color w:val="auto"/>
        </w:rPr>
        <w:t>age 53, 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a global medical technology company.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EACH NAMED NOMINEE.</w:t>
      </w:r>
    </w:p>
    <w:p>
      <w:pPr>
        <w:sectPr>
          <w:pgSz w:w="11900" w:h="16838" w:orient="portrait"/>
          <w:cols w:equalWidth="0" w:num="1">
            <w:col w:w="11240"/>
          </w:cols>
          <w:pgMar w:left="320" w:top="931" w:right="33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931" w:right="339" w:bottom="336"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DIRECTORS CONTINUING IN OFFICE UNTIL THE 2022 ANNUAL MEETING</w:t>
      </w:r>
    </w:p>
    <w:p>
      <w:pPr>
        <w:spacing w:after="0" w:line="24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Jeryl L. Hilleman</w:t>
      </w:r>
      <w:r>
        <w:rPr>
          <w:rFonts w:ascii="Arial" w:cs="Arial" w:eastAsia="Arial" w:hAnsi="Arial"/>
          <w:sz w:val="17"/>
          <w:szCs w:val="17"/>
          <w:color w:val="auto"/>
        </w:rPr>
        <w:t>, age 63, has served as a member of our Board of Directors since December 2019. Ms. Hilleman brings extensive experience in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and served as a public company CFO for close to 20 years. Most recently, From June 2014 to November 2019, Ms. Hilleman served as the Chief Financial Officer for Intersect ENT, Inc., a publicly-traded commercial drug delivery company focusing on patients with ear, nose and throat conditions. From September 2013 to May 2014, Ms. Hilleman served as Chief Financial Officer and Secretary of Ocera Therapeutics, Inc., a biopharmaceutical company, where she was responsible for managing Ocera’s financial and accounting operations. From 2012 to 2013, Ms. Hilleman provided independent financial and strategic consulting for biotech and cleantech companies. From January 2008 to May 2012, she served as Chief Financial Officer of Amyris, Inc., a multinational, renewable products company based in California and Brazil, where she was responsible for managing Amyris’ financial and accounting operations. Since July 2018, Ms. Hilleman has served as a member of the board of directors and the Audit Committee of Minerva Neurosciences, Inc. and as a member of the board of directors and chair of the audit committee of NovoCure Limited. From January 2005, Ms. Hilleman served as a member of the board of directors of Xenoport, Inc., a biopharmaceutical company, until it was acquired in July 2016. Ms. Hilleman received a B.A. in History from Brown University and an M.B.A. from the Wharton School at the University of Pennsylvania. We believe Ms. Hilleman’s financial experience, experience with medical device companies and her knowledge of our company enable her to make valuable contributions to our Board of Directors.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age 51, 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 xml:space="preserve">Laura A. Francis, </w:t>
      </w:r>
      <w:r>
        <w:rPr>
          <w:rFonts w:ascii="Arial" w:cs="Arial" w:eastAsia="Arial" w:hAnsi="Arial"/>
          <w:sz w:val="16"/>
          <w:szCs w:val="16"/>
          <w:color w:val="auto"/>
        </w:rPr>
        <w:t>age 54, has served as our Chief Executive Officer and as a member of our Board of Directors since April 2021. Previously, she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Chief Operating Officer from July 2019 to April 2021, and as our Chief Financial Officer from May 2015 to April 2021. Prior to joining us,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Ms. Francis received a B.B.A. from the University of Wisconsin and an M.B.A. from Stanford University. She is a Certified Public Accountant (inactive) in the State of California. We believe Ms. Francis’s experience in the industry, her role as our Chief Executive Officer, and her knowledge of our company enable her to make valuable contributions to our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2023 ANNUAL MEETING</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Jeffrey W. Dunn, </w:t>
      </w:r>
      <w:r>
        <w:rPr>
          <w:rFonts w:ascii="Arial" w:cs="Arial" w:eastAsia="Arial" w:hAnsi="Arial"/>
          <w:sz w:val="17"/>
          <w:szCs w:val="17"/>
          <w:color w:val="auto"/>
        </w:rPr>
        <w:t>age 66, has served as our Executive Chairman since April 2021, as Chairman of our Board of Directors since our inception in April 2008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April 2021, and as our President and Chief Executive Officer from April 2008 until April 2021.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prior role as our President and Chief Executive Officer, and his knowledge of our company enable him to make valuable contributions to our Board of Directors.</w:t>
      </w:r>
    </w:p>
    <w:p>
      <w:pPr>
        <w:spacing w:after="0" w:line="18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b w:val="1"/>
          <w:bCs w:val="1"/>
          <w:i w:val="1"/>
          <w:iCs w:val="1"/>
          <w:color w:val="auto"/>
        </w:rPr>
        <w:t>John G. Freund, M.D.</w:t>
      </w:r>
      <w:r>
        <w:rPr>
          <w:rFonts w:ascii="Arial" w:cs="Arial" w:eastAsia="Arial" w:hAnsi="Arial"/>
          <w:sz w:val="16"/>
          <w:szCs w:val="16"/>
          <w:color w:val="auto"/>
        </w:rPr>
        <w:t>, age 67, has served as a member of our Board of Directors since January 2013. Dr. Freund founded Skyline Ventures,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in October 1997 and has served as a Managing Director of Skyline since then. In 2016, Dr. Freund co-founded and was CEO of Arixa Pharmaceuticals, Inc. an antibiotic company, which was acquired by Pfizer in 2020.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each of Collegium Pharmaceuticals, Inc., a biotechnology company, and Sutro Biopharma, Inc., a biotechnology company, since 2014. Dr. Freund also serves on the board of directors of six U.S. registered investment funds managed by affiliates of the Capital Group, Inc. He also previously served on the board of directors of a number of publicly traded companies, including Tetraphase Pharmaceuticals, Inc., a biopharmaceutical company, Map</w:t>
      </w:r>
    </w:p>
    <w:p>
      <w:pPr>
        <w:sectPr>
          <w:pgSz w:w="11900" w:h="16838" w:orient="portrait"/>
          <w:cols w:equalWidth="0" w:num="1">
            <w:col w:w="11240"/>
          </w:cols>
          <w:pgMar w:left="320" w:top="999" w:right="339" w:bottom="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8"/>
          <w:szCs w:val="18"/>
          <w:color w:val="auto"/>
        </w:rPr>
        <w:t>Pharmaceuticals, Inc., a biopharmaceutical company, MAKO Surgical Corp., a medical device company, Proteon Therapeutics, Inc., a biotechnology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9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Gregory K. Hinckley</w:t>
      </w:r>
      <w:r>
        <w:rPr>
          <w:rFonts w:ascii="Arial" w:cs="Arial" w:eastAsia="Arial" w:hAnsi="Arial"/>
          <w:sz w:val="16"/>
          <w:szCs w:val="16"/>
          <w:color w:val="auto"/>
        </w:rPr>
        <w:t>, age 73, 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November 2000 until his retirement in July 2017, and served on the board of directors from January 1999 to June 2016. From January 1997 to November 2000,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Mr. Hinckley received a B.A. in Physics and Mathematics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Each of our directors, other than Mr. Dunn and Ms. Francis, is independent as defined under the Nasdaq Global Market listing standards. See “Independence of the Board of Directors” immediately below.</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39" w:right="339" w:bottom="1440" w:gutter="0" w:footer="0" w:header="0"/>
        </w:sectPr>
      </w:pPr>
    </w:p>
    <w:bookmarkStart w:id="14" w:name="page15"/>
    <w:bookmarkEnd w:id="14"/>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the directors and executive officers.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required under the Nasdaq Global Market (“Nasdaq”) listing standards, a majority of the members of a listed company’s Board of Directors must qualify as “independent,” as affirmatively determined by the Board. The Board consults with SI-BONE’s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Consistent with these considerations, after review of all relevant identified transactions or relationships between each director, or any of his or her family members, and SI-BONE, its senior management and its independent auditors, the Board has affirmatively determined that the following nine directors are independent directors within the meaning of the applicable Nasdaq listing standards: Mr. Davis, Mr. Foley, Dr. Freund, Ms. Hilleman, Mr. Hinckley, Ms. Licitra, Ms. Loh, Ms. Nishimura and Mr. Valentine. In making this determination, the Board found that none of the directors or nominees for director other than Mr. Dunn and Ms. Francis had a material or other disqualifying relationship with SI-BONE and that each of these directors is “independent” as that term is defined under the rules of the Nasdaq Global Market. Mr. Dunn is not independent given his position as our former President and Chief Executive Officer, and Ms. Francis is not independent given her position as our Chief Executive Officer. Accordingly, a majority of our directors are independent, as required under applicable Nasdaq listing rules.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making those independence determinations, the Board took into account certain relationships and transactions that occurred in the ordinary course of business between SI-BONE and entities with which some of our directors are or have been affiliated.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AND ATTRIBUTES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matrix provides information regarding the members of our Board, including certain types of knowledge, skills, experiences and attributes possessed by one or more of our directors which our Board believes are relevant to our business and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gridSpan w:val="2"/>
          </w:tcPr>
          <w:p>
            <w:pPr>
              <w:ind w:left="140"/>
              <w:spacing w:after="0"/>
              <w:rPr>
                <w:sz w:val="20"/>
                <w:szCs w:val="20"/>
                <w:color w:val="auto"/>
              </w:rPr>
            </w:pPr>
            <w:r>
              <w:rPr>
                <w:rFonts w:ascii="Arial" w:cs="Arial" w:eastAsia="Arial" w:hAnsi="Arial"/>
                <w:sz w:val="16"/>
                <w:szCs w:val="16"/>
                <w:b w:val="1"/>
                <w:bCs w:val="1"/>
                <w:color w:val="auto"/>
                <w:w w:val="96"/>
              </w:rPr>
              <w:t>Knowledge, Skills, Experience</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8"/>
              </w:rPr>
              <w:t>Davis</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Dunn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0"/>
              </w:rPr>
              <w:t>Foley</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Francis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Freund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Hilleman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Hinckley</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9"/>
              </w:rPr>
              <w:t>Licitra</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5"/>
              </w:rPr>
              <w:t>Loh</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Nishimura</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Valentine</w:t>
            </w:r>
          </w:p>
        </w:tc>
        <w:tc>
          <w:tcPr>
            <w:tcW w:w="0" w:type="dxa"/>
            <w:vAlign w:val="bottom"/>
          </w:tcPr>
          <w:p>
            <w:pPr>
              <w:spacing w:after="0"/>
              <w:rPr>
                <w:sz w:val="1"/>
                <w:szCs w:val="1"/>
                <w:color w:val="auto"/>
              </w:rPr>
            </w:pPr>
          </w:p>
        </w:tc>
      </w:tr>
      <w:tr>
        <w:trPr>
          <w:trHeight w:val="141"/>
        </w:trPr>
        <w:tc>
          <w:tcPr>
            <w:tcW w:w="15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8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Public Company</w:t>
            </w:r>
          </w:p>
        </w:tc>
        <w:tc>
          <w:tcPr>
            <w:tcW w:w="8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72"/>
        </w:trPr>
        <w:tc>
          <w:tcPr>
            <w:tcW w:w="158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CEO/Exec Chair (last</w:t>
            </w:r>
          </w:p>
        </w:tc>
        <w:tc>
          <w:tcPr>
            <w:tcW w:w="8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Public Company</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CFO</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Public Company</w:t>
            </w:r>
          </w:p>
        </w:tc>
        <w:tc>
          <w:tcPr>
            <w:tcW w:w="8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Board</w:t>
            </w:r>
          </w:p>
        </w:tc>
        <w:tc>
          <w:tcPr>
            <w:tcW w:w="8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Senior Executive</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Leadership</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Financial</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Literacy/Expertise</w:t>
            </w:r>
          </w:p>
        </w:tc>
        <w:tc>
          <w:tcPr>
            <w:tcW w:w="8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Medical Device</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Industry Experience</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Corporate</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Governance</w:t>
            </w:r>
          </w:p>
        </w:tc>
        <w:tc>
          <w:tcPr>
            <w:tcW w:w="8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8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66"/>
        </w:trPr>
        <w:tc>
          <w:tcPr>
            <w:tcW w:w="15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Digital Marketing;</w:t>
            </w:r>
          </w:p>
        </w:tc>
        <w:tc>
          <w:tcPr>
            <w:tcW w:w="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DTP/DTC Marketing</w:t>
            </w:r>
          </w:p>
        </w:tc>
        <w:tc>
          <w:tcPr>
            <w:tcW w:w="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Reimburse-</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580" w:type="dxa"/>
            <w:vAlign w:val="bottom"/>
          </w:tcPr>
          <w:p>
            <w:pPr>
              <w:ind w:left="20"/>
              <w:spacing w:after="0"/>
              <w:rPr>
                <w:sz w:val="20"/>
                <w:szCs w:val="20"/>
                <w:color w:val="auto"/>
              </w:rPr>
            </w:pPr>
            <w:r>
              <w:rPr>
                <w:rFonts w:ascii="Arial" w:cs="Arial" w:eastAsia="Arial" w:hAnsi="Arial"/>
                <w:sz w:val="16"/>
                <w:szCs w:val="16"/>
                <w:color w:val="auto"/>
              </w:rPr>
              <w:t>ment/Payors</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Clinical/Medical</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14"/>
        </w:trPr>
        <w:tc>
          <w:tcPr>
            <w:tcW w:w="158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7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6"/>
                <w:szCs w:val="16"/>
                <w:color w:val="auto"/>
              </w:rPr>
              <w:t>Regulatory</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Business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Development/M&amp;A</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Planning</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6"/>
                <w:szCs w:val="16"/>
                <w:color w:val="auto"/>
              </w:rPr>
              <w:t>Public Relations</w:t>
            </w:r>
          </w:p>
        </w:tc>
        <w:tc>
          <w:tcPr>
            <w:tcW w:w="8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6"/>
                <w:szCs w:val="16"/>
                <w:color w:val="auto"/>
              </w:rPr>
              <w:t>Risk Management</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Cybersecurity</w:t>
            </w: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w w:val="94"/>
              </w:rPr>
              <w:t>Legal/Compliance/Risk</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vMerge w:val="restart"/>
          </w:tcPr>
          <w:p>
            <w:pPr>
              <w:ind w:left="20"/>
              <w:spacing w:after="0"/>
              <w:rPr>
                <w:sz w:val="20"/>
                <w:szCs w:val="20"/>
                <w:color w:val="auto"/>
              </w:rPr>
            </w:pPr>
            <w:r>
              <w:rPr>
                <w:rFonts w:ascii="Arial" w:cs="Arial" w:eastAsia="Arial" w:hAnsi="Arial"/>
                <w:sz w:val="16"/>
                <w:szCs w:val="16"/>
                <w:color w:val="auto"/>
              </w:rPr>
              <w:t>Management</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15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Human Resources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matrix provides race/ethnicity, as well as gender, of the members of our Board, as self-identified by members of the Board.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8"/>
              </w:rPr>
              <w:t>Davis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Dunn</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0"/>
              </w:rPr>
              <w:t>Foley</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Francis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Freund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5"/>
              </w:rPr>
              <w:t>Hilleman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Hinckley</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9"/>
              </w:rPr>
              <w:t>Licitra</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5"/>
              </w:rPr>
              <w:t>Loh</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Nishimura</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Valentine</w:t>
            </w:r>
          </w:p>
        </w:tc>
        <w:tc>
          <w:tcPr>
            <w:tcW w:w="0" w:type="dxa"/>
            <w:vAlign w:val="bottom"/>
          </w:tcPr>
          <w:p>
            <w:pPr>
              <w:spacing w:after="0"/>
              <w:rPr>
                <w:sz w:val="1"/>
                <w:szCs w:val="1"/>
                <w:color w:val="auto"/>
              </w:rPr>
            </w:pPr>
          </w:p>
        </w:tc>
      </w:tr>
      <w:tr>
        <w:trPr>
          <w:trHeight w:val="141"/>
        </w:trPr>
        <w:tc>
          <w:tcPr>
            <w:tcW w:w="1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Race/Ethnicity</w:t>
            </w:r>
          </w:p>
        </w:tc>
        <w:tc>
          <w:tcPr>
            <w:tcW w:w="7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00" w:type="dxa"/>
            <w:vAlign w:val="bottom"/>
          </w:tcPr>
          <w:p>
            <w:pPr>
              <w:ind w:left="140"/>
              <w:spacing w:after="0"/>
              <w:rPr>
                <w:sz w:val="20"/>
                <w:szCs w:val="20"/>
                <w:color w:val="auto"/>
              </w:rPr>
            </w:pPr>
            <w:r>
              <w:rPr>
                <w:rFonts w:ascii="Arial" w:cs="Arial" w:eastAsia="Arial" w:hAnsi="Arial"/>
                <w:sz w:val="16"/>
                <w:szCs w:val="16"/>
                <w:color w:val="auto"/>
              </w:rPr>
              <w:t>African American</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Asian/Pacific</w:t>
            </w: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Islander</w:t>
            </w:r>
          </w:p>
        </w:tc>
        <w:tc>
          <w:tcPr>
            <w:tcW w:w="7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00" w:type="dxa"/>
            <w:vAlign w:val="bottom"/>
            <w:vMerge w:val="continue"/>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140"/>
              <w:spacing w:after="0"/>
              <w:rPr>
                <w:sz w:val="20"/>
                <w:szCs w:val="20"/>
                <w:color w:val="auto"/>
              </w:rPr>
            </w:pPr>
            <w:r>
              <w:rPr>
                <w:rFonts w:ascii="Arial" w:cs="Arial" w:eastAsia="Arial" w:hAnsi="Arial"/>
                <w:sz w:val="16"/>
                <w:szCs w:val="16"/>
                <w:color w:val="auto"/>
              </w:rPr>
              <w:t>White/Caucasian</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Hispanic/Latino</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Native American</w:t>
            </w: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Gender</w:t>
            </w:r>
          </w:p>
        </w:tc>
        <w:tc>
          <w:tcPr>
            <w:tcW w:w="7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500" w:type="dxa"/>
            <w:vAlign w:val="bottom"/>
          </w:tcPr>
          <w:p>
            <w:pPr>
              <w:ind w:left="140"/>
              <w:spacing w:after="0"/>
              <w:rPr>
                <w:sz w:val="20"/>
                <w:szCs w:val="20"/>
                <w:color w:val="auto"/>
              </w:rPr>
            </w:pPr>
            <w:r>
              <w:rPr>
                <w:rFonts w:ascii="Arial" w:cs="Arial" w:eastAsia="Arial" w:hAnsi="Arial"/>
                <w:sz w:val="16"/>
                <w:szCs w:val="16"/>
                <w:color w:val="auto"/>
              </w:rPr>
              <w:t>Female</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9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Male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having combined the positions of Chief Executive Officer and Chairman has helped to ensure that the Board and management act with a common purpose. However, with the transition of Mr. Dunn to Executive Chairman and assumption of the Chief Executive Officer role by Ms. Francis, we believe that the separation of these two roles will be most beneficial in furthering SI-BONE’s ability to develop and implement strategy. In particular, in making this determination, Mr. Dunn will continue to have the intimate knowledge of our operations, both historically and currently, which will enable him to continue to act as a bridge between management and the Board. Further, Mr. Dunn continuing as Executive Chairman will alleviate the need for Ms. Francis to take on the responsibilities of Chairman, enabling her to focus on her responsibilities in her new role as our Chief Executive Officer.</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time that Mr. Dunn served as both our Chief Executive Officer and Chairman we had a Lead Independent Director, Mr. Davis, who served as our Lead Independent Director from June 2019 until Mr. Dunn ceased to be our Chief Executive Officer. As a result of separating the roles of Chief Executive Officer and Chairman, we no longer believe it is necessary to have, and no longer have, a Lead Independent Director. We believe as well that Mr. Dunn can effectively oversee and drive the activities of the Board, including:</w:t>
      </w:r>
    </w:p>
    <w:p>
      <w:pPr>
        <w:spacing w:after="0" w:line="21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coordinate with the committee chairs regarding meeting agendas and informational requirements;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 such other duties as may be necessary from time to time to ensure the effective functioning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is responsible for monitoring and assessing strategic risk exposure. Our executive officers are responsible for the day-to-day management of the material risks we face. Our Board administers its oversight function directly as a whole, as well as through various standing committees of our Board that address risks inherent in their respective areas of oversight. For example, our Audit Committee is responsible for overseeing the management of risks associated with our financial reporting, accounting and auditing matters and cybersecurity;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director succession planning, and oversight of healthcare, regulatory, and fraud and abuse compliance.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Our Board of Directors met ten times during 2020. Each Board member attended 75% or more of the aggregate number of meetings of the Board and of the committees on which he or she served, held during the portion of the last fiscal year for which he or she was a director or committee member.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The following table provides membership and meeting information for fiscal 2020 for each of the Board committees (Mr. Dunn did not serve on any committees in 2020, and neither Mr. Dunn nor Ms. Francis has served on any committee to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428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Name</w:t>
            </w:r>
          </w:p>
        </w:tc>
        <w:tc>
          <w:tcPr>
            <w:tcW w:w="180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Audit</w:t>
            </w:r>
          </w:p>
        </w:tc>
        <w:tc>
          <w:tcPr>
            <w:tcW w:w="20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Compensation</w:t>
            </w: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Corporate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280" w:type="dxa"/>
            <w:vAlign w:val="bottom"/>
            <w:gridSpan w:val="3"/>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Governance</w:t>
            </w: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Timothy E. Davis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X*</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Mark J. Foley</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X</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John G. Freund, M.D.</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Jeryl L. Hilleman</w:t>
            </w:r>
          </w:p>
        </w:tc>
        <w:tc>
          <w:tcPr>
            <w:tcW w:w="1800" w:type="dxa"/>
            <w:vAlign w:val="bottom"/>
            <w:gridSpan w:val="2"/>
          </w:tcPr>
          <w:p>
            <w:pPr>
              <w:ind w:left="640"/>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Gregory K. Hinckley</w:t>
            </w:r>
          </w:p>
        </w:tc>
        <w:tc>
          <w:tcPr>
            <w:tcW w:w="1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X</w:t>
            </w: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Karen A. Licitra</w:t>
            </w: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gridSpan w:val="2"/>
          </w:tcPr>
          <w:p>
            <w:pPr>
              <w:ind w:left="800"/>
              <w:spacing w:after="0"/>
              <w:rPr>
                <w:sz w:val="20"/>
                <w:szCs w:val="20"/>
                <w:color w:val="auto"/>
              </w:rPr>
            </w:pPr>
            <w:r>
              <w:rPr>
                <w:rFonts w:ascii="Arial" w:cs="Arial" w:eastAsia="Arial" w:hAnsi="Arial"/>
                <w:sz w:val="18"/>
                <w:szCs w:val="18"/>
                <w:color w:val="auto"/>
              </w:rPr>
              <w:t>X</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Keith C. Valentine</w:t>
            </w: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4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meetings in fiscal 2020</w:t>
            </w:r>
          </w:p>
        </w:tc>
        <w:tc>
          <w:tcPr>
            <w:tcW w:w="1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17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75"/>
        </w:trPr>
        <w:tc>
          <w:tcPr>
            <w:tcW w:w="1880" w:type="dxa"/>
            <w:vAlign w:val="bottom"/>
            <w:tcBorders>
              <w:bottom w:val="single" w:sz="8" w:color="auto"/>
            </w:tcBorders>
            <w:gridSpan w:val="2"/>
          </w:tcPr>
          <w:p>
            <w:pPr>
              <w:spacing w:after="0"/>
              <w:rPr>
                <w:sz w:val="15"/>
                <w:szCs w:val="15"/>
                <w:color w:val="auto"/>
              </w:rPr>
            </w:pPr>
          </w:p>
        </w:tc>
        <w:tc>
          <w:tcPr>
            <w:tcW w:w="310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4980" w:type="dxa"/>
            <w:vAlign w:val="bottom"/>
            <w:gridSpan w:val="4"/>
          </w:tcPr>
          <w:p>
            <w:pPr>
              <w:spacing w:after="0"/>
              <w:rPr>
                <w:sz w:val="20"/>
                <w:szCs w:val="20"/>
                <w:color w:val="auto"/>
              </w:rPr>
            </w:pPr>
            <w:r>
              <w:rPr>
                <w:rFonts w:ascii="Arial" w:cs="Arial" w:eastAsia="Arial" w:hAnsi="Arial"/>
                <w:sz w:val="18"/>
                <w:szCs w:val="18"/>
                <w:color w:val="auto"/>
              </w:rPr>
              <w:t>*  Committee Chairperson</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Nishimura joined our Board in March 2021 and will join the Compensation Committee in June 2021. Each of Ms. Francis and Ms. Loh joined our Board in April 2021 and Ms. Loh will join the Nominating and Corporate Governance Committee in June 2021. Also effective immediately following our annual meeting, Dr. Freund will cease to serve on the Nominating and Corporate Governance Committee and will join the Compensation Committee, and Ms. Hilleman will join the Nominating and Corporate Governance Committee.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Board has adopted a written charter for each of the Audit Committee, the Compensation Committee, and the Nominating and Corporate Governance Committee. Each of these charters are available to stockholders on SI-BONE’s website at </w:t>
      </w:r>
      <w:r>
        <w:rPr>
          <w:rFonts w:ascii="Arial" w:cs="Arial" w:eastAsia="Arial" w:hAnsi="Arial"/>
          <w:sz w:val="18"/>
          <w:szCs w:val="18"/>
          <w:u w:val="single" w:color="auto"/>
          <w:color w:val="3051F2"/>
        </w:rPr>
        <w:t>www.si-bone.com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is a description of each committee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consists of Mr. Davis, Mr. Hinckley, and Ms. Hilleman, each of whom satisfies the independence requirements under the Nasdaq Global Market listing standards and Rule 10A-3(b)(1) of the Exchange Act. The chairperson of our Audit Committee is Ms. Hilleman. Our Board has determined that each of Mr. Davis, Mr. Hinckley, and Ms. Hilleman are “audit committee financial experts” within the meaning of SEC regulations. Our Board has also determined that each member of our Audit Committee has the requisite financial expertise required under the applicable requirements of the Nasdaq Global Market. In arriving at this determination, the Board has examined each audit committee member’s scope of experience and the nature of their employment in the corporate finance sector.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with respect to our accounting, financial, and other reporting and internal control practices and to oversee our independent registered public accounting firm. Specific responsibilities of our Audit Committee include, but are not limited to:</w:t>
      </w:r>
    </w:p>
    <w:p>
      <w:pPr>
        <w:spacing w:after="0" w:line="224" w:lineRule="exact"/>
        <w:rPr>
          <w:sz w:val="20"/>
          <w:szCs w:val="20"/>
          <w:color w:val="auto"/>
        </w:rPr>
      </w:pPr>
    </w:p>
    <w:p>
      <w:pPr>
        <w:ind w:left="660" w:right="2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 evaluating the qualifications, independence and performance of the independent registered public accounting firm;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determining the scope of the annual audit and the audit fee;</w:t>
      </w:r>
    </w:p>
    <w:p>
      <w:pPr>
        <w:spacing w:after="0" w:line="22"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our financial statements and our management’s discussion and analysis of financial condition and results of operations to be included in our annual and quarterly reports to be filed with the SEC;</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developing and overseeing procedures for employees to submit concerns anonymously about questionable accounting or audit matters;</w:t>
      </w:r>
    </w:p>
    <w:p>
      <w:pPr>
        <w:spacing w:after="0" w:line="34" w:lineRule="exact"/>
        <w:rPr>
          <w:rFonts w:ascii="Arial" w:cs="Arial" w:eastAsia="Arial" w:hAnsi="Arial"/>
          <w:sz w:val="17"/>
          <w:szCs w:val="17"/>
          <w:color w:val="auto"/>
        </w:rPr>
      </w:pPr>
    </w:p>
    <w:p>
      <w:pPr>
        <w:ind w:lef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related party transactions; reviewing and discussing the adequacy and effectiveness of our accounting and financial reporting processes and internal controls and the annual audits of our financial statements;</w:t>
      </w:r>
    </w:p>
    <w:p>
      <w:pPr>
        <w:ind w:left="660" w:hanging="328"/>
        <w:spacing w:after="0" w:line="26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at least annually, the Audit Committee charter and the committee’s performance.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Board reviews the Nasdaq listing standards definition of independence for Audit Committee members on an annual basis and has determined that all members of SI-BONE’s Audit Committee are independent (as independence is currently defined in Rule 5605(c)(2)(A)(i) and (ii) of the Nasdaq listing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Audit Committee has reviewed and discussed the audited financial statements for the fiscal year ended December 31, 2020 with management of SI-BONE. The Audit Committee has discussed with the independent registered public accounting firm the matters required to be discussed by the applicable requirements of the Public Company Accounting Oversight Board (“PCAOB”) and the Securities and Exchange Commission.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financial statements be included in SI-BONE’s Annual Report on Form 10-K for the fiscal year ended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Jeryl L. Hilleman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K. Hinckley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Commission and is not to be incorporated by reference in any filing of SI-BONE under the Securities Act or the Exchange Act, whether made before or after the date hereof and irrespective of any general incorporation language in any such filing.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4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Our Compensation Committee consists of Mr. Davis, Mr. Foley and Ms. Licitra, each of whom our Board has determined to be independent under the Nasdaq Global Market listing standards, and a “non-employee director” as defined in Rule 16b-3 promulgated under the Exchange Act. The chairperson of our Compensation Committee is Mr. Davis. Dr. Freund and Ms. Nishimura will join the Compensation Committee in June 2021.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922" w:right="3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and approving, or recommending that our Board approve, the terms of compensatory arrangements with our executive officers;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administering our employee stock purchase and equity incentive plans;</w:t>
      </w:r>
    </w:p>
    <w:p>
      <w:pPr>
        <w:spacing w:after="0" w:line="130"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61" w:lineRule="exact"/>
        <w:rPr>
          <w:rFonts w:ascii="Arial" w:cs="Arial" w:eastAsia="Arial" w:hAnsi="Arial"/>
          <w:sz w:val="18"/>
          <w:szCs w:val="18"/>
          <w:color w:val="auto"/>
        </w:rPr>
      </w:pPr>
    </w:p>
    <w:p>
      <w:pPr>
        <w:ind w:left="660" w:hanging="328"/>
        <w:spacing w:after="0" w:line="359"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incentive compensation and equity plans, severance agreements, change-of-control protections, and any other compensatory arrangements for our executive officers and other senior management, as appropriate;</w:t>
      </w:r>
    </w:p>
    <w:p>
      <w:pPr>
        <w:spacing w:after="0" w:line="16"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23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Typically, our Compensation Committee meets at least four times annually and with greater frequency if necessary. The agenda for each meeting is usually developed by the chair of the Compensation Committee, in consultation with the Chief Legal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or her compensation or individual performance objectives. The charter of the Compensation Committee grants the Compensation Committee full access to all books, records, facilities and personnel of SI-BONE. In addition, under the charter, the Compensation Committee has the authority to obtain, at the expense of SI-BONE,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past fiscal year, after taking into consideration the six factors prescribed by the SEC and Nasdaq described above, the Compensation Committee engaged Compensia, Inc., a national compensation consulting firm with compensation expertise relating to technology and life science companies, as compensation consultants. The Compensation Committee requested that Compensia:</w:t>
      </w:r>
    </w:p>
    <w:p>
      <w:pPr>
        <w:spacing w:after="0" w:line="183" w:lineRule="exact"/>
        <w:rPr>
          <w:sz w:val="20"/>
          <w:szCs w:val="20"/>
          <w:color w:val="auto"/>
        </w:rPr>
      </w:pPr>
    </w:p>
    <w:p>
      <w:pPr>
        <w:ind w:left="660" w:hanging="328"/>
        <w:spacing w:after="0" w:line="29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efficacy of SI-BONE’s existing compensation strategy and practices in supporting and reinforcing SI-BONE’s long-term strategic goals; and</w:t>
      </w:r>
    </w:p>
    <w:p>
      <w:pPr>
        <w:spacing w:after="0" w:line="61" w:lineRule="exact"/>
        <w:rPr>
          <w:rFonts w:ascii="Arial" w:cs="Arial" w:eastAsia="Arial" w:hAnsi="Arial"/>
          <w:sz w:val="18"/>
          <w:szCs w:val="18"/>
          <w:color w:val="auto"/>
        </w:rPr>
      </w:pPr>
    </w:p>
    <w:p>
      <w:pPr>
        <w:ind w:left="660" w:hanging="328"/>
        <w:spacing w:after="0" w:line="29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 in refining SI-BONE’s compensation strategy and in developing and implementing an executive compensation program to execute that strategy.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935" w:right="339" w:bottom="1440" w:gutter="0" w:footer="0" w:header="0"/>
        </w:sectPr>
      </w:pPr>
    </w:p>
    <w:bookmarkStart w:id="19" w:name="page20"/>
    <w:bookmarkEnd w:id="19"/>
    <w:p>
      <w:pPr>
        <w:jc w:val="both"/>
        <w:spacing w:after="0" w:line="314" w:lineRule="auto"/>
        <w:rPr>
          <w:sz w:val="20"/>
          <w:szCs w:val="20"/>
          <w:color w:val="auto"/>
        </w:rPr>
      </w:pPr>
      <w:r>
        <w:rPr>
          <w:rFonts w:ascii="Arial" w:cs="Arial" w:eastAsia="Arial" w:hAnsi="Arial"/>
          <w:sz w:val="16"/>
          <w:szCs w:val="16"/>
          <w:color w:val="auto"/>
        </w:rPr>
        <w:t>As part of its engagement, the Compensation Committee requested Compensia to develop a comparative group of companies and to perform analyses of competitive performance and compensation levels for that group. Compensia also conducted individual interviews with members of the Compensation Committee and senior management to learn more about SI-BONE’s business operations and strategy, key performance metrics and strategic goals, as well as the labor markets in which SI-BONE competes. Compensia ultimately developed recommendations that were presented to the Compensation Committee for its consideration. Following an active dialogue with Compensia, the Compensation Committee approved the recommendations of Compensia.</w:t>
      </w:r>
    </w:p>
    <w:p>
      <w:pPr>
        <w:spacing w:after="0" w:line="16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Historically, the Compensation Committee has made most of the significant adjustments to annual compensation, determined bonus and equity awards and established new performance objectives at one or more meetings held during the fourth quarter of the preceding year and the first quarter of the year. However, the Compensation Committee also considers matters related to individual compensation, such as compensation for new executive hires, as well as high-level strategic issues, such as the efficacy of SI-BONE’s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Board conducts the evaluation of his or her performance, which determines any adjustments to his or her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Nominating and Corporate Governance Committee consists of Dr. Freund and Mr. Valentine. Following our 2021 annual stockholder meeting, Dr. Freund will cease to serve on our Nominating and Corporate Governance Committee, and Ms. Hilleman and Ms. Loh will join the committee. Our Board of Directors has determined Dr. Freund, Ms. Hilleman, Ms. Loh and Mr. Valentine each to be independent under the Nasdaq Global Market listing standards. The chairperson of our Nominating and Corporate Governance Committee is Mr. Valentine.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SI-BONE, demonstrated excellence in his or her field, having the ability to exercise sound business judgment and having the commitment to rigorously represent the long-term interests of SI-BONE’s stockholders. However, the Nominating and Corporate Governance Committee retains the right to modify these qualifications from time to time. Potential director nominees are reviewed in the context of the current composition of the Board, the operating requirements of SI-BONE and the long-term interests of its stockholders. In conducting this assessment, the Nominating and Corporate Governance Committee considers diversity (including gender, racial and ethnic diversity), age, skills and such other factors as it deems appropriate, given the current needs of the Board and SI-BONE, to maintain a balance of knowledge, experience and capability.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935"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Committee reviews these directors’ overall service to SI-BONE during their terms, including the number of meetings attended, level of participation, quality of performance and any other relationships and transactions that might impair the directors’ independence. In the case of potential director nominees, the Nominating and Corporate Governance Committee also determines whether the candidate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nominees,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attention of the Nominating and Corporate Governance Committee and care of the Chief Legal Officer at the following address: 471 El Camino Real, Suite 101, Santa Clara, CA 95050 no earlier than 120 days prior to the anniversary date of the mailing of SI-BONE’s proxy statement for the last Annual Meeting of Stockholders and no later than the 90th day prior to the upcoming annual meeting.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SI-BONE’s stock and has been a holder for at least one year. Any such submission must be accompanied by the written consent of the proposed nominee to be named as a nominee and to serve as a director if elected.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Historically, we have not provided a formal process related to stockholder communications with our Board of Directors.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our directors has been excellent. Stockholders may communicate with the Board or any of our directors. Stockholders who wish to communicate with the Board may do so by sending written communications addressed as follows: SI-BONE, Inc. Board Communication, 471 El Camino Real, Suite 101, Santa Clara, CA 95050. Any communication sent must state the number of shares owned by the stockholder making the communication. The communications will be reviewed by the Chairman of the Board. The Chairman of the Board will forward such communication to the Board or to any individual director to whom the communication is addressed unless the communication is unduly frivolous, hostile, threatening or similarly inappropriate, in which case, the Chairman of the Board shall discard the communication.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adopted the SI-BONE, Inc. Code of Business Conduct and Ethics that applies to all officers, directors and employees. The Code of Business Conduct and Ethics is available on SI-BONE’s website at www.si-bone.com. If SI-BONE makes any substantive amendments to the Code of Business Conduct and Ethics or grants any waiver from a provision of the Code to any executive officer or director, SI-BONE will promptly disclose the nature of the amendment or waiver on its website.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whistleblower hotline and website where people can report violations of the Code of Business Conduct and Ethics anonymously or by name; to date we have never had a complaint (other than test calls) come into the hotline.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July 2018, the Board of Directors adopted, and in January 2021 revised, our Corporate Governance Guidelines to assure that the Board has the necessary authority and policies in place to review and evaluate SI-BONE’s business operations as needed and to make decisions that are independent of SI-BONE’s management. The guidelines are also intended to align the interests of directors and management with those of SI-BONE’s stockholders. The Corporate Governance Guidelines set forth the practices the Board intends to follow with respect to board composition and selection, board meetings and involvement of senior management, Chief Executive</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Officer performance evaluation and succession planning, board committees and compensation, board and committee self-assessments, and our prohibition on engaging in hedging, pledging or other inherently speculative transactions in our common stock. The Corporate Governance Guidelines, as well as the charters for each committee of the Board, may be viewed at www.si-bone.com.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December 2020, the Board of Directors adopted stock ownership guidelines applicable to each of our directors and executive officers. Pursuant to these guidelines, our Chief Executive Officer is expected to own shares of our common stock with a value of at least three times his or her annual base pay, each of our executive officers other than our Chief Executive Officer is expected to own shares of our common stock with a value of at least his or her annual base salary, and each of our directors is expected to own shares of our common stock with a value of at least three times our annual retainer for independent directors for service on the Board of Directors. The guidelines provide that the applicable person has five years from the later of the adoption of this policy and the time the person becomes subject to this policy to achieve their applicable stock ownership. Shares held by an individual include shares subject to restricted stock units less the number of shares that would need to be sold to cover minimum withholding taxes, and shares subject to vested stock options less the number of shares that would need to be sold to pay the exercise price of the stock options and to cover minimum withholding taxes.</w:t>
      </w:r>
    </w:p>
    <w:p>
      <w:pPr>
        <w:sectPr>
          <w:pgSz w:w="11900" w:h="16838" w:orient="portrait"/>
          <w:cols w:equalWidth="0" w:num="1">
            <w:col w:w="11240"/>
          </w:cols>
          <w:pgMar w:left="320" w:top="935" w:right="3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92" w:right="1440"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PROPOSAL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4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Audit Committee of the Board of Directors has selected PricewaterhouseCoopers LLP as SI-BONE’s independent registered public accounting firm for the fiscal year ending December 31, 2021, and has further directed that management submit the selection of its independent registered public accounting firm for ratification by the stockholders at the annual meeting. PricewaterhouseCoopers LLP has audited SI-BONE’s financial statements since our inception in 2008. Representatives of PricewaterhouseCoopers LLP are expected to be present at the Annual Meeting. They will have an opportunity to make a statement if they so desire and will be available to respond to appropriate questions.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Neither our Bylaws or other governing documents nor law require stockholder ratification of the selection of PricewaterhouseCoopers LLP as SI-BONE’s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SI-BONE and its stockholders.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on the matter at the annual meeting will be required to ratify the selection of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4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represents aggregate fees billed to SI-BONE for the fiscal years ended December 31, 2020 and 2019 by PricewaterhouseCoopers LLP, our independent registered public accounting firm.</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Fiscal Year Ended</w:t>
            </w:r>
          </w:p>
        </w:tc>
        <w:tc>
          <w:tcPr>
            <w:tcW w:w="500" w:type="dxa"/>
            <w:vAlign w:val="bottom"/>
            <w:tcBorders>
              <w:bottom w:val="single" w:sz="8" w:color="auto"/>
            </w:tcBorders>
          </w:tcPr>
          <w:p>
            <w:pPr>
              <w:spacing w:after="0"/>
              <w:rPr>
                <w:sz w:val="20"/>
                <w:szCs w:val="20"/>
                <w:color w:val="auto"/>
              </w:rPr>
            </w:pPr>
          </w:p>
        </w:tc>
      </w:tr>
      <w:tr>
        <w:trPr>
          <w:trHeight w:val="223"/>
        </w:trPr>
        <w:tc>
          <w:tcPr>
            <w:tcW w:w="6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r>
      <w:tr>
        <w:trPr>
          <w:trHeight w:val="223"/>
        </w:trPr>
        <w:tc>
          <w:tcPr>
            <w:tcW w:w="6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93"/>
              </w:rPr>
              <w:t>(in thousands)</w:t>
            </w:r>
          </w:p>
        </w:tc>
        <w:tc>
          <w:tcPr>
            <w:tcW w:w="500" w:type="dxa"/>
            <w:vAlign w:val="bottom"/>
          </w:tcPr>
          <w:p>
            <w:pPr>
              <w:spacing w:after="0"/>
              <w:rPr>
                <w:sz w:val="19"/>
                <w:szCs w:val="19"/>
                <w:color w:val="auto"/>
              </w:rPr>
            </w:pP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Audit Fees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1,039</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785</w:t>
            </w: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Audit-related Fees</w:t>
            </w:r>
          </w:p>
        </w:tc>
        <w:tc>
          <w:tcPr>
            <w:tcW w:w="96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Fees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29"/>
        </w:trPr>
        <w:tc>
          <w:tcPr>
            <w:tcW w:w="6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 Fees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Fees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1,151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consist of fees incurred for professional services rendered for the audit of our annual consolidated financial statements,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consolidated financial statements, and other services normally provided by PricewaterhouseCoopers LLP in connection with regulatory filings.</w:t>
      </w:r>
    </w:p>
    <w:p>
      <w:pPr>
        <w:spacing w:after="0" w:line="210"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for professional services for tax compliance, tax advice and tax planning.</w:t>
      </w:r>
    </w:p>
    <w:p>
      <w:pPr>
        <w:spacing w:after="0" w:line="252" w:lineRule="exact"/>
        <w:rPr>
          <w:rFonts w:ascii="Arial" w:cs="Arial" w:eastAsia="Arial" w:hAnsi="Arial"/>
          <w:sz w:val="18"/>
          <w:szCs w:val="18"/>
          <w:i w:val="1"/>
          <w:iCs w:val="1"/>
          <w:color w:val="auto"/>
        </w:rPr>
      </w:pPr>
    </w:p>
    <w:p>
      <w:pPr>
        <w:ind w:left="660" w:hanging="328"/>
        <w:spacing w:after="0"/>
        <w:tabs>
          <w:tab w:leader="none" w:pos="66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consist of fees for professional services other than the services reported above, including permissible consulting services.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99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Committee has adopted a policy and procedures for the pre-approval of audit and non-audit services rendered by SI-BONE’s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has determined that the rendering of services other than audit services by PricewaterhouseCoopers LLP is compatible with maintaining the principal accountant’s independence.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IN FAVOR OF PROPOSAL NO. 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999" w:right="33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38"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following table sets forth certain information regarding the ownership of SI-BONE’s common stock as of March 31, 2021, by: (i) each director and nominee for director; (ii) each of the executive officers named in the Summary Compensation Table; (iii) all executive officers and directors of SI-BONE as a group; and (iv) all those known by SI-BONE to be beneficial owners of more than five percent of its common stock.</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This table is based upon information supplied by officers, directors and principal stockholders and Schedules 13G filed with the SEC. Unless otherwise indicated in the footnotes to this table and subject to community property laws where applicable, SI-BONE believes that each of the stockholders named in this table has sole voting and investment power with respect to the shares indicated as beneficially owned. Applicable percentages are based on 32,808,534 shares outstanding on March 31, 2021, adjusted as required by rules promulgated by the SEC.</w:t>
      </w:r>
    </w:p>
    <w:p>
      <w:pPr>
        <w:spacing w:after="0" w:line="319" w:lineRule="exact"/>
        <w:rPr>
          <w:sz w:val="20"/>
          <w:szCs w:val="20"/>
          <w:color w:val="auto"/>
        </w:rPr>
      </w:pPr>
    </w:p>
    <w:tbl>
      <w:tblPr>
        <w:tblLayout w:type="fixed"/>
        <w:tblInd w:w="880" w:type="dxa"/>
        <w:tblCellMar>
          <w:top w:w="0" w:type="dxa"/>
          <w:left w:w="0" w:type="dxa"/>
          <w:bottom w:w="0" w:type="dxa"/>
          <w:right w:w="0" w:type="dxa"/>
        </w:tblCellMar>
      </w:tblPr>
      <w:tr>
        <w:trPr>
          <w:trHeight w:val="213"/>
        </w:trPr>
        <w:tc>
          <w:tcPr>
            <w:tcW w:w="39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6"/>
                <w:szCs w:val="16"/>
                <w:b w:val="1"/>
                <w:bCs w:val="1"/>
                <w:color w:val="auto"/>
              </w:rPr>
              <w:t>Total Beneficial Ownership</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4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93"/>
              </w:rPr>
              <w:t>Right to Acquire</w:t>
            </w:r>
          </w:p>
        </w:tc>
        <w:tc>
          <w:tcPr>
            <w:tcW w:w="14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Number of</w:t>
            </w:r>
          </w:p>
        </w:tc>
        <w:tc>
          <w:tcPr>
            <w:tcW w:w="120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390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Name of Beneficial Owner</w:t>
            </w:r>
          </w:p>
        </w:tc>
        <w:tc>
          <w:tcPr>
            <w:tcW w:w="144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Shares Owned</w:t>
            </w:r>
          </w:p>
        </w:tc>
        <w:tc>
          <w:tcPr>
            <w:tcW w:w="154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1"/>
              </w:rPr>
              <w:t>Shares Within 60</w:t>
            </w:r>
          </w:p>
        </w:tc>
        <w:tc>
          <w:tcPr>
            <w:tcW w:w="14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540" w:type="dxa"/>
            <w:vAlign w:val="bottom"/>
          </w:tcPr>
          <w:p>
            <w:pPr>
              <w:jc w:val="center"/>
              <w:ind w:right="53"/>
              <w:spacing w:after="0"/>
              <w:rPr>
                <w:sz w:val="20"/>
                <w:szCs w:val="20"/>
                <w:color w:val="auto"/>
              </w:rPr>
            </w:pPr>
            <w:r>
              <w:rPr>
                <w:rFonts w:ascii="Arial" w:cs="Arial" w:eastAsia="Arial" w:hAnsi="Arial"/>
                <w:sz w:val="16"/>
                <w:szCs w:val="16"/>
                <w:b w:val="1"/>
                <w:bCs w:val="1"/>
                <w:color w:val="auto"/>
                <w:w w:val="87"/>
              </w:rPr>
              <w:t>days</w:t>
            </w:r>
          </w:p>
        </w:tc>
        <w:tc>
          <w:tcPr>
            <w:tcW w:w="1420" w:type="dxa"/>
            <w:vAlign w:val="bottom"/>
          </w:tcPr>
          <w:p>
            <w:pPr>
              <w:jc w:val="right"/>
              <w:ind w:right="511"/>
              <w:spacing w:after="0"/>
              <w:rPr>
                <w:sz w:val="20"/>
                <w:szCs w:val="20"/>
                <w:color w:val="auto"/>
              </w:rPr>
            </w:pPr>
            <w:r>
              <w:rPr>
                <w:rFonts w:ascii="Arial" w:cs="Arial" w:eastAsia="Arial" w:hAnsi="Arial"/>
                <w:sz w:val="16"/>
                <w:szCs w:val="16"/>
                <w:b w:val="1"/>
                <w:bCs w:val="1"/>
                <w:color w:val="auto"/>
              </w:rPr>
              <w:t>Shares</w:t>
            </w:r>
          </w:p>
        </w:tc>
        <w:tc>
          <w:tcPr>
            <w:tcW w:w="120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0"/>
        </w:trPr>
        <w:tc>
          <w:tcPr>
            <w:tcW w:w="3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60"/>
              <w:spacing w:after="0"/>
              <w:rPr>
                <w:sz w:val="20"/>
                <w:szCs w:val="20"/>
                <w:color w:val="auto"/>
              </w:rPr>
            </w:pPr>
            <w:r>
              <w:rPr>
                <w:rFonts w:ascii="Arial" w:cs="Arial" w:eastAsia="Arial" w:hAnsi="Arial"/>
                <w:sz w:val="18"/>
                <w:szCs w:val="18"/>
                <w:b w:val="1"/>
                <w:bCs w:val="1"/>
                <w:color w:val="auto"/>
              </w:rPr>
              <w:t>Named Executive Officers and Directors:</w:t>
            </w:r>
          </w:p>
        </w:tc>
        <w:tc>
          <w:tcPr>
            <w:tcW w:w="1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xml:space="preserve">Timothy E. Davis, Jr. </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71,138</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77,564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60"/>
              <w:spacing w:after="0"/>
              <w:rPr>
                <w:sz w:val="20"/>
                <w:szCs w:val="20"/>
                <w:color w:val="auto"/>
              </w:rPr>
            </w:pPr>
            <w:r>
              <w:rPr>
                <w:rFonts w:ascii="Arial" w:cs="Arial" w:eastAsia="Arial" w:hAnsi="Arial"/>
                <w:sz w:val="18"/>
                <w:szCs w:val="18"/>
                <w:color w:val="auto"/>
              </w:rPr>
              <w:t>Jeffrey W. Dunn</w:t>
            </w:r>
            <w:r>
              <w:rPr>
                <w:rFonts w:ascii="Arial" w:cs="Arial" w:eastAsia="Arial" w:hAnsi="Arial"/>
                <w:sz w:val="10"/>
                <w:szCs w:val="10"/>
                <w:color w:val="auto"/>
              </w:rPr>
              <w:t>(2)</w:t>
            </w:r>
          </w:p>
        </w:tc>
        <w:tc>
          <w:tcPr>
            <w:tcW w:w="1440" w:type="dxa"/>
            <w:vAlign w:val="bottom"/>
          </w:tcPr>
          <w:p>
            <w:pPr>
              <w:jc w:val="right"/>
              <w:spacing w:after="0"/>
              <w:rPr>
                <w:sz w:val="20"/>
                <w:szCs w:val="20"/>
                <w:color w:val="auto"/>
              </w:rPr>
            </w:pPr>
            <w:r>
              <w:rPr>
                <w:rFonts w:ascii="Arial" w:cs="Arial" w:eastAsia="Arial" w:hAnsi="Arial"/>
                <w:sz w:val="18"/>
                <w:szCs w:val="18"/>
                <w:color w:val="auto"/>
              </w:rPr>
              <w:t>108,918</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722,577</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831,495</w:t>
            </w:r>
          </w:p>
        </w:tc>
        <w:tc>
          <w:tcPr>
            <w:tcW w:w="12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Mark J. Foley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16,762</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16,762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Arial" w:cs="Arial" w:eastAsia="Arial" w:hAnsi="Arial"/>
                <w:sz w:val="18"/>
                <w:szCs w:val="18"/>
                <w:color w:val="auto"/>
              </w:rPr>
              <w:t>John G. Freund, M.D.</w:t>
            </w:r>
            <w:r>
              <w:rPr>
                <w:rFonts w:ascii="Arial" w:cs="Arial" w:eastAsia="Arial" w:hAnsi="Arial"/>
                <w:sz w:val="10"/>
                <w:szCs w:val="10"/>
                <w:color w:val="auto"/>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625,476</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37,963</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663,439</w:t>
            </w:r>
          </w:p>
        </w:tc>
        <w:tc>
          <w:tcPr>
            <w:tcW w:w="12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Jeryl L. Hilleman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12,389</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0"/>
                <w:szCs w:val="10"/>
                <w:color w:val="auto"/>
              </w:rPr>
              <w:t>(4)</w:t>
            </w:r>
          </w:p>
        </w:tc>
        <w:tc>
          <w:tcPr>
            <w:tcW w:w="1440" w:type="dxa"/>
            <w:vAlign w:val="bottom"/>
          </w:tcPr>
          <w:p>
            <w:pPr>
              <w:jc w:val="right"/>
              <w:spacing w:after="0"/>
              <w:rPr>
                <w:sz w:val="20"/>
                <w:szCs w:val="20"/>
                <w:color w:val="auto"/>
              </w:rPr>
            </w:pPr>
            <w:r>
              <w:rPr>
                <w:rFonts w:ascii="Arial" w:cs="Arial" w:eastAsia="Arial" w:hAnsi="Arial"/>
                <w:sz w:val="18"/>
                <w:szCs w:val="18"/>
                <w:color w:val="auto"/>
              </w:rPr>
              <w:t>129,361</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24,996</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154,357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Karen A. Licitra</w:t>
            </w:r>
            <w:r>
              <w:rPr>
                <w:rFonts w:ascii="Arial" w:cs="Arial" w:eastAsia="Arial" w:hAnsi="Arial"/>
                <w:sz w:val="23"/>
                <w:szCs w:val="23"/>
                <w:color w:val="auto"/>
                <w:vertAlign w:val="superscript"/>
              </w:rPr>
              <w:t>(5)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59,371</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59,371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60"/>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0"/>
                <w:szCs w:val="10"/>
                <w:color w:val="auto"/>
              </w:rPr>
              <w:t>(6)</w:t>
            </w:r>
          </w:p>
        </w:tc>
        <w:tc>
          <w:tcPr>
            <w:tcW w:w="1440" w:type="dxa"/>
            <w:vAlign w:val="bottom"/>
          </w:tcPr>
          <w:p>
            <w:pPr>
              <w:jc w:val="right"/>
              <w:spacing w:after="0"/>
              <w:rPr>
                <w:sz w:val="20"/>
                <w:szCs w:val="20"/>
                <w:color w:val="auto"/>
              </w:rPr>
            </w:pPr>
            <w:r>
              <w:rPr>
                <w:rFonts w:ascii="Arial" w:cs="Arial" w:eastAsia="Arial" w:hAnsi="Arial"/>
                <w:sz w:val="18"/>
                <w:szCs w:val="18"/>
                <w:color w:val="auto"/>
              </w:rPr>
              <w:t>31,374</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37,963</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69,337</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Laura A. Francis</w:t>
            </w:r>
            <w:r>
              <w:rPr>
                <w:rFonts w:ascii="Arial" w:cs="Arial" w:eastAsia="Arial" w:hAnsi="Arial"/>
                <w:sz w:val="10"/>
                <w:szCs w:val="10"/>
                <w:color w:val="auto"/>
              </w:rPr>
              <w:t>(7)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62,185</w:t>
            </w:r>
          </w:p>
        </w:tc>
        <w:tc>
          <w:tcPr>
            <w:tcW w:w="15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146,419</w:t>
            </w: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208,604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60"/>
              <w:spacing w:after="0" w:line="230" w:lineRule="exact"/>
              <w:rPr>
                <w:sz w:val="20"/>
                <w:szCs w:val="20"/>
                <w:color w:val="auto"/>
              </w:rPr>
            </w:pPr>
            <w:r>
              <w:rPr>
                <w:rFonts w:ascii="Arial" w:cs="Arial" w:eastAsia="Arial" w:hAnsi="Arial"/>
                <w:sz w:val="18"/>
                <w:szCs w:val="18"/>
                <w:color w:val="auto"/>
              </w:rPr>
              <w:t>Anthony J. Recupero</w:t>
            </w:r>
            <w:r>
              <w:rPr>
                <w:rFonts w:ascii="Arial" w:cs="Arial" w:eastAsia="Arial" w:hAnsi="Arial"/>
                <w:sz w:val="23"/>
                <w:szCs w:val="23"/>
                <w:color w:val="auto"/>
                <w:vertAlign w:val="superscript"/>
              </w:rPr>
              <w:t>(8)</w:t>
            </w:r>
          </w:p>
        </w:tc>
        <w:tc>
          <w:tcPr>
            <w:tcW w:w="1440" w:type="dxa"/>
            <w:vAlign w:val="bottom"/>
          </w:tcPr>
          <w:p>
            <w:pPr>
              <w:jc w:val="right"/>
              <w:spacing w:after="0"/>
              <w:rPr>
                <w:sz w:val="20"/>
                <w:szCs w:val="20"/>
                <w:color w:val="auto"/>
              </w:rPr>
            </w:pPr>
            <w:r>
              <w:rPr>
                <w:rFonts w:ascii="Arial" w:cs="Arial" w:eastAsia="Arial" w:hAnsi="Arial"/>
                <w:sz w:val="18"/>
                <w:szCs w:val="18"/>
                <w:color w:val="auto"/>
              </w:rPr>
              <w:t>15,938</w:t>
            </w:r>
          </w:p>
        </w:tc>
        <w:tc>
          <w:tcPr>
            <w:tcW w:w="1540" w:type="dxa"/>
            <w:vAlign w:val="bottom"/>
          </w:tcPr>
          <w:p>
            <w:pPr>
              <w:jc w:val="right"/>
              <w:ind w:right="113"/>
              <w:spacing w:after="0"/>
              <w:rPr>
                <w:sz w:val="20"/>
                <w:szCs w:val="20"/>
                <w:color w:val="auto"/>
              </w:rPr>
            </w:pPr>
            <w:r>
              <w:rPr>
                <w:rFonts w:ascii="Arial" w:cs="Arial" w:eastAsia="Arial" w:hAnsi="Arial"/>
                <w:sz w:val="18"/>
                <w:szCs w:val="18"/>
                <w:color w:val="auto"/>
              </w:rPr>
              <w:t>185,730</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201,668</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6"/>
              </w:rPr>
              <w:t>All executive officers and directors as a group (11</w:t>
            </w:r>
          </w:p>
        </w:tc>
        <w:tc>
          <w:tcPr>
            <w:tcW w:w="1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997,378</w:t>
            </w:r>
          </w:p>
        </w:tc>
        <w:tc>
          <w:tcPr>
            <w:tcW w:w="1540" w:type="dxa"/>
            <w:vAlign w:val="bottom"/>
            <w:shd w:val="clear" w:color="auto" w:fill="CCEEFF"/>
          </w:tcPr>
          <w:p>
            <w:pPr>
              <w:jc w:val="right"/>
              <w:ind w:right="113"/>
              <w:spacing w:after="0" w:line="176" w:lineRule="exact"/>
              <w:rPr>
                <w:sz w:val="20"/>
                <w:szCs w:val="20"/>
                <w:color w:val="auto"/>
              </w:rPr>
            </w:pPr>
            <w:r>
              <w:rPr>
                <w:rFonts w:ascii="Arial" w:cs="Arial" w:eastAsia="Arial" w:hAnsi="Arial"/>
                <w:sz w:val="18"/>
                <w:szCs w:val="18"/>
                <w:color w:val="auto"/>
              </w:rPr>
              <w:t>1,385,618</w:t>
            </w:r>
          </w:p>
        </w:tc>
        <w:tc>
          <w:tcPr>
            <w:tcW w:w="1420" w:type="dxa"/>
            <w:vAlign w:val="bottom"/>
            <w:shd w:val="clear" w:color="auto" w:fill="CCEEFF"/>
          </w:tcPr>
          <w:p>
            <w:pPr>
              <w:jc w:val="right"/>
              <w:ind w:right="111"/>
              <w:spacing w:after="0" w:line="176" w:lineRule="exact"/>
              <w:rPr>
                <w:sz w:val="20"/>
                <w:szCs w:val="20"/>
                <w:color w:val="auto"/>
              </w:rPr>
            </w:pPr>
            <w:r>
              <w:rPr>
                <w:rFonts w:ascii="Arial" w:cs="Arial" w:eastAsia="Arial" w:hAnsi="Arial"/>
                <w:sz w:val="18"/>
                <w:szCs w:val="18"/>
                <w:color w:val="auto"/>
              </w:rPr>
              <w:t>2,382,996</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persons)</w:t>
            </w:r>
            <w:r>
              <w:rPr>
                <w:rFonts w:ascii="Arial" w:cs="Arial" w:eastAsia="Arial" w:hAnsi="Arial"/>
                <w:sz w:val="10"/>
                <w:szCs w:val="10"/>
                <w:color w:val="auto"/>
              </w:rPr>
              <w:t>(9)</w:t>
            </w:r>
          </w:p>
        </w:tc>
        <w:tc>
          <w:tcPr>
            <w:tcW w:w="1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5% Stockholders:</w:t>
            </w:r>
          </w:p>
        </w:tc>
        <w:tc>
          <w:tcPr>
            <w:tcW w:w="1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Blackrock, Inc.</w:t>
            </w:r>
            <w:r>
              <w:rPr>
                <w:rFonts w:ascii="Arial" w:cs="Arial" w:eastAsia="Arial" w:hAnsi="Arial"/>
                <w:sz w:val="10"/>
                <w:szCs w:val="10"/>
                <w:color w:val="auto"/>
              </w:rPr>
              <w:t>(10)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2,242,079</w:t>
            </w:r>
          </w:p>
        </w:tc>
        <w:tc>
          <w:tcPr>
            <w:tcW w:w="154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2,242,079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5944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239"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71,138 shares Mr. Davis has the right to acquire within 60 days of March 31, 2021 include 3,085 shares that would be unvested as of such date.</w:t>
      </w:r>
    </w:p>
    <w:p>
      <w:pPr>
        <w:spacing w:after="0" w:line="288" w:lineRule="exact"/>
        <w:rPr>
          <w:rFonts w:ascii="Arial" w:cs="Arial" w:eastAsia="Arial" w:hAnsi="Arial"/>
          <w:sz w:val="16"/>
          <w:szCs w:val="16"/>
          <w:color w:val="auto"/>
        </w:rPr>
      </w:pPr>
    </w:p>
    <w:p>
      <w:pPr>
        <w:jc w:val="both"/>
        <w:ind w:left="500" w:hanging="492"/>
        <w:spacing w:after="0" w:line="279" w:lineRule="auto"/>
        <w:tabs>
          <w:tab w:leader="none" w:pos="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shares consist of 108,918 shares of common stock held by Jeffrey W. Dunn as Trustee of the Jeffrey W. Dunn Living Trust Dated May 17, 2012. The 722,577 shares Mr. Dunn has the right to acquire within 60 days of March 31, 2021 include 10,520 shares that would be unvested as of such date.</w:t>
      </w:r>
    </w:p>
    <w:p>
      <w:pPr>
        <w:spacing w:after="0" w:line="209" w:lineRule="exact"/>
        <w:rPr>
          <w:rFonts w:ascii="Arial" w:cs="Arial" w:eastAsia="Arial" w:hAnsi="Arial"/>
          <w:sz w:val="18"/>
          <w:szCs w:val="18"/>
          <w:color w:val="auto"/>
        </w:rPr>
      </w:pPr>
    </w:p>
    <w:p>
      <w:pPr>
        <w:ind w:left="500" w:hanging="492"/>
        <w:spacing w:after="0" w:line="296"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outstanding shares include (i) 100,570 shares of common stock held by the John Freund Family Partnership IV, L.P. and (ii) 524,906 shares held by the Skyline Venture Partners V, L.P. Dr. Freund, a member of our Board, is Managing Director of Skyline Venture Partners V, L.P. and Managing Director of Skyline Venture Management V, LLC and has voting power over these shares. The 37,963 shares Dr. Freund has the right to acquire within 60 days of March 31, 2021 include 3,085 shares that would be unvested as of such date.</w:t>
      </w:r>
    </w:p>
    <w:p>
      <w:pPr>
        <w:spacing w:after="0" w:line="196" w:lineRule="exact"/>
        <w:rPr>
          <w:rFonts w:ascii="Arial" w:cs="Arial" w:eastAsia="Arial" w:hAnsi="Arial"/>
          <w:sz w:val="17"/>
          <w:szCs w:val="17"/>
          <w:color w:val="auto"/>
        </w:rPr>
      </w:pPr>
    </w:p>
    <w:p>
      <w:pPr>
        <w:ind w:left="500" w:hanging="492"/>
        <w:spacing w:after="0" w:line="279" w:lineRule="auto"/>
        <w:tabs>
          <w:tab w:leader="none" w:pos="4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outstanding shares consist of (i) 53,758 shares of common stock held by Mr. Hinckley and (ii) 75,603 shares of common stock held by Gregory K. Hinckley and Mary C. Hinckley as Community Property with the Right of Survivorship. The 24,996 shares Mr. Hinckley has the right to acquire within 60 days of March 31, 2021 include 3,085 shares that would be unvested as of such date.</w:t>
      </w:r>
    </w:p>
    <w:p>
      <w:pPr>
        <w:spacing w:after="0" w:line="209" w:lineRule="exact"/>
        <w:rPr>
          <w:rFonts w:ascii="Arial" w:cs="Arial" w:eastAsia="Arial" w:hAnsi="Arial"/>
          <w:sz w:val="18"/>
          <w:szCs w:val="18"/>
          <w:color w:val="auto"/>
        </w:rPr>
      </w:pPr>
    </w:p>
    <w:p>
      <w:pPr>
        <w:ind w:left="400" w:hanging="392"/>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59,371 shares Ms. Licitra has the right to acquire within 60 days of March 31, 2021 include 3,085 shares that would be unvested as of such date.</w:t>
      </w:r>
    </w:p>
    <w:p>
      <w:pPr>
        <w:spacing w:after="0" w:line="288" w:lineRule="exact"/>
        <w:rPr>
          <w:rFonts w:ascii="Arial" w:cs="Arial" w:eastAsia="Arial" w:hAnsi="Arial"/>
          <w:sz w:val="16"/>
          <w:szCs w:val="16"/>
          <w:color w:val="auto"/>
        </w:rPr>
      </w:pPr>
    </w:p>
    <w:p>
      <w:pPr>
        <w:ind w:left="500" w:hanging="492"/>
        <w:spacing w:after="0" w:line="293" w:lineRule="auto"/>
        <w:tabs>
          <w:tab w:leader="none" w:pos="4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37,963 shares Mr. Valentine has the right to acquire within 60 days of March 31, 2021 include 3,085 shares that would be unvested as of such date.</w:t>
      </w:r>
    </w:p>
    <w:p>
      <w:pPr>
        <w:spacing w:after="0" w:line="196" w:lineRule="exact"/>
        <w:rPr>
          <w:rFonts w:ascii="Arial" w:cs="Arial" w:eastAsia="Arial" w:hAnsi="Arial"/>
          <w:sz w:val="18"/>
          <w:szCs w:val="18"/>
          <w:color w:val="auto"/>
        </w:rPr>
      </w:pPr>
    </w:p>
    <w:p>
      <w:pPr>
        <w:ind w:left="500" w:hanging="492"/>
        <w:spacing w:after="0" w:line="293" w:lineRule="auto"/>
        <w:tabs>
          <w:tab w:leader="none" w:pos="4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146,419 shares Ms. Francis has the right to acquire within 60 days of March 31, 2021 include 3,220 shares that would be unvested as of such date.</w:t>
      </w:r>
    </w:p>
    <w:p>
      <w:pPr>
        <w:spacing w:after="0" w:line="196" w:lineRule="exact"/>
        <w:rPr>
          <w:rFonts w:ascii="Arial" w:cs="Arial" w:eastAsia="Arial" w:hAnsi="Arial"/>
          <w:sz w:val="18"/>
          <w:szCs w:val="18"/>
          <w:color w:val="auto"/>
        </w:rPr>
      </w:pPr>
    </w:p>
    <w:p>
      <w:pPr>
        <w:ind w:left="500" w:hanging="492"/>
        <w:spacing w:after="0" w:line="293"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185,730 shares Dr. Recupero has the right to acquire within 60 days of March 31, 2021 include 4,492 shares that would be unvested as of such date.</w:t>
      </w:r>
    </w:p>
    <w:p>
      <w:pPr>
        <w:spacing w:after="0" w:line="196" w:lineRule="exact"/>
        <w:rPr>
          <w:rFonts w:ascii="Arial" w:cs="Arial" w:eastAsia="Arial" w:hAnsi="Arial"/>
          <w:sz w:val="18"/>
          <w:szCs w:val="18"/>
          <w:color w:val="auto"/>
        </w:rPr>
      </w:pPr>
    </w:p>
    <w:p>
      <w:pPr>
        <w:jc w:val="right"/>
        <w:ind w:left="500" w:hanging="492"/>
        <w:spacing w:after="0" w:line="329" w:lineRule="auto"/>
        <w:tabs>
          <w:tab w:leader="none" w:pos="4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(i) 997,378 shares of outstanding common stock beneficially owned by our directors and Named Executive Officers as listed in the table and 17,700 shares of outstanding common stock beneficially owned by our other executive officer as of March 31, 2021 not listed in the table, and (ii) the right to acquire 1,385,618 shares of common stock within 60 days of March 31, 2021 by our directors and Named Executive Officers listed in</w:t>
      </w:r>
    </w:p>
    <w:p>
      <w:pPr>
        <w:sectPr>
          <w:pgSz w:w="11900" w:h="16838" w:orient="portrait"/>
          <w:cols w:equalWidth="0" w:num="1">
            <w:col w:w="11240"/>
          </w:cols>
          <w:pgMar w:left="320" w:top="999" w:right="339" w:bottom="0" w:gutter="0" w:footer="0" w:header="0"/>
        </w:sectPr>
      </w:pPr>
    </w:p>
    <w:bookmarkStart w:id="25" w:name="page26"/>
    <w:bookmarkEnd w:id="25"/>
    <w:p>
      <w:pPr>
        <w:ind w:left="500"/>
        <w:spacing w:after="0" w:line="293" w:lineRule="auto"/>
        <w:rPr>
          <w:sz w:val="20"/>
          <w:szCs w:val="20"/>
          <w:color w:val="auto"/>
        </w:rPr>
      </w:pPr>
      <w:r>
        <w:rPr>
          <w:rFonts w:ascii="Arial" w:cs="Arial" w:eastAsia="Arial" w:hAnsi="Arial"/>
          <w:sz w:val="18"/>
          <w:szCs w:val="18"/>
          <w:color w:val="auto"/>
        </w:rPr>
        <w:t>the table and by our other executive officer; the number of shares our other executive officer has the right to acquire is 88,010 shares of common stock, of which 36,201 shares would be unvested as of such date.</w:t>
      </w:r>
    </w:p>
    <w:p>
      <w:pPr>
        <w:spacing w:after="0" w:line="197" w:lineRule="exact"/>
        <w:rPr>
          <w:sz w:val="20"/>
          <w:szCs w:val="20"/>
          <w:color w:val="auto"/>
        </w:rPr>
      </w:pPr>
    </w:p>
    <w:p>
      <w:pPr>
        <w:jc w:val="both"/>
        <w:ind w:left="500" w:hanging="492"/>
        <w:spacing w:after="0" w:line="279" w:lineRule="auto"/>
        <w:tabs>
          <w:tab w:leader="none" w:pos="5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a Schedule 13G/A filed February 1, 2021, reporting beneficial ownership as of December 31, 2020. Blackrock, Inc. has sole voting power over 2,242,079 of these shares and sole dispositive power over all of these shares. The address for Blackrock, Inc. is 55 East 52nd Street, New York, New York 10055.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3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MANAGEMENT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executive officers as of April 20, 2021.</w:t>
      </w: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34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37"/>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Laura A. Francis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3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8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Anshul Maheshwari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8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Michael A. Pisetsky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SVP, Operations and Administration &amp; Chief Legal Officer</w:t>
            </w:r>
          </w:p>
        </w:tc>
      </w:tr>
      <w:tr>
        <w:trPr>
          <w:trHeight w:val="270"/>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Anthony J. Recupero</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President, Commercial Operations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Ms. Francis’s biography, see “Proposal No. 1 – Election of Directors” above.</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Anshul Maheshwari </w:t>
      </w:r>
      <w:r>
        <w:rPr>
          <w:rFonts w:ascii="Arial" w:cs="Arial" w:eastAsia="Arial" w:hAnsi="Arial"/>
          <w:sz w:val="18"/>
          <w:szCs w:val="18"/>
          <w:color w:val="auto"/>
        </w:rPr>
        <w:t>has served as our Chief Financial Officer since April 2021. Prior to joining us, Mr. Maheshwari was Vice President of Finance, 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Investor Relations and Treasurer at Varian Medical Systems, where he was responsible for and led finance transformation and built finance infrastructure to support growth for a leading, global cancer platform, from June 2018 to April 2021. In April 2013, Mr. Maheshwari joined Bechtel Corporation, the largest U.S.-headquartered engineering and construction company, initially as Manager of Investments and was promoted in June 2014 to Assistant Treasurer responsible for a centralized team managing banking and capital markets, investments, cash management and foreign exchange operations before departing Bechtel in June 2018. From December 2011 to March 2013, Mr. Maheshwari was Director of Corporate and Investment Banking for Bank of America Merrill Lynch. Mr. Maheshwari received his BCom from H.R. College of Commerce and his M.B.A. from Boston College, Carroll Graduate School of Management.</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Michael A. Pisetsky </w:t>
      </w:r>
      <w:r>
        <w:rPr>
          <w:rFonts w:ascii="Arial" w:cs="Arial" w:eastAsia="Arial" w:hAnsi="Arial"/>
          <w:sz w:val="16"/>
          <w:szCs w:val="16"/>
          <w:color w:val="auto"/>
        </w:rPr>
        <w:t>has served as our General Counsel and Chief Compliance Officer since August 2016, and as our Senior Vice President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Administration and Chief Legal Officer since April 2021. Mr. Pisetsky joined us in March 2015 as our Director of Legal. From August 2011 to March 2015, Mr. Pisetsky practiced law privately advising a number of companies in the medical technology, healthcare services and real estate industries. From August 2008 to July 2011, Mr. Pisetsky practiced law in the Business Department at Cooley LLP in Palo Alto, California, representing a number of medical technology, biotech, healthcare services and general technology clients, from inception to public offering or sale. Mr. Pisetsky received his B.A. with Honors from Harvard College, and received his J.D. (magna cum laude) and M.B.A. concurrently from Duke University.</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President, Commercial Operations since April 2021, and previously served as our Chief Commercial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2016. Prior to joining us, Mr. Recupero was the President of Catalyst 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999"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designed to:</w:t>
      </w:r>
    </w:p>
    <w:p>
      <w:pPr>
        <w:spacing w:after="0" w:line="13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motivate, incentivize and retain employees at the executive level who contribute to our long-term success;</w:t>
      </w:r>
    </w:p>
    <w:p>
      <w:pPr>
        <w:spacing w:after="0" w:line="130" w:lineRule="exact"/>
        <w:rPr>
          <w:rFonts w:ascii="Arial" w:cs="Arial" w:eastAsia="Arial" w:hAnsi="Arial"/>
          <w:sz w:val="18"/>
          <w:szCs w:val="18"/>
          <w:color w:val="auto"/>
        </w:rPr>
      </w:pPr>
    </w:p>
    <w:p>
      <w:pPr>
        <w:ind w:left="980" w:hanging="324"/>
        <w:spacing w:after="0" w:line="29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compensation packages to our executives that are competitive and reward the achievement of our business objectives and effectively align their interests with those of our stockholders; and</w:t>
      </w:r>
    </w:p>
    <w:p>
      <w:pPr>
        <w:spacing w:after="0" w:line="6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Focus on long-term equity incentives that correlate with the growth of sustainable long-term value for our stockholders.</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Compensation Committee is responsible for the executive compensation programs for our executive officers and reports to our Board of Directors on its discussions, decisions, and other actions. Our Chief Executive Officer makes recommendations for the respective executive officers that report to him or her to our Compensation Committee and typically attends Compensation Committee meetings. Our Chief Executive Officer makes such recommendations (other than with respect to himself or herself) regarding base salary, and short-term and long-term compensation, including equity incentives, for our executive officers based on our results, an executive officer's individual contribution toward these results, the executive officer's role and performance of his or her duties, and his or her achievement of individual goals. Our Compensation Committee then reviews the recommendations and other data, including various compensation survey data and publicly available data regarding compensation of executive officers of our peers, and makes decisions as to the target total direct compensation for each executive officer, including our Chief Executive Officer, as well as each individual compensation element. While our Chief Executive Officer typically attends meetings of the Compensation Committee, the Compensation Committee meets outside the presence of our Chief Executive Officer when discussing his or her compensation and when discussing certain other matters, as well.</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In fiscal year 2020, the Compensation Committee continued to retain Compensia to provide it with market information, analysis, and other advice relating to executive compensation on an ongoing basis. The Compensation Committee engaged Compensia to, among other things, assist in developing an appropriate group of peer companies to help us determine the appropriate level of overall compensation for our executive officers, as well as to assess each separate element of compensation, with a goal of ensuring that the compensation we offer to our executive officers, individually as well as in the aggregate, is competitive and fair. We do not believe the retention of, and the work performed by, Compensia creates any conflict of interest.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AND GOVERNANCE PRACTICES AND POLICIES</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endeavor to maintain strong governance standards in our policies and practices related to executive compensation. Below is a summary of our key executive compensation and corporate governance practices.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40" w:type="dxa"/>
            <w:vAlign w:val="bottom"/>
            <w:shd w:val="clear" w:color="auto" w:fill="44546A"/>
          </w:tcPr>
          <w:p>
            <w:pPr>
              <w:spacing w:after="0"/>
              <w:rPr>
                <w:sz w:val="19"/>
                <w:szCs w:val="19"/>
                <w:color w:val="auto"/>
              </w:rPr>
            </w:pPr>
          </w:p>
        </w:tc>
        <w:tc>
          <w:tcPr>
            <w:tcW w:w="4680" w:type="dxa"/>
            <w:vAlign w:val="bottom"/>
            <w:shd w:val="clear" w:color="auto" w:fill="44546A"/>
          </w:tcPr>
          <w:p>
            <w:pPr>
              <w:ind w:left="1920"/>
              <w:spacing w:after="0"/>
              <w:rPr>
                <w:sz w:val="20"/>
                <w:szCs w:val="20"/>
                <w:color w:val="auto"/>
              </w:rPr>
            </w:pPr>
            <w:r>
              <w:rPr>
                <w:rFonts w:ascii="Arial" w:cs="Arial" w:eastAsia="Arial" w:hAnsi="Arial"/>
                <w:sz w:val="18"/>
                <w:szCs w:val="18"/>
                <w:b w:val="1"/>
                <w:bCs w:val="1"/>
                <w:color w:val="FFFFFF"/>
              </w:rPr>
              <w:t>What We Do</w:t>
            </w:r>
          </w:p>
        </w:tc>
        <w:tc>
          <w:tcPr>
            <w:tcW w:w="240" w:type="dxa"/>
            <w:vAlign w:val="bottom"/>
            <w:shd w:val="clear" w:color="auto" w:fill="44546A"/>
          </w:tcPr>
          <w:p>
            <w:pPr>
              <w:spacing w:after="0"/>
              <w:rPr>
                <w:sz w:val="19"/>
                <w:szCs w:val="19"/>
                <w:color w:val="auto"/>
              </w:rPr>
            </w:pPr>
          </w:p>
        </w:tc>
        <w:tc>
          <w:tcPr>
            <w:tcW w:w="4440" w:type="dxa"/>
            <w:vAlign w:val="bottom"/>
            <w:shd w:val="clear" w:color="auto" w:fill="44546A"/>
          </w:tcPr>
          <w:p>
            <w:pPr>
              <w:ind w:left="1540"/>
              <w:spacing w:after="0"/>
              <w:rPr>
                <w:sz w:val="20"/>
                <w:szCs w:val="20"/>
                <w:color w:val="auto"/>
              </w:rPr>
            </w:pPr>
            <w:r>
              <w:rPr>
                <w:rFonts w:ascii="Arial" w:cs="Arial" w:eastAsia="Arial" w:hAnsi="Arial"/>
                <w:sz w:val="18"/>
                <w:szCs w:val="18"/>
                <w:b w:val="1"/>
                <w:bCs w:val="1"/>
                <w:color w:val="FFFFFF"/>
              </w:rPr>
              <w:t>What We Don’t Do</w:t>
            </w:r>
          </w:p>
        </w:tc>
      </w:tr>
      <w:tr>
        <w:trPr>
          <w:trHeight w:val="175"/>
        </w:trPr>
        <w:tc>
          <w:tcPr>
            <w:tcW w:w="240" w:type="dxa"/>
            <w:vAlign w:val="bottom"/>
          </w:tcPr>
          <w:p>
            <w:pPr>
              <w:ind w:left="20"/>
              <w:spacing w:after="0" w:line="176" w:lineRule="exact"/>
              <w:rPr>
                <w:sz w:val="20"/>
                <w:szCs w:val="20"/>
                <w:color w:val="auto"/>
              </w:rPr>
            </w:pPr>
            <w:r>
              <w:rPr>
                <w:rFonts w:ascii="Arial" w:cs="Arial" w:eastAsia="Arial" w:hAnsi="Arial"/>
                <w:sz w:val="18"/>
                <w:szCs w:val="18"/>
                <w:color w:val="auto"/>
              </w:rPr>
              <w:t>ü</w:t>
            </w:r>
          </w:p>
        </w:tc>
        <w:tc>
          <w:tcPr>
            <w:tcW w:w="4680" w:type="dxa"/>
            <w:vAlign w:val="bottom"/>
          </w:tcPr>
          <w:p>
            <w:pPr>
              <w:ind w:left="180"/>
              <w:spacing w:after="0" w:line="176" w:lineRule="exact"/>
              <w:rPr>
                <w:sz w:val="20"/>
                <w:szCs w:val="20"/>
                <w:color w:val="auto"/>
              </w:rPr>
            </w:pPr>
            <w:r>
              <w:rPr>
                <w:rFonts w:ascii="Arial" w:cs="Arial" w:eastAsia="Arial" w:hAnsi="Arial"/>
                <w:sz w:val="18"/>
                <w:szCs w:val="18"/>
                <w:color w:val="auto"/>
                <w:w w:val="92"/>
              </w:rPr>
              <w:t>Actively engage in year-round dialogue with our stockholders</w:t>
            </w:r>
          </w:p>
        </w:tc>
        <w:tc>
          <w:tcPr>
            <w:tcW w:w="240" w:type="dxa"/>
            <w:vAlign w:val="bottom"/>
          </w:tcPr>
          <w:p>
            <w:pPr>
              <w:jc w:val="right"/>
              <w:spacing w:after="0" w:line="176"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76" w:lineRule="exact"/>
              <w:rPr>
                <w:sz w:val="20"/>
                <w:szCs w:val="20"/>
                <w:color w:val="auto"/>
              </w:rPr>
            </w:pPr>
            <w:r>
              <w:rPr>
                <w:rFonts w:ascii="Arial" w:cs="Arial" w:eastAsia="Arial" w:hAnsi="Arial"/>
                <w:sz w:val="18"/>
                <w:szCs w:val="18"/>
                <w:color w:val="auto"/>
                <w:w w:val="95"/>
              </w:rPr>
              <w:t>No pension plans or Supplemental Executive Retirement</w:t>
            </w:r>
          </w:p>
        </w:tc>
      </w:tr>
      <w:tr>
        <w:trPr>
          <w:trHeight w:val="230"/>
        </w:trPr>
        <w:tc>
          <w:tcPr>
            <w:tcW w:w="2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w w:val="96"/>
              </w:rPr>
              <w:t>and incorporate feedback into our compensation programs</w:t>
            </w:r>
          </w:p>
        </w:tc>
        <w:tc>
          <w:tcPr>
            <w:tcW w:w="240" w:type="dxa"/>
            <w:vAlign w:val="bottom"/>
          </w:tcPr>
          <w:p>
            <w:pPr>
              <w:spacing w:after="0"/>
              <w:rPr>
                <w:sz w:val="20"/>
                <w:szCs w:val="20"/>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Plans</w:t>
            </w:r>
          </w:p>
        </w:tc>
      </w:tr>
      <w:tr>
        <w:trPr>
          <w:trHeight w:val="188"/>
        </w:trPr>
        <w:tc>
          <w:tcPr>
            <w:tcW w:w="24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169"/>
        </w:trPr>
        <w:tc>
          <w:tcPr>
            <w:tcW w:w="240" w:type="dxa"/>
            <w:vAlign w:val="bottom"/>
          </w:tcPr>
          <w:p>
            <w:pPr>
              <w:ind w:left="20"/>
              <w:spacing w:after="0" w:line="169" w:lineRule="exact"/>
              <w:rPr>
                <w:sz w:val="20"/>
                <w:szCs w:val="20"/>
                <w:color w:val="auto"/>
              </w:rPr>
            </w:pPr>
            <w:r>
              <w:rPr>
                <w:rFonts w:ascii="Arial" w:cs="Arial" w:eastAsia="Arial" w:hAnsi="Arial"/>
                <w:sz w:val="18"/>
                <w:szCs w:val="18"/>
                <w:color w:val="auto"/>
              </w:rPr>
              <w:t>ü</w:t>
            </w:r>
          </w:p>
        </w:tc>
        <w:tc>
          <w:tcPr>
            <w:tcW w:w="4680" w:type="dxa"/>
            <w:vAlign w:val="bottom"/>
          </w:tcPr>
          <w:p>
            <w:pPr>
              <w:ind w:left="140"/>
              <w:spacing w:after="0" w:line="169" w:lineRule="exact"/>
              <w:rPr>
                <w:sz w:val="20"/>
                <w:szCs w:val="20"/>
                <w:color w:val="auto"/>
              </w:rPr>
            </w:pPr>
            <w:r>
              <w:rPr>
                <w:rFonts w:ascii="Arial" w:cs="Arial" w:eastAsia="Arial" w:hAnsi="Arial"/>
                <w:sz w:val="18"/>
                <w:szCs w:val="18"/>
                <w:color w:val="auto"/>
                <w:w w:val="99"/>
              </w:rPr>
              <w:t>Significant portion of compensation for Named Executive</w:t>
            </w:r>
          </w:p>
        </w:tc>
        <w:tc>
          <w:tcPr>
            <w:tcW w:w="240" w:type="dxa"/>
            <w:vAlign w:val="bottom"/>
          </w:tcPr>
          <w:p>
            <w:pPr>
              <w:jc w:val="right"/>
              <w:spacing w:after="0" w:line="169" w:lineRule="exact"/>
              <w:rPr>
                <w:sz w:val="20"/>
                <w:szCs w:val="20"/>
                <w:color w:val="auto"/>
              </w:rPr>
            </w:pPr>
            <w:r>
              <w:rPr>
                <w:rFonts w:ascii="Arial" w:cs="Arial" w:eastAsia="Arial" w:hAnsi="Arial"/>
                <w:sz w:val="18"/>
                <w:szCs w:val="18"/>
                <w:color w:val="auto"/>
              </w:rPr>
              <w:t>û</w:t>
            </w:r>
          </w:p>
        </w:tc>
        <w:tc>
          <w:tcPr>
            <w:tcW w:w="4440" w:type="dxa"/>
            <w:vAlign w:val="bottom"/>
          </w:tcPr>
          <w:p>
            <w:pPr>
              <w:ind w:left="100"/>
              <w:spacing w:after="0" w:line="169" w:lineRule="exact"/>
              <w:rPr>
                <w:sz w:val="20"/>
                <w:szCs w:val="20"/>
                <w:color w:val="auto"/>
              </w:rPr>
            </w:pPr>
            <w:r>
              <w:rPr>
                <w:rFonts w:ascii="Arial" w:cs="Arial" w:eastAsia="Arial" w:hAnsi="Arial"/>
                <w:sz w:val="18"/>
                <w:szCs w:val="18"/>
                <w:color w:val="auto"/>
              </w:rPr>
              <w:t>No hedging or pledging of our securities</w:t>
            </w:r>
          </w:p>
        </w:tc>
      </w:tr>
      <w:tr>
        <w:trPr>
          <w:trHeight w:val="175"/>
        </w:trPr>
        <w:tc>
          <w:tcPr>
            <w:tcW w:w="240" w:type="dxa"/>
            <w:vAlign w:val="bottom"/>
          </w:tcPr>
          <w:p>
            <w:pPr>
              <w:spacing w:after="0"/>
              <w:rPr>
                <w:sz w:val="15"/>
                <w:szCs w:val="15"/>
                <w:color w:val="auto"/>
              </w:rPr>
            </w:pPr>
          </w:p>
        </w:tc>
        <w:tc>
          <w:tcPr>
            <w:tcW w:w="4680" w:type="dxa"/>
            <w:vAlign w:val="bottom"/>
          </w:tcPr>
          <w:p>
            <w:pPr>
              <w:ind w:left="140"/>
              <w:spacing w:after="0" w:line="176" w:lineRule="exact"/>
              <w:rPr>
                <w:sz w:val="20"/>
                <w:szCs w:val="20"/>
                <w:color w:val="auto"/>
              </w:rPr>
            </w:pPr>
            <w:r>
              <w:rPr>
                <w:rFonts w:ascii="Arial" w:cs="Arial" w:eastAsia="Arial" w:hAnsi="Arial"/>
                <w:sz w:val="18"/>
                <w:szCs w:val="18"/>
                <w:color w:val="auto"/>
              </w:rPr>
              <w:t>Officers is at risk, based on both company performance</w:t>
            </w:r>
          </w:p>
        </w:tc>
        <w:tc>
          <w:tcPr>
            <w:tcW w:w="240" w:type="dxa"/>
            <w:vAlign w:val="bottom"/>
          </w:tcPr>
          <w:p>
            <w:pPr>
              <w:spacing w:after="0"/>
              <w:rPr>
                <w:sz w:val="15"/>
                <w:szCs w:val="15"/>
                <w:color w:val="auto"/>
              </w:rPr>
            </w:pPr>
          </w:p>
        </w:tc>
        <w:tc>
          <w:tcPr>
            <w:tcW w:w="4440" w:type="dxa"/>
            <w:vAlign w:val="bottom"/>
          </w:tcPr>
          <w:p>
            <w:pPr>
              <w:spacing w:after="0"/>
              <w:rPr>
                <w:sz w:val="15"/>
                <w:szCs w:val="15"/>
                <w:color w:val="auto"/>
              </w:rPr>
            </w:pPr>
          </w:p>
        </w:tc>
      </w:tr>
      <w:tr>
        <w:trPr>
          <w:trHeight w:val="230"/>
        </w:trPr>
        <w:tc>
          <w:tcPr>
            <w:tcW w:w="24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(financial &amp; stock price) and the individual’s performance</w:t>
            </w:r>
          </w:p>
        </w:tc>
        <w:tc>
          <w:tcPr>
            <w:tcW w:w="24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r>
      <w:tr>
        <w:trPr>
          <w:trHeight w:val="169"/>
        </w:trPr>
        <w:tc>
          <w:tcPr>
            <w:tcW w:w="240" w:type="dxa"/>
            <w:vAlign w:val="bottom"/>
          </w:tcPr>
          <w:p>
            <w:pPr>
              <w:ind w:left="20"/>
              <w:spacing w:after="0" w:line="169" w:lineRule="exact"/>
              <w:rPr>
                <w:sz w:val="20"/>
                <w:szCs w:val="20"/>
                <w:color w:val="auto"/>
              </w:rPr>
            </w:pPr>
            <w:r>
              <w:rPr>
                <w:rFonts w:ascii="Arial" w:cs="Arial" w:eastAsia="Arial" w:hAnsi="Arial"/>
                <w:sz w:val="18"/>
                <w:szCs w:val="18"/>
                <w:color w:val="auto"/>
              </w:rPr>
              <w:t>ü</w:t>
            </w:r>
          </w:p>
        </w:tc>
        <w:tc>
          <w:tcPr>
            <w:tcW w:w="492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5"/>
              </w:rPr>
              <w:t>Provide compensation mix that more heavily weights variable û</w:t>
            </w:r>
          </w:p>
        </w:tc>
        <w:tc>
          <w:tcPr>
            <w:tcW w:w="4440" w:type="dxa"/>
            <w:vAlign w:val="bottom"/>
          </w:tcPr>
          <w:p>
            <w:pPr>
              <w:ind w:left="100"/>
              <w:spacing w:after="0" w:line="169" w:lineRule="exact"/>
              <w:rPr>
                <w:sz w:val="20"/>
                <w:szCs w:val="20"/>
                <w:color w:val="auto"/>
              </w:rPr>
            </w:pPr>
            <w:r>
              <w:rPr>
                <w:rFonts w:ascii="Arial" w:cs="Arial" w:eastAsia="Arial" w:hAnsi="Arial"/>
                <w:sz w:val="18"/>
                <w:szCs w:val="18"/>
                <w:color w:val="auto"/>
              </w:rPr>
              <w:t>No excise tax gross-ups upon a change of control</w:t>
            </w:r>
          </w:p>
        </w:tc>
      </w:tr>
      <w:tr>
        <w:trPr>
          <w:trHeight w:val="230"/>
        </w:trPr>
        <w:tc>
          <w:tcPr>
            <w:tcW w:w="240" w:type="dxa"/>
            <w:vAlign w:val="bottom"/>
          </w:tcPr>
          <w:p>
            <w:pPr>
              <w:spacing w:after="0"/>
              <w:rPr>
                <w:sz w:val="20"/>
                <w:szCs w:val="20"/>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pay</w:t>
            </w:r>
          </w:p>
        </w:tc>
        <w:tc>
          <w:tcPr>
            <w:tcW w:w="240" w:type="dxa"/>
            <w:vAlign w:val="bottom"/>
          </w:tcPr>
          <w:p>
            <w:pPr>
              <w:spacing w:after="0"/>
              <w:rPr>
                <w:sz w:val="20"/>
                <w:szCs w:val="20"/>
                <w:color w:val="auto"/>
              </w:rPr>
            </w:pPr>
          </w:p>
        </w:tc>
        <w:tc>
          <w:tcPr>
            <w:tcW w:w="4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119380</wp:posOffset>
            </wp:positionV>
            <wp:extent cx="61036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81" w:lineRule="exact"/>
        <w:rPr>
          <w:sz w:val="20"/>
          <w:szCs w:val="20"/>
          <w:color w:val="auto"/>
        </w:rPr>
      </w:pPr>
    </w:p>
    <w:p>
      <w:pPr>
        <w:ind w:left="1200" w:right="5660" w:hanging="364"/>
        <w:spacing w:after="0" w:line="235"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ownership requirements apply to all Named Executive Officers and directors</w:t>
      </w:r>
    </w:p>
    <w:p>
      <w:pPr>
        <w:spacing w:after="0" w:line="202" w:lineRule="exact"/>
        <w:rPr>
          <w:rFonts w:ascii="Arial" w:cs="Arial" w:eastAsia="Arial" w:hAnsi="Arial"/>
          <w:sz w:val="18"/>
          <w:szCs w:val="18"/>
          <w:color w:val="auto"/>
        </w:rPr>
      </w:pPr>
    </w:p>
    <w:p>
      <w:pPr>
        <w:ind w:left="1200" w:right="6220" w:hanging="364"/>
        <w:spacing w:after="0" w:line="235"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independent compensation consultant advises the Compensation Committee</w:t>
      </w:r>
    </w:p>
    <w:p>
      <w:pPr>
        <w:spacing w:after="0" w:line="202" w:lineRule="exact"/>
        <w:rPr>
          <w:rFonts w:ascii="Arial" w:cs="Arial" w:eastAsia="Arial" w:hAnsi="Arial"/>
          <w:sz w:val="18"/>
          <w:szCs w:val="18"/>
          <w:color w:val="auto"/>
        </w:rPr>
      </w:pPr>
    </w:p>
    <w:p>
      <w:pPr>
        <w:ind w:left="1200" w:right="5620" w:hanging="364"/>
        <w:spacing w:after="0" w:line="289"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Annually assess the risk-reward balance of our compensation programs in order to mitigate undue risks in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96520</wp:posOffset>
            </wp:positionV>
            <wp:extent cx="6103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-288925</wp:posOffset>
            </wp:positionV>
            <wp:extent cx="6103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0362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-674370</wp:posOffset>
            </wp:positionV>
            <wp:extent cx="61036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999" w:right="3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PEER GROUP</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Compensation Committee reviews market data of companies that we believe are comparable to us. With Compensia’s assistance, the Compensation Committee developed a peer group for use when making its fiscal 2020 compensation decisions, which consisted of publicly traded healthcare equipment and technology companies headquartered in the U.S. that generally had revenue between 0.4x and 2.5x SI-BONE’s revenue and had a market capitalization between $200 million and $2 billion. The Compensation Committee referred to compensation data from this peer group and broader survey data (for similarly sized companies) when making fiscal 2020 base salary, cash bonus and equity award decisions for our executive officers. The following is a list of the public companies that composed our fiscal 2020 peer group:</w:t>
      </w:r>
    </w:p>
    <w:p>
      <w:pPr>
        <w:spacing w:after="0" w:line="184" w:lineRule="exact"/>
        <w:rPr>
          <w:sz w:val="20"/>
          <w:szCs w:val="20"/>
          <w:color w:val="auto"/>
        </w:rPr>
      </w:pPr>
    </w:p>
    <w:tbl>
      <w:tblPr>
        <w:tblLayout w:type="fixed"/>
        <w:tblInd w:w="410" w:type="dxa"/>
        <w:tblCellMar>
          <w:top w:w="0" w:type="dxa"/>
          <w:left w:w="0" w:type="dxa"/>
          <w:bottom w:w="0" w:type="dxa"/>
          <w:right w:w="0" w:type="dxa"/>
        </w:tblCellMar>
      </w:tblPr>
      <w:tr>
        <w:trPr>
          <w:trHeight w:val="243"/>
        </w:trPr>
        <w:tc>
          <w:tcPr>
            <w:tcW w:w="5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Alphatec Holdings, Inc.</w:t>
            </w:r>
          </w:p>
        </w:tc>
        <w:tc>
          <w:tcPr>
            <w:tcW w:w="52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LeMaitre Vascular, Inc.</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Apyx Medical Corporation</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Misonix, Inc.</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AxoGen,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Nevro Corp.</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Cerus Corporation</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Nuvectra Corporation</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Cutera,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OrthoPediatrics Corp.</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GenMark Diagnostics,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SeaSpine Holdings Corporation</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Intersect ENT, Inc.</w:t>
            </w:r>
          </w:p>
        </w:tc>
        <w:tc>
          <w:tcPr>
            <w:tcW w:w="5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Zynex, Inc.</w:t>
            </w:r>
          </w:p>
        </w:tc>
      </w:tr>
      <w:tr>
        <w:trPr>
          <w:trHeight w:val="223"/>
        </w:trPr>
        <w:tc>
          <w:tcPr>
            <w:tcW w:w="5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iRhythm Technologies, Inc.</w:t>
            </w:r>
          </w:p>
        </w:tc>
        <w:tc>
          <w:tcPr>
            <w:tcW w:w="52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shows for the fiscal years ended 2020 and 2019, compensation awarded to or paid to, or earned by, our Chief Executive Officer and our other two most highly compensated executive officers as of December 31, 2020 (the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6"/>
                <w:szCs w:val="16"/>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Option</w:t>
            </w:r>
          </w:p>
        </w:tc>
        <w:tc>
          <w:tcPr>
            <w:tcW w:w="120" w:type="dxa"/>
            <w:vAlign w:val="bottom"/>
          </w:tcPr>
          <w:p>
            <w:pPr>
              <w:spacing w:after="0"/>
              <w:rPr>
                <w:sz w:val="16"/>
                <w:szCs w:val="16"/>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Non-Equity</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7"/>
              </w:rPr>
              <w:t>All Other</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vMerge w:val="restart"/>
          </w:tcPr>
          <w:p>
            <w:pPr>
              <w:ind w:left="160"/>
              <w:spacing w:after="0"/>
              <w:rPr>
                <w:sz w:val="20"/>
                <w:szCs w:val="20"/>
                <w:color w:val="auto"/>
              </w:rPr>
            </w:pPr>
            <w:r>
              <w:rPr>
                <w:rFonts w:ascii="Arial" w:cs="Arial" w:eastAsia="Arial" w:hAnsi="Arial"/>
                <w:sz w:val="16"/>
                <w:szCs w:val="16"/>
                <w:b w:val="1"/>
                <w:bCs w:val="1"/>
                <w:color w:val="auto"/>
                <w:w w:val="98"/>
              </w:rPr>
              <w:t>Name and Principal Position</w:t>
            </w:r>
          </w:p>
        </w:tc>
        <w:tc>
          <w:tcPr>
            <w:tcW w:w="160" w:type="dxa"/>
            <w:vAlign w:val="bottom"/>
          </w:tcPr>
          <w:p>
            <w:pPr>
              <w:spacing w:after="0"/>
              <w:rPr>
                <w:sz w:val="14"/>
                <w:szCs w:val="14"/>
                <w:color w:val="auto"/>
              </w:rPr>
            </w:pPr>
          </w:p>
        </w:tc>
        <w:tc>
          <w:tcPr>
            <w:tcW w:w="6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Year</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Salary</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3"/>
              </w:rPr>
              <w:t>Awards</w:t>
            </w:r>
            <w:r>
              <w:rPr>
                <w:rFonts w:ascii="Arial" w:cs="Arial" w:eastAsia="Arial" w:hAnsi="Arial"/>
                <w:sz w:val="21"/>
                <w:szCs w:val="21"/>
                <w:b w:val="1"/>
                <w:bCs w:val="1"/>
                <w:color w:val="auto"/>
                <w:w w:val="93"/>
                <w:vertAlign w:val="superscript"/>
              </w:rPr>
              <w:t>(1)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6"/>
                <w:szCs w:val="16"/>
                <w:b w:val="1"/>
                <w:bCs w:val="1"/>
                <w:color w:val="auto"/>
                <w:w w:val="90"/>
              </w:rPr>
              <w:t>Awards</w:t>
            </w:r>
            <w:r>
              <w:rPr>
                <w:rFonts w:ascii="Arial" w:cs="Arial" w:eastAsia="Arial" w:hAnsi="Arial"/>
                <w:sz w:val="21"/>
                <w:szCs w:val="21"/>
                <w:b w:val="1"/>
                <w:bCs w:val="1"/>
                <w:color w:val="auto"/>
                <w:w w:val="90"/>
                <w:vertAlign w:val="superscript"/>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(2)</w:t>
            </w:r>
          </w:p>
        </w:tc>
        <w:tc>
          <w:tcPr>
            <w:tcW w:w="4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center"/>
              <w:spacing w:after="0" w:line="216"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CEEFF"/>
          </w:tcPr>
          <w:p>
            <w:pPr>
              <w:ind w:left="60"/>
              <w:spacing w:after="0" w:line="210" w:lineRule="exact"/>
              <w:rPr>
                <w:sz w:val="20"/>
                <w:szCs w:val="20"/>
                <w:color w:val="auto"/>
              </w:rPr>
            </w:pPr>
            <w:r>
              <w:rPr>
                <w:rFonts w:ascii="Arial" w:cs="Arial" w:eastAsia="Arial" w:hAnsi="Arial"/>
                <w:sz w:val="16"/>
                <w:szCs w:val="16"/>
                <w:color w:val="auto"/>
              </w:rPr>
              <w:t>Jeffrey W. Dunn</w:t>
            </w:r>
            <w:r>
              <w:rPr>
                <w:rFonts w:ascii="Arial" w:cs="Arial" w:eastAsia="Arial" w:hAnsi="Arial"/>
                <w:sz w:val="21"/>
                <w:szCs w:val="21"/>
                <w:color w:val="auto"/>
                <w:vertAlign w:val="superscript"/>
              </w:rPr>
              <w:t>(4)</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544,199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4,240,493</w:t>
            </w: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60"/>
              <w:spacing w:after="0" w:line="166" w:lineRule="exact"/>
              <w:rPr>
                <w:sz w:val="20"/>
                <w:szCs w:val="20"/>
                <w:color w:val="auto"/>
              </w:rPr>
            </w:pPr>
            <w:r>
              <w:rPr>
                <w:rFonts w:ascii="Arial" w:cs="Arial" w:eastAsia="Arial" w:hAnsi="Arial"/>
                <w:sz w:val="16"/>
                <w:szCs w:val="16"/>
                <w:i w:val="1"/>
                <w:iCs w:val="1"/>
                <w:color w:val="auto"/>
              </w:rPr>
              <w:t>President and Chief Executive</w:t>
            </w:r>
          </w:p>
        </w:tc>
        <w:tc>
          <w:tcPr>
            <w:tcW w:w="820" w:type="dxa"/>
            <w:vAlign w:val="bottom"/>
            <w:gridSpan w:val="2"/>
            <w:vMerge w:val="restart"/>
            <w:shd w:val="clear" w:color="auto" w:fill="CCEEFF"/>
          </w:tcPr>
          <w:p>
            <w:pPr>
              <w:ind w:left="3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540,000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1,498,200</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1,534,662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329,365</w:t>
            </w:r>
          </w:p>
        </w:tc>
        <w:tc>
          <w:tcPr>
            <w:tcW w:w="4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20,913</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w w:val="98"/>
              </w:rPr>
              <w:t>3,923,140</w:t>
            </w:r>
          </w:p>
        </w:tc>
        <w:tc>
          <w:tcPr>
            <w:tcW w:w="0" w:type="dxa"/>
            <w:vAlign w:val="bottom"/>
          </w:tcPr>
          <w:p>
            <w:pPr>
              <w:spacing w:after="0"/>
              <w:rPr>
                <w:sz w:val="1"/>
                <w:szCs w:val="1"/>
                <w:color w:val="auto"/>
              </w:rPr>
            </w:pPr>
          </w:p>
        </w:tc>
      </w:tr>
      <w:tr>
        <w:trPr>
          <w:trHeight w:val="212"/>
        </w:trPr>
        <w:tc>
          <w:tcPr>
            <w:tcW w:w="230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Officer</w:t>
            </w: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w w:val="88"/>
              </w:rPr>
              <w:t>(5)</w:t>
            </w:r>
          </w:p>
        </w:tc>
        <w:tc>
          <w:tcPr>
            <w:tcW w:w="2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2300" w:type="dxa"/>
            <w:vAlign w:val="bottom"/>
          </w:tcPr>
          <w:p>
            <w:pPr>
              <w:ind w:left="60"/>
              <w:spacing w:after="0"/>
              <w:rPr>
                <w:sz w:val="20"/>
                <w:szCs w:val="20"/>
                <w:color w:val="auto"/>
              </w:rPr>
            </w:pPr>
            <w:r>
              <w:rPr>
                <w:rFonts w:ascii="Arial" w:cs="Arial" w:eastAsia="Arial" w:hAnsi="Arial"/>
                <w:sz w:val="16"/>
                <w:szCs w:val="16"/>
                <w:color w:val="auto"/>
              </w:rPr>
              <w:t>Laura A. Francis</w:t>
            </w:r>
            <w:r>
              <w:rPr>
                <w:rFonts w:ascii="Arial" w:cs="Arial" w:eastAsia="Arial" w:hAnsi="Arial"/>
                <w:sz w:val="21"/>
                <w:szCs w:val="21"/>
                <w:color w:val="auto"/>
                <w:vertAlign w:val="superscript"/>
              </w:rPr>
              <w:t>(4)</w:t>
            </w:r>
          </w:p>
        </w:tc>
        <w:tc>
          <w:tcPr>
            <w:tcW w:w="820" w:type="dxa"/>
            <w:vAlign w:val="bottom"/>
            <w:gridSpan w:val="2"/>
          </w:tcPr>
          <w:p>
            <w:pPr>
              <w:ind w:left="3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386,250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1,182,985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209,517</w:t>
            </w:r>
          </w:p>
        </w:tc>
        <w:tc>
          <w:tcPr>
            <w:tcW w:w="4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22,087</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120"/>
              <w:spacing w:after="0"/>
              <w:rPr>
                <w:sz w:val="20"/>
                <w:szCs w:val="20"/>
                <w:color w:val="auto"/>
              </w:rPr>
            </w:pPr>
            <w:r>
              <w:rPr>
                <w:rFonts w:ascii="Arial" w:cs="Arial" w:eastAsia="Arial" w:hAnsi="Arial"/>
                <w:sz w:val="16"/>
                <w:szCs w:val="16"/>
                <w:color w:val="auto"/>
                <w:w w:val="98"/>
              </w:rPr>
              <w:t>1,800,839</w:t>
            </w:r>
          </w:p>
        </w:tc>
        <w:tc>
          <w:tcPr>
            <w:tcW w:w="0" w:type="dxa"/>
            <w:vAlign w:val="bottom"/>
          </w:tcPr>
          <w:p>
            <w:pPr>
              <w:spacing w:after="0"/>
              <w:rPr>
                <w:sz w:val="1"/>
                <w:szCs w:val="1"/>
                <w:color w:val="auto"/>
              </w:rPr>
            </w:pPr>
          </w:p>
        </w:tc>
      </w:tr>
      <w:tr>
        <w:trPr>
          <w:trHeight w:val="162"/>
        </w:trPr>
        <w:tc>
          <w:tcPr>
            <w:tcW w:w="2300" w:type="dxa"/>
            <w:vAlign w:val="bottom"/>
          </w:tcPr>
          <w:p>
            <w:pPr>
              <w:ind w:left="60"/>
              <w:spacing w:after="0" w:line="162" w:lineRule="exact"/>
              <w:rPr>
                <w:sz w:val="20"/>
                <w:szCs w:val="20"/>
                <w:color w:val="auto"/>
              </w:rPr>
            </w:pPr>
            <w:r>
              <w:rPr>
                <w:rFonts w:ascii="Arial" w:cs="Arial" w:eastAsia="Arial" w:hAnsi="Arial"/>
                <w:sz w:val="16"/>
                <w:szCs w:val="16"/>
                <w:i w:val="1"/>
                <w:iCs w:val="1"/>
                <w:color w:val="auto"/>
                <w:w w:val="93"/>
              </w:rPr>
              <w:t>Chief Operating Officer and Chief</w:t>
            </w:r>
          </w:p>
        </w:tc>
        <w:tc>
          <w:tcPr>
            <w:tcW w:w="820" w:type="dxa"/>
            <w:vAlign w:val="bottom"/>
            <w:gridSpan w:val="2"/>
            <w:vMerge w:val="restart"/>
          </w:tcPr>
          <w:p>
            <w:pPr>
              <w:ind w:left="3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892,000</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513,982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138,633</w:t>
            </w:r>
          </w:p>
        </w:tc>
        <w:tc>
          <w:tcPr>
            <w:tcW w:w="4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20,812</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ind w:left="120"/>
              <w:spacing w:after="0"/>
              <w:rPr>
                <w:sz w:val="20"/>
                <w:szCs w:val="20"/>
                <w:color w:val="auto"/>
              </w:rPr>
            </w:pPr>
            <w:r>
              <w:rPr>
                <w:rFonts w:ascii="Arial" w:cs="Arial" w:eastAsia="Arial" w:hAnsi="Arial"/>
                <w:sz w:val="16"/>
                <w:szCs w:val="16"/>
                <w:color w:val="auto"/>
                <w:w w:val="98"/>
              </w:rPr>
              <w:t>1,940,427</w:t>
            </w:r>
          </w:p>
        </w:tc>
        <w:tc>
          <w:tcPr>
            <w:tcW w:w="0" w:type="dxa"/>
            <w:vAlign w:val="bottom"/>
          </w:tcPr>
          <w:p>
            <w:pPr>
              <w:spacing w:after="0"/>
              <w:rPr>
                <w:sz w:val="1"/>
                <w:szCs w:val="1"/>
                <w:color w:val="auto"/>
              </w:rPr>
            </w:pPr>
          </w:p>
        </w:tc>
      </w:tr>
      <w:tr>
        <w:trPr>
          <w:trHeight w:val="206"/>
        </w:trPr>
        <w:tc>
          <w:tcPr>
            <w:tcW w:w="2300" w:type="dxa"/>
            <w:vAlign w:val="bottom"/>
          </w:tcPr>
          <w:p>
            <w:pPr>
              <w:ind w:left="180"/>
              <w:spacing w:after="0"/>
              <w:rPr>
                <w:sz w:val="20"/>
                <w:szCs w:val="20"/>
                <w:color w:val="auto"/>
              </w:rPr>
            </w:pPr>
            <w:r>
              <w:rPr>
                <w:rFonts w:ascii="Arial" w:cs="Arial" w:eastAsia="Arial" w:hAnsi="Arial"/>
                <w:sz w:val="16"/>
                <w:szCs w:val="16"/>
                <w:i w:val="1"/>
                <w:iCs w:val="1"/>
                <w:color w:val="auto"/>
              </w:rPr>
              <w:t>Financial Officer</w:t>
            </w:r>
          </w:p>
        </w:tc>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400" w:type="dxa"/>
            <w:vAlign w:val="bottom"/>
          </w:tcPr>
          <w:p>
            <w:pPr>
              <w:jc w:val="right"/>
              <w:ind w:right="207"/>
              <w:spacing w:after="0"/>
              <w:rPr>
                <w:sz w:val="20"/>
                <w:szCs w:val="20"/>
                <w:color w:val="auto"/>
              </w:rPr>
            </w:pPr>
            <w:r>
              <w:rPr>
                <w:rFonts w:ascii="Arial" w:cs="Arial" w:eastAsia="Arial" w:hAnsi="Arial"/>
                <w:sz w:val="11"/>
                <w:szCs w:val="11"/>
                <w:color w:val="auto"/>
                <w:w w:val="88"/>
              </w:rPr>
              <w:t>(5)</w:t>
            </w:r>
          </w:p>
        </w:tc>
        <w:tc>
          <w:tcPr>
            <w:tcW w:w="2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Anthony J. Recupero</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1,775,689</w:t>
            </w:r>
          </w:p>
        </w:tc>
        <w:tc>
          <w:tcPr>
            <w:tcW w:w="0" w:type="dxa"/>
            <w:vAlign w:val="bottom"/>
          </w:tcPr>
          <w:p>
            <w:pPr>
              <w:spacing w:after="0"/>
              <w:rPr>
                <w:sz w:val="1"/>
                <w:szCs w:val="1"/>
                <w:color w:val="auto"/>
              </w:rPr>
            </w:pPr>
          </w:p>
        </w:tc>
      </w:tr>
      <w:tr>
        <w:trPr>
          <w:trHeight w:val="222"/>
        </w:trPr>
        <w:tc>
          <w:tcPr>
            <w:tcW w:w="2300" w:type="dxa"/>
            <w:vAlign w:val="bottom"/>
            <w:shd w:val="clear" w:color="auto" w:fill="CCEEFF"/>
          </w:tcPr>
          <w:p>
            <w:pPr>
              <w:ind w:left="60"/>
              <w:spacing w:after="0"/>
              <w:rPr>
                <w:sz w:val="20"/>
                <w:szCs w:val="20"/>
                <w:color w:val="auto"/>
              </w:rPr>
            </w:pPr>
            <w:r>
              <w:rPr>
                <w:rFonts w:ascii="Arial" w:cs="Arial" w:eastAsia="Arial" w:hAnsi="Arial"/>
                <w:sz w:val="16"/>
                <w:szCs w:val="16"/>
                <w:i w:val="1"/>
                <w:iCs w:val="1"/>
                <w:color w:val="auto"/>
              </w:rPr>
              <w:t>Chief Commercial Officer</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120,731</w:t>
            </w:r>
          </w:p>
        </w:tc>
        <w:tc>
          <w:tcPr>
            <w:tcW w:w="40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w w:val="88"/>
              </w:rPr>
              <w:t>(5)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1,349,202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94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49" w:lineRule="exact"/>
        <w:rPr>
          <w:sz w:val="20"/>
          <w:szCs w:val="20"/>
          <w:color w:val="auto"/>
        </w:rPr>
      </w:pPr>
    </w:p>
    <w:p>
      <w:pPr>
        <w:jc w:val="both"/>
        <w:ind w:left="420" w:hanging="372"/>
        <w:spacing w:after="0" w:line="303" w:lineRule="auto"/>
        <w:tabs>
          <w:tab w:leader="none" w:pos="4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restricted stock units and option awards granted to the officer, computed in accordance with FASB ASC Topic 718. With respect to option awards, see Note 10 to our financial statements in our Annual Report on Form 10-K, filed with the SEC on March 10, 2021. The fair value of the restricted stock units is based on the market price of our common stock on the date of grant.</w:t>
      </w:r>
    </w:p>
    <w:p>
      <w:pPr>
        <w:spacing w:after="0" w:line="272" w:lineRule="exact"/>
        <w:rPr>
          <w:rFonts w:ascii="Arial" w:cs="Arial" w:eastAsia="Arial" w:hAnsi="Arial"/>
          <w:sz w:val="17"/>
          <w:szCs w:val="17"/>
          <w:color w:val="auto"/>
        </w:rPr>
      </w:pPr>
    </w:p>
    <w:p>
      <w:pPr>
        <w:jc w:val="both"/>
        <w:ind w:left="420" w:hanging="372"/>
        <w:spacing w:after="0" w:line="266"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payments upon the achievement of 2020 and 2019 corporate goals, as applicable, as well as individual objectives, which were paid in January 2021 and January 2020, respectively. Our corporate goals included revenue growth, cash flow, expense, profitability management, reimbursement progress and clinical milestones. We did not modify these goals during 2020, due to the extent of the ongoing uncertainty for our business related to COVID-19. However, in January 2021, in finalizing the revenue goal for 2020 bonus compensation, the Compensation Committee modified the metrics for the revenue goal, taking into</w:t>
      </w:r>
    </w:p>
    <w:p>
      <w:pPr>
        <w:spacing w:after="0" w:line="1" w:lineRule="exact"/>
        <w:rPr>
          <w:rFonts w:ascii="Arial" w:cs="Arial" w:eastAsia="Arial" w:hAnsi="Arial"/>
          <w:sz w:val="18"/>
          <w:szCs w:val="18"/>
          <w:color w:val="auto"/>
        </w:rPr>
      </w:pPr>
    </w:p>
    <w:p>
      <w:pPr>
        <w:ind w:left="420"/>
        <w:spacing w:after="0" w:line="292" w:lineRule="auto"/>
        <w:rPr>
          <w:rFonts w:ascii="Arial" w:cs="Arial" w:eastAsia="Arial" w:hAnsi="Arial"/>
          <w:sz w:val="18"/>
          <w:szCs w:val="18"/>
          <w:color w:val="auto"/>
        </w:rPr>
      </w:pPr>
      <w:r>
        <w:rPr>
          <w:rFonts w:ascii="Arial" w:cs="Arial" w:eastAsia="Arial" w:hAnsi="Arial"/>
          <w:sz w:val="18"/>
          <w:szCs w:val="18"/>
          <w:color w:val="auto"/>
        </w:rPr>
        <w:t>account the unique and significant impact of COVID-19 on our revenue, as well as our management team’s effective response successfully navigating the pandemic, and our strong shareholder return during the year.</w:t>
      </w:r>
    </w:p>
    <w:p>
      <w:pPr>
        <w:spacing w:after="0" w:line="197" w:lineRule="exact"/>
        <w:rPr>
          <w:rFonts w:ascii="Arial" w:cs="Arial" w:eastAsia="Arial" w:hAnsi="Arial"/>
          <w:sz w:val="18"/>
          <w:szCs w:val="18"/>
          <w:color w:val="auto"/>
        </w:rPr>
      </w:pPr>
    </w:p>
    <w:p>
      <w:pPr>
        <w:ind w:left="420" w:hanging="372"/>
        <w:spacing w:after="0" w:line="293" w:lineRule="auto"/>
        <w:tabs>
          <w:tab w:leader="none" w:pos="4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reported for 2020 include medical and life insurance premiums paid by us on behalf of our Named Executive Officers. Medical insurance premiums paid by us were approximately $22,000 for each Named Executive Officer.</w:t>
      </w:r>
    </w:p>
    <w:p>
      <w:pPr>
        <w:spacing w:after="0" w:line="196" w:lineRule="exact"/>
        <w:rPr>
          <w:rFonts w:ascii="Arial" w:cs="Arial" w:eastAsia="Arial" w:hAnsi="Arial"/>
          <w:sz w:val="18"/>
          <w:szCs w:val="18"/>
          <w:color w:val="auto"/>
        </w:rPr>
      </w:pPr>
    </w:p>
    <w:p>
      <w:pPr>
        <w:ind w:left="420" w:hanging="372"/>
        <w:spacing w:after="0" w:line="293" w:lineRule="auto"/>
        <w:tabs>
          <w:tab w:leader="none" w:pos="4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Dunn became our Executive Chairman and ceased to be our President and Chief Executive Officer, and Ms. Francis became our Chief Executive Officer, in April 2021.</w:t>
      </w:r>
    </w:p>
    <w:p>
      <w:pPr>
        <w:spacing w:after="0" w:line="196" w:lineRule="exact"/>
        <w:rPr>
          <w:rFonts w:ascii="Arial" w:cs="Arial" w:eastAsia="Arial" w:hAnsi="Arial"/>
          <w:sz w:val="18"/>
          <w:szCs w:val="18"/>
          <w:color w:val="auto"/>
        </w:rPr>
      </w:pPr>
    </w:p>
    <w:p>
      <w:pPr>
        <w:jc w:val="both"/>
        <w:ind w:left="420" w:hanging="372"/>
        <w:spacing w:after="0" w:line="275" w:lineRule="auto"/>
        <w:tabs>
          <w:tab w:leader="none" w:pos="4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2020 proxy statement, the 2019 incentive compensation had been reported as bonus compensation and has been recharacterized as non-equity incentive plan compensation as set forth above. Amounts are amounts earned for the respective years, regardless of when paid. The amount for 2019 has been adjusted from the amount reflected in the 2020 proxy statement as the amount for 2019 incentive compensation had inadvertently reflected the amount paid in 2019 rather than the amount earned in 2019.</w:t>
      </w:r>
    </w:p>
    <w:p>
      <w:pPr>
        <w:sectPr>
          <w:pgSz w:w="11900" w:h="16838" w:orient="portrait"/>
          <w:cols w:equalWidth="0" w:num="1">
            <w:col w:w="11240"/>
          </w:cols>
          <w:pgMar w:left="320" w:top="99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999" w:right="33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2020, for our Named Executive Officers:</w:t>
      </w: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Stock Awards</w:t>
            </w: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18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 or</w:t>
            </w:r>
          </w:p>
        </w:tc>
        <w:tc>
          <w:tcPr>
            <w:tcW w:w="100" w:type="dxa"/>
            <w:vAlign w:val="bottom"/>
          </w:tcPr>
          <w:p>
            <w:pPr>
              <w:spacing w:after="0"/>
              <w:rPr>
                <w:sz w:val="14"/>
                <w:szCs w:val="14"/>
                <w:color w:val="auto"/>
              </w:rPr>
            </w:pPr>
          </w:p>
        </w:tc>
        <w:tc>
          <w:tcPr>
            <w:tcW w:w="11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Underlying</w:t>
            </w:r>
          </w:p>
        </w:tc>
        <w:tc>
          <w:tcPr>
            <w:tcW w:w="120" w:type="dxa"/>
            <w:vAlign w:val="bottom"/>
          </w:tcPr>
          <w:p>
            <w:pPr>
              <w:spacing w:after="0"/>
              <w:rPr>
                <w:sz w:val="8"/>
                <w:szCs w:val="8"/>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Units of Stock</w:t>
            </w: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80" w:type="dxa"/>
            <w:vAlign w:val="bottom"/>
          </w:tcPr>
          <w:p>
            <w:pPr>
              <w:spacing w:after="0"/>
              <w:rPr>
                <w:sz w:val="7"/>
                <w:szCs w:val="7"/>
                <w:color w:val="auto"/>
              </w:rPr>
            </w:pPr>
          </w:p>
        </w:tc>
        <w:tc>
          <w:tcPr>
            <w:tcW w:w="13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6"/>
              </w:rPr>
              <w:t>Vesting</w:t>
            </w:r>
          </w:p>
        </w:tc>
        <w:tc>
          <w:tcPr>
            <w:tcW w:w="140" w:type="dxa"/>
            <w:vAlign w:val="bottom"/>
          </w:tcPr>
          <w:p>
            <w:pPr>
              <w:spacing w:after="0"/>
              <w:rPr>
                <w:sz w:val="7"/>
                <w:szCs w:val="7"/>
                <w:color w:val="auto"/>
              </w:rPr>
            </w:pPr>
          </w:p>
        </w:tc>
        <w:tc>
          <w:tcPr>
            <w:tcW w:w="10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restart"/>
          </w:tcPr>
          <w:p>
            <w:pPr>
              <w:ind w:left="220"/>
              <w:spacing w:after="0" w:line="135" w:lineRule="exact"/>
              <w:rPr>
                <w:sz w:val="20"/>
                <w:szCs w:val="20"/>
                <w:color w:val="auto"/>
              </w:rPr>
            </w:pPr>
            <w:r>
              <w:rPr>
                <w:rFonts w:ascii="Arial" w:cs="Arial" w:eastAsia="Arial" w:hAnsi="Arial"/>
                <w:sz w:val="14"/>
                <w:szCs w:val="14"/>
                <w:b w:val="1"/>
                <w:bCs w:val="1"/>
                <w:color w:val="auto"/>
              </w:rPr>
              <w:t>Option</w:t>
            </w:r>
          </w:p>
        </w:tc>
        <w:tc>
          <w:tcPr>
            <w:tcW w:w="1180" w:type="dxa"/>
            <w:vAlign w:val="bottom"/>
            <w:gridSpan w:val="2"/>
            <w:vMerge w:val="continue"/>
          </w:tcPr>
          <w:p>
            <w:pPr>
              <w:spacing w:after="0"/>
              <w:rPr>
                <w:sz w:val="7"/>
                <w:szCs w:val="7"/>
                <w:color w:val="auto"/>
              </w:rPr>
            </w:pPr>
          </w:p>
        </w:tc>
        <w:tc>
          <w:tcPr>
            <w:tcW w:w="128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50"/>
        </w:trPr>
        <w:tc>
          <w:tcPr>
            <w:tcW w:w="118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That Have Not</w:t>
            </w: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Commencement</w:t>
            </w:r>
          </w:p>
        </w:tc>
        <w:tc>
          <w:tcPr>
            <w:tcW w:w="14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Options Vested</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Expiration</w:t>
            </w: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Stock That Have</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Unvested (#)</w:t>
            </w:r>
            <w:r>
              <w:rPr>
                <w:rFonts w:ascii="Arial" w:cs="Arial" w:eastAsia="Arial" w:hAnsi="Arial"/>
                <w:sz w:val="18"/>
                <w:szCs w:val="18"/>
                <w:b w:val="1"/>
                <w:bCs w:val="1"/>
                <w:color w:val="auto"/>
                <w:w w:val="89"/>
                <w:vertAlign w:val="superscript"/>
              </w:rPr>
              <w:t>(2)</w:t>
            </w:r>
          </w:p>
        </w:tc>
        <w:tc>
          <w:tcPr>
            <w:tcW w:w="1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Date</w:t>
            </w:r>
          </w:p>
        </w:tc>
        <w:tc>
          <w:tcPr>
            <w:tcW w:w="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Vested</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0"/>
              <w:spacing w:after="0" w:line="189" w:lineRule="exact"/>
              <w:rPr>
                <w:sz w:val="20"/>
                <w:szCs w:val="20"/>
                <w:color w:val="auto"/>
              </w:rPr>
            </w:pPr>
            <w:r>
              <w:rPr>
                <w:rFonts w:ascii="Arial" w:cs="Arial" w:eastAsia="Arial" w:hAnsi="Arial"/>
                <w:sz w:val="14"/>
                <w:szCs w:val="14"/>
                <w:b w:val="1"/>
                <w:bCs w:val="1"/>
                <w:color w:val="auto"/>
                <w:w w:val="88"/>
              </w:rPr>
              <w:t>Not Vested</w:t>
            </w:r>
            <w:r>
              <w:rPr>
                <w:rFonts w:ascii="Arial" w:cs="Arial" w:eastAsia="Arial" w:hAnsi="Arial"/>
                <w:sz w:val="18"/>
                <w:szCs w:val="18"/>
                <w:b w:val="1"/>
                <w:bCs w:val="1"/>
                <w:color w:val="auto"/>
                <w:w w:val="88"/>
                <w:vertAlign w:val="superscript"/>
              </w:rPr>
              <w:t>(3)</w:t>
            </w:r>
          </w:p>
        </w:tc>
        <w:tc>
          <w:tcPr>
            <w:tcW w:w="0" w:type="dxa"/>
            <w:vAlign w:val="bottom"/>
          </w:tcPr>
          <w:p>
            <w:pPr>
              <w:spacing w:after="0"/>
              <w:rPr>
                <w:sz w:val="1"/>
                <w:szCs w:val="1"/>
                <w:color w:val="auto"/>
              </w:rPr>
            </w:pPr>
          </w:p>
        </w:tc>
      </w:tr>
      <w:tr>
        <w:trPr>
          <w:trHeight w:val="204"/>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Jeffrey W. Dunn</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07/21/14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272,753</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07/21/24</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04/15/15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101,440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05/25/25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06/02/16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07/26/26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03/01/27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01/15/29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1,145,349</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3,382,437</w:t>
            </w:r>
          </w:p>
        </w:tc>
        <w:tc>
          <w:tcPr>
            <w:tcW w:w="0" w:type="dxa"/>
            <w:vAlign w:val="bottom"/>
          </w:tcPr>
          <w:p>
            <w:pPr>
              <w:spacing w:after="0"/>
              <w:rPr>
                <w:sz w:val="1"/>
                <w:szCs w:val="1"/>
                <w:color w:val="auto"/>
              </w:rPr>
            </w:pPr>
          </w:p>
        </w:tc>
      </w:tr>
      <w:tr>
        <w:trPr>
          <w:trHeight w:val="222"/>
        </w:trPr>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134,550</w:t>
            </w: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0"/>
                <w:szCs w:val="20"/>
                <w:color w:val="auto"/>
              </w:rPr>
            </w:pPr>
            <w:r>
              <w:rPr>
                <w:rFonts w:ascii="Arial" w:cs="Arial" w:eastAsia="Arial" w:hAnsi="Arial"/>
                <w:sz w:val="16"/>
                <w:szCs w:val="16"/>
                <w:color w:val="auto"/>
                <w:w w:val="98"/>
              </w:rPr>
              <w:t>Laura A. Francis</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05/26/15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122,392</w:t>
            </w:r>
          </w:p>
        </w:tc>
        <w:tc>
          <w:tcPr>
            <w:tcW w:w="120" w:type="dxa"/>
            <w:vAlign w:val="bottom"/>
          </w:tcPr>
          <w:p>
            <w:pPr>
              <w:spacing w:after="0"/>
              <w:rPr>
                <w:sz w:val="24"/>
                <w:szCs w:val="24"/>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4.32</w:t>
            </w:r>
          </w:p>
        </w:tc>
        <w:tc>
          <w:tcPr>
            <w:tcW w:w="1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05/25/25</w:t>
            </w:r>
          </w:p>
        </w:tc>
        <w:tc>
          <w:tcPr>
            <w:tcW w:w="1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09/06/17</w:t>
            </w:r>
          </w:p>
        </w:tc>
        <w:tc>
          <w:tcPr>
            <w:tcW w:w="1140" w:type="dxa"/>
            <w:vAlign w:val="bottom"/>
            <w:gridSpan w:val="2"/>
          </w:tcPr>
          <w:p>
            <w:pPr>
              <w:jc w:val="right"/>
              <w:ind w:right="3"/>
              <w:spacing w:after="0"/>
              <w:rPr>
                <w:sz w:val="20"/>
                <w:szCs w:val="20"/>
                <w:color w:val="auto"/>
              </w:rPr>
            </w:pPr>
            <w:r>
              <w:rPr>
                <w:rFonts w:ascii="Arial" w:cs="Arial" w:eastAsia="Arial" w:hAnsi="Arial"/>
                <w:sz w:val="16"/>
                <w:szCs w:val="16"/>
                <w:color w:val="auto"/>
              </w:rPr>
              <w:t>4030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7,247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03/01/27</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01/15/19</w:t>
            </w:r>
          </w:p>
        </w:tc>
        <w:tc>
          <w:tcPr>
            <w:tcW w:w="1140" w:type="dxa"/>
            <w:vAlign w:val="bottom"/>
            <w:gridSpan w:val="2"/>
          </w:tcPr>
          <w:p>
            <w:pPr>
              <w:jc w:val="right"/>
              <w:ind w:right="3"/>
              <w:spacing w:after="0"/>
              <w:rPr>
                <w:sz w:val="20"/>
                <w:szCs w:val="20"/>
                <w:color w:val="auto"/>
              </w:rPr>
            </w:pPr>
            <w:r>
              <w:rPr>
                <w:rFonts w:ascii="Arial" w:cs="Arial" w:eastAsia="Arial" w:hAnsi="Arial"/>
                <w:sz w:val="16"/>
                <w:szCs w:val="16"/>
                <w:color w:val="auto"/>
              </w:rPr>
              <w:t>23,671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25,729</w:t>
            </w:r>
          </w:p>
        </w:tc>
        <w:tc>
          <w:tcPr>
            <w:tcW w:w="1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22.00</w:t>
            </w:r>
          </w:p>
        </w:tc>
        <w:tc>
          <w:tcPr>
            <w:tcW w:w="14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6"/>
                <w:szCs w:val="16"/>
                <w:color w:val="auto"/>
                <w:w w:val="93"/>
              </w:rPr>
              <w:t>01/15/29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12,825</w:t>
            </w:r>
          </w:p>
        </w:tc>
        <w:tc>
          <w:tcPr>
            <w:tcW w:w="1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383,468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13,750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411,125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42,226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1,262,557</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100,913</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Anthony J.</w:t>
            </w:r>
          </w:p>
        </w:tc>
        <w:tc>
          <w:tcPr>
            <w:tcW w:w="130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3"/>
              </w:rPr>
              <w:t>07/05/16</w:t>
            </w:r>
          </w:p>
        </w:tc>
        <w:tc>
          <w:tcPr>
            <w:tcW w:w="11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6"/>
                <w:szCs w:val="16"/>
                <w:color w:val="auto"/>
              </w:rPr>
              <w:t>99,190</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760"/>
              <w:spacing w:after="0" w:line="166"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4.32</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ind w:left="300"/>
              <w:spacing w:after="0" w:line="166" w:lineRule="exact"/>
              <w:rPr>
                <w:sz w:val="20"/>
                <w:szCs w:val="20"/>
                <w:color w:val="auto"/>
              </w:rPr>
            </w:pPr>
            <w:r>
              <w:rPr>
                <w:rFonts w:ascii="Arial" w:cs="Arial" w:eastAsia="Arial" w:hAnsi="Arial"/>
                <w:sz w:val="16"/>
                <w:szCs w:val="16"/>
                <w:color w:val="auto"/>
                <w:w w:val="93"/>
              </w:rPr>
              <w:t>07/26/26</w:t>
            </w: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line="16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Recupero</w:t>
            </w:r>
          </w:p>
        </w:tc>
        <w:tc>
          <w:tcPr>
            <w:tcW w:w="13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09/06/17</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43,833</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w w:val="93"/>
              </w:rPr>
              <w:t>03/01/27</w:t>
            </w:r>
          </w:p>
        </w:tc>
        <w:tc>
          <w:tcPr>
            <w:tcW w:w="18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1180" w:type="dxa"/>
            <w:vAlign w:val="bottom"/>
            <w:shd w:val="clear" w:color="auto" w:fill="CCEEFF"/>
          </w:tcPr>
          <w:p>
            <w:pPr>
              <w:spacing w:after="0"/>
              <w:rPr>
                <w:sz w:val="4"/>
                <w:szCs w:val="4"/>
                <w:color w:val="auto"/>
              </w:rPr>
            </w:pPr>
          </w:p>
        </w:tc>
        <w:tc>
          <w:tcPr>
            <w:tcW w:w="130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120" w:type="dxa"/>
            <w:vAlign w:val="bottom"/>
            <w:gridSpan w:val="2"/>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18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01/15/19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22,240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01/15/29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331,322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1,262,557</w:t>
            </w:r>
          </w:p>
        </w:tc>
        <w:tc>
          <w:tcPr>
            <w:tcW w:w="0" w:type="dxa"/>
            <w:vAlign w:val="bottom"/>
          </w:tcPr>
          <w:p>
            <w:pPr>
              <w:spacing w:after="0"/>
              <w:rPr>
                <w:sz w:val="1"/>
                <w:szCs w:val="1"/>
                <w:color w:val="auto"/>
              </w:rPr>
            </w:pPr>
          </w:p>
        </w:tc>
      </w:tr>
      <w:tr>
        <w:trPr>
          <w:trHeight w:val="222"/>
        </w:trPr>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2598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49" w:lineRule="exact"/>
        <w:rPr>
          <w:sz w:val="20"/>
          <w:szCs w:val="20"/>
          <w:color w:val="auto"/>
        </w:rPr>
      </w:pPr>
    </w:p>
    <w:p>
      <w:pPr>
        <w:ind w:left="420" w:hanging="372"/>
        <w:spacing w:after="0" w:line="293" w:lineRule="auto"/>
        <w:tabs>
          <w:tab w:leader="none" w:pos="5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277" w:lineRule="exact"/>
        <w:rPr>
          <w:rFonts w:ascii="Arial" w:cs="Arial" w:eastAsia="Arial" w:hAnsi="Arial"/>
          <w:sz w:val="18"/>
          <w:szCs w:val="18"/>
          <w:color w:val="auto"/>
        </w:rPr>
      </w:pPr>
    </w:p>
    <w:p>
      <w:pPr>
        <w:ind w:left="420" w:hanging="372"/>
        <w:spacing w:after="0" w:line="279" w:lineRule="auto"/>
        <w:tabs>
          <w:tab w:leader="none" w:pos="3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in the event of a change of control of the company, in the case of Mr. Dunn, and termination of the award recipient’s employment in connection with a change of control of the company in the case of Ms. Francis and Mr. Recupero.</w:t>
      </w:r>
    </w:p>
    <w:p>
      <w:pPr>
        <w:spacing w:after="0" w:line="209" w:lineRule="exact"/>
        <w:rPr>
          <w:rFonts w:ascii="Arial" w:cs="Arial" w:eastAsia="Arial" w:hAnsi="Arial"/>
          <w:sz w:val="18"/>
          <w:szCs w:val="18"/>
          <w:color w:val="auto"/>
        </w:rPr>
      </w:pPr>
    </w:p>
    <w:p>
      <w:pPr>
        <w:ind w:left="420" w:hanging="372"/>
        <w:spacing w:after="0" w:line="293" w:lineRule="auto"/>
        <w:tabs>
          <w:tab w:leader="none" w:pos="3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purposes of determining market value, we assumed a stock price of $29.90, the closing sale price per share of our common stock on December 31, 2020, the last business day of our last fiscal year.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OF 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24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For the year ended December 31, 2020, the annual base salaries for each of Messrs. Dunn and Recupero were $600,000 and $380,000, respectively. For the year ended December 31, 2020, the annual base salary for Ms. Francis was $420,000. In an effort to conserve cash during the COVID-19 pandemic, effective April 1, 2020 the base salaries of all executive officers were adjusted downwards to those effective during calendar year 2019. The adjusted base salaries for each of Messrs. Dunn and Recupero were $540,000 and $330,000, respectively, and the adjusted base salary for Ms. Francis was $375,000. In connection with these reductions in base salary, on March 26, 2020, each executive officer was granted an award of restricted stock units in an amount with a value approximately equal to the difference between the adjusted base salary and the full annual base salary for the period from April 1, 2020 through December 31, 2020. These restricted stock units vested in full on January 15, 2021.</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999"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Annual Bonuses</w:t>
      </w:r>
    </w:p>
    <w:p>
      <w:pPr>
        <w:spacing w:after="0" w:line="2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maintain an annual bonus program that rewards each of our executive officers for our performance against business objectives. Our Board of Directors establishes performance goals for this program each year and then evaluates performance against these established goals to determine the amount of each award. This program is based on performance over a calendar year and pays out on or about January 31 of the following year, subject to the executive’s continued service through the payment date. All awards under this program are subject to the discretion of the Compensation Committee and the Board of Directors. For fiscal year 2020, the target annual bonuses for our Named Executive Officers were as follows: Mr. Dunn - 100% of base salary, Ms. Francis - 55% of base salary, and Mr. Recupero - 65% of base salary.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fiscal year ended December 31, 2020, we granted restricted stock units to each of our Named Executive Officers, as shown in more detail in the "Outstanding Equity Awards at Fiscal 2020 Year-End Table" above. We feel this equity mix effectively aligns Named Executive Officer compensation with shareholder returns while also achieving retention objectives. In addition, as discussed under “Base Salaries” above, we granted additional restricted stock units as a result of the reductions in base salaries.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our 401(k) match is up to $1,000 per person per year (for all staff, including Named Executive Officers), and the individual must be on staff at the end of the year to receive the match.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 2020.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SI-BONE, Inc. Severance Benefit Plan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16, 2020, the Compensation Committee of our Board of Directors of SI-BONE, Inc. adopted the SI-BONE, Inc. Severance Benefit Plan (the “Severance Plan”), and form of Participation Agreement for use with the Severance Plan, pursuant to which participants in the Severance Plan, including our Named Executive Officers, will receive severance benefits if we terminate the participant’s employment with us without “cause” or the participant resigns his or her employment for “good reason” within three</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months prior to, or within 12 months following, a “change in control” of SI-BONE (as such terms are defined in the Severance Plan). In addition, our Executive Chairperson, Jeffrey Dunn, will receive benefits under the Severance Plan if the closing of a “change in control” occurs and he agrees to provide transition services to us on a full-time basis for up to six months following the “change in control.” Participants in the Severance Plan are those employees that have been designated as participants by the Board of Directors or Compensation Committee as participants in the Severance Plan and who have signed a Participation Agreement. All of our executive officers have been designated as participants in the Severance Plan.</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Severance payments to executive officers in connection with a change in control are as follows: (1) a lump sum cash payment equal to 12 months base salary (24 months in the case of Mr. Dunn), (2) a lump sum cash payment of the then current annual target cash bonus (1.5 times annual target cash bonus in the case of Mr. Dunn), (3) COBRA coverage for 12 months (24 months in the case of Mr. Dunn), (4) full acceleration of vesting of all equity awards, and</w:t>
      </w:r>
    </w:p>
    <w:p>
      <w:pPr>
        <w:spacing w:after="0" w:line="2" w:lineRule="exact"/>
        <w:rPr>
          <w:sz w:val="20"/>
          <w:szCs w:val="20"/>
          <w:color w:val="auto"/>
        </w:rPr>
      </w:pPr>
    </w:p>
    <w:p>
      <w:pPr>
        <w:jc w:val="both"/>
        <w:ind w:firstLine="8"/>
        <w:spacing w:after="0" w:line="253" w:lineRule="auto"/>
        <w:tabs>
          <w:tab w:leader="none" w:pos="2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the post-termination exercise period to two years (or the closing of the change in control if provided in the equity award or change in control agreement). On April 18, 2021, in connection with Ms. Francis becoming Chief Executive Officer, the Board of Directors approved augmenting her severance payments in connection with a change in control to include: a lump sum cash payment equal to 18 months base salary and a lump sum cash payment of 1.5 times the then current annual target cash bonus.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the event SI-BONE terminates the employment of an executive officer without cause other than within three months prior to or 12 months following a change in control, the executive officer will receive severance payments as follows: (1) a lump sum cash payment equal to 12 months base salary, and COBRA coverage for 12 months.</w:t>
      </w:r>
    </w:p>
    <w:p>
      <w:pPr>
        <w:sectPr>
          <w:pgSz w:w="11900" w:h="16838" w:orient="portrait"/>
          <w:cols w:equalWidth="0" w:num="1">
            <w:col w:w="11240"/>
          </w:cols>
          <w:pgMar w:left="320" w:top="999" w:right="33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To obtain benefits under the Severance Plan the participant must sign and deliver to SI-BONE a release of liability in favor of SI-BONE.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and Severance Arrangement Letters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offer and severance arrangement letters with each of our executive officers. The offer letters generally provide for at-will employment and set forth the executive officer’s initial base salary, eligibility for employee benefits and confirmation of the terms of previously issued equity grants, including in some cases severance benefits on a qualifying termination of employment. In addition, each of our executive officers has executed our standard proprietary information and inventions agreement. The key terms of employment with our Named Executive Officers for 2019 and 2020 are described below. See “Executive Compensation—Outstanding Equity Awards as of December 31, 2020” for information on outstanding options as of December 31, 2020 for our Named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W. Dunn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December 2009, we entered into an offer letter with Jeffrey W. Dunn, our Executive Chairperson and former President and Chief Executive Officer, under which, among other things, if he is subject to an “involuntary termination,” then we will continue to pay his base salary and reimburse his COBRA premiums for up to 12 months. Mr. Dunn is also a participant in the Severance Plan as described above.</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2021, we entered into amendment of Mr. Dunn’s offer letter and severance plan, pursuant to which upon the transition effective on the earlier of either the hiring of a new Chief Financial Officer or May 1, 2021, (a) Mr. Dunn will become Executive Chairperson and his time commitment to us will be reduced to 50% of his full working time prior to the transition; (b) Mr. Dunn will serve in the capacity of Executive Chairperson until the earlier of the date on which the Board determines that he shall no longer serve in such capacity and May 1, 2023, at which point his employment with us will end and Mr. Dunn will transition to our non-Executive Chairperson; (c) Mr. Dunn’s base salary will be $309,000 per year, which is fifty percent (50%) of his base salary immediately preceding the transition, and his target annual bonus will be 100% of base salary, and (d) 50% of the unvested portion of the equity award granted to Mr. Dunn on January 5, 2021 will be forfeited.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Laura A. Francis</w:t>
      </w:r>
    </w:p>
    <w:p>
      <w:pPr>
        <w:spacing w:after="0" w:line="239" w:lineRule="exact"/>
        <w:rPr>
          <w:sz w:val="20"/>
          <w:szCs w:val="20"/>
          <w:color w:val="auto"/>
        </w:rPr>
      </w:pPr>
    </w:p>
    <w:p>
      <w:pPr>
        <w:spacing w:after="0" w:line="359" w:lineRule="auto"/>
        <w:rPr>
          <w:sz w:val="20"/>
          <w:szCs w:val="20"/>
          <w:color w:val="auto"/>
        </w:rPr>
      </w:pPr>
      <w:r>
        <w:rPr>
          <w:rFonts w:ascii="Arial" w:cs="Arial" w:eastAsia="Arial" w:hAnsi="Arial"/>
          <w:sz w:val="16"/>
          <w:szCs w:val="16"/>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1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within three months prior to or 12 months following the consummation of a change in control (as defined in the letter agreement), we will provide her the following benefits within 60 calendar days of her termination date:</w:t>
      </w:r>
    </w:p>
    <w:p>
      <w:pPr>
        <w:spacing w:after="0" w:line="18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her termination date; and</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These severance benefits are contingent on Ms. Francis returning all of our property, continued adherence to the terms and condition of the proprietary information and inventions agreement between us and Ms. Francis, resigning from our Board, if applicable, and executing and not revoking a release of claims. The severance letter agreement for Ms. Francis supersedes the acceleration provisions set forth in her offer letter. Ms. Francis is also a participant in the Severance Plan as described above, and her severance benefits in connection with a change of control set forth in her severance letter agreement and superseded by the Severance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Anthony J. Recupero</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June 2016, we entered into an offer letter with Anthony J. Recupero, our Chief Commercial Officer. Mr. Recupero’s offer letter provides that in the event we terminate him for any reason other than for cause (as defined in the letter agreement), we will provide him with the following benefits within 60 calendar days of his termination date:</w:t>
      </w:r>
    </w:p>
    <w:p>
      <w:pPr>
        <w:spacing w:after="0" w:line="18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18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Accelerated vesting of any unvested option shares such that 100% of the unvested option shares shall vest as of his termination date; and</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if applicable, and execution and non-revocation of a release of claims. Mr. Recupero is also a participant in the Severance Plan as described above, and his severance benefits in connection with a change of control set forth in his offer letter agreement and superseded by the Severance Plan.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00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with respect to all of our equity compensation plans in effect as of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3"/>
              </w:rPr>
              <w:t>Weighted-</w:t>
            </w:r>
          </w:p>
        </w:tc>
        <w:tc>
          <w:tcPr>
            <w:tcW w:w="22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securities to be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9"/>
              </w:rPr>
              <w:t>securities remaining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issued upon</w:t>
            </w: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89"/>
              </w:rPr>
              <w:t>average</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94"/>
              </w:rPr>
              <w:t>available for</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exercise of</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8"/>
              </w:rPr>
              <w:t>exercise price of</w:t>
            </w:r>
          </w:p>
        </w:tc>
        <w:tc>
          <w:tcPr>
            <w:tcW w:w="2280" w:type="dxa"/>
            <w:vAlign w:val="bottom"/>
            <w:gridSpan w:val="2"/>
          </w:tcPr>
          <w:p>
            <w:pPr>
              <w:jc w:val="center"/>
              <w:ind w:right="540"/>
              <w:spacing w:after="0" w:line="162" w:lineRule="exact"/>
              <w:rPr>
                <w:sz w:val="20"/>
                <w:szCs w:val="20"/>
                <w:color w:val="auto"/>
              </w:rPr>
            </w:pPr>
            <w:r>
              <w:rPr>
                <w:rFonts w:ascii="Arial" w:cs="Arial" w:eastAsia="Arial" w:hAnsi="Arial"/>
                <w:sz w:val="16"/>
                <w:szCs w:val="16"/>
                <w:b w:val="1"/>
                <w:bCs w:val="1"/>
                <w:color w:val="auto"/>
                <w:w w:val="88"/>
              </w:rPr>
              <w:t>issuance under equity</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outstanding</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outstanding</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8"/>
              </w:rPr>
              <w:t>compensation</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stock options and</w:t>
            </w:r>
          </w:p>
        </w:tc>
        <w:tc>
          <w:tcPr>
            <w:tcW w:w="100" w:type="dxa"/>
            <w:vAlign w:val="bottom"/>
          </w:tcPr>
          <w:p>
            <w:pPr>
              <w:spacing w:after="0"/>
              <w:rPr>
                <w:sz w:val="14"/>
                <w:szCs w:val="14"/>
                <w:color w:val="auto"/>
              </w:rPr>
            </w:pPr>
          </w:p>
        </w:tc>
        <w:tc>
          <w:tcPr>
            <w:tcW w:w="14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7"/>
              </w:rPr>
              <w:t>stock options and</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8"/>
              </w:rPr>
              <w:t>plans (excluding</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4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Plan Category</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awards</w:t>
            </w:r>
          </w:p>
        </w:tc>
        <w:tc>
          <w:tcPr>
            <w:tcW w:w="100" w:type="dxa"/>
            <w:vAlign w:val="bottom"/>
          </w:tcPr>
          <w:p>
            <w:pPr>
              <w:spacing w:after="0"/>
              <w:rPr>
                <w:sz w:val="14"/>
                <w:szCs w:val="14"/>
                <w:color w:val="auto"/>
              </w:rPr>
            </w:pPr>
          </w:p>
        </w:tc>
        <w:tc>
          <w:tcPr>
            <w:tcW w:w="14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awards</w:t>
            </w:r>
          </w:p>
        </w:tc>
        <w:tc>
          <w:tcPr>
            <w:tcW w:w="2280" w:type="dxa"/>
            <w:vAlign w:val="bottom"/>
            <w:gridSpan w:val="2"/>
          </w:tcPr>
          <w:p>
            <w:pPr>
              <w:jc w:val="center"/>
              <w:ind w:right="520"/>
              <w:spacing w:after="0" w:line="162" w:lineRule="exact"/>
              <w:rPr>
                <w:sz w:val="20"/>
                <w:szCs w:val="20"/>
                <w:color w:val="auto"/>
              </w:rPr>
            </w:pPr>
            <w:r>
              <w:rPr>
                <w:rFonts w:ascii="Arial" w:cs="Arial" w:eastAsia="Arial" w:hAnsi="Arial"/>
                <w:sz w:val="16"/>
                <w:szCs w:val="16"/>
                <w:b w:val="1"/>
                <w:bCs w:val="1"/>
                <w:color w:val="auto"/>
                <w:w w:val="87"/>
              </w:rPr>
              <w:t>securities reflected</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920" w:type="dxa"/>
            <w:vAlign w:val="bottom"/>
            <w:tcBorders>
              <w:bottom w:val="single" w:sz="8" w:color="CCEEFF"/>
            </w:tcBorders>
            <w:gridSpan w:val="2"/>
            <w:vMerge w:val="continue"/>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column (a)</w:t>
            </w:r>
          </w:p>
        </w:tc>
        <w:tc>
          <w:tcPr>
            <w:tcW w:w="5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20" w:type="dxa"/>
            <w:vAlign w:val="bottom"/>
          </w:tcPr>
          <w:p>
            <w:pPr>
              <w:spacing w:after="0"/>
              <w:rPr>
                <w:sz w:val="21"/>
                <w:szCs w:val="21"/>
                <w:color w:val="auto"/>
              </w:rPr>
            </w:pPr>
          </w:p>
        </w:tc>
        <w:tc>
          <w:tcPr>
            <w:tcW w:w="4920" w:type="dxa"/>
            <w:vAlign w:val="bottom"/>
            <w:gridSpan w:val="2"/>
            <w:shd w:val="clear" w:color="auto" w:fill="CCEEFF"/>
          </w:tcPr>
          <w:p>
            <w:pPr>
              <w:spacing w:after="0" w:line="253" w:lineRule="exact"/>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3"/>
                <w:szCs w:val="23"/>
                <w:color w:val="auto"/>
                <w:vertAlign w:val="superscript"/>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3,571,252</w:t>
            </w:r>
          </w:p>
        </w:tc>
        <w:tc>
          <w:tcPr>
            <w:tcW w:w="1340" w:type="dxa"/>
            <w:vAlign w:val="bottom"/>
            <w:gridSpan w:val="2"/>
            <w:shd w:val="clear" w:color="auto" w:fill="CCEEFF"/>
          </w:tcPr>
          <w:p>
            <w:pPr>
              <w:jc w:val="right"/>
              <w:spacing w:after="0" w:line="253" w:lineRule="exact"/>
              <w:rPr>
                <w:sz w:val="20"/>
                <w:szCs w:val="20"/>
                <w:color w:val="auto"/>
              </w:rPr>
            </w:pPr>
            <w:r>
              <w:rPr>
                <w:rFonts w:ascii="Arial" w:cs="Arial" w:eastAsia="Arial" w:hAnsi="Arial"/>
                <w:sz w:val="18"/>
                <w:szCs w:val="18"/>
                <w:color w:val="auto"/>
              </w:rPr>
              <w:t>$ 5.75</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jc w:val="right"/>
              <w:ind w:right="200"/>
              <w:spacing w:after="0" w:line="253" w:lineRule="exact"/>
              <w:rPr>
                <w:sz w:val="20"/>
                <w:szCs w:val="20"/>
                <w:color w:val="auto"/>
              </w:rPr>
            </w:pPr>
            <w:r>
              <w:rPr>
                <w:rFonts w:ascii="Arial" w:cs="Arial" w:eastAsia="Arial" w:hAnsi="Arial"/>
                <w:sz w:val="18"/>
                <w:szCs w:val="18"/>
                <w:color w:val="auto"/>
              </w:rPr>
              <w:t xml:space="preserve">3,549,432 </w:t>
            </w:r>
            <w:r>
              <w:rPr>
                <w:rFonts w:ascii="Arial" w:cs="Arial" w:eastAsia="Arial" w:hAnsi="Arial"/>
                <w:sz w:val="23"/>
                <w:szCs w:val="23"/>
                <w:color w:val="auto"/>
                <w:vertAlign w:val="superscript"/>
              </w:rPr>
              <w:t>(3)(4)</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3,549,432</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0" w:right="160" w:hanging="372"/>
        <w:spacing w:after="0" w:line="293" w:lineRule="auto"/>
        <w:tabs>
          <w:tab w:leader="none" w:pos="4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equity compensation plans approved by security holders are described in Note 10 to our financial statements included in our Annual Report on Form 10-K for the year ended December 31, 2020.</w:t>
      </w:r>
    </w:p>
    <w:p>
      <w:pPr>
        <w:spacing w:after="0" w:line="61" w:lineRule="exact"/>
        <w:rPr>
          <w:rFonts w:ascii="Arial" w:cs="Arial" w:eastAsia="Arial" w:hAnsi="Arial"/>
          <w:sz w:val="18"/>
          <w:szCs w:val="18"/>
          <w:color w:val="auto"/>
        </w:rPr>
      </w:pPr>
    </w:p>
    <w:p>
      <w:pPr>
        <w:ind w:left="420" w:hanging="372"/>
        <w:spacing w:after="0" w:line="293" w:lineRule="auto"/>
        <w:tabs>
          <w:tab w:leader="none" w:pos="5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weighted-average exercise price includes 1,165,295 shares issuable upon vesting of outstanding awards of restricted stock units, which have no exercise price. Excluding these awards of restricted stock units, the weighted-average exercise price would be $8.54.</w:t>
      </w:r>
    </w:p>
    <w:p>
      <w:pPr>
        <w:spacing w:after="0" w:line="61" w:lineRule="exact"/>
        <w:rPr>
          <w:rFonts w:ascii="Arial" w:cs="Arial" w:eastAsia="Arial" w:hAnsi="Arial"/>
          <w:sz w:val="18"/>
          <w:szCs w:val="18"/>
          <w:color w:val="auto"/>
        </w:rPr>
      </w:pPr>
    </w:p>
    <w:p>
      <w:pPr>
        <w:jc w:val="both"/>
        <w:ind w:left="420" w:hanging="372"/>
        <w:spacing w:after="0" w:line="275" w:lineRule="auto"/>
        <w:tabs>
          <w:tab w:leader="none" w:pos="4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2,843,814 and 705,618 shares of common stock available for issuance under the 2018 Equity Incentive Plan, or the 2018 Plan, and the 2018 Employee Stock Purchase Plan, or the ESPP, respectively, as of December 31, 2020. The shares issuable pursuant to our ESPP are not included in the number of shares to be issued pursuant to rights outstanding and the weighted-average exercise price of such rights as of December 31, 2020, as those numbers are not known.</w:t>
      </w:r>
    </w:p>
    <w:p>
      <w:pPr>
        <w:spacing w:after="0" w:line="77" w:lineRule="exact"/>
        <w:rPr>
          <w:rFonts w:ascii="Arial" w:cs="Arial" w:eastAsia="Arial" w:hAnsi="Arial"/>
          <w:sz w:val="18"/>
          <w:szCs w:val="18"/>
          <w:color w:val="auto"/>
        </w:rPr>
      </w:pPr>
    </w:p>
    <w:p>
      <w:pPr>
        <w:ind w:left="420" w:hanging="372"/>
        <w:spacing w:after="0" w:line="314" w:lineRule="auto"/>
        <w:tabs>
          <w:tab w:leader="none" w:pos="3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reserve for shares available under the 2018 Plan automatically increases on January 1st each year, through and including January 1, 2028,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of each year through and including January 1, 2028, in an amount equal to the lesser of (i) 1% of the total number of shares of common stock outstanding on such December 31, (ii) 555,000 shares of common stock, or (iii) a number of shares as determined by the Board prior to the beginning of each year.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NON-EMPLOYEE BOARD MEMBERS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shows for the fiscal year ended December 31, 2020, certain information with respect to the compensation of all non-employee directors of SI-BONE: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2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6"/>
                <w:szCs w:val="16"/>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Fees Earned or</w:t>
            </w:r>
          </w:p>
        </w:tc>
        <w:tc>
          <w:tcPr>
            <w:tcW w:w="300" w:type="dxa"/>
            <w:vAlign w:val="bottom"/>
          </w:tcPr>
          <w:p>
            <w:pPr>
              <w:spacing w:after="0"/>
              <w:rPr>
                <w:sz w:val="16"/>
                <w:szCs w:val="16"/>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3"/>
              </w:rPr>
              <w:t>Option</w:t>
            </w:r>
          </w:p>
        </w:tc>
        <w:tc>
          <w:tcPr>
            <w:tcW w:w="380" w:type="dxa"/>
            <w:vAlign w:val="bottom"/>
          </w:tcPr>
          <w:p>
            <w:pPr>
              <w:spacing w:after="0"/>
              <w:rPr>
                <w:sz w:val="16"/>
                <w:szCs w:val="16"/>
                <w:color w:val="auto"/>
              </w:rPr>
            </w:pPr>
          </w:p>
        </w:tc>
        <w:tc>
          <w:tcPr>
            <w:tcW w:w="1300" w:type="dxa"/>
            <w:vAlign w:val="bottom"/>
            <w:vMerge w:val="restart"/>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Paid in Cash</w:t>
            </w:r>
          </w:p>
        </w:tc>
        <w:tc>
          <w:tcPr>
            <w:tcW w:w="300" w:type="dxa"/>
            <w:vAlign w:val="bottom"/>
          </w:tcPr>
          <w:p>
            <w:pPr>
              <w:spacing w:after="0"/>
              <w:rPr>
                <w:sz w:val="18"/>
                <w:szCs w:val="18"/>
                <w:color w:val="auto"/>
              </w:rPr>
            </w:pPr>
          </w:p>
        </w:tc>
        <w:tc>
          <w:tcPr>
            <w:tcW w:w="1680" w:type="dxa"/>
            <w:vAlign w:val="bottom"/>
            <w:gridSpan w:val="2"/>
          </w:tcPr>
          <w:p>
            <w:pPr>
              <w:jc w:val="center"/>
              <w:ind w:right="600"/>
              <w:spacing w:after="0" w:line="216" w:lineRule="exact"/>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(1)</w:t>
            </w: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31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Timothy E. Davis, Jr.</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94,375</w:t>
            </w:r>
          </w:p>
        </w:tc>
        <w:tc>
          <w:tcPr>
            <w:tcW w:w="2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246,651</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Mark J. Foley</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38,030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190,306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John G. Freund, M.D.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Jeryl L. Hilleman</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44,767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197,043</w:t>
            </w: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Gregory K. Hinckley</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195,443</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tcPr>
          <w:p>
            <w:pPr>
              <w:ind w:left="60"/>
              <w:spacing w:after="0"/>
              <w:rPr>
                <w:sz w:val="20"/>
                <w:szCs w:val="20"/>
                <w:color w:val="auto"/>
              </w:rPr>
            </w:pPr>
            <w:r>
              <w:rPr>
                <w:rFonts w:ascii="Arial" w:cs="Arial" w:eastAsia="Arial" w:hAnsi="Arial"/>
                <w:sz w:val="18"/>
                <w:szCs w:val="18"/>
                <w:color w:val="auto"/>
              </w:rPr>
              <w:t>Karen A. Licitra</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189,776</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Keith C. Valentine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152,276</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194,776</w:t>
            </w:r>
          </w:p>
        </w:tc>
        <w:tc>
          <w:tcPr>
            <w:tcW w:w="0" w:type="dxa"/>
            <w:vAlign w:val="bottom"/>
          </w:tcPr>
          <w:p>
            <w:pPr>
              <w:spacing w:after="0"/>
              <w:rPr>
                <w:sz w:val="1"/>
                <w:szCs w:val="1"/>
                <w:color w:val="auto"/>
              </w:rPr>
            </w:pPr>
          </w:p>
        </w:tc>
      </w:tr>
      <w:tr>
        <w:trPr>
          <w:trHeight w:val="162"/>
        </w:trPr>
        <w:tc>
          <w:tcPr>
            <w:tcW w:w="1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hanging="372"/>
        <w:spacing w:after="0" w:line="296" w:lineRule="auto"/>
        <w:tabs>
          <w:tab w:leader="none" w:pos="317"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restricted stock unit awards (“RSUs”) granted to the non-employee director, computed in accordance with FASB ASC Topic 718. The fair value of the RSU grant is based on the market price of our common stock on the date of grant. See Note 2 to our financial statements in our Annual Report on Form 10-K, filed with the SEC on March 10, 2021. Only one RSU was granted to each non-employee director during 2020. No stock options were granted to our non-employee directors during 2020.</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lists the aggregate number of shares subject to outstanding stock options held by each of our non-employee directors as of December 31, 2020.</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Number of Shares</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7"/>
              </w:rPr>
              <w:t>Subject to</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Subject to</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162"/>
        </w:trPr>
        <w:tc>
          <w:tcPr>
            <w:tcW w:w="6600" w:type="dxa"/>
            <w:vAlign w:val="bottom"/>
            <w:gridSpan w:val="2"/>
            <w:vMerge w:val="restart"/>
          </w:tcPr>
          <w:p>
            <w:pPr>
              <w:ind w:left="3040"/>
              <w:spacing w:after="0"/>
              <w:rPr>
                <w:sz w:val="20"/>
                <w:szCs w:val="20"/>
                <w:color w:val="auto"/>
              </w:rPr>
            </w:pPr>
            <w:r>
              <w:rPr>
                <w:rFonts w:ascii="Arial" w:cs="Arial" w:eastAsia="Arial" w:hAnsi="Arial"/>
                <w:sz w:val="16"/>
                <w:szCs w:val="16"/>
                <w:b w:val="1"/>
                <w:bCs w:val="1"/>
                <w:color w:val="auto"/>
              </w:rPr>
              <w:t>Name</w:t>
            </w:r>
          </w:p>
        </w:tc>
        <w:tc>
          <w:tcPr>
            <w:tcW w:w="19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Options as of</w:t>
            </w: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RSUs as of</w:t>
            </w:r>
          </w:p>
        </w:tc>
        <w:tc>
          <w:tcPr>
            <w:tcW w:w="0" w:type="dxa"/>
            <w:vAlign w:val="bottom"/>
          </w:tcPr>
          <w:p>
            <w:pPr>
              <w:spacing w:after="0"/>
              <w:rPr>
                <w:sz w:val="1"/>
                <w:szCs w:val="1"/>
                <w:color w:val="auto"/>
              </w:rPr>
            </w:pPr>
          </w:p>
        </w:tc>
      </w:tr>
      <w:tr>
        <w:trPr>
          <w:trHeight w:val="213"/>
        </w:trPr>
        <w:tc>
          <w:tcPr>
            <w:tcW w:w="6600" w:type="dxa"/>
            <w:vAlign w:val="bottom"/>
            <w:gridSpan w:val="2"/>
            <w:vMerge w:val="continue"/>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December 31, 2020</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0" w:type="dxa"/>
            <w:vAlign w:val="bottom"/>
          </w:tcPr>
          <w:p>
            <w:pPr>
              <w:spacing w:after="0"/>
              <w:rPr>
                <w:sz w:val="1"/>
                <w:szCs w:val="1"/>
                <w:color w:val="auto"/>
              </w:rPr>
            </w:pPr>
          </w:p>
        </w:tc>
      </w:tr>
      <w:tr>
        <w:trPr>
          <w:trHeight w:val="226"/>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Timothy E. Davis, Jr.</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71,138</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Mark J. Foley</w:t>
            </w:r>
          </w:p>
        </w:tc>
        <w:tc>
          <w:tcPr>
            <w:tcW w:w="1760" w:type="dxa"/>
            <w:vAlign w:val="bottom"/>
          </w:tcPr>
          <w:p>
            <w:pPr>
              <w:jc w:val="right"/>
              <w:spacing w:after="0"/>
              <w:rPr>
                <w:sz w:val="20"/>
                <w:szCs w:val="20"/>
                <w:color w:val="auto"/>
              </w:rPr>
            </w:pPr>
            <w:r>
              <w:rPr>
                <w:rFonts w:ascii="Arial" w:cs="Arial" w:eastAsia="Arial" w:hAnsi="Arial"/>
                <w:sz w:val="18"/>
                <w:szCs w:val="18"/>
                <w:color w:val="auto"/>
              </w:rPr>
              <w:t>26,236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G. Freund, M.D.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Jeryl L. Hilleman</w:t>
            </w:r>
          </w:p>
        </w:tc>
        <w:tc>
          <w:tcPr>
            <w:tcW w:w="1760" w:type="dxa"/>
            <w:vAlign w:val="bottom"/>
          </w:tcPr>
          <w:p>
            <w:pPr>
              <w:jc w:val="right"/>
              <w:spacing w:after="0"/>
              <w:rPr>
                <w:sz w:val="20"/>
                <w:szCs w:val="20"/>
                <w:color w:val="auto"/>
              </w:rPr>
            </w:pPr>
            <w:r>
              <w:rPr>
                <w:rFonts w:ascii="Arial" w:cs="Arial" w:eastAsia="Arial" w:hAnsi="Arial"/>
                <w:sz w:val="18"/>
                <w:szCs w:val="18"/>
                <w:color w:val="auto"/>
              </w:rPr>
              <w:t>26,236</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K. Hinckley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Karen A. Licitra</w:t>
            </w:r>
          </w:p>
        </w:tc>
        <w:tc>
          <w:tcPr>
            <w:tcW w:w="1760" w:type="dxa"/>
            <w:vAlign w:val="bottom"/>
          </w:tcPr>
          <w:p>
            <w:pPr>
              <w:jc w:val="right"/>
              <w:spacing w:after="0"/>
              <w:rPr>
                <w:sz w:val="20"/>
                <w:szCs w:val="20"/>
                <w:color w:val="auto"/>
              </w:rPr>
            </w:pPr>
            <w:r>
              <w:rPr>
                <w:rFonts w:ascii="Arial" w:cs="Arial" w:eastAsia="Arial" w:hAnsi="Arial"/>
                <w:sz w:val="18"/>
                <w:szCs w:val="18"/>
                <w:color w:val="auto"/>
              </w:rPr>
              <w:t>59,371</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Keith C. Valentine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99" w:right="339" w:bottom="0" w:gutter="0" w:footer="0" w:header="0"/>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ectPr>
          <w:pgSz w:w="11900" w:h="16838" w:orient="portrait"/>
          <w:cols w:equalWidth="0" w:num="1">
            <w:col w:w="11240"/>
          </w:cols>
          <w:pgMar w:left="320" w:top="999" w:right="339" w:bottom="0" w:gutter="0" w:footer="0" w:header="0"/>
          <w:type w:val="continuous"/>
        </w:sectPr>
      </w:pPr>
    </w:p>
    <w:bookmarkStart w:id="34" w:name="page35"/>
    <w:bookmarkEnd w:id="34"/>
    <w:p>
      <w:pPr>
        <w:jc w:val="both"/>
        <w:spacing w:after="0" w:line="293"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and committees of our Board.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Under our non-employee director compensation policy in 2020, each non-employee director received an annual cash retainer of $40,000 for serving on our Board. In June 2020, our Board amended the policy to, among other things, eliminate the annual cash retainer and in lieu thereof increased the annual equity compensation as discussed below.</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chairperson and members of the three committees of our Board are entitled to the following additional annual cash retainers:</w:t>
      </w:r>
    </w:p>
    <w:p>
      <w:pPr>
        <w:spacing w:after="0" w:line="145" w:lineRule="exact"/>
        <w:rPr>
          <w:sz w:val="20"/>
          <w:szCs w:val="20"/>
          <w:color w:val="auto"/>
        </w:rPr>
      </w:pPr>
    </w:p>
    <w:tbl>
      <w:tblPr>
        <w:tblLayout w:type="fixed"/>
        <w:tblInd w:w="1480" w:type="dxa"/>
        <w:tblCellMar>
          <w:top w:w="0" w:type="dxa"/>
          <w:left w:w="0" w:type="dxa"/>
          <w:bottom w:w="0" w:type="dxa"/>
          <w:right w:w="0" w:type="dxa"/>
        </w:tblCellMar>
      </w:tblPr>
      <w:tr>
        <w:trPr>
          <w:trHeight w:val="213"/>
        </w:trPr>
        <w:tc>
          <w:tcPr>
            <w:tcW w:w="4740" w:type="dxa"/>
            <w:vAlign w:val="bottom"/>
            <w:tcBorders>
              <w:bottom w:val="single" w:sz="8" w:color="auto"/>
            </w:tcBorders>
          </w:tcPr>
          <w:p>
            <w:pPr>
              <w:ind w:left="1760"/>
              <w:spacing w:after="0"/>
              <w:rPr>
                <w:sz w:val="20"/>
                <w:szCs w:val="20"/>
                <w:color w:val="auto"/>
              </w:rPr>
            </w:pPr>
            <w:r>
              <w:rPr>
                <w:rFonts w:ascii="Arial" w:cs="Arial" w:eastAsia="Arial" w:hAnsi="Arial"/>
                <w:sz w:val="16"/>
                <w:szCs w:val="16"/>
                <w:b w:val="1"/>
                <w:bCs w:val="1"/>
                <w:color w:val="auto"/>
              </w:rPr>
              <w:t>Board Committee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6"/>
              </w:rPr>
              <w:t>Chairperson Fee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Member Fee</w:t>
            </w:r>
          </w:p>
        </w:tc>
      </w:tr>
      <w:tr>
        <w:trPr>
          <w:trHeight w:val="267"/>
        </w:trPr>
        <w:tc>
          <w:tcPr>
            <w:tcW w:w="4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Audit Committee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70"/>
        </w:trPr>
        <w:tc>
          <w:tcPr>
            <w:tcW w:w="4960" w:type="dxa"/>
            <w:vAlign w:val="bottom"/>
            <w:gridSpan w:val="2"/>
          </w:tcPr>
          <w:p>
            <w:pPr>
              <w:ind w:left="60"/>
              <w:spacing w:after="0"/>
              <w:rPr>
                <w:sz w:val="20"/>
                <w:szCs w:val="20"/>
                <w:color w:val="auto"/>
              </w:rPr>
            </w:pPr>
            <w:r>
              <w:rPr>
                <w:rFonts w:ascii="Arial" w:cs="Arial" w:eastAsia="Arial" w:hAnsi="Arial"/>
                <w:sz w:val="18"/>
                <w:szCs w:val="18"/>
                <w:color w:val="auto"/>
              </w:rPr>
              <w:t>Compensation Committee</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0"/>
        </w:trPr>
        <w:tc>
          <w:tcPr>
            <w:tcW w:w="4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Nominating and Corporate Governance Committee</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4960" w:type="dxa"/>
            <w:vAlign w:val="bottom"/>
            <w:gridSpan w:val="2"/>
          </w:tcPr>
          <w:p>
            <w:pPr>
              <w:ind w:left="60"/>
              <w:spacing w:after="0"/>
              <w:rPr>
                <w:sz w:val="20"/>
                <w:szCs w:val="20"/>
                <w:color w:val="auto"/>
              </w:rPr>
            </w:pPr>
            <w:r>
              <w:rPr>
                <w:rFonts w:ascii="Arial" w:cs="Arial" w:eastAsia="Arial" w:hAnsi="Arial"/>
                <w:sz w:val="18"/>
                <w:szCs w:val="18"/>
                <w:color w:val="auto"/>
              </w:rPr>
              <w:t>Lead Independent Director</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27,500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new non-employee director who joined our Board prior to the June 2020 revision to the policy received an option to purchase 26,236 shares of our common stock under the 2018 Plan. Effective with June 2020 revision to the policy, each new non-employee director who joins our Board will receive a restricted stock unit award with a value of $200,000. The shares subject to these equity awards will vest ratably over 36 months, subject to the non-employee director’s continuous service with us on each applicable vesting date.</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Prior to the June 2020 revision to the policy, on the date of each annual meeting of our stockholders, each continuing non-employee director was to receive an option to purchase 15,741 shares of our common stock under the 2018 Plan, vesting on a monthly basis over 12 months commencing on the grant date, subject to the non-employee director’s continuous service with us on each applicable vesting date. Effective with June 2020 revision to the policy, each non-employee director may receive a restricted stock unit award with a value of $120,000, vesting approximately one year from the grant date, subject to the non-employee director’s continuous service with us on each applicable vesting date.</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equity grants discussed above, to replace the annual cash retainer that previously existed under the policy and has been eliminated effective with the December 2020 revision to the policy, each non-employee director may receive a restricted stock unit award with a value of $40,000 vesting approximately one year from the grant date, subject to the non-employee director’s continuous service with us on each applicable vesting date.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 change of control (as defined in the 2018 Plan), any unvested shares subject to these equity awards will fully vest and, in the case of stock options become exercisable, immediately prior to the effective date of such change of control, subject to the non-employee director’s continuous service with us on the effective date of the change of control.</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was the closing price of our common stock as reported by the Nasdaq Global Market on the date of grant. Each stock option has a term of ten years from the date of grant, subject to earlier termination in connection with a termination of the non-employee director’s continuous service with us.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39" w:right="339" w:bottom="1440" w:gutter="0" w:footer="0" w:header="0"/>
        </w:sectPr>
      </w:pPr>
    </w:p>
    <w:bookmarkStart w:id="35" w:name="page36"/>
    <w:bookmarkEnd w:id="35"/>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 AND PROCEDURES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is a description of transactions since January 1, 2019,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Development Agreement with SeaSpine Orthopedics Corporation</w:t>
      </w:r>
    </w:p>
    <w:p>
      <w:pPr>
        <w:spacing w:after="0" w:line="13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February 2020, we entered into a joint development agreement (the “Development Agreement”) with SeaSpine Orthopedics Corporation (“</w:t>
      </w:r>
      <w:r>
        <w:rPr>
          <w:rFonts w:ascii="Arial" w:cs="Arial" w:eastAsia="Arial" w:hAnsi="Arial"/>
          <w:sz w:val="16"/>
          <w:szCs w:val="16"/>
          <w:b w:val="1"/>
          <w:bCs w:val="1"/>
          <w:i w:val="1"/>
          <w:iCs w:val="1"/>
          <w:color w:val="auto"/>
        </w:rPr>
        <w:t>SeaSpine</w:t>
      </w:r>
      <w:r>
        <w:rPr>
          <w:rFonts w:ascii="Arial" w:cs="Arial" w:eastAsia="Arial" w:hAnsi="Arial"/>
          <w:sz w:val="16"/>
          <w:szCs w:val="16"/>
          <w:color w:val="auto"/>
        </w:rPr>
        <w:t>”) to develop a next generation device for sacropelvic fixation. Mr. Valentine, who serves as the President, Chief Executive Officer and a member of the board of directors of SeaSpine, also serves as a member of our Board of Directors. Pursuant to the development plan, SeaSpine shall use reasonable efforts to assist in the development of the potential product offering, including licensing certain existing intellectual property to be incorporated into the product. Under the terms of the Development Agreement, we agreed to make monthly payments of approximately $10,000 to SeaSpine to reimburse for full time resources employed by SeaSpine conducting the development activities during the period in which such development activities occurred. Certain intellectual property developed pursuant to the project plan will be owned by us, certain intellectual property developed pursuant to the project plan will be owned by SeaSpine, and other intellectual property developed pursuant to the project plan will be jointly owned by SeaSpine and us. We also agreed to provide SeaSpine a royalty-free, worldwide, perpetual, non-exclusive license of certain intellectual property incorporated into the product to be developed. We also agreed to pay SeaSpine a product royalty, in an amount specified in the Development Agreement, for each resulting product sold for a period of 10 years beginning on the initial market launch. The term of the Development Agreement shall continue until the expiration of all royalty terms, unless earlier terminated by either parties, in situations defined in the Development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Public Offering</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January 2020, we issued and sold shares of common stock in an underwritten public offering (the “</w:t>
      </w:r>
      <w:r>
        <w:rPr>
          <w:rFonts w:ascii="Arial" w:cs="Arial" w:eastAsia="Arial" w:hAnsi="Arial"/>
          <w:sz w:val="18"/>
          <w:szCs w:val="18"/>
          <w:b w:val="1"/>
          <w:bCs w:val="1"/>
          <w:i w:val="1"/>
          <w:iCs w:val="1"/>
          <w:color w:val="auto"/>
        </w:rPr>
        <w:t>First 2020 Public Offering</w:t>
      </w:r>
      <w:r>
        <w:rPr>
          <w:rFonts w:ascii="Arial" w:cs="Arial" w:eastAsia="Arial" w:hAnsi="Arial"/>
          <w:sz w:val="18"/>
          <w:szCs w:val="18"/>
          <w:color w:val="auto"/>
        </w:rPr>
        <w:t>”). Each of Skyline Venture Partners V., L.P., (“</w:t>
      </w:r>
      <w:r>
        <w:rPr>
          <w:rFonts w:ascii="Arial" w:cs="Arial" w:eastAsia="Arial" w:hAnsi="Arial"/>
          <w:sz w:val="18"/>
          <w:szCs w:val="18"/>
          <w:b w:val="1"/>
          <w:bCs w:val="1"/>
          <w:i w:val="1"/>
          <w:iCs w:val="1"/>
          <w:color w:val="auto"/>
        </w:rPr>
        <w:t>Skyline</w:t>
      </w:r>
      <w:r>
        <w:rPr>
          <w:rFonts w:ascii="Arial" w:cs="Arial" w:eastAsia="Arial" w:hAnsi="Arial"/>
          <w:sz w:val="18"/>
          <w:szCs w:val="18"/>
          <w:color w:val="auto"/>
        </w:rPr>
        <w:t>”), Montreux IV, L.P. (“</w:t>
      </w:r>
      <w:r>
        <w:rPr>
          <w:rFonts w:ascii="Arial" w:cs="Arial" w:eastAsia="Arial" w:hAnsi="Arial"/>
          <w:sz w:val="18"/>
          <w:szCs w:val="18"/>
          <w:b w:val="1"/>
          <w:bCs w:val="1"/>
          <w:i w:val="1"/>
          <w:iCs w:val="1"/>
          <w:color w:val="auto"/>
        </w:rPr>
        <w:t>Montreux</w:t>
      </w:r>
      <w:r>
        <w:rPr>
          <w:rFonts w:ascii="Arial" w:cs="Arial" w:eastAsia="Arial" w:hAnsi="Arial"/>
          <w:sz w:val="18"/>
          <w:szCs w:val="18"/>
          <w:color w:val="auto"/>
        </w:rPr>
        <w:t>”) and Arboretum Ventures IV, L.P. (“</w:t>
      </w:r>
      <w:r>
        <w:rPr>
          <w:rFonts w:ascii="Arial" w:cs="Arial" w:eastAsia="Arial" w:hAnsi="Arial"/>
          <w:sz w:val="18"/>
          <w:szCs w:val="18"/>
          <w:b w:val="1"/>
          <w:bCs w:val="1"/>
          <w:i w:val="1"/>
          <w:iCs w:val="1"/>
          <w:color w:val="auto"/>
        </w:rPr>
        <w:t>Arboretum,</w:t>
      </w:r>
      <w:r>
        <w:rPr>
          <w:rFonts w:ascii="Arial" w:cs="Arial" w:eastAsia="Arial" w:hAnsi="Arial"/>
          <w:sz w:val="18"/>
          <w:szCs w:val="18"/>
          <w:color w:val="auto"/>
        </w:rPr>
        <w:t>” and collectively with Skyline and Montreux, the “</w:t>
      </w:r>
      <w:r>
        <w:rPr>
          <w:rFonts w:ascii="Arial" w:cs="Arial" w:eastAsia="Arial" w:hAnsi="Arial"/>
          <w:sz w:val="18"/>
          <w:szCs w:val="18"/>
          <w:b w:val="1"/>
          <w:bCs w:val="1"/>
          <w:i w:val="1"/>
          <w:iCs w:val="1"/>
          <w:color w:val="auto"/>
        </w:rPr>
        <w:t>Selling Shareholders</w:t>
      </w:r>
      <w:r>
        <w:rPr>
          <w:rFonts w:ascii="Arial" w:cs="Arial" w:eastAsia="Arial" w:hAnsi="Arial"/>
          <w:sz w:val="18"/>
          <w:szCs w:val="18"/>
          <w:color w:val="auto"/>
        </w:rPr>
        <w:t>”) sold shares in the offering. Each of the Selling Shareholders held more than 5% of our capital stock at the time of the First 2020 Public Offering, and Dr. Freund is a managing partner of Skyline Ventures, an affiliate of Skyline. In connection with the First 2020 Public Offering, we, the representatives of the underwriters, and the Selling Shareholders entered into an underwriting agreement pursuant to which Skyline, Montreux and Arboretum sold 1,000,000, 649,947 and 160,000 shares, respectively, for approximately $21,500,000, $13,973,860 and $3,440,000, respectively, before underwriting discounts and commissions.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2020, we issued and sold shares of common stock in an underwritten public offering (the “</w:t>
      </w:r>
      <w:r>
        <w:rPr>
          <w:rFonts w:ascii="Arial" w:cs="Arial" w:eastAsia="Arial" w:hAnsi="Arial"/>
          <w:sz w:val="17"/>
          <w:szCs w:val="17"/>
          <w:b w:val="1"/>
          <w:bCs w:val="1"/>
          <w:i w:val="1"/>
          <w:iCs w:val="1"/>
          <w:color w:val="auto"/>
        </w:rPr>
        <w:t>Second 2020 Public Offering</w:t>
      </w:r>
      <w:r>
        <w:rPr>
          <w:rFonts w:ascii="Arial" w:cs="Arial" w:eastAsia="Arial" w:hAnsi="Arial"/>
          <w:sz w:val="17"/>
          <w:szCs w:val="17"/>
          <w:color w:val="auto"/>
        </w:rPr>
        <w:t>”) in which Skyline sold 190,053 shares for approximately $4,181,166, before underwriting discounts and commissions. Skyline held more than 5% of our capital stock at the time of the Second 2020 Public Offering, and Dr. Freund is a managing partner of Skyline Ventures, an affiliate of Skyline.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98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SI-BONE’s directors and executive officers, and persons who own more than ten percent of a registered class of SI-BONE’s equity securities, to file with the SEC initial reports of ownership and reports of changes in ownership of common stock and other equity securities of SI-BONE. Officers, directors and greater than ten percent stockholders are required by SEC regulation to furnish SI-BONE with copies of all Section 16(a) forms they file.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SI-BONE’s knowledge, based solely on a review of the copies of such reports furnished to SI-BONE and written representations that no other reports were required, during the fiscal year ended December 31, 2020, all Section 16(a) filing requirements applicable to its officers, directors and greater than ten percent beneficial owners were complied with except that one Form 4 reporting one transaction by Skyline Venture Partners V, L.P., a ten percent stockholder at the time, its general partner, Skyline Venture Management V, LLC, and John Freund, an SI-BONE director, was filed late.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amended and restated certificate of incorporation contains provisions limiting the liability of directors, and our amended and restated bylaws provide that we will indemnify each of our directors to the fullest extent permitted under Delaware law. Our amended and restated certificate of incorporation and amended and restated bylaws also provide our Board with discretion to indemnify our officers and employees when determined appropriate by our Board.</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and intend to enter into indemnification agreements with each of our directors and executive officers and certain other key employees.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AND PROXY MATERIALS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year, a number of brokers with account holders who are SI-BONE, Inc. stockholders will be “householding” SI-BONE’s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SI-BONE, Inc. Direct your written request to SI-BONE, Inc, Attn: Michael A. Pisetsky, Chief Legal Officer, 471 El Camino Real, Suite 101, Santa Clara, California 95050. Stockholders who currently receive multiple copies of the Annual Meeting materials at their addresses and would like to request “householding” of their communications should contact their brokers.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985"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to the extent permitted under Rule 14a-4(c)(1) under the Exchange Act, on such matters in accordance with their best judgment.</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6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560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Michael A. Pisetsky</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Secretary and Chief Legal</w:t>
      </w:r>
    </w:p>
    <w:p>
      <w:pPr>
        <w:ind w:left="45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April 26, 2021</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copy of SI-BONE, Inc.’s Annual Report to the Securities and Exchange Commission on Form 10-K for the fiscal year ended December 31, 2020 is available without charge upon written request to: Corporate Secretary, SI-BONE, Inc, 471 El Camino Real, Suite 101, Santa Clara, California 95050.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985"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594995</wp:posOffset>
            </wp:positionV>
            <wp:extent cx="6172200" cy="7526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594995</wp:posOffset>
            </wp:positionV>
            <wp:extent cx="6172200" cy="7938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793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bullet"/>
      <w:start w:val="1"/>
    </w:lvl>
  </w:abstractNum>
  <w:abstractNum w:abstractNumId="7">
    <w:nsid w:val="628C895D"/>
    <w:multiLevelType w:val="hybridMultilevel"/>
    <w:lvl w:ilvl="0">
      <w:lvlJc w:val="left"/>
      <w:lvlText w:val="2"/>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bullet"/>
      <w:start w:val="1"/>
    </w:lvl>
  </w:abstractNum>
  <w:abstractNum w:abstractNumId="14">
    <w:nsid w:val="8EDBDAB"/>
    <w:multiLevelType w:val="hybridMultilevel"/>
    <w:lvl w:ilvl="0">
      <w:lvlJc w:val="left"/>
      <w:lvlText w:val="2"/>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0"/>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ü"/>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2021-04-26T16:17:13Z</dcterms:created>
  <dcterms:modified xsi:type="dcterms:W3CDTF">2021-04-26T16:17:13Z</dcterms:modified>
</cp:coreProperties>
</file>