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December 3, 2019</w:t>
      </w:r>
    </w:p>
    <w:p>
      <w:pPr>
        <w:spacing w:after="0" w:line="12"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170" w:lineRule="exact"/>
        <w:rPr>
          <w:sz w:val="24"/>
          <w:szCs w:val="24"/>
          <w:color w:val="auto"/>
        </w:rPr>
      </w:pPr>
    </w:p>
    <w:tbl>
      <w:tblPr>
        <w:tblLayout w:type="fixed"/>
        <w:tblInd w:w="700" w:type="dxa"/>
        <w:tblCellMar>
          <w:top w:w="0" w:type="dxa"/>
          <w:left w:w="0" w:type="dxa"/>
          <w:bottom w:w="0" w:type="dxa"/>
          <w:right w:w="0" w:type="dxa"/>
        </w:tblCellMar>
      </w:tblPr>
      <w:tr>
        <w:trPr>
          <w:trHeight w:val="210"/>
        </w:trPr>
        <w:tc>
          <w:tcPr>
            <w:tcW w:w="3220" w:type="dxa"/>
            <w:vAlign w:val="bottom"/>
            <w:gridSpan w:val="3"/>
          </w:tcPr>
          <w:p>
            <w:pPr>
              <w:jc w:val="center"/>
              <w:ind w:right="1159"/>
              <w:spacing w:after="0"/>
              <w:rPr>
                <w:sz w:val="20"/>
                <w:szCs w:val="20"/>
                <w:color w:val="auto"/>
              </w:rPr>
            </w:pPr>
            <w:r>
              <w:rPr>
                <w:rFonts w:ascii="Arial" w:cs="Arial" w:eastAsia="Arial" w:hAnsi="Arial"/>
                <w:sz w:val="16"/>
                <w:szCs w:val="16"/>
                <w:b w:val="1"/>
                <w:bCs w:val="1"/>
                <w:color w:val="auto"/>
                <w:w w:val="93"/>
              </w:rPr>
              <w:t>Delaware</w:t>
            </w:r>
          </w:p>
        </w:tc>
        <w:tc>
          <w:tcPr>
            <w:tcW w:w="2360" w:type="dxa"/>
            <w:vAlign w:val="bottom"/>
            <w:gridSpan w:val="2"/>
          </w:tcPr>
          <w:p>
            <w:pPr>
              <w:jc w:val="center"/>
              <w:ind w:left="979"/>
              <w:spacing w:after="0"/>
              <w:rPr>
                <w:sz w:val="20"/>
                <w:szCs w:val="20"/>
                <w:color w:val="auto"/>
              </w:rPr>
            </w:pPr>
            <w:r>
              <w:rPr>
                <w:rFonts w:ascii="Arial" w:cs="Arial" w:eastAsia="Arial" w:hAnsi="Arial"/>
                <w:sz w:val="16"/>
                <w:szCs w:val="16"/>
                <w:b w:val="1"/>
                <w:bCs w:val="1"/>
                <w:color w:val="auto"/>
                <w:w w:val="91"/>
              </w:rPr>
              <w:t>001-38701</w:t>
            </w:r>
          </w:p>
        </w:tc>
        <w:tc>
          <w:tcPr>
            <w:tcW w:w="1100" w:type="dxa"/>
            <w:vAlign w:val="bottom"/>
          </w:tcPr>
          <w:p>
            <w:pPr>
              <w:spacing w:after="0"/>
              <w:rPr>
                <w:sz w:val="18"/>
                <w:szCs w:val="18"/>
                <w:color w:val="auto"/>
              </w:rPr>
            </w:pPr>
          </w:p>
        </w:tc>
        <w:tc>
          <w:tcPr>
            <w:tcW w:w="30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3220" w:type="dxa"/>
            <w:vAlign w:val="bottom"/>
            <w:gridSpan w:val="3"/>
          </w:tcPr>
          <w:p>
            <w:pPr>
              <w:jc w:val="center"/>
              <w:ind w:right="1179"/>
              <w:spacing w:after="0"/>
              <w:rPr>
                <w:sz w:val="20"/>
                <w:szCs w:val="20"/>
                <w:color w:val="auto"/>
              </w:rPr>
            </w:pPr>
            <w:r>
              <w:rPr>
                <w:rFonts w:ascii="Arial" w:cs="Arial" w:eastAsia="Arial" w:hAnsi="Arial"/>
                <w:sz w:val="16"/>
                <w:szCs w:val="16"/>
                <w:color w:val="auto"/>
                <w:w w:val="93"/>
              </w:rPr>
              <w:t>(State or other jurisdiction of</w:t>
            </w:r>
          </w:p>
        </w:tc>
        <w:tc>
          <w:tcPr>
            <w:tcW w:w="1060" w:type="dxa"/>
            <w:vAlign w:val="bottom"/>
          </w:tcPr>
          <w:p>
            <w:pPr>
              <w:spacing w:after="0"/>
              <w:rPr>
                <w:sz w:val="21"/>
                <w:szCs w:val="21"/>
                <w:color w:val="auto"/>
              </w:rPr>
            </w:pPr>
          </w:p>
        </w:tc>
        <w:tc>
          <w:tcPr>
            <w:tcW w:w="2400" w:type="dxa"/>
            <w:vAlign w:val="bottom"/>
            <w:gridSpan w:val="2"/>
          </w:tcPr>
          <w:p>
            <w:pPr>
              <w:jc w:val="center"/>
              <w:ind w:right="1100"/>
              <w:spacing w:after="0"/>
              <w:rPr>
                <w:sz w:val="20"/>
                <w:szCs w:val="20"/>
                <w:color w:val="auto"/>
              </w:rPr>
            </w:pPr>
            <w:r>
              <w:rPr>
                <w:rFonts w:ascii="Arial" w:cs="Arial" w:eastAsia="Arial" w:hAnsi="Arial"/>
                <w:sz w:val="16"/>
                <w:szCs w:val="16"/>
                <w:color w:val="auto"/>
                <w:w w:val="92"/>
              </w:rPr>
              <w:t>(Commission</w:t>
            </w:r>
          </w:p>
        </w:tc>
        <w:tc>
          <w:tcPr>
            <w:tcW w:w="40" w:type="dxa"/>
            <w:vAlign w:val="bottom"/>
          </w:tcPr>
          <w:p>
            <w:pPr>
              <w:spacing w:after="0"/>
              <w:rPr>
                <w:sz w:val="21"/>
                <w:szCs w:val="21"/>
                <w:color w:val="auto"/>
              </w:rPr>
            </w:pPr>
          </w:p>
        </w:tc>
        <w:tc>
          <w:tcPr>
            <w:tcW w:w="3000" w:type="dxa"/>
            <w:vAlign w:val="bottom"/>
          </w:tcPr>
          <w:p>
            <w:pPr>
              <w:jc w:val="center"/>
              <w:ind w:left="1079"/>
              <w:spacing w:after="0"/>
              <w:rPr>
                <w:sz w:val="20"/>
                <w:szCs w:val="20"/>
                <w:color w:val="auto"/>
              </w:rPr>
            </w:pPr>
            <w:r>
              <w:rPr>
                <w:rFonts w:ascii="Arial" w:cs="Arial" w:eastAsia="Arial" w:hAnsi="Arial"/>
                <w:sz w:val="16"/>
                <w:szCs w:val="16"/>
                <w:color w:val="auto"/>
                <w:w w:val="95"/>
              </w:rPr>
              <w:t>(I.R.S. Employer</w:t>
            </w:r>
          </w:p>
        </w:tc>
      </w:tr>
      <w:tr>
        <w:trPr>
          <w:trHeight w:val="206"/>
        </w:trPr>
        <w:tc>
          <w:tcPr>
            <w:tcW w:w="3220" w:type="dxa"/>
            <w:vAlign w:val="bottom"/>
            <w:gridSpan w:val="3"/>
          </w:tcPr>
          <w:p>
            <w:pPr>
              <w:jc w:val="center"/>
              <w:ind w:right="1179"/>
              <w:spacing w:after="0"/>
              <w:rPr>
                <w:sz w:val="20"/>
                <w:szCs w:val="20"/>
                <w:color w:val="auto"/>
              </w:rPr>
            </w:pPr>
            <w:r>
              <w:rPr>
                <w:rFonts w:ascii="Arial" w:cs="Arial" w:eastAsia="Arial" w:hAnsi="Arial"/>
                <w:sz w:val="16"/>
                <w:szCs w:val="16"/>
                <w:color w:val="auto"/>
                <w:w w:val="94"/>
              </w:rPr>
              <w:t>incorporation or organization)</w:t>
            </w:r>
          </w:p>
        </w:tc>
        <w:tc>
          <w:tcPr>
            <w:tcW w:w="1060" w:type="dxa"/>
            <w:vAlign w:val="bottom"/>
          </w:tcPr>
          <w:p>
            <w:pPr>
              <w:spacing w:after="0"/>
              <w:rPr>
                <w:sz w:val="17"/>
                <w:szCs w:val="17"/>
                <w:color w:val="auto"/>
              </w:rPr>
            </w:pPr>
          </w:p>
        </w:tc>
        <w:tc>
          <w:tcPr>
            <w:tcW w:w="2400" w:type="dxa"/>
            <w:vAlign w:val="bottom"/>
            <w:gridSpan w:val="2"/>
          </w:tcPr>
          <w:p>
            <w:pPr>
              <w:jc w:val="center"/>
              <w:ind w:right="1120"/>
              <w:spacing w:after="0"/>
              <w:rPr>
                <w:sz w:val="20"/>
                <w:szCs w:val="20"/>
                <w:color w:val="auto"/>
              </w:rPr>
            </w:pPr>
            <w:r>
              <w:rPr>
                <w:rFonts w:ascii="Arial" w:cs="Arial" w:eastAsia="Arial" w:hAnsi="Arial"/>
                <w:sz w:val="16"/>
                <w:szCs w:val="16"/>
                <w:color w:val="auto"/>
                <w:w w:val="95"/>
              </w:rPr>
              <w:t>File Number)</w:t>
            </w:r>
          </w:p>
        </w:tc>
        <w:tc>
          <w:tcPr>
            <w:tcW w:w="40" w:type="dxa"/>
            <w:vAlign w:val="bottom"/>
          </w:tcPr>
          <w:p>
            <w:pPr>
              <w:spacing w:after="0"/>
              <w:rPr>
                <w:sz w:val="17"/>
                <w:szCs w:val="17"/>
                <w:color w:val="auto"/>
              </w:rPr>
            </w:pPr>
          </w:p>
        </w:tc>
        <w:tc>
          <w:tcPr>
            <w:tcW w:w="3000" w:type="dxa"/>
            <w:vAlign w:val="bottom"/>
          </w:tcPr>
          <w:p>
            <w:pPr>
              <w:jc w:val="center"/>
              <w:ind w:left="1079"/>
              <w:spacing w:after="0"/>
              <w:rPr>
                <w:sz w:val="20"/>
                <w:szCs w:val="20"/>
                <w:color w:val="auto"/>
              </w:rPr>
            </w:pPr>
            <w:r>
              <w:rPr>
                <w:rFonts w:ascii="Arial" w:cs="Arial" w:eastAsia="Arial" w:hAnsi="Arial"/>
                <w:sz w:val="16"/>
                <w:szCs w:val="16"/>
                <w:color w:val="auto"/>
                <w:w w:val="96"/>
              </w:rPr>
              <w:t>Identification No.)</w:t>
            </w:r>
          </w:p>
        </w:tc>
      </w:tr>
      <w:tr>
        <w:trPr>
          <w:trHeight w:val="397"/>
        </w:trPr>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w w:val="93"/>
              </w:rPr>
              <w:t>471 El Camino Real</w:t>
            </w: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89"/>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w w:val="91"/>
              </w:rPr>
              <w:t>Suite 101</w:t>
            </w:r>
          </w:p>
        </w:tc>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193"/>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Santa Clara, CA 95050</w:t>
            </w:r>
          </w:p>
        </w:tc>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206"/>
        </w:trPr>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gridSpan w:val="3"/>
          </w:tcPr>
          <w:p>
            <w:pPr>
              <w:jc w:val="center"/>
              <w:spacing w:after="0"/>
              <w:rPr>
                <w:sz w:val="20"/>
                <w:szCs w:val="20"/>
                <w:color w:val="auto"/>
              </w:rPr>
            </w:pPr>
            <w:r>
              <w:rPr>
                <w:rFonts w:ascii="Arial" w:cs="Arial" w:eastAsia="Arial" w:hAnsi="Arial"/>
                <w:sz w:val="16"/>
                <w:szCs w:val="16"/>
                <w:color w:val="auto"/>
                <w:w w:val="93"/>
              </w:rPr>
              <w:t>(Address of principal executive offices) (Zip Code)</w:t>
            </w:r>
          </w:p>
        </w:tc>
        <w:tc>
          <w:tcPr>
            <w:tcW w:w="4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88"/>
        </w:trPr>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60" w:type="dxa"/>
            <w:vAlign w:val="bottom"/>
            <w:gridSpan w:val="2"/>
          </w:tcPr>
          <w:p>
            <w:pPr>
              <w:jc w:val="center"/>
              <w:ind w:left="1059"/>
              <w:spacing w:after="0"/>
              <w:rPr>
                <w:sz w:val="20"/>
                <w:szCs w:val="20"/>
                <w:color w:val="auto"/>
              </w:rPr>
            </w:pPr>
            <w:r>
              <w:rPr>
                <w:rFonts w:ascii="Arial" w:cs="Arial" w:eastAsia="Arial" w:hAnsi="Arial"/>
                <w:sz w:val="16"/>
                <w:szCs w:val="16"/>
                <w:b w:val="1"/>
                <w:bCs w:val="1"/>
                <w:color w:val="auto"/>
                <w:w w:val="93"/>
              </w:rPr>
              <w:t>(408) 207-0700</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6"/>
        </w:trPr>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gridSpan w:val="3"/>
          </w:tcPr>
          <w:p>
            <w:pPr>
              <w:jc w:val="center"/>
              <w:spacing w:after="0"/>
              <w:rPr>
                <w:sz w:val="20"/>
                <w:szCs w:val="20"/>
                <w:color w:val="auto"/>
              </w:rPr>
            </w:pPr>
            <w:r>
              <w:rPr>
                <w:rFonts w:ascii="Arial" w:cs="Arial" w:eastAsia="Arial" w:hAnsi="Arial"/>
                <w:sz w:val="16"/>
                <w:szCs w:val="16"/>
                <w:color w:val="auto"/>
                <w:w w:val="90"/>
              </w:rPr>
              <w:t>(Registrant’s telephone number, include area code)</w:t>
            </w:r>
          </w:p>
        </w:tc>
        <w:tc>
          <w:tcPr>
            <w:tcW w:w="4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88"/>
        </w:trPr>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rPr>
              <w:t>N/A</w:t>
            </w: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6"/>
        </w:trPr>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20" w:type="dxa"/>
            <w:vAlign w:val="bottom"/>
            <w:gridSpan w:val="6"/>
          </w:tcPr>
          <w:p>
            <w:pPr>
              <w:jc w:val="center"/>
              <w:ind w:right="1979"/>
              <w:spacing w:after="0"/>
              <w:rPr>
                <w:sz w:val="20"/>
                <w:szCs w:val="20"/>
                <w:color w:val="auto"/>
              </w:rPr>
            </w:pPr>
            <w:r>
              <w:rPr>
                <w:rFonts w:ascii="Arial" w:cs="Arial" w:eastAsia="Arial" w:hAnsi="Arial"/>
                <w:sz w:val="16"/>
                <w:szCs w:val="16"/>
                <w:color w:val="auto"/>
                <w:w w:val="92"/>
              </w:rPr>
              <w:t>(Former Name or Former Address, if Changed Since Last Report)</w:t>
            </w:r>
          </w:p>
        </w:tc>
      </w:tr>
      <w:tr>
        <w:trPr>
          <w:trHeight w:val="378"/>
        </w:trPr>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20" w:type="dxa"/>
            <w:vAlign w:val="bottom"/>
            <w:gridSpan w:val="6"/>
          </w:tcPr>
          <w:p>
            <w:pPr>
              <w:jc w:val="center"/>
              <w:ind w:right="1999"/>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17"/>
        </w:trPr>
        <w:tc>
          <w:tcPr>
            <w:tcW w:w="10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10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3220" w:type="dxa"/>
            <w:vAlign w:val="bottom"/>
            <w:gridSpan w:val="3"/>
          </w:tcPr>
          <w:p>
            <w:pPr>
              <w:jc w:val="center"/>
              <w:ind w:left="79"/>
              <w:spacing w:after="0"/>
              <w:rPr>
                <w:sz w:val="20"/>
                <w:szCs w:val="20"/>
                <w:color w:val="auto"/>
              </w:rPr>
            </w:pPr>
            <w:r>
              <w:rPr>
                <w:rFonts w:ascii="Arial" w:cs="Arial" w:eastAsia="Arial" w:hAnsi="Arial"/>
                <w:sz w:val="16"/>
                <w:szCs w:val="16"/>
                <w:color w:val="auto"/>
                <w:w w:val="91"/>
              </w:rPr>
              <w:t>Common Stock, par value $0.0001 per share</w:t>
            </w:r>
          </w:p>
        </w:tc>
        <w:tc>
          <w:tcPr>
            <w:tcW w:w="1060" w:type="dxa"/>
            <w:vAlign w:val="bottom"/>
          </w:tcPr>
          <w:p>
            <w:pPr>
              <w:spacing w:after="0"/>
              <w:rPr>
                <w:sz w:val="23"/>
                <w:szCs w:val="23"/>
                <w:color w:val="auto"/>
              </w:rPr>
            </w:pPr>
          </w:p>
        </w:tc>
        <w:tc>
          <w:tcPr>
            <w:tcW w:w="2400" w:type="dxa"/>
            <w:vAlign w:val="bottom"/>
            <w:gridSpan w:val="2"/>
          </w:tcPr>
          <w:p>
            <w:pPr>
              <w:jc w:val="center"/>
              <w:ind w:right="1100"/>
              <w:spacing w:after="0"/>
              <w:rPr>
                <w:sz w:val="20"/>
                <w:szCs w:val="20"/>
                <w:color w:val="auto"/>
              </w:rPr>
            </w:pPr>
            <w:r>
              <w:rPr>
                <w:rFonts w:ascii="Arial" w:cs="Arial" w:eastAsia="Arial" w:hAnsi="Arial"/>
                <w:sz w:val="16"/>
                <w:szCs w:val="16"/>
                <w:color w:val="auto"/>
              </w:rPr>
              <w:t>SIBN</w:t>
            </w:r>
          </w:p>
        </w:tc>
        <w:tc>
          <w:tcPr>
            <w:tcW w:w="4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95" w:lineRule="exact"/>
        <w:rPr>
          <w:sz w:val="24"/>
          <w:szCs w:val="24"/>
          <w:color w:val="auto"/>
        </w:rPr>
      </w:pPr>
    </w:p>
    <w:p>
      <w:pPr>
        <w:ind w:left="1540" w:hanging="694"/>
        <w:spacing w:after="0"/>
        <w:tabs>
          <w:tab w:leader="none" w:pos="1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Arial" w:cs="Arial" w:eastAsia="Arial" w:hAnsi="Arial"/>
          <w:sz w:val="16"/>
          <w:szCs w:val="16"/>
          <w:color w:val="auto"/>
        </w:rPr>
      </w:pPr>
    </w:p>
    <w:p>
      <w:pPr>
        <w:ind w:left="1540" w:hanging="694"/>
        <w:spacing w:after="0"/>
        <w:tabs>
          <w:tab w:leader="none" w:pos="1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Arial" w:cs="Arial" w:eastAsia="Arial" w:hAnsi="Arial"/>
          <w:sz w:val="16"/>
          <w:szCs w:val="16"/>
          <w:color w:val="auto"/>
        </w:rPr>
      </w:pPr>
    </w:p>
    <w:p>
      <w:pPr>
        <w:ind w:left="1540" w:hanging="694"/>
        <w:spacing w:after="0"/>
        <w:tabs>
          <w:tab w:leader="none" w:pos="1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8" w:lineRule="exact"/>
        <w:rPr>
          <w:sz w:val="24"/>
          <w:szCs w:val="24"/>
          <w:color w:val="auto"/>
        </w:rPr>
      </w:pPr>
    </w:p>
    <w:p>
      <w:pPr>
        <w:ind w:left="1560" w:hanging="694"/>
        <w:spacing w:after="0"/>
        <w:tabs>
          <w:tab w:leader="none" w:pos="1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jc w:val="center"/>
        <w:ind w:right="-19"/>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1"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40"/>
          </w:cols>
          <w:pgMar w:left="280" w:top="306" w:right="279" w:bottom="1440" w:gutter="0" w:footer="0" w:header="0"/>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 2019, Jeryl ("Jeri") Hilleman joined the Board of Directors of SI-BONE, Inc. (the “Company”) and was appointed to be the Chair of the Audit Committee. Ms. Hilleman is a member of the Board of Directors and Audit Committee Chair of Novocure, a commercial international oncology company delivering a novel device therapy for solid tumors called Tumor Treating Fields (Nasdaq: NVCR) and Minerva Neurosciences (Nasdaq: NERV), a clinical stage company focused on innovative solutions for patients with central nervous system diseases.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non-employee director Ms. Hilleman will receive the following compensation under the Company’s non-employee director compensation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policy: (1) an annual cash retainer of $40,000 for serving on the Board; (2) an additional annual cash retainer of $20,000 for serving as the Chair of the Audit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(3) an initial option to purchase 26,236 shares of the Company’s common stock, which will vest on a monthly basis over 36 months commencing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 grant date, subject to her continuous service with the Company on each applicable vesting date; and (4) on the date of each annual meeting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 option to purchase 15,741 shares of the Company’s common stock, vesting on a monthly basis over 12 months commencing on the grant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subject to her continuous service with the Company on each applicable vesting date.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the closing price of the Company’s common stock as reported by the Nasdaq Global Market on the date of grant. Each stock option will have a term of ten years from the date of grant, subject to earlier termination in connection with a termination of the non-employee director’s continuous service with the Company, and will be subject to accelerated vesting in the event of a change in control of the Company. The Company will also enter into its standard form of indemnification agreement with Ms. Hilleman.</w:t>
      </w:r>
    </w:p>
    <w:p>
      <w:pPr>
        <w:sectPr>
          <w:pgSz w:w="11900" w:h="16838" w:orient="portrait"/>
          <w:cols w:equalWidth="0" w:num="1">
            <w:col w:w="11420"/>
          </w:cols>
          <w:pgMar w:left="240" w:top="337"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December 4, 2019</w:t>
      </w:r>
    </w:p>
    <w:p>
      <w:pPr>
        <w:spacing w:after="0" w:line="333" w:lineRule="exact"/>
        <w:rPr>
          <w:sz w:val="20"/>
          <w:szCs w:val="20"/>
          <w:color w:val="auto"/>
        </w:rPr>
      </w:pPr>
    </w:p>
    <w:p>
      <w:pPr>
        <w:ind w:left="49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40640</wp:posOffset>
            </wp:positionV>
            <wp:extent cx="34220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Operating Officer and Chief Financial Officer</w:t>
      </w:r>
    </w:p>
    <w:sectPr>
      <w:pgSz w:w="11900" w:h="16838" w:orient="portrait"/>
      <w:cols w:equalWidth="0" w:num="1">
        <w:col w:w="11000"/>
      </w:cols>
      <w:pgMar w:left="240" w:top="33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2019-12-04T16:02:53Z</dcterms:created>
  <dcterms:modified xsi:type="dcterms:W3CDTF">2019-12-04T16:02:53Z</dcterms:modified>
</cp:coreProperties>
</file>