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January 3, 2020</w:t>
      </w:r>
    </w:p>
    <w:p>
      <w:pPr>
        <w:spacing w:after="0" w:line="12"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170" w:lineRule="exact"/>
        <w:rPr>
          <w:sz w:val="24"/>
          <w:szCs w:val="24"/>
          <w:color w:val="auto"/>
        </w:rPr>
      </w:pPr>
    </w:p>
    <w:tbl>
      <w:tblPr>
        <w:tblLayout w:type="fixed"/>
        <w:tblInd w:w="700" w:type="dxa"/>
        <w:tblCellMar>
          <w:top w:w="0" w:type="dxa"/>
          <w:left w:w="0" w:type="dxa"/>
          <w:bottom w:w="0" w:type="dxa"/>
          <w:right w:w="0" w:type="dxa"/>
        </w:tblCellMar>
      </w:tblPr>
      <w:tr>
        <w:trPr>
          <w:trHeight w:val="210"/>
        </w:trPr>
        <w:tc>
          <w:tcPr>
            <w:tcW w:w="3220" w:type="dxa"/>
            <w:vAlign w:val="bottom"/>
            <w:gridSpan w:val="3"/>
          </w:tcPr>
          <w:p>
            <w:pPr>
              <w:jc w:val="center"/>
              <w:ind w:right="1159"/>
              <w:spacing w:after="0"/>
              <w:rPr>
                <w:sz w:val="20"/>
                <w:szCs w:val="20"/>
                <w:color w:val="auto"/>
              </w:rPr>
            </w:pPr>
            <w:r>
              <w:rPr>
                <w:rFonts w:ascii="Arial" w:cs="Arial" w:eastAsia="Arial" w:hAnsi="Arial"/>
                <w:sz w:val="16"/>
                <w:szCs w:val="16"/>
                <w:b w:val="1"/>
                <w:bCs w:val="1"/>
                <w:color w:val="auto"/>
                <w:w w:val="93"/>
              </w:rPr>
              <w:t>Delaware</w:t>
            </w:r>
          </w:p>
        </w:tc>
        <w:tc>
          <w:tcPr>
            <w:tcW w:w="2360" w:type="dxa"/>
            <w:vAlign w:val="bottom"/>
            <w:gridSpan w:val="2"/>
          </w:tcPr>
          <w:p>
            <w:pPr>
              <w:jc w:val="center"/>
              <w:ind w:left="979"/>
              <w:spacing w:after="0"/>
              <w:rPr>
                <w:sz w:val="20"/>
                <w:szCs w:val="20"/>
                <w:color w:val="auto"/>
              </w:rPr>
            </w:pPr>
            <w:r>
              <w:rPr>
                <w:rFonts w:ascii="Arial" w:cs="Arial" w:eastAsia="Arial" w:hAnsi="Arial"/>
                <w:sz w:val="16"/>
                <w:szCs w:val="16"/>
                <w:b w:val="1"/>
                <w:bCs w:val="1"/>
                <w:color w:val="auto"/>
                <w:w w:val="91"/>
              </w:rPr>
              <w:t>001-38701</w:t>
            </w:r>
          </w:p>
        </w:tc>
        <w:tc>
          <w:tcPr>
            <w:tcW w:w="1100" w:type="dxa"/>
            <w:vAlign w:val="bottom"/>
          </w:tcPr>
          <w:p>
            <w:pPr>
              <w:spacing w:after="0"/>
              <w:rPr>
                <w:sz w:val="18"/>
                <w:szCs w:val="18"/>
                <w:color w:val="auto"/>
              </w:rPr>
            </w:pPr>
          </w:p>
        </w:tc>
        <w:tc>
          <w:tcPr>
            <w:tcW w:w="30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3220" w:type="dxa"/>
            <w:vAlign w:val="bottom"/>
            <w:gridSpan w:val="3"/>
          </w:tcPr>
          <w:p>
            <w:pPr>
              <w:jc w:val="center"/>
              <w:ind w:right="1179"/>
              <w:spacing w:after="0"/>
              <w:rPr>
                <w:sz w:val="20"/>
                <w:szCs w:val="20"/>
                <w:color w:val="auto"/>
              </w:rPr>
            </w:pPr>
            <w:r>
              <w:rPr>
                <w:rFonts w:ascii="Arial" w:cs="Arial" w:eastAsia="Arial" w:hAnsi="Arial"/>
                <w:sz w:val="16"/>
                <w:szCs w:val="16"/>
                <w:color w:val="auto"/>
                <w:w w:val="93"/>
              </w:rPr>
              <w:t>(State or other jurisdiction of</w:t>
            </w:r>
          </w:p>
        </w:tc>
        <w:tc>
          <w:tcPr>
            <w:tcW w:w="1060" w:type="dxa"/>
            <w:vAlign w:val="bottom"/>
          </w:tcPr>
          <w:p>
            <w:pPr>
              <w:spacing w:after="0"/>
              <w:rPr>
                <w:sz w:val="21"/>
                <w:szCs w:val="21"/>
                <w:color w:val="auto"/>
              </w:rPr>
            </w:pPr>
          </w:p>
        </w:tc>
        <w:tc>
          <w:tcPr>
            <w:tcW w:w="2400" w:type="dxa"/>
            <w:vAlign w:val="bottom"/>
            <w:gridSpan w:val="2"/>
          </w:tcPr>
          <w:p>
            <w:pPr>
              <w:jc w:val="center"/>
              <w:ind w:right="1100"/>
              <w:spacing w:after="0"/>
              <w:rPr>
                <w:sz w:val="20"/>
                <w:szCs w:val="20"/>
                <w:color w:val="auto"/>
              </w:rPr>
            </w:pPr>
            <w:r>
              <w:rPr>
                <w:rFonts w:ascii="Arial" w:cs="Arial" w:eastAsia="Arial" w:hAnsi="Arial"/>
                <w:sz w:val="16"/>
                <w:szCs w:val="16"/>
                <w:color w:val="auto"/>
                <w:w w:val="92"/>
              </w:rPr>
              <w:t>(Commission</w:t>
            </w:r>
          </w:p>
        </w:tc>
        <w:tc>
          <w:tcPr>
            <w:tcW w:w="40" w:type="dxa"/>
            <w:vAlign w:val="bottom"/>
          </w:tcPr>
          <w:p>
            <w:pPr>
              <w:spacing w:after="0"/>
              <w:rPr>
                <w:sz w:val="21"/>
                <w:szCs w:val="21"/>
                <w:color w:val="auto"/>
              </w:rPr>
            </w:pPr>
          </w:p>
        </w:tc>
        <w:tc>
          <w:tcPr>
            <w:tcW w:w="3000" w:type="dxa"/>
            <w:vAlign w:val="bottom"/>
          </w:tcPr>
          <w:p>
            <w:pPr>
              <w:jc w:val="center"/>
              <w:ind w:left="1079"/>
              <w:spacing w:after="0"/>
              <w:rPr>
                <w:sz w:val="20"/>
                <w:szCs w:val="20"/>
                <w:color w:val="auto"/>
              </w:rPr>
            </w:pPr>
            <w:r>
              <w:rPr>
                <w:rFonts w:ascii="Arial" w:cs="Arial" w:eastAsia="Arial" w:hAnsi="Arial"/>
                <w:sz w:val="16"/>
                <w:szCs w:val="16"/>
                <w:color w:val="auto"/>
                <w:w w:val="95"/>
              </w:rPr>
              <w:t>(I.R.S. Employer</w:t>
            </w:r>
          </w:p>
        </w:tc>
      </w:tr>
      <w:tr>
        <w:trPr>
          <w:trHeight w:val="206"/>
        </w:trPr>
        <w:tc>
          <w:tcPr>
            <w:tcW w:w="3220" w:type="dxa"/>
            <w:vAlign w:val="bottom"/>
            <w:gridSpan w:val="3"/>
          </w:tcPr>
          <w:p>
            <w:pPr>
              <w:jc w:val="center"/>
              <w:ind w:right="1179"/>
              <w:spacing w:after="0"/>
              <w:rPr>
                <w:sz w:val="20"/>
                <w:szCs w:val="20"/>
                <w:color w:val="auto"/>
              </w:rPr>
            </w:pPr>
            <w:r>
              <w:rPr>
                <w:rFonts w:ascii="Arial" w:cs="Arial" w:eastAsia="Arial" w:hAnsi="Arial"/>
                <w:sz w:val="16"/>
                <w:szCs w:val="16"/>
                <w:color w:val="auto"/>
                <w:w w:val="94"/>
              </w:rPr>
              <w:t>incorporation or organization)</w:t>
            </w:r>
          </w:p>
        </w:tc>
        <w:tc>
          <w:tcPr>
            <w:tcW w:w="1060" w:type="dxa"/>
            <w:vAlign w:val="bottom"/>
          </w:tcPr>
          <w:p>
            <w:pPr>
              <w:spacing w:after="0"/>
              <w:rPr>
                <w:sz w:val="17"/>
                <w:szCs w:val="17"/>
                <w:color w:val="auto"/>
              </w:rPr>
            </w:pPr>
          </w:p>
        </w:tc>
        <w:tc>
          <w:tcPr>
            <w:tcW w:w="2400" w:type="dxa"/>
            <w:vAlign w:val="bottom"/>
            <w:gridSpan w:val="2"/>
          </w:tcPr>
          <w:p>
            <w:pPr>
              <w:jc w:val="center"/>
              <w:ind w:right="1120"/>
              <w:spacing w:after="0"/>
              <w:rPr>
                <w:sz w:val="20"/>
                <w:szCs w:val="20"/>
                <w:color w:val="auto"/>
              </w:rPr>
            </w:pPr>
            <w:r>
              <w:rPr>
                <w:rFonts w:ascii="Arial" w:cs="Arial" w:eastAsia="Arial" w:hAnsi="Arial"/>
                <w:sz w:val="16"/>
                <w:szCs w:val="16"/>
                <w:color w:val="auto"/>
                <w:w w:val="95"/>
              </w:rPr>
              <w:t>File Number)</w:t>
            </w:r>
          </w:p>
        </w:tc>
        <w:tc>
          <w:tcPr>
            <w:tcW w:w="40" w:type="dxa"/>
            <w:vAlign w:val="bottom"/>
          </w:tcPr>
          <w:p>
            <w:pPr>
              <w:spacing w:after="0"/>
              <w:rPr>
                <w:sz w:val="17"/>
                <w:szCs w:val="17"/>
                <w:color w:val="auto"/>
              </w:rPr>
            </w:pPr>
          </w:p>
        </w:tc>
        <w:tc>
          <w:tcPr>
            <w:tcW w:w="3000" w:type="dxa"/>
            <w:vAlign w:val="bottom"/>
          </w:tcPr>
          <w:p>
            <w:pPr>
              <w:jc w:val="center"/>
              <w:ind w:left="107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w w:val="93"/>
              </w:rPr>
              <w:t>471 El Camino Real</w:t>
            </w: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89"/>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91"/>
              </w:rPr>
              <w:t>Suite 101</w:t>
            </w:r>
          </w:p>
        </w:tc>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193"/>
        </w:trPr>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Santa Clara, CA 95050</w:t>
            </w:r>
          </w:p>
        </w:tc>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06"/>
        </w:trPr>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gridSpan w:val="3"/>
          </w:tcPr>
          <w:p>
            <w:pPr>
              <w:jc w:val="center"/>
              <w:spacing w:after="0"/>
              <w:rPr>
                <w:sz w:val="20"/>
                <w:szCs w:val="20"/>
                <w:color w:val="auto"/>
              </w:rPr>
            </w:pPr>
            <w:r>
              <w:rPr>
                <w:rFonts w:ascii="Arial" w:cs="Arial" w:eastAsia="Arial" w:hAnsi="Arial"/>
                <w:sz w:val="16"/>
                <w:szCs w:val="16"/>
                <w:color w:val="auto"/>
                <w:w w:val="93"/>
              </w:rPr>
              <w:t>(Address of principal executive offices) (Zip Code)</w:t>
            </w:r>
          </w:p>
        </w:tc>
        <w:tc>
          <w:tcPr>
            <w:tcW w:w="4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8"/>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60" w:type="dxa"/>
            <w:vAlign w:val="bottom"/>
            <w:gridSpan w:val="2"/>
          </w:tcPr>
          <w:p>
            <w:pPr>
              <w:jc w:val="center"/>
              <w:ind w:left="1059"/>
              <w:spacing w:after="0"/>
              <w:rPr>
                <w:sz w:val="20"/>
                <w:szCs w:val="20"/>
                <w:color w:val="auto"/>
              </w:rPr>
            </w:pPr>
            <w:r>
              <w:rPr>
                <w:rFonts w:ascii="Arial" w:cs="Arial" w:eastAsia="Arial" w:hAnsi="Arial"/>
                <w:sz w:val="16"/>
                <w:szCs w:val="16"/>
                <w:b w:val="1"/>
                <w:bCs w:val="1"/>
                <w:color w:val="auto"/>
                <w:w w:val="93"/>
              </w:rPr>
              <w:t>(408) 207-0700</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gridSpan w:val="3"/>
          </w:tcPr>
          <w:p>
            <w:pPr>
              <w:jc w:val="center"/>
              <w:spacing w:after="0"/>
              <w:rPr>
                <w:sz w:val="20"/>
                <w:szCs w:val="20"/>
                <w:color w:val="auto"/>
              </w:rPr>
            </w:pPr>
            <w:r>
              <w:rPr>
                <w:rFonts w:ascii="Arial" w:cs="Arial" w:eastAsia="Arial" w:hAnsi="Arial"/>
                <w:sz w:val="16"/>
                <w:szCs w:val="16"/>
                <w:color w:val="auto"/>
                <w:w w:val="90"/>
              </w:rPr>
              <w:t>(Registrant’s telephone number, include area code)</w:t>
            </w:r>
          </w:p>
        </w:tc>
        <w:tc>
          <w:tcPr>
            <w:tcW w:w="4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8"/>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rPr>
              <w:t>N/A</w:t>
            </w: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20" w:type="dxa"/>
            <w:vAlign w:val="bottom"/>
            <w:gridSpan w:val="6"/>
          </w:tcPr>
          <w:p>
            <w:pPr>
              <w:jc w:val="center"/>
              <w:ind w:right="1979"/>
              <w:spacing w:after="0"/>
              <w:rPr>
                <w:sz w:val="20"/>
                <w:szCs w:val="20"/>
                <w:color w:val="auto"/>
              </w:rPr>
            </w:pPr>
            <w:r>
              <w:rPr>
                <w:rFonts w:ascii="Arial" w:cs="Arial" w:eastAsia="Arial" w:hAnsi="Arial"/>
                <w:sz w:val="16"/>
                <w:szCs w:val="16"/>
                <w:color w:val="auto"/>
                <w:w w:val="92"/>
              </w:rPr>
              <w:t>(Former Name or Former Address, if Changed Since Last Report)</w:t>
            </w:r>
          </w:p>
        </w:tc>
      </w:tr>
      <w:tr>
        <w:trPr>
          <w:trHeight w:val="378"/>
        </w:trPr>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20" w:type="dxa"/>
            <w:vAlign w:val="bottom"/>
            <w:gridSpan w:val="6"/>
          </w:tcPr>
          <w:p>
            <w:pPr>
              <w:jc w:val="center"/>
              <w:ind w:right="199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17"/>
        </w:trPr>
        <w:tc>
          <w:tcPr>
            <w:tcW w:w="10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10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220" w:type="dxa"/>
            <w:vAlign w:val="bottom"/>
            <w:gridSpan w:val="3"/>
          </w:tcPr>
          <w:p>
            <w:pPr>
              <w:jc w:val="center"/>
              <w:ind w:left="79"/>
              <w:spacing w:after="0"/>
              <w:rPr>
                <w:sz w:val="20"/>
                <w:szCs w:val="20"/>
                <w:color w:val="auto"/>
              </w:rPr>
            </w:pPr>
            <w:r>
              <w:rPr>
                <w:rFonts w:ascii="Arial" w:cs="Arial" w:eastAsia="Arial" w:hAnsi="Arial"/>
                <w:sz w:val="16"/>
                <w:szCs w:val="16"/>
                <w:color w:val="auto"/>
                <w:w w:val="91"/>
              </w:rPr>
              <w:t>Common Stock, par value $0.0001 per share</w:t>
            </w:r>
          </w:p>
        </w:tc>
        <w:tc>
          <w:tcPr>
            <w:tcW w:w="1060" w:type="dxa"/>
            <w:vAlign w:val="bottom"/>
          </w:tcPr>
          <w:p>
            <w:pPr>
              <w:spacing w:after="0"/>
              <w:rPr>
                <w:sz w:val="23"/>
                <w:szCs w:val="23"/>
                <w:color w:val="auto"/>
              </w:rPr>
            </w:pPr>
          </w:p>
        </w:tc>
        <w:tc>
          <w:tcPr>
            <w:tcW w:w="2400" w:type="dxa"/>
            <w:vAlign w:val="bottom"/>
            <w:gridSpan w:val="2"/>
          </w:tcPr>
          <w:p>
            <w:pPr>
              <w:jc w:val="center"/>
              <w:ind w:right="1100"/>
              <w:spacing w:after="0"/>
              <w:rPr>
                <w:sz w:val="20"/>
                <w:szCs w:val="20"/>
                <w:color w:val="auto"/>
              </w:rPr>
            </w:pPr>
            <w:r>
              <w:rPr>
                <w:rFonts w:ascii="Arial" w:cs="Arial" w:eastAsia="Arial" w:hAnsi="Arial"/>
                <w:sz w:val="16"/>
                <w:szCs w:val="16"/>
                <w:color w:val="auto"/>
              </w:rPr>
              <w:t>SIBN</w:t>
            </w:r>
          </w:p>
        </w:tc>
        <w:tc>
          <w:tcPr>
            <w:tcW w:w="4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540" w:hanging="694"/>
        <w:spacing w:after="0"/>
        <w:tabs>
          <w:tab w:leader="none" w:pos="1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Arial" w:cs="Arial" w:eastAsia="Arial" w:hAnsi="Arial"/>
          <w:sz w:val="16"/>
          <w:szCs w:val="16"/>
          <w:color w:val="auto"/>
        </w:rPr>
      </w:pPr>
    </w:p>
    <w:p>
      <w:pPr>
        <w:ind w:left="1540" w:hanging="694"/>
        <w:spacing w:after="0"/>
        <w:tabs>
          <w:tab w:leader="none" w:pos="1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Arial" w:cs="Arial" w:eastAsia="Arial" w:hAnsi="Arial"/>
          <w:sz w:val="16"/>
          <w:szCs w:val="16"/>
          <w:color w:val="auto"/>
        </w:rPr>
      </w:pPr>
    </w:p>
    <w:p>
      <w:pPr>
        <w:ind w:left="1540" w:hanging="694"/>
        <w:spacing w:after="0"/>
        <w:tabs>
          <w:tab w:leader="none" w:pos="1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8" w:lineRule="exact"/>
        <w:rPr>
          <w:sz w:val="24"/>
          <w:szCs w:val="24"/>
          <w:color w:val="auto"/>
        </w:rPr>
      </w:pPr>
    </w:p>
    <w:p>
      <w:pPr>
        <w:ind w:left="1560" w:hanging="694"/>
        <w:spacing w:after="0"/>
        <w:tabs>
          <w:tab w:leader="none" w:pos="1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jc w:val="center"/>
        <w:ind w:right="-19"/>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40"/>
          </w:cols>
          <w:pgMar w:left="280" w:top="306" w:right="279" w:bottom="1440" w:gutter="0" w:footer="0" w:header="0"/>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Corporate Bonus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2020, the Compensation Committee of the Board of Directors of SI-BONE,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adopted the 2020 US Bonus Plan, (the</w:t>
      </w:r>
    </w:p>
    <w:p>
      <w:pPr>
        <w:spacing w:after="0" w:line="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2020 Bonus Plan</w:t>
      </w:r>
      <w:r>
        <w:rPr>
          <w:rFonts w:ascii="Arial" w:cs="Arial" w:eastAsia="Arial" w:hAnsi="Arial"/>
          <w:sz w:val="16"/>
          <w:szCs w:val="16"/>
          <w:color w:val="auto"/>
        </w:rPr>
        <w:t>”) which provides eligible employees the opportunity to earn a variable cash payment based on the level of achievement by the Company of revenue goals (40%), EBITDA goals (20%) and non-financial business goals (40%), each through December 31, 2020 (the “</w:t>
      </w:r>
      <w:r>
        <w:rPr>
          <w:rFonts w:ascii="Arial" w:cs="Arial" w:eastAsia="Arial" w:hAnsi="Arial"/>
          <w:sz w:val="16"/>
          <w:szCs w:val="16"/>
          <w:b w:val="1"/>
          <w:bCs w:val="1"/>
          <w:i w:val="1"/>
          <w:iCs w:val="1"/>
          <w:color w:val="auto"/>
        </w:rPr>
        <w:t>Goals</w:t>
      </w:r>
      <w:r>
        <w:rPr>
          <w:rFonts w:ascii="Arial" w:cs="Arial" w:eastAsia="Arial" w:hAnsi="Arial"/>
          <w:sz w:val="16"/>
          <w:szCs w:val="16"/>
          <w:color w:val="auto"/>
        </w:rPr>
        <w:t>”). Actual bonuses will be calculated based on actual achievement of the Goals as a percentage multiplied by target bonus, where actual performance can range from 80% to 125%.</w:t>
      </w:r>
    </w:p>
    <w:p>
      <w:pPr>
        <w:spacing w:after="0" w:line="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on January 3, 2020, the Compensation Committee established the 2020 base salary and target bonuses for each of the Company’s named executive officers (the officers appearing in the Company’s most recent summary compensation table, which appears in the Company’s most recent proxy statement, filed with the Securities and Exchange Commission on April 30, 2019, as follows:</w:t>
      </w:r>
    </w:p>
    <w:p>
      <w:pPr>
        <w:spacing w:after="0" w:line="32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Total 2020 Target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 w:type="dxa"/>
            <w:vAlign w:val="bottom"/>
          </w:tcPr>
          <w:p>
            <w:pPr>
              <w:spacing w:after="0"/>
              <w:rPr>
                <w:sz w:val="12"/>
                <w:szCs w:val="12"/>
                <w:color w:val="auto"/>
              </w:rPr>
            </w:pPr>
          </w:p>
        </w:tc>
        <w:tc>
          <w:tcPr>
            <w:tcW w:w="12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3"/>
              </w:rPr>
              <w:t>Total 2020 Target</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Bonus as a</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2020 Base Salary</w:t>
            </w:r>
          </w:p>
        </w:tc>
        <w:tc>
          <w:tcPr>
            <w:tcW w:w="200" w:type="dxa"/>
            <w:vAlign w:val="bottom"/>
            <w:vMerge w:val="restart"/>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Performance Bonus</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Jeffrey W. Dunn</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i w:val="1"/>
                <w:iCs w:val="1"/>
                <w:color w:val="auto"/>
              </w:rPr>
              <w:t>President and Chief Executive Officer</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Laura A. Francis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420,000</w:t>
            </w:r>
          </w:p>
        </w:tc>
        <w:tc>
          <w:tcPr>
            <w:tcW w:w="2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231,000</w:t>
            </w:r>
          </w:p>
        </w:tc>
        <w:tc>
          <w:tcPr>
            <w:tcW w:w="0" w:type="dxa"/>
            <w:vAlign w:val="bottom"/>
          </w:tcPr>
          <w:p>
            <w:pPr>
              <w:spacing w:after="0"/>
              <w:rPr>
                <w:sz w:val="1"/>
                <w:szCs w:val="1"/>
                <w:color w:val="auto"/>
              </w:rPr>
            </w:pPr>
          </w:p>
        </w:tc>
      </w:tr>
      <w:tr>
        <w:trPr>
          <w:trHeight w:val="270"/>
        </w:trPr>
        <w:tc>
          <w:tcPr>
            <w:tcW w:w="5420" w:type="dxa"/>
            <w:vAlign w:val="bottom"/>
          </w:tcPr>
          <w:p>
            <w:pPr>
              <w:ind w:left="2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Anthony J. Recupero</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380,000</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247,000</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Chief Commercial Officer</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240" w:top="337"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January 3, 2020</w:t>
      </w:r>
    </w:p>
    <w:p>
      <w:pPr>
        <w:spacing w:after="0" w:line="333" w:lineRule="exact"/>
        <w:rPr>
          <w:sz w:val="20"/>
          <w:szCs w:val="20"/>
          <w:color w:val="auto"/>
        </w:rPr>
      </w:pPr>
    </w:p>
    <w:p>
      <w:pPr>
        <w:ind w:left="49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40640</wp:posOffset>
            </wp:positionV>
            <wp:extent cx="3422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Operating Officer and Chief Financial Officer</w:t>
      </w:r>
    </w:p>
    <w:sectPr>
      <w:pgSz w:w="11900" w:h="16838" w:orient="portrait"/>
      <w:cols w:equalWidth="0" w:num="1">
        <w:col w:w="11000"/>
      </w:cols>
      <w:pgMar w:left="240" w:top="33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2020-01-03T15:24:59Z</dcterms:created>
  <dcterms:modified xsi:type="dcterms:W3CDTF">2020-01-03T15:24:59Z</dcterms:modified>
</cp:coreProperties>
</file>