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August 8, 2022</w:t>
      </w:r>
    </w:p>
    <w:p>
      <w:pPr>
        <w:spacing w:after="0" w:line="12"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SI-BONE,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48" w:lineRule="exact"/>
        <w:rPr>
          <w:sz w:val="24"/>
          <w:szCs w:val="24"/>
          <w:color w:val="auto"/>
        </w:rPr>
      </w:pPr>
    </w:p>
    <w:tbl>
      <w:tblPr>
        <w:tblLayout w:type="fixed"/>
        <w:tblInd w:w="720" w:type="dxa"/>
        <w:tblCellMar>
          <w:top w:w="0" w:type="dxa"/>
          <w:left w:w="0" w:type="dxa"/>
          <w:bottom w:w="0" w:type="dxa"/>
          <w:right w:w="0" w:type="dxa"/>
        </w:tblCellMar>
      </w:tblPr>
      <w:tr>
        <w:trPr>
          <w:trHeight w:val="210"/>
        </w:trPr>
        <w:tc>
          <w:tcPr>
            <w:tcW w:w="2340" w:type="dxa"/>
            <w:vAlign w:val="bottom"/>
          </w:tcPr>
          <w:p>
            <w:pPr>
              <w:jc w:val="center"/>
              <w:ind w:right="299"/>
              <w:spacing w:after="0"/>
              <w:rPr>
                <w:sz w:val="20"/>
                <w:szCs w:val="20"/>
                <w:color w:val="auto"/>
              </w:rPr>
            </w:pPr>
            <w:r>
              <w:rPr>
                <w:rFonts w:ascii="Arial" w:cs="Arial" w:eastAsia="Arial" w:hAnsi="Arial"/>
                <w:sz w:val="16"/>
                <w:szCs w:val="16"/>
                <w:b w:val="1"/>
                <w:bCs w:val="1"/>
                <w:color w:val="auto"/>
                <w:w w:val="91"/>
              </w:rPr>
              <w:t>Delaware</w:t>
            </w:r>
          </w:p>
        </w:tc>
        <w:tc>
          <w:tcPr>
            <w:tcW w:w="518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001-38701</w:t>
            </w:r>
          </w:p>
        </w:tc>
        <w:tc>
          <w:tcPr>
            <w:tcW w:w="1720" w:type="dxa"/>
            <w:vAlign w:val="bottom"/>
          </w:tcPr>
          <w:p>
            <w:pPr>
              <w:jc w:val="center"/>
              <w:ind w:left="419"/>
              <w:spacing w:after="0"/>
              <w:rPr>
                <w:sz w:val="20"/>
                <w:szCs w:val="20"/>
                <w:color w:val="auto"/>
              </w:rPr>
            </w:pPr>
            <w:r>
              <w:rPr>
                <w:rFonts w:ascii="Arial" w:cs="Arial" w:eastAsia="Arial" w:hAnsi="Arial"/>
                <w:sz w:val="16"/>
                <w:szCs w:val="16"/>
                <w:b w:val="1"/>
                <w:bCs w:val="1"/>
                <w:color w:val="auto"/>
                <w:w w:val="91"/>
              </w:rPr>
              <w:t>26-2216351</w:t>
            </w:r>
          </w:p>
        </w:tc>
      </w:tr>
      <w:tr>
        <w:trPr>
          <w:trHeight w:val="172"/>
        </w:trPr>
        <w:tc>
          <w:tcPr>
            <w:tcW w:w="2340" w:type="dxa"/>
            <w:vAlign w:val="bottom"/>
          </w:tcPr>
          <w:p>
            <w:pPr>
              <w:jc w:val="center"/>
              <w:ind w:right="299"/>
              <w:spacing w:after="0" w:line="171" w:lineRule="exact"/>
              <w:rPr>
                <w:sz w:val="20"/>
                <w:szCs w:val="20"/>
                <w:color w:val="auto"/>
              </w:rPr>
            </w:pPr>
            <w:r>
              <w:rPr>
                <w:rFonts w:ascii="Arial" w:cs="Arial" w:eastAsia="Arial" w:hAnsi="Arial"/>
                <w:sz w:val="16"/>
                <w:szCs w:val="16"/>
                <w:color w:val="auto"/>
                <w:w w:val="93"/>
              </w:rPr>
              <w:t>(State or other jurisdiction of</w:t>
            </w:r>
          </w:p>
        </w:tc>
        <w:tc>
          <w:tcPr>
            <w:tcW w:w="5180" w:type="dxa"/>
            <w:vAlign w:val="bottom"/>
          </w:tcPr>
          <w:p>
            <w:pPr>
              <w:jc w:val="center"/>
              <w:ind w:right="99"/>
              <w:spacing w:after="0" w:line="171" w:lineRule="exact"/>
              <w:rPr>
                <w:sz w:val="20"/>
                <w:szCs w:val="20"/>
                <w:color w:val="auto"/>
              </w:rPr>
            </w:pPr>
            <w:r>
              <w:rPr>
                <w:rFonts w:ascii="Arial" w:cs="Arial" w:eastAsia="Arial" w:hAnsi="Arial"/>
                <w:sz w:val="16"/>
                <w:szCs w:val="16"/>
                <w:color w:val="auto"/>
                <w:w w:val="94"/>
              </w:rPr>
              <w:t>(Commission</w:t>
            </w:r>
          </w:p>
        </w:tc>
        <w:tc>
          <w:tcPr>
            <w:tcW w:w="1720" w:type="dxa"/>
            <w:vAlign w:val="bottom"/>
          </w:tcPr>
          <w:p>
            <w:pPr>
              <w:jc w:val="center"/>
              <w:ind w:left="419"/>
              <w:spacing w:after="0" w:line="171" w:lineRule="exact"/>
              <w:rPr>
                <w:sz w:val="20"/>
                <w:szCs w:val="20"/>
                <w:color w:val="auto"/>
              </w:rPr>
            </w:pPr>
            <w:r>
              <w:rPr>
                <w:rFonts w:ascii="Arial" w:cs="Arial" w:eastAsia="Arial" w:hAnsi="Arial"/>
                <w:sz w:val="16"/>
                <w:szCs w:val="16"/>
                <w:color w:val="auto"/>
                <w:w w:val="93"/>
              </w:rPr>
              <w:t>(I.R.S. Employer</w:t>
            </w:r>
          </w:p>
        </w:tc>
      </w:tr>
      <w:tr>
        <w:trPr>
          <w:trHeight w:val="206"/>
        </w:trPr>
        <w:tc>
          <w:tcPr>
            <w:tcW w:w="2340" w:type="dxa"/>
            <w:vAlign w:val="bottom"/>
          </w:tcPr>
          <w:p>
            <w:pPr>
              <w:jc w:val="center"/>
              <w:ind w:right="299"/>
              <w:spacing w:after="0"/>
              <w:rPr>
                <w:sz w:val="20"/>
                <w:szCs w:val="20"/>
                <w:color w:val="auto"/>
              </w:rPr>
            </w:pPr>
            <w:r>
              <w:rPr>
                <w:rFonts w:ascii="Arial" w:cs="Arial" w:eastAsia="Arial" w:hAnsi="Arial"/>
                <w:sz w:val="16"/>
                <w:szCs w:val="16"/>
                <w:color w:val="auto"/>
                <w:w w:val="94"/>
              </w:rPr>
              <w:t>incorporation or organization)</w:t>
            </w:r>
          </w:p>
        </w:tc>
        <w:tc>
          <w:tcPr>
            <w:tcW w:w="5180" w:type="dxa"/>
            <w:vAlign w:val="bottom"/>
          </w:tcPr>
          <w:p>
            <w:pPr>
              <w:jc w:val="center"/>
              <w:ind w:right="99"/>
              <w:spacing w:after="0"/>
              <w:rPr>
                <w:sz w:val="20"/>
                <w:szCs w:val="20"/>
                <w:color w:val="auto"/>
              </w:rPr>
            </w:pPr>
            <w:r>
              <w:rPr>
                <w:rFonts w:ascii="Arial" w:cs="Arial" w:eastAsia="Arial" w:hAnsi="Arial"/>
                <w:sz w:val="16"/>
                <w:szCs w:val="16"/>
                <w:color w:val="auto"/>
                <w:w w:val="95"/>
              </w:rPr>
              <w:t>File Number)</w:t>
            </w:r>
          </w:p>
        </w:tc>
        <w:tc>
          <w:tcPr>
            <w:tcW w:w="1720" w:type="dxa"/>
            <w:vAlign w:val="bottom"/>
          </w:tcPr>
          <w:p>
            <w:pPr>
              <w:jc w:val="center"/>
              <w:ind w:left="419"/>
              <w:spacing w:after="0"/>
              <w:rPr>
                <w:sz w:val="20"/>
                <w:szCs w:val="20"/>
                <w:color w:val="auto"/>
              </w:rPr>
            </w:pPr>
            <w:r>
              <w:rPr>
                <w:rFonts w:ascii="Arial" w:cs="Arial" w:eastAsia="Arial" w:hAnsi="Arial"/>
                <w:sz w:val="16"/>
                <w:szCs w:val="16"/>
                <w:color w:val="auto"/>
                <w:w w:val="97"/>
              </w:rPr>
              <w:t>Identification No.)</w:t>
            </w:r>
          </w:p>
        </w:tc>
      </w:tr>
      <w:tr>
        <w:trPr>
          <w:trHeight w:val="519"/>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Suite 101</w:t>
            </w:r>
          </w:p>
        </w:tc>
        <w:tc>
          <w:tcPr>
            <w:tcW w:w="1720" w:type="dxa"/>
            <w:vAlign w:val="bottom"/>
          </w:tcPr>
          <w:p>
            <w:pPr>
              <w:spacing w:after="0"/>
              <w:rPr>
                <w:sz w:val="16"/>
                <w:szCs w:val="16"/>
                <w:color w:val="auto"/>
              </w:rPr>
            </w:pPr>
          </w:p>
        </w:tc>
      </w:tr>
      <w:tr>
        <w:trPr>
          <w:trHeight w:val="193"/>
        </w:trPr>
        <w:tc>
          <w:tcPr>
            <w:tcW w:w="234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Santa Clara, CA 95050</w:t>
            </w:r>
          </w:p>
        </w:tc>
        <w:tc>
          <w:tcPr>
            <w:tcW w:w="1720" w:type="dxa"/>
            <w:vAlign w:val="bottom"/>
          </w:tcPr>
          <w:p>
            <w:pPr>
              <w:spacing w:after="0"/>
              <w:rPr>
                <w:sz w:val="16"/>
                <w:szCs w:val="16"/>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ind w:left="860"/>
              <w:spacing w:after="0"/>
              <w:rPr>
                <w:sz w:val="20"/>
                <w:szCs w:val="20"/>
                <w:color w:val="auto"/>
              </w:rPr>
            </w:pPr>
            <w:r>
              <w:rPr>
                <w:rFonts w:ascii="Arial" w:cs="Arial" w:eastAsia="Arial" w:hAnsi="Arial"/>
                <w:sz w:val="16"/>
                <w:szCs w:val="16"/>
                <w:color w:val="auto"/>
              </w:rPr>
              <w:t>(Address of principal executive offices) (Zip Code)</w:t>
            </w:r>
          </w:p>
        </w:tc>
        <w:tc>
          <w:tcPr>
            <w:tcW w:w="1720" w:type="dxa"/>
            <w:vAlign w:val="bottom"/>
          </w:tcPr>
          <w:p>
            <w:pPr>
              <w:spacing w:after="0"/>
              <w:rPr>
                <w:sz w:val="17"/>
                <w:szCs w:val="17"/>
                <w:color w:val="auto"/>
              </w:rPr>
            </w:pPr>
          </w:p>
        </w:tc>
      </w:tr>
      <w:tr>
        <w:trPr>
          <w:trHeight w:val="415"/>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(408) 207-0700</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color w:val="auto"/>
                <w:w w:val="90"/>
              </w:rPr>
              <w:t>(Registrant’s telephone number, include area code)</w:t>
            </w:r>
          </w:p>
        </w:tc>
        <w:tc>
          <w:tcPr>
            <w:tcW w:w="1720" w:type="dxa"/>
            <w:vAlign w:val="bottom"/>
          </w:tcPr>
          <w:p>
            <w:pPr>
              <w:spacing w:after="0"/>
              <w:rPr>
                <w:sz w:val="17"/>
                <w:szCs w:val="17"/>
                <w:color w:val="auto"/>
              </w:rPr>
            </w:pPr>
          </w:p>
        </w:tc>
      </w:tr>
      <w:tr>
        <w:trPr>
          <w:trHeight w:val="415"/>
        </w:trPr>
        <w:tc>
          <w:tcPr>
            <w:tcW w:w="2340" w:type="dxa"/>
            <w:vAlign w:val="bottom"/>
          </w:tcPr>
          <w:p>
            <w:pPr>
              <w:spacing w:after="0"/>
              <w:rPr>
                <w:sz w:val="24"/>
                <w:szCs w:val="24"/>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rPr>
              <w:t>N/A</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color w:val="auto"/>
                <w:w w:val="92"/>
              </w:rPr>
              <w:t>(Former Name or Former Address, if Changed Since Last Report)</w:t>
            </w:r>
          </w:p>
        </w:tc>
        <w:tc>
          <w:tcPr>
            <w:tcW w:w="1720" w:type="dxa"/>
            <w:vAlign w:val="bottom"/>
          </w:tcPr>
          <w:p>
            <w:pPr>
              <w:spacing w:after="0"/>
              <w:rPr>
                <w:sz w:val="17"/>
                <w:szCs w:val="17"/>
                <w:color w:val="auto"/>
              </w:rPr>
            </w:pPr>
          </w:p>
        </w:tc>
      </w:tr>
    </w:tbl>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1600" w:hanging="593"/>
        <w:spacing w:after="0"/>
        <w:tabs>
          <w:tab w:leader="none" w:pos="160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3"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10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88"/>
              </w:rPr>
              <w:t>Title of each class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040" w:type="dxa"/>
            <w:vAlign w:val="bottom"/>
            <w:gridSpan w:val="2"/>
          </w:tcPr>
          <w:p>
            <w:pPr>
              <w:jc w:val="center"/>
              <w:ind w:left="9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20" w:type="dxa"/>
            <w:vAlign w:val="bottom"/>
            <w:gridSpan w:val="3"/>
          </w:tcPr>
          <w:p>
            <w:pPr>
              <w:jc w:val="center"/>
              <w:ind w:right="1040"/>
              <w:spacing w:after="0"/>
              <w:rPr>
                <w:sz w:val="20"/>
                <w:szCs w:val="20"/>
                <w:color w:val="auto"/>
              </w:rPr>
            </w:pPr>
            <w:r>
              <w:rPr>
                <w:rFonts w:ascii="Arial" w:cs="Arial" w:eastAsia="Arial" w:hAnsi="Arial"/>
                <w:sz w:val="16"/>
                <w:szCs w:val="16"/>
                <w:color w:val="auto"/>
                <w:w w:val="90"/>
              </w:rPr>
              <w:t>Common Stock, par value $0.0001 per share</w:t>
            </w:r>
          </w:p>
        </w:tc>
        <w:tc>
          <w:tcPr>
            <w:tcW w:w="1300" w:type="dxa"/>
            <w:vAlign w:val="bottom"/>
          </w:tcPr>
          <w:p>
            <w:pPr>
              <w:jc w:val="center"/>
              <w:spacing w:after="0"/>
              <w:rPr>
                <w:sz w:val="20"/>
                <w:szCs w:val="20"/>
                <w:color w:val="auto"/>
              </w:rPr>
            </w:pPr>
            <w:r>
              <w:rPr>
                <w:rFonts w:ascii="Arial" w:cs="Arial" w:eastAsia="Arial" w:hAnsi="Arial"/>
                <w:sz w:val="16"/>
                <w:szCs w:val="16"/>
                <w:color w:val="auto"/>
              </w:rPr>
              <w:t>SIBN</w:t>
            </w:r>
          </w:p>
        </w:tc>
        <w:tc>
          <w:tcPr>
            <w:tcW w:w="10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334"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78" w:lineRule="exact"/>
        <w:rPr>
          <w:sz w:val="24"/>
          <w:szCs w:val="24"/>
          <w:color w:val="auto"/>
        </w:rPr>
      </w:pPr>
    </w:p>
    <w:p>
      <w:pPr>
        <w:jc w:val="cente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1300480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994"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On August 8, 2022, SI-BONE, Inc. (the "Company") issued a press release (the “Press Release”) announcing results for the quarter ended June 30, 2022. A copy of the Press Release is attached as Exhibit 99.1 to this current report on Form 8-K and is incorporated by reference herein.</w:t>
      </w:r>
    </w:p>
    <w:p>
      <w:pPr>
        <w:spacing w:after="0" w:line="17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526"/>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3"/>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Description</w:t>
            </w:r>
          </w:p>
        </w:tc>
        <w:tc>
          <w:tcPr>
            <w:tcW w:w="620" w:type="dxa"/>
            <w:vAlign w:val="bottom"/>
          </w:tcPr>
          <w:p>
            <w:pPr>
              <w:spacing w:after="0"/>
              <w:rPr>
                <w:sz w:val="24"/>
                <w:szCs w:val="24"/>
                <w:color w:val="auto"/>
              </w:rPr>
            </w:pPr>
          </w:p>
        </w:tc>
      </w:tr>
      <w:tr>
        <w:trPr>
          <w:trHeight w:val="412"/>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August 8, 2022</w:t>
              </w:r>
            </w:hyperlink>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r>
      <w:tr>
        <w:trPr>
          <w:trHeight w:val="250"/>
        </w:trPr>
        <w:tc>
          <w:tcPr>
            <w:tcW w:w="92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Cover Page Interactive Date File (embedded within the Inline XBRL document)</w:t>
            </w:r>
          </w:p>
        </w:tc>
      </w:tr>
      <w:tr>
        <w:trPr>
          <w:trHeight w:val="1222"/>
        </w:trPr>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69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920" w:type="dxa"/>
            <w:vAlign w:val="bottom"/>
            <w:gridSpan w:val="2"/>
          </w:tcPr>
          <w:p>
            <w:pPr>
              <w:ind w:left="1380"/>
              <w:spacing w:after="0"/>
              <w:rPr>
                <w:sz w:val="20"/>
                <w:szCs w:val="20"/>
                <w:color w:val="auto"/>
              </w:rPr>
            </w:pPr>
            <w:r>
              <w:rPr>
                <w:rFonts w:ascii="Arial" w:cs="Arial" w:eastAsia="Arial" w:hAnsi="Arial"/>
                <w:sz w:val="18"/>
                <w:szCs w:val="18"/>
                <w:b w:val="1"/>
                <w:bCs w:val="1"/>
                <w:color w:val="auto"/>
              </w:rPr>
              <w:t>SI-BONE, INC.</w:t>
            </w: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2680" w:type="dxa"/>
            <w:vAlign w:val="bottom"/>
          </w:tcPr>
          <w:p>
            <w:pPr>
              <w:ind w:left="200"/>
              <w:spacing w:after="0"/>
              <w:rPr>
                <w:sz w:val="20"/>
                <w:szCs w:val="20"/>
                <w:color w:val="auto"/>
              </w:rPr>
            </w:pPr>
            <w:r>
              <w:rPr>
                <w:rFonts w:ascii="Arial" w:cs="Arial" w:eastAsia="Arial" w:hAnsi="Arial"/>
                <w:sz w:val="18"/>
                <w:szCs w:val="18"/>
                <w:color w:val="auto"/>
              </w:rPr>
              <w:t>August 8, 2022</w:t>
            </w:r>
          </w:p>
        </w:tc>
        <w:tc>
          <w:tcPr>
            <w:tcW w:w="2100" w:type="dxa"/>
            <w:vAlign w:val="bottom"/>
          </w:tcPr>
          <w:p>
            <w:pPr>
              <w:ind w:left="1380"/>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Anshul Maheshwari</w:t>
            </w:r>
          </w:p>
        </w:tc>
      </w:tr>
      <w:tr>
        <w:trPr>
          <w:trHeight w:val="224"/>
        </w:trPr>
        <w:tc>
          <w:tcPr>
            <w:tcW w:w="6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Anshul Maheshwari</w:t>
            </w:r>
          </w:p>
        </w:tc>
      </w:tr>
    </w:tbl>
    <w:p>
      <w:pPr>
        <w:ind w:left="542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20"/>
          </w:cols>
          <w:pgMar w:left="320" w:top="89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17145</wp:posOffset>
            </wp:positionV>
            <wp:extent cx="1320165" cy="75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SI-BONE, Inc. Reports Financial Results for the Second Quarter 2022</w:t>
      </w:r>
    </w:p>
    <w:p>
      <w:pPr>
        <w:spacing w:after="0" w:line="256" w:lineRule="exact"/>
        <w:rPr>
          <w:sz w:val="20"/>
          <w:szCs w:val="20"/>
          <w:color w:val="auto"/>
        </w:rPr>
      </w:pPr>
    </w:p>
    <w:p>
      <w:pPr>
        <w:spacing w:after="0" w:line="323" w:lineRule="auto"/>
        <w:rPr>
          <w:sz w:val="20"/>
          <w:szCs w:val="20"/>
          <w:color w:val="auto"/>
        </w:rPr>
      </w:pPr>
      <w:r>
        <w:rPr>
          <w:rFonts w:ascii="Arial" w:cs="Arial" w:eastAsia="Arial" w:hAnsi="Arial"/>
          <w:sz w:val="20"/>
          <w:szCs w:val="20"/>
          <w:b w:val="1"/>
          <w:bCs w:val="1"/>
          <w:color w:val="auto"/>
        </w:rPr>
        <w:t xml:space="preserve">SANTA CLARA, Calif. </w:t>
      </w:r>
      <w:r>
        <w:rPr>
          <w:rFonts w:ascii="Arial" w:cs="Arial" w:eastAsia="Arial" w:hAnsi="Arial"/>
          <w:sz w:val="20"/>
          <w:szCs w:val="20"/>
          <w:color w:val="auto"/>
        </w:rPr>
        <w:t>August 8, 2022 - SI-BONE, Inc. (Nasdaq:SIBN), a medical device company dedicated to solving musculoskeletal</w:t>
      </w:r>
      <w:r>
        <w:rPr>
          <w:rFonts w:ascii="Arial" w:cs="Arial" w:eastAsia="Arial" w:hAnsi="Arial"/>
          <w:sz w:val="20"/>
          <w:szCs w:val="20"/>
          <w:b w:val="1"/>
          <w:bCs w:val="1"/>
          <w:color w:val="auto"/>
        </w:rPr>
        <w:t xml:space="preserve"> </w:t>
      </w:r>
      <w:r>
        <w:rPr>
          <w:rFonts w:ascii="Arial" w:cs="Arial" w:eastAsia="Arial" w:hAnsi="Arial"/>
          <w:sz w:val="20"/>
          <w:szCs w:val="20"/>
          <w:color w:val="auto"/>
        </w:rPr>
        <w:t>disorders of the sacropelvic anatomy, today reported financial results for the quarter ended June 30, 2022.</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w:t>
      </w:r>
    </w:p>
    <w:p>
      <w:pPr>
        <w:spacing w:after="0" w:line="60" w:lineRule="exact"/>
        <w:rPr>
          <w:sz w:val="20"/>
          <w:szCs w:val="20"/>
          <w:color w:val="auto"/>
        </w:rPr>
      </w:pPr>
    </w:p>
    <w:p>
      <w:pPr>
        <w:ind w:left="420" w:hanging="412"/>
        <w:spacing w:after="0" w:line="295" w:lineRule="auto"/>
        <w:tabs>
          <w:tab w:leader="none" w:pos="408"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Record worldwide revenue of $25.6 million for the second quarter 2022, representing approximately 15% increase over the corresponding period in 2021</w:t>
      </w:r>
    </w:p>
    <w:p>
      <w:pPr>
        <w:spacing w:after="0" w:line="1" w:lineRule="exact"/>
        <w:rPr>
          <w:rFonts w:ascii="Arial" w:cs="Arial" w:eastAsia="Arial" w:hAnsi="Arial"/>
          <w:sz w:val="20"/>
          <w:szCs w:val="20"/>
          <w:color w:val="auto"/>
        </w:rPr>
      </w:pPr>
    </w:p>
    <w:p>
      <w:pPr>
        <w:ind w:left="420" w:hanging="412"/>
        <w:spacing w:after="0" w:line="295" w:lineRule="auto"/>
        <w:tabs>
          <w:tab w:leader="none" w:pos="408"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Record U.S. revenue of $23.8 million for the second quarter 2022, representing approximately 18% increase over the corresponding period in 2021</w:t>
      </w:r>
    </w:p>
    <w:p>
      <w:pPr>
        <w:spacing w:after="0" w:line="1" w:lineRule="exact"/>
        <w:rPr>
          <w:rFonts w:ascii="Arial" w:cs="Arial" w:eastAsia="Arial" w:hAnsi="Arial"/>
          <w:sz w:val="20"/>
          <w:szCs w:val="20"/>
          <w:color w:val="auto"/>
        </w:rPr>
      </w:pPr>
    </w:p>
    <w:p>
      <w:pPr>
        <w:ind w:left="400" w:hanging="39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Gross margin of 86% for the second quarter 2022</w:t>
      </w:r>
    </w:p>
    <w:p>
      <w:pPr>
        <w:spacing w:after="0" w:line="80" w:lineRule="exact"/>
        <w:rPr>
          <w:rFonts w:ascii="Arial" w:cs="Arial" w:eastAsia="Arial" w:hAnsi="Arial"/>
          <w:sz w:val="20"/>
          <w:szCs w:val="20"/>
          <w:color w:val="auto"/>
        </w:rPr>
      </w:pPr>
    </w:p>
    <w:p>
      <w:pPr>
        <w:ind w:left="420" w:right="800" w:hanging="412"/>
        <w:spacing w:after="0" w:line="352" w:lineRule="auto"/>
        <w:tabs>
          <w:tab w:leader="none" w:pos="408"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Received FDA clearance for an expanded indication for iFuse-TORQ® which includes use of the device in pelvic fragility and insufficiency fractures</w:t>
      </w:r>
    </w:p>
    <w:p>
      <w:pPr>
        <w:ind w:left="400" w:hanging="39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Received FDA clearance for iFuse Bedrock Granite</w:t>
      </w:r>
      <w:r>
        <w:rPr>
          <w:rFonts w:ascii="Arial" w:cs="Arial" w:eastAsia="Arial" w:hAnsi="Arial"/>
          <w:sz w:val="25"/>
          <w:szCs w:val="25"/>
          <w:color w:val="auto"/>
          <w:vertAlign w:val="superscript"/>
        </w:rPr>
        <w:t>TM</w:t>
      </w:r>
      <w:r>
        <w:rPr>
          <w:rFonts w:ascii="Arial" w:cs="Arial" w:eastAsia="Arial" w:hAnsi="Arial"/>
          <w:sz w:val="20"/>
          <w:szCs w:val="20"/>
          <w:color w:val="auto"/>
        </w:rPr>
        <w:t>, a breakthrough device targeting adult spinal deformity</w:t>
      </w:r>
    </w:p>
    <w:p>
      <w:pPr>
        <w:spacing w:after="0" w:line="50" w:lineRule="exact"/>
        <w:rPr>
          <w:rFonts w:ascii="Arial" w:cs="Arial" w:eastAsia="Arial" w:hAnsi="Arial"/>
          <w:sz w:val="20"/>
          <w:szCs w:val="20"/>
          <w:color w:val="auto"/>
        </w:rPr>
      </w:pPr>
    </w:p>
    <w:p>
      <w:pPr>
        <w:ind w:left="420" w:right="400" w:hanging="412"/>
        <w:spacing w:after="0" w:line="352" w:lineRule="auto"/>
        <w:tabs>
          <w:tab w:leader="none" w:pos="408"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Received final decision from CMS confirming up to $9,828 in Medicare new technology add-on payment (NTAP) for eligible cases using iFuse Bedrock Granite, effective October 1, 2022</w:t>
      </w:r>
    </w:p>
    <w:p>
      <w:pPr>
        <w:ind w:left="420" w:right="60" w:hanging="412"/>
        <w:spacing w:after="0" w:line="352" w:lineRule="auto"/>
        <w:tabs>
          <w:tab w:leader="none" w:pos="408" w:val="left"/>
        </w:tabs>
        <w:numPr>
          <w:ilvl w:val="0"/>
          <w:numId w:val="2"/>
        </w:numPr>
        <w:rPr>
          <w:rFonts w:ascii="Arial" w:cs="Arial" w:eastAsia="Arial" w:hAnsi="Arial"/>
          <w:sz w:val="20"/>
          <w:szCs w:val="20"/>
          <w:color w:val="auto"/>
        </w:rPr>
      </w:pPr>
      <w:r>
        <w:rPr>
          <w:rFonts w:ascii="Arial" w:cs="Arial" w:eastAsia="Arial" w:hAnsi="Arial"/>
          <w:sz w:val="20"/>
          <w:szCs w:val="20"/>
          <w:color w:val="auto"/>
        </w:rPr>
        <w:t>Completed patient enrollment for SILVIA, a two-year prospective international multi-center randomized controlled trial of two different methods for pelvic fixation in adult patients</w:t>
      </w:r>
    </w:p>
    <w:p>
      <w:pPr>
        <w:ind w:left="400" w:hanging="39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Surpassed 70,000 procedures performed by over 2,800 surgeons worldwide</w:t>
      </w:r>
    </w:p>
    <w:p>
      <w:pPr>
        <w:spacing w:after="0" w:line="107" w:lineRule="exact"/>
        <w:rPr>
          <w:rFonts w:ascii="Arial" w:cs="Arial" w:eastAsia="Arial" w:hAnsi="Arial"/>
          <w:sz w:val="20"/>
          <w:szCs w:val="20"/>
          <w:color w:val="auto"/>
        </w:rPr>
      </w:pPr>
    </w:p>
    <w:p>
      <w:pPr>
        <w:ind w:left="420" w:right="100" w:hanging="412"/>
        <w:spacing w:after="0" w:line="373" w:lineRule="auto"/>
        <w:tabs>
          <w:tab w:leader="none" w:pos="408" w:val="left"/>
        </w:tabs>
        <w:numPr>
          <w:ilvl w:val="0"/>
          <w:numId w:val="2"/>
        </w:numPr>
        <w:rPr>
          <w:rFonts w:ascii="Arial" w:cs="Arial" w:eastAsia="Arial" w:hAnsi="Arial"/>
          <w:sz w:val="20"/>
          <w:szCs w:val="20"/>
          <w:color w:val="auto"/>
        </w:rPr>
      </w:pPr>
      <w:r>
        <w:rPr>
          <w:rFonts w:ascii="Arial" w:cs="Arial" w:eastAsia="Arial" w:hAnsi="Arial"/>
          <w:sz w:val="20"/>
          <w:szCs w:val="20"/>
          <w:color w:val="auto"/>
        </w:rPr>
        <w:t>CMS proposed rule for 2023 for primary MIS SI joint fusion indicating a 28% and 35% increase in ASC and hospital outpatient facility fees, respectively</w:t>
      </w:r>
    </w:p>
    <w:p>
      <w:pPr>
        <w:spacing w:after="0" w:line="176"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“I am pleased with the accelerating growth in the U.S. which allowed us to deliver record revenue in the quarter with iFuse-3D and iFuse-TORQ as the two best products on the market for MIS SI joint fusion,” said Laura Francis, Chief Executive Officer of SI-BONE. “The recent launch of iFuse Bedrock Granite and the expanded trauma indication for iFuse-TORQ will complement our core market growth as we support our surgeons in improving patient outcomes across modalities. With the best-in-class portfolio of sacropelvic solutions, an industry-leading commercial infrastructure and a strong cash position, we have the organizational resources to capitalize on the healthy demand dynamics and deliver accelerating top line growth.”</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2022 Financial Results</w:t>
      </w:r>
    </w:p>
    <w:p>
      <w:pPr>
        <w:spacing w:after="0" w:line="289"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auto"/>
        </w:rPr>
        <w:t>Worldwide revenue was $25.6 million in the second quarter 2022, a 15% increase from $22.2 million in the corresponding period in 2021. U.S. revenue for the second quarter 2022 was $23.8 million, a 18% increase from $20.2 million in the corresponding period in 2021. International revenue for the second quarter 2022 was $1.8 million, a 8% decrease from $2.0 million in the corresponding period in 2021 predominantly driven by unfavorable foreign exchange.</w:t>
      </w:r>
    </w:p>
    <w:p>
      <w:pPr>
        <w:sectPr>
          <w:pgSz w:w="11900" w:h="16838" w:orient="portrait"/>
          <w:cols w:equalWidth="0" w:num="1">
            <w:col w:w="11240"/>
          </w:cols>
          <w:pgMar w:left="320" w:top="891" w:right="339" w:bottom="1440" w:gutter="0" w:footer="0" w:header="0"/>
        </w:sectPr>
      </w:pPr>
    </w:p>
    <w:bookmarkStart w:id="4" w:name="page5"/>
    <w:bookmarkEnd w:id="4"/>
    <w:p>
      <w:pPr>
        <w:jc w:val="both"/>
        <w:spacing w:after="0" w:line="306" w:lineRule="auto"/>
        <w:rPr>
          <w:sz w:val="20"/>
          <w:szCs w:val="20"/>
          <w:color w:val="auto"/>
        </w:rPr>
      </w:pPr>
      <w:r>
        <w:rPr>
          <w:rFonts w:ascii="Arial" w:cs="Arial" w:eastAsia="Arial" w:hAnsi="Arial"/>
          <w:sz w:val="20"/>
          <w:szCs w:val="20"/>
          <w:color w:val="auto"/>
        </w:rPr>
        <w:t>Gross margin was 86% for the second quarter 2022, as compared to 89% in the corresponding period in 2021. Gross margin in the second quarter 2022 was impacted by lower average selling prices due to procedure and site of service mix, as well as an increase in cost of operations to support the growth of the business including costs related to new product launches.</w:t>
      </w:r>
    </w:p>
    <w:p>
      <w:pPr>
        <w:spacing w:after="0" w:line="214"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Operating expenses increased 22% to $40.0 million in the second quarter 2022, as compared to $32.8 million in the corresponding period in 2021. The increase was driven by higher headcount, increase in sales commission and stock-based compensation, increase in travel and freight costs, and research and development investment.</w:t>
      </w:r>
    </w:p>
    <w:p>
      <w:pPr>
        <w:spacing w:after="0" w:line="214"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color w:val="auto"/>
        </w:rPr>
        <w:t>Operating loss was $17.9 million in the second quarter 2022, as compared to an operating loss of $13.0 million in the corresponding period in 2021.</w:t>
      </w:r>
    </w:p>
    <w:p>
      <w:pPr>
        <w:spacing w:after="0" w:line="202"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Net loss was $18.5 million, or $0.54 per diluted share for the second quarter 2022, as compared to a net loss of $14.0 million, or $0.42 per diluted share in the corresponding period in 2021.</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Cash and marketable securities were $114.4 million and long-term borrowings were $35.1 million as of June 30, 2022.</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2022 Financial Guidance</w:t>
      </w:r>
    </w:p>
    <w:p>
      <w:pPr>
        <w:spacing w:after="0" w:line="316" w:lineRule="exact"/>
        <w:rPr>
          <w:sz w:val="20"/>
          <w:szCs w:val="20"/>
          <w:color w:val="auto"/>
        </w:rPr>
      </w:pPr>
    </w:p>
    <w:p>
      <w:pPr>
        <w:jc w:val="both"/>
        <w:ind w:right="20"/>
        <w:spacing w:after="0" w:line="394" w:lineRule="auto"/>
        <w:rPr>
          <w:sz w:val="20"/>
          <w:szCs w:val="20"/>
          <w:color w:val="auto"/>
        </w:rPr>
      </w:pPr>
      <w:r>
        <w:rPr>
          <w:rFonts w:ascii="Arial" w:cs="Arial" w:eastAsia="Arial" w:hAnsi="Arial"/>
          <w:sz w:val="18"/>
          <w:szCs w:val="18"/>
          <w:color w:val="auto"/>
        </w:rPr>
        <w:t>The Company continues to expect total 2022 revenue of approximately $106 million to $108 million, representing growth of 18% to 20% compared to full year 2021. The Company continues to expect gross margin to be in the mid-80 percent range for fiscal year 2022.</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 and Conference Call Information</w:t>
      </w:r>
    </w:p>
    <w:p>
      <w:pPr>
        <w:spacing w:after="0" w:line="276" w:lineRule="exact"/>
        <w:rPr>
          <w:sz w:val="20"/>
          <w:szCs w:val="20"/>
          <w:color w:val="auto"/>
        </w:rPr>
      </w:pPr>
    </w:p>
    <w:p>
      <w:pPr>
        <w:jc w:val="both"/>
        <w:spacing w:after="0" w:line="323" w:lineRule="auto"/>
        <w:rPr>
          <w:sz w:val="20"/>
          <w:szCs w:val="20"/>
          <w:color w:val="auto"/>
        </w:rPr>
      </w:pPr>
      <w:r>
        <w:rPr>
          <w:rFonts w:ascii="Arial" w:cs="Arial" w:eastAsia="Arial" w:hAnsi="Arial"/>
          <w:sz w:val="20"/>
          <w:szCs w:val="20"/>
          <w:color w:val="auto"/>
        </w:rPr>
        <w:t xml:space="preserve">SI-BONE will host a conference call to discuss the second quarter 2022 financial results after market close on Monday, August 8, 2022 at 4:30 P.M. Eastern Time. The conference call can be accessed live over the phone </w:t>
      </w:r>
      <w:r>
        <w:rPr>
          <w:rFonts w:ascii="Arial" w:cs="Arial" w:eastAsia="Arial" w:hAnsi="Arial"/>
          <w:sz w:val="21"/>
          <w:szCs w:val="21"/>
          <w:color w:val="auto"/>
        </w:rPr>
        <w:t>(888) 346-8835</w:t>
      </w:r>
      <w:r>
        <w:rPr>
          <w:rFonts w:ascii="Arial" w:cs="Arial" w:eastAsia="Arial" w:hAnsi="Arial"/>
          <w:sz w:val="20"/>
          <w:szCs w:val="20"/>
          <w:color w:val="auto"/>
        </w:rPr>
        <w:t xml:space="preserve"> for domestic callers or </w:t>
      </w:r>
      <w:r>
        <w:rPr>
          <w:rFonts w:ascii="Arial" w:cs="Arial" w:eastAsia="Arial" w:hAnsi="Arial"/>
          <w:sz w:val="21"/>
          <w:szCs w:val="21"/>
          <w:color w:val="auto"/>
        </w:rPr>
        <w:t>(412) 902-6646</w:t>
      </w:r>
      <w:r>
        <w:rPr>
          <w:rFonts w:ascii="Arial" w:cs="Arial" w:eastAsia="Arial" w:hAnsi="Arial"/>
          <w:sz w:val="20"/>
          <w:szCs w:val="20"/>
          <w:color w:val="auto"/>
        </w:rPr>
        <w:t xml:space="preserve"> for international callers. The webcast can be accessed at </w:t>
      </w:r>
      <w:r>
        <w:rPr>
          <w:rFonts w:ascii="Arial" w:cs="Arial" w:eastAsia="Arial" w:hAnsi="Arial"/>
          <w:sz w:val="21"/>
          <w:szCs w:val="21"/>
          <w:u w:val="single" w:color="auto"/>
          <w:color w:val="0000FF"/>
        </w:rPr>
        <w:t>https://investor.si-bone.com</w:t>
      </w:r>
      <w:r>
        <w:rPr>
          <w:rFonts w:ascii="Arial" w:cs="Arial" w:eastAsia="Arial" w:hAnsi="Arial"/>
          <w:sz w:val="20"/>
          <w:szCs w:val="20"/>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SI-BONE, Inc.</w:t>
      </w:r>
    </w:p>
    <w:p>
      <w:pPr>
        <w:spacing w:after="0" w:line="303" w:lineRule="exact"/>
        <w:rPr>
          <w:sz w:val="20"/>
          <w:szCs w:val="20"/>
          <w:color w:val="auto"/>
        </w:rPr>
      </w:pPr>
    </w:p>
    <w:p>
      <w:pPr>
        <w:jc w:val="both"/>
        <w:spacing w:after="0" w:line="316" w:lineRule="auto"/>
        <w:rPr>
          <w:sz w:val="20"/>
          <w:szCs w:val="20"/>
          <w:color w:val="auto"/>
        </w:rPr>
      </w:pPr>
      <w:r>
        <w:rPr>
          <w:rFonts w:ascii="Arial" w:cs="Arial" w:eastAsia="Arial" w:hAnsi="Arial"/>
          <w:sz w:val="19"/>
          <w:szCs w:val="19"/>
          <w:color w:val="auto"/>
        </w:rPr>
        <w:t>SI-BONE (NASDAQ: SIBN) is a global leader in technology for surgical treatment of musculoskeletal disorders of the sacropelvic anatomy. Since 2009, when SI-BONE introduced the iFuse Implant System for minimally invasive surgery of the SI joint, more than 2,800 surgeons have performed a combined total of more than 70,000 SI joint fusion procedures. A unique body of evidence, supporting the iFuse Implant System, including two randomized controlled trials and over 100 peer reviewed publications, has enabled multiple government and private insurance payors to establish near universal coverage of the SI joint fusion procedure. Supported by this proprietary reimbursement advantage, SI-BONE has actively leveraged its market leadership position in recent years to further clinical research, and evolve and commercialize novel surgical treatment solutions for SI-Joint pain, sacropelvic and pelvic fixation, and pelvic trauma. For more information or to join our team, please visit us at www.si-bone.com.</w:t>
      </w:r>
    </w:p>
    <w:p>
      <w:pPr>
        <w:sectPr>
          <w:pgSz w:w="11900" w:h="16838" w:orient="portrait"/>
          <w:cols w:equalWidth="0" w:num="1">
            <w:col w:w="11240"/>
          </w:cols>
          <w:pgMar w:left="320" w:top="1162"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For additional information on the company or the products including risks and benefits, please visit www.si-bone.com.</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SI-BONE and iFuse Implant System are registered trademarks of SI-BONE, Inc. ©2022 SI-BONE, Inc. All Rights Reserved.</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303" w:lineRule="exact"/>
        <w:rPr>
          <w:sz w:val="20"/>
          <w:szCs w:val="20"/>
          <w:color w:val="auto"/>
        </w:rPr>
      </w:pPr>
    </w:p>
    <w:p>
      <w:pPr>
        <w:jc w:val="both"/>
        <w:spacing w:after="0" w:line="333" w:lineRule="auto"/>
        <w:rPr>
          <w:sz w:val="20"/>
          <w:szCs w:val="20"/>
          <w:color w:val="auto"/>
        </w:rPr>
      </w:pPr>
      <w:r>
        <w:rPr>
          <w:rFonts w:ascii="Arial" w:cs="Arial" w:eastAsia="Arial" w:hAnsi="Arial"/>
          <w:sz w:val="18"/>
          <w:szCs w:val="18"/>
          <w:color w:val="auto"/>
        </w:rPr>
        <w:t>The statements in this press release regarding expectations of future events or results, including SI-BONE’s expectations of continued growth and financial outlook, contained in this press release are "forward-looking" statements. These forward-looking statements are based on SI-BONE's current expectations and inherently involve significant risks and uncertainties. These risks include SI-BONE's ability to introduce and commercialize new products and indications, SI-BONE's ability to maintain favorable reimbursement for procedures using its products, the impact of future fluctuations in currency exchange rates on SI-BONE's revenues, SI-BONE's ability to manage risks to its supply chain and the future impact the COVID-19 pandemic will have on the ability and desire of patients and physicians to undergo procedures using the iFuse Implant System. Actual results and the timing of events could differ materially from those anticipated in such forward-looking statements as a result of these and other risks and uncertainties, many of which are described in the company's most recent filings on Form 10-K and Form 10-Q, and the company’s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Matt Bacso, CFA</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investors@SI-BONE.com</w:t>
      </w:r>
    </w:p>
    <w:p>
      <w:pPr>
        <w:sectPr>
          <w:pgSz w:w="11900" w:h="16838" w:orient="portrait"/>
          <w:cols w:equalWidth="0" w:num="1">
            <w:col w:w="11240"/>
          </w:cols>
          <w:pgMar w:left="320" w:top="91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440" w:type="dxa"/>
            <w:vAlign w:val="bottom"/>
            <w:gridSpan w:val="4"/>
            <w:vMerge w:val="restart"/>
          </w:tcPr>
          <w:p>
            <w:pPr>
              <w:jc w:val="right"/>
              <w:ind w:right="330"/>
              <w:spacing w:after="0"/>
              <w:rPr>
                <w:sz w:val="20"/>
                <w:szCs w:val="20"/>
                <w:color w:val="auto"/>
              </w:rPr>
            </w:pPr>
            <w:r>
              <w:rPr>
                <w:rFonts w:ascii="Arial" w:cs="Arial" w:eastAsia="Arial" w:hAnsi="Arial"/>
                <w:sz w:val="16"/>
                <w:szCs w:val="16"/>
                <w:b w:val="1"/>
                <w:bCs w:val="1"/>
                <w:color w:val="auto"/>
                <w:w w:val="96"/>
              </w:rPr>
              <w:t>Six months ended June 30,</w:t>
            </w:r>
          </w:p>
        </w:tc>
        <w:tc>
          <w:tcPr>
            <w:tcW w:w="0" w:type="dxa"/>
            <w:vAlign w:val="bottom"/>
          </w:tcPr>
          <w:p>
            <w:pPr>
              <w:spacing w:after="0"/>
              <w:rPr>
                <w:sz w:val="1"/>
                <w:szCs w:val="1"/>
                <w:color w:val="auto"/>
              </w:rPr>
            </w:pPr>
          </w:p>
        </w:tc>
      </w:tr>
      <w:tr>
        <w:trPr>
          <w:trHeight w:val="213"/>
        </w:trPr>
        <w:tc>
          <w:tcPr>
            <w:tcW w:w="5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7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42,636</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4,575</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38,061</w:t>
            </w:r>
          </w:p>
        </w:tc>
        <w:tc>
          <w:tcPr>
            <w:tcW w:w="0" w:type="dxa"/>
            <w:vAlign w:val="bottom"/>
          </w:tcPr>
          <w:p>
            <w:pPr>
              <w:spacing w:after="0"/>
              <w:rPr>
                <w:sz w:val="1"/>
                <w:szCs w:val="1"/>
                <w:color w:val="auto"/>
              </w:rPr>
            </w:pPr>
          </w:p>
        </w:tc>
      </w:tr>
      <w:tr>
        <w:trPr>
          <w:trHeight w:val="209"/>
        </w:trPr>
        <w:tc>
          <w:tcPr>
            <w:tcW w:w="5700" w:type="dxa"/>
            <w:vAlign w:val="bottom"/>
          </w:tcPr>
          <w:p>
            <w:pPr>
              <w:ind w:left="6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44,006</w:t>
            </w:r>
          </w:p>
        </w:tc>
        <w:tc>
          <w:tcPr>
            <w:tcW w:w="0" w:type="dxa"/>
            <w:vAlign w:val="bottom"/>
          </w:tcPr>
          <w:p>
            <w:pPr>
              <w:spacing w:after="0"/>
              <w:rPr>
                <w:sz w:val="1"/>
                <w:szCs w:val="1"/>
                <w:color w:val="auto"/>
              </w:rPr>
            </w:pPr>
          </w:p>
        </w:tc>
      </w:tr>
      <w:tr>
        <w:trPr>
          <w:trHeight w:val="230"/>
        </w:trPr>
        <w:tc>
          <w:tcPr>
            <w:tcW w:w="570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6,104</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12,491</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62,601</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(24,540)</w:t>
            </w:r>
          </w:p>
        </w:tc>
        <w:tc>
          <w:tcPr>
            <w:tcW w:w="0" w:type="dxa"/>
            <w:vAlign w:val="bottom"/>
          </w:tcPr>
          <w:p>
            <w:pPr>
              <w:spacing w:after="0"/>
              <w:rPr>
                <w:sz w:val="1"/>
                <w:szCs w:val="1"/>
                <w:color w:val="auto"/>
              </w:rPr>
            </w:pPr>
          </w:p>
        </w:tc>
      </w:tr>
      <w:tr>
        <w:trPr>
          <w:trHeight w:val="230"/>
        </w:trPr>
        <w:tc>
          <w:tcPr>
            <w:tcW w:w="5700" w:type="dxa"/>
            <w:vAlign w:val="bottom"/>
          </w:tcPr>
          <w:p>
            <w:pPr>
              <w:ind w:left="60"/>
              <w:spacing w:after="0"/>
              <w:rPr>
                <w:sz w:val="20"/>
                <w:szCs w:val="20"/>
                <w:color w:val="auto"/>
              </w:rPr>
            </w:pPr>
            <w:r>
              <w:rPr>
                <w:rFonts w:ascii="Arial" w:cs="Arial" w:eastAsia="Arial" w:hAnsi="Arial"/>
                <w:sz w:val="18"/>
                <w:szCs w:val="18"/>
                <w:color w:val="auto"/>
              </w:rPr>
              <w:t>Interest and other income (expense), net:</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570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3"/>
        </w:trPr>
        <w:tc>
          <w:tcPr>
            <w:tcW w:w="5700" w:type="dxa"/>
            <w:vAlign w:val="bottom"/>
          </w:tcPr>
          <w:p>
            <w:pPr>
              <w:ind w:left="6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(18,513)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(13,981)</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(35,923)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(26,223)</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6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00" w:type="dxa"/>
            <w:vAlign w:val="bottom"/>
            <w:shd w:val="clear" w:color="auto" w:fill="CCEEFF"/>
          </w:tcPr>
          <w:p>
            <w:pPr>
              <w:ind w:left="60"/>
              <w:spacing w:after="0" w:line="142" w:lineRule="exact"/>
              <w:rPr>
                <w:sz w:val="20"/>
                <w:szCs w:val="20"/>
                <w:color w:val="auto"/>
              </w:rPr>
            </w:pPr>
            <w:r>
              <w:rPr>
                <w:rFonts w:ascii="Arial" w:cs="Arial" w:eastAsia="Arial" w:hAnsi="Arial"/>
                <w:sz w:val="16"/>
                <w:szCs w:val="16"/>
                <w:color w:val="auto"/>
              </w:rPr>
              <w:t>Weighted-average number of common shares used to compute basic and</w:t>
            </w:r>
          </w:p>
        </w:tc>
        <w:tc>
          <w:tcPr>
            <w:tcW w:w="2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34,052,692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32,978,914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33,923,229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32,836,040</w:t>
            </w:r>
          </w:p>
        </w:tc>
        <w:tc>
          <w:tcPr>
            <w:tcW w:w="0" w:type="dxa"/>
            <w:vAlign w:val="bottom"/>
          </w:tcPr>
          <w:p>
            <w:pPr>
              <w:spacing w:after="0"/>
              <w:rPr>
                <w:sz w:val="1"/>
                <w:szCs w:val="1"/>
                <w:color w:val="auto"/>
              </w:rPr>
            </w:pPr>
          </w:p>
        </w:tc>
      </w:tr>
      <w:tr>
        <w:trPr>
          <w:trHeight w:val="222"/>
        </w:trPr>
        <w:tc>
          <w:tcPr>
            <w:tcW w:w="5700" w:type="dxa"/>
            <w:vAlign w:val="bottom"/>
            <w:tcBorders>
              <w:bottom w:val="single" w:sz="8" w:color="CCEEFF"/>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 net loss per share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91"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2022</w:t>
            </w:r>
          </w:p>
        </w:tc>
        <w:tc>
          <w:tcPr>
            <w:tcW w:w="10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6"/>
                <w:szCs w:val="16"/>
                <w:b w:val="1"/>
                <w:bCs w:val="1"/>
                <w:color w:val="auto"/>
                <w:w w:val="90"/>
              </w:rPr>
              <w:t>December 31, 2021</w:t>
            </w:r>
          </w:p>
        </w:tc>
      </w:tr>
      <w:tr>
        <w:trPr>
          <w:trHeight w:val="213"/>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63,419</w:t>
            </w:r>
          </w:p>
        </w:tc>
      </w:tr>
      <w:tr>
        <w:trPr>
          <w:trHeight w:val="230"/>
        </w:trPr>
        <w:tc>
          <w:tcPr>
            <w:tcW w:w="706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90,095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83,560</w:t>
            </w:r>
          </w:p>
        </w:tc>
      </w:tr>
      <w:tr>
        <w:trPr>
          <w:trHeight w:val="229"/>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14,246</w:t>
            </w:r>
          </w:p>
        </w:tc>
      </w:tr>
      <w:tr>
        <w:trPr>
          <w:trHeight w:val="229"/>
        </w:trPr>
        <w:tc>
          <w:tcPr>
            <w:tcW w:w="706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16,484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11,498</w:t>
            </w:r>
          </w:p>
        </w:tc>
      </w:tr>
      <w:tr>
        <w:trPr>
          <w:trHeight w:val="230"/>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148,341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175,866</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5,248</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3"/>
        </w:trPr>
        <w:tc>
          <w:tcPr>
            <w:tcW w:w="706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166,147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190,506</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0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5,141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3,198</w:t>
            </w:r>
          </w:p>
        </w:tc>
      </w:tr>
      <w:tr>
        <w:trPr>
          <w:trHeight w:val="229"/>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and other</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w:t>
            </w:r>
          </w:p>
        </w:tc>
      </w:tr>
      <w:tr>
        <w:trPr>
          <w:trHeight w:val="229"/>
        </w:trPr>
        <w:tc>
          <w:tcPr>
            <w:tcW w:w="7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Operating lease liabilities, current portion</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16,890</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Long-term borrowings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34,973</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7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55,314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56,086</w:t>
            </w:r>
          </w:p>
        </w:tc>
      </w:tr>
      <w:tr>
        <w:trPr>
          <w:trHeight w:val="250"/>
        </w:trPr>
        <w:tc>
          <w:tcPr>
            <w:tcW w:w="7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Common stock and additional paid-in capital</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435,593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429,917</w:t>
            </w: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29"/>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(331,772)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(295,849)</w:t>
            </w:r>
          </w:p>
        </w:tc>
      </w:tr>
      <w:tr>
        <w:trPr>
          <w:trHeight w:val="223"/>
        </w:trPr>
        <w:tc>
          <w:tcPr>
            <w:tcW w:w="7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110,833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134,420</w:t>
            </w:r>
          </w:p>
        </w:tc>
      </w:tr>
      <w:tr>
        <w:trPr>
          <w:trHeight w:val="223"/>
        </w:trPr>
        <w:tc>
          <w:tcPr>
            <w:tcW w:w="706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166,147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190,506</w:t>
            </w:r>
          </w:p>
        </w:tc>
      </w:tr>
      <w:tr>
        <w:trPr>
          <w:trHeight w:val="20"/>
        </w:trPr>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260"/>
      </w:cols>
      <w:pgMar w:left="820" w:top="891"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2022-08-09T01:59:56Z</dcterms:created>
  <dcterms:modified xsi:type="dcterms:W3CDTF">2022-08-09T01:59:56Z</dcterms:modified>
</cp:coreProperties>
</file>