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0001459839</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SI-Bone Inc.</w:t>
      </w:r>
    </w:p>
    <w:p>
      <w:pPr>
        <w:spacing w:after="0" w:line="38" w:lineRule="exact"/>
        <w:rPr>
          <w:sz w:val="24"/>
          <w:szCs w:val="24"/>
          <w:color w:val="auto"/>
        </w:rPr>
      </w:pPr>
    </w:p>
    <w:p>
      <w:pPr>
        <w:jc w:val="center"/>
        <w:ind w:right="11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jc w:val="center"/>
        <w:ind w:right="114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2008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jc w:val="center"/>
        <w:ind w:left="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SI-Bone Inc.</w:t>
      </w:r>
    </w:p>
    <w:p>
      <w:pPr>
        <w:spacing w:after="0" w:line="38" w:lineRule="exact"/>
        <w:rPr>
          <w:sz w:val="24"/>
          <w:szCs w:val="24"/>
          <w:color w:val="auto"/>
        </w:rPr>
      </w:pPr>
    </w:p>
    <w:p>
      <w:pPr>
        <w:jc w:val="center"/>
        <w:ind w:left="2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3055 Olin Avenue</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SAN JOSE</w:t>
      </w:r>
      <w:r>
        <w:rPr>
          <w:sz w:val="20"/>
          <w:szCs w:val="20"/>
          <w:color w:val="auto"/>
        </w:rPr>
        <w:tab/>
      </w:r>
      <w:r>
        <w:rPr>
          <w:rFonts w:ascii="Arial" w:cs="Arial" w:eastAsia="Arial" w:hAnsi="Arial"/>
          <w:sz w:val="21"/>
          <w:szCs w:val="21"/>
          <w:color w:val="auto"/>
        </w:rPr>
        <w:t>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Suite 2200</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95128</w:t>
      </w:r>
      <w:r>
        <w:rPr>
          <w:sz w:val="20"/>
          <w:szCs w:val="20"/>
          <w:color w:val="auto"/>
        </w:rPr>
        <w:tab/>
      </w:r>
      <w:r>
        <w:rPr>
          <w:rFonts w:ascii="Arial" w:cs="Arial" w:eastAsia="Arial" w:hAnsi="Arial"/>
          <w:sz w:val="22"/>
          <w:szCs w:val="22"/>
          <w:color w:val="auto"/>
        </w:rPr>
        <w:t>4082070700</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Dunn</w:t>
            </w:r>
          </w:p>
        </w:tc>
        <w:tc>
          <w:tcPr>
            <w:tcW w:w="1220" w:type="dxa"/>
            <w:vAlign w:val="bottom"/>
          </w:tcPr>
          <w:p>
            <w:pPr>
              <w:ind w:left="500"/>
              <w:spacing w:after="0"/>
              <w:rPr>
                <w:sz w:val="20"/>
                <w:szCs w:val="20"/>
                <w:color w:val="auto"/>
              </w:rPr>
            </w:pPr>
            <w:r>
              <w:rPr>
                <w:rFonts w:ascii="Arial" w:cs="Arial" w:eastAsia="Arial" w:hAnsi="Arial"/>
                <w:sz w:val="22"/>
                <w:szCs w:val="22"/>
                <w:color w:val="auto"/>
              </w:rPr>
              <w:t>Jeffrey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3055 Olin Avenue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2200</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San Jose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95128</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Reiley</w:t>
            </w:r>
          </w:p>
        </w:tc>
        <w:tc>
          <w:tcPr>
            <w:tcW w:w="1220" w:type="dxa"/>
            <w:vAlign w:val="bottom"/>
          </w:tcPr>
          <w:p>
            <w:pPr>
              <w:ind w:left="500"/>
              <w:spacing w:after="0"/>
              <w:rPr>
                <w:sz w:val="20"/>
                <w:szCs w:val="20"/>
                <w:color w:val="auto"/>
              </w:rPr>
            </w:pPr>
            <w:r>
              <w:rPr>
                <w:rFonts w:ascii="Arial" w:cs="Arial" w:eastAsia="Arial" w:hAnsi="Arial"/>
                <w:sz w:val="22"/>
                <w:szCs w:val="22"/>
                <w:color w:val="auto"/>
              </w:rPr>
              <w:t>Mark</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3055 Olin Avenue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2200</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San Jose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95128</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Davis</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Ted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3055 Olin Avenue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2200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Jose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95128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Reicin</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5"/>
              </w:rPr>
              <w:t>Glenn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3055 Olin Avenue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2200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Jose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95128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Hinckley</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Greg</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3055 Olin Avenue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2200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Jose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95128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Murray</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Dan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3055 Olin Avenue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2200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Jose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95128</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60" w:type="dxa"/>
            <w:vAlign w:val="bottom"/>
          </w:tcPr>
          <w:p>
            <w:pPr>
              <w:spacing w:after="0"/>
              <w:rPr>
                <w:sz w:val="20"/>
                <w:szCs w:val="20"/>
                <w:color w:val="auto"/>
              </w:rPr>
            </w:pPr>
            <w:r>
              <w:rPr>
                <w:rFonts w:ascii="Arial" w:cs="Arial" w:eastAsia="Arial" w:hAnsi="Arial"/>
                <w:sz w:val="22"/>
                <w:szCs w:val="22"/>
                <w:color w:val="auto"/>
              </w:rPr>
              <w:t>Health Care</w:t>
            </w:r>
          </w:p>
        </w:tc>
        <w:tc>
          <w:tcPr>
            <w:tcW w:w="2780" w:type="dxa"/>
            <w:vAlign w:val="bottom"/>
          </w:tcPr>
          <w:p>
            <w:pPr>
              <w:ind w:left="24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6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80" w:type="dxa"/>
            <w:vAlign w:val="bottom"/>
            <w:vMerge w:val="restart"/>
          </w:tcPr>
          <w:p>
            <w:pPr>
              <w:ind w:left="24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60" w:type="dxa"/>
            <w:vAlign w:val="bottom"/>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80" w:type="dxa"/>
            <w:vAlign w:val="bottom"/>
          </w:tcPr>
          <w:p>
            <w:pPr>
              <w:ind w:left="24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60" w:type="dxa"/>
            <w:vAlign w:val="bottom"/>
          </w:tcPr>
          <w:p>
            <w:pPr>
              <w:ind w:left="200"/>
              <w:spacing w:after="0"/>
              <w:rPr>
                <w:sz w:val="20"/>
                <w:szCs w:val="20"/>
                <w:color w:val="auto"/>
              </w:rPr>
            </w:pPr>
            <w:r>
              <w:rPr>
                <w:rFonts w:ascii="Arial" w:cs="Arial" w:eastAsia="Arial" w:hAnsi="Arial"/>
                <w:sz w:val="22"/>
                <w:szCs w:val="22"/>
                <w:color w:val="auto"/>
              </w:rPr>
              <w:t>Hospitals &amp; Physicians</w:t>
            </w:r>
          </w:p>
        </w:tc>
        <w:tc>
          <w:tcPr>
            <w:tcW w:w="2780" w:type="dxa"/>
            <w:vAlign w:val="bottom"/>
          </w:tcPr>
          <w:p>
            <w:pPr>
              <w:ind w:left="44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6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80" w:type="dxa"/>
            <w:vAlign w:val="bottom"/>
          </w:tcPr>
          <w:p>
            <w:pPr>
              <w:ind w:left="44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6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80" w:type="dxa"/>
            <w:vAlign w:val="bottom"/>
          </w:tcPr>
          <w:p>
            <w:pPr>
              <w:ind w:left="44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60" w:type="dxa"/>
            <w:vAlign w:val="bottom"/>
          </w:tcPr>
          <w:p>
            <w:pPr>
              <w:spacing w:after="0"/>
              <w:rPr>
                <w:sz w:val="20"/>
                <w:szCs w:val="20"/>
                <w:color w:val="auto"/>
              </w:rPr>
            </w:pPr>
            <w:r>
              <w:rPr>
                <w:rFonts w:ascii="Arial" w:cs="Arial" w:eastAsia="Arial" w:hAnsi="Arial"/>
                <w:sz w:val="22"/>
                <w:szCs w:val="22"/>
                <w:color w:val="auto"/>
              </w:rPr>
              <w:t>Manufacturing</w:t>
            </w:r>
          </w:p>
        </w:tc>
        <w:tc>
          <w:tcPr>
            <w:tcW w:w="2780" w:type="dxa"/>
            <w:vAlign w:val="bottom"/>
          </w:tcPr>
          <w:p>
            <w:pPr>
              <w:ind w:left="24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60" w:type="dxa"/>
            <w:vAlign w:val="bottom"/>
          </w:tcPr>
          <w:p>
            <w:pPr>
              <w:spacing w:after="0"/>
              <w:rPr>
                <w:sz w:val="20"/>
                <w:szCs w:val="20"/>
                <w:color w:val="auto"/>
              </w:rPr>
            </w:pPr>
            <w:r>
              <w:rPr>
                <w:rFonts w:ascii="Arial" w:cs="Arial" w:eastAsia="Arial" w:hAnsi="Arial"/>
                <w:sz w:val="22"/>
                <w:szCs w:val="22"/>
                <w:color w:val="auto"/>
              </w:rPr>
              <w:t>Real Estate</w:t>
            </w:r>
          </w:p>
        </w:tc>
        <w:tc>
          <w:tcPr>
            <w:tcW w:w="2780" w:type="dxa"/>
            <w:vAlign w:val="bottom"/>
          </w:tcPr>
          <w:p>
            <w:pPr>
              <w:ind w:left="44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6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80" w:type="dxa"/>
            <w:vAlign w:val="bottom"/>
            <w:vMerge w:val="restart"/>
          </w:tcPr>
          <w:p>
            <w:pPr>
              <w:ind w:left="44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60" w:type="dxa"/>
            <w:vAlign w:val="bottom"/>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80" w:type="dxa"/>
            <w:vAlign w:val="bottom"/>
            <w:vMerge w:val="restart"/>
          </w:tcPr>
          <w:p>
            <w:pPr>
              <w:ind w:left="44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60" w:type="dxa"/>
            <w:vAlign w:val="bottom"/>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80" w:type="dxa"/>
            <w:vAlign w:val="bottom"/>
            <w:vMerge w:val="restart"/>
          </w:tcPr>
          <w:p>
            <w:pPr>
              <w:ind w:left="44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60" w:type="dxa"/>
            <w:vAlign w:val="bottom"/>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820" w:type="dxa"/>
            <w:vAlign w:val="bottom"/>
          </w:tcPr>
          <w:p>
            <w:pPr>
              <w:ind w:left="260"/>
              <w:spacing w:after="0"/>
              <w:rPr>
                <w:sz w:val="20"/>
                <w:szCs w:val="20"/>
                <w:color w:val="auto"/>
              </w:rPr>
            </w:pPr>
            <w:r>
              <w:rPr>
                <w:rFonts w:ascii="Arial" w:cs="Arial" w:eastAsia="Arial" w:hAnsi="Arial"/>
                <w:sz w:val="22"/>
                <w:szCs w:val="22"/>
                <w:color w:val="auto"/>
              </w:rPr>
              <w:t>Business Services</w:t>
            </w:r>
          </w:p>
        </w:tc>
        <w:tc>
          <w:tcPr>
            <w:tcW w:w="980" w:type="dxa"/>
            <w:vAlign w:val="bottom"/>
          </w:tcPr>
          <w:p>
            <w:pPr>
              <w:spacing w:after="0"/>
              <w:rPr>
                <w:sz w:val="23"/>
                <w:szCs w:val="23"/>
                <w:color w:val="auto"/>
              </w:rPr>
            </w:pPr>
          </w:p>
        </w:tc>
        <w:tc>
          <w:tcPr>
            <w:tcW w:w="2300" w:type="dxa"/>
            <w:vAlign w:val="bottom"/>
          </w:tcPr>
          <w:p>
            <w:pPr>
              <w:ind w:left="340"/>
              <w:spacing w:after="0"/>
              <w:rPr>
                <w:sz w:val="20"/>
                <w:szCs w:val="20"/>
                <w:color w:val="auto"/>
              </w:rPr>
            </w:pPr>
            <w:r>
              <w:rPr>
                <w:rFonts w:ascii="Arial" w:cs="Arial" w:eastAsia="Arial" w:hAnsi="Arial"/>
                <w:sz w:val="22"/>
                <w:szCs w:val="22"/>
                <w:color w:val="auto"/>
              </w:rPr>
              <w:t>Residential</w:t>
            </w:r>
          </w:p>
        </w:tc>
        <w:tc>
          <w:tcPr>
            <w:tcW w:w="3200" w:type="dxa"/>
            <w:vAlign w:val="bottom"/>
          </w:tcPr>
          <w:p>
            <w:pPr>
              <w:ind w:left="28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Energy</w:t>
            </w:r>
          </w:p>
        </w:tc>
        <w:tc>
          <w:tcPr>
            <w:tcW w:w="980" w:type="dxa"/>
            <w:vAlign w:val="bottom"/>
          </w:tcPr>
          <w:p>
            <w:pPr>
              <w:spacing w:after="0"/>
              <w:rPr>
                <w:sz w:val="24"/>
                <w:szCs w:val="24"/>
                <w:color w:val="auto"/>
              </w:rPr>
            </w:pPr>
          </w:p>
        </w:tc>
        <w:tc>
          <w:tcPr>
            <w:tcW w:w="2300" w:type="dxa"/>
            <w:vAlign w:val="bottom"/>
            <w:vMerge w:val="restart"/>
          </w:tcPr>
          <w:p>
            <w:pPr>
              <w:ind w:left="340"/>
              <w:spacing w:after="0"/>
              <w:rPr>
                <w:sz w:val="20"/>
                <w:szCs w:val="20"/>
                <w:color w:val="auto"/>
              </w:rPr>
            </w:pPr>
            <w:r>
              <w:rPr>
                <w:rFonts w:ascii="Arial" w:cs="Arial" w:eastAsia="Arial" w:hAnsi="Arial"/>
                <w:sz w:val="22"/>
                <w:szCs w:val="22"/>
                <w:color w:val="auto"/>
              </w:rPr>
              <w:t>Other Real Estate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820" w:type="dxa"/>
            <w:vAlign w:val="bottom"/>
            <w:vMerge w:val="restart"/>
          </w:tcPr>
          <w:p>
            <w:pPr>
              <w:ind w:left="460"/>
              <w:spacing w:after="0"/>
              <w:rPr>
                <w:sz w:val="20"/>
                <w:szCs w:val="20"/>
                <w:color w:val="auto"/>
              </w:rPr>
            </w:pPr>
            <w:r>
              <w:rPr>
                <w:rFonts w:ascii="Arial" w:cs="Arial" w:eastAsia="Arial" w:hAnsi="Arial"/>
                <w:sz w:val="22"/>
                <w:szCs w:val="22"/>
                <w:color w:val="auto"/>
              </w:rPr>
              <w:t>Coal Mining</w:t>
            </w:r>
          </w:p>
        </w:tc>
        <w:tc>
          <w:tcPr>
            <w:tcW w:w="98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820" w:type="dxa"/>
            <w:vAlign w:val="bottom"/>
            <w:vMerge w:val="continue"/>
          </w:tcPr>
          <w:p>
            <w:pPr>
              <w:spacing w:after="0"/>
              <w:rPr>
                <w:sz w:val="22"/>
                <w:szCs w:val="22"/>
                <w:color w:val="auto"/>
              </w:rPr>
            </w:pPr>
          </w:p>
        </w:tc>
        <w:tc>
          <w:tcPr>
            <w:tcW w:w="9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Electric Utilities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Energy Conservation</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Environmental Services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Oil &amp; Gas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820" w:type="dxa"/>
            <w:vAlign w:val="bottom"/>
          </w:tcPr>
          <w:p>
            <w:pPr>
              <w:spacing w:after="0"/>
              <w:rPr>
                <w:sz w:val="20"/>
                <w:szCs w:val="20"/>
                <w:color w:val="auto"/>
              </w:rPr>
            </w:pPr>
            <w:r>
              <w:rPr>
                <w:rFonts w:ascii="Arial" w:cs="Arial" w:eastAsia="Arial" w:hAnsi="Arial"/>
                <w:sz w:val="22"/>
                <w:szCs w:val="22"/>
                <w:color w:val="auto"/>
              </w:rPr>
              <w:t>5. Issuer Size</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820" w:type="dxa"/>
            <w:vAlign w:val="bottom"/>
          </w:tcPr>
          <w:p>
            <w:pPr>
              <w:jc w:val="right"/>
              <w:ind w:right="752"/>
              <w:spacing w:after="0"/>
              <w:rPr>
                <w:sz w:val="20"/>
                <w:szCs w:val="20"/>
                <w:color w:val="auto"/>
              </w:rPr>
            </w:pPr>
            <w:r>
              <w:rPr>
                <w:rFonts w:ascii="Arial" w:cs="Arial" w:eastAsia="Arial" w:hAnsi="Arial"/>
                <w:sz w:val="22"/>
                <w:szCs w:val="22"/>
                <w:b w:val="1"/>
                <w:bCs w:val="1"/>
                <w:color w:val="auto"/>
              </w:rPr>
              <w:t>Revenue Range</w:t>
            </w:r>
          </w:p>
        </w:tc>
        <w:tc>
          <w:tcPr>
            <w:tcW w:w="980" w:type="dxa"/>
            <w:vAlign w:val="bottom"/>
          </w:tcPr>
          <w:p>
            <w:pPr>
              <w:ind w:left="300"/>
              <w:spacing w:after="0"/>
              <w:rPr>
                <w:sz w:val="20"/>
                <w:szCs w:val="20"/>
                <w:color w:val="auto"/>
              </w:rPr>
            </w:pPr>
            <w:r>
              <w:rPr>
                <w:rFonts w:ascii="Arial" w:cs="Arial" w:eastAsia="Arial" w:hAnsi="Arial"/>
                <w:sz w:val="22"/>
                <w:szCs w:val="22"/>
                <w:b w:val="1"/>
                <w:bCs w:val="1"/>
                <w:color w:val="auto"/>
              </w:rPr>
              <w:t>OR</w:t>
            </w:r>
          </w:p>
        </w:tc>
        <w:tc>
          <w:tcPr>
            <w:tcW w:w="2300" w:type="dxa"/>
            <w:vAlign w:val="bottom"/>
          </w:tcPr>
          <w:p>
            <w:pPr>
              <w:spacing w:after="0"/>
              <w:rPr>
                <w:sz w:val="24"/>
                <w:szCs w:val="24"/>
                <w:color w:val="auto"/>
              </w:rPr>
            </w:pPr>
          </w:p>
        </w:tc>
        <w:tc>
          <w:tcPr>
            <w:tcW w:w="3200" w:type="dxa"/>
            <w:vAlign w:val="bottom"/>
          </w:tcPr>
          <w:p>
            <w:pPr>
              <w:ind w:left="12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rPr>
              <w:t>$1 - $5,000,000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$5,000,001 -</w:t>
            </w:r>
          </w:p>
        </w:tc>
        <w:tc>
          <w:tcPr>
            <w:tcW w:w="980" w:type="dxa"/>
            <w:vAlign w:val="bottom"/>
          </w:tcPr>
          <w:p>
            <w:pPr>
              <w:spacing w:after="0"/>
              <w:rPr>
                <w:sz w:val="23"/>
                <w:szCs w:val="23"/>
                <w:color w:val="auto"/>
              </w:rPr>
            </w:pPr>
          </w:p>
        </w:tc>
        <w:tc>
          <w:tcPr>
            <w:tcW w:w="5500" w:type="dxa"/>
            <w:vAlign w:val="bottom"/>
            <w:gridSpan w:val="2"/>
            <w:vMerge w:val="restart"/>
          </w:tcPr>
          <w:p>
            <w:pPr>
              <w:ind w:left="50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980" w:type="dxa"/>
            <w:vAlign w:val="bottom"/>
          </w:tcPr>
          <w:p>
            <w:pPr>
              <w:spacing w:after="0"/>
              <w:rPr>
                <w:sz w:val="23"/>
                <w:szCs w:val="23"/>
                <w:color w:val="auto"/>
              </w:rPr>
            </w:pPr>
          </w:p>
        </w:tc>
        <w:tc>
          <w:tcPr>
            <w:tcW w:w="5500" w:type="dxa"/>
            <w:vAlign w:val="bottom"/>
            <w:gridSpan w:val="2"/>
            <w:vMerge w:val="restart"/>
          </w:tcPr>
          <w:p>
            <w:pPr>
              <w:ind w:left="50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w w:val="94"/>
              </w:rPr>
              <w:t>Over $100,000,000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jc w:val="right"/>
              <w:ind w:right="752"/>
              <w:spacing w:after="0"/>
              <w:rPr>
                <w:sz w:val="20"/>
                <w:szCs w:val="20"/>
                <w:color w:val="auto"/>
              </w:rPr>
            </w:pPr>
            <w:r>
              <w:rPr>
                <w:rFonts w:ascii="Arial" w:cs="Arial" w:eastAsia="Arial" w:hAnsi="Arial"/>
                <w:sz w:val="22"/>
                <w:szCs w:val="22"/>
                <w:color w:val="auto"/>
                <w:w w:val="93"/>
              </w:rPr>
              <w:t>X Decline to Disclose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w w:val="95"/>
              </w:rPr>
              <w:t>Decline to Disclose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rPr>
              <w:t>Not Applicable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80" w:type="dxa"/>
            <w:vAlign w:val="bottom"/>
            <w:gridSpan w:val="2"/>
          </w:tcPr>
          <w:p>
            <w:pPr>
              <w:ind w:left="260"/>
              <w:spacing w:after="0"/>
              <w:rPr>
                <w:sz w:val="20"/>
                <w:szCs w:val="20"/>
                <w:color w:val="auto"/>
              </w:rPr>
            </w:pPr>
            <w:r>
              <w:rPr>
                <w:rFonts w:ascii="Arial" w:cs="Arial" w:eastAsia="Arial" w:hAnsi="Arial"/>
                <w:sz w:val="22"/>
                <w:szCs w:val="22"/>
                <w:color w:val="auto"/>
              </w:rPr>
              <w:t>Rule 504(b)(1) (not (i), (ii) or (iii))</w:t>
            </w:r>
          </w:p>
        </w:tc>
        <w:tc>
          <w:tcPr>
            <w:tcW w:w="2400" w:type="dxa"/>
            <w:vAlign w:val="bottom"/>
          </w:tcPr>
          <w:p>
            <w:pPr>
              <w:ind w:left="440"/>
              <w:spacing w:after="0"/>
              <w:rPr>
                <w:sz w:val="20"/>
                <w:szCs w:val="20"/>
                <w:color w:val="auto"/>
              </w:rPr>
            </w:pPr>
            <w:r>
              <w:rPr>
                <w:rFonts w:ascii="Arial" w:cs="Arial" w:eastAsia="Arial" w:hAnsi="Arial"/>
                <w:sz w:val="22"/>
                <w:szCs w:val="22"/>
                <w:color w:val="auto"/>
              </w:rPr>
              <w:t>Rule 505</w:t>
            </w:r>
          </w:p>
        </w:tc>
        <w:tc>
          <w:tcPr>
            <w:tcW w:w="1720" w:type="dxa"/>
            <w:vAlign w:val="bottom"/>
          </w:tcPr>
          <w:p>
            <w:pPr>
              <w:spacing w:after="0"/>
              <w:rPr>
                <w:sz w:val="23"/>
                <w:szCs w:val="23"/>
                <w:color w:val="auto"/>
              </w:rPr>
            </w:pP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w:t>
            </w:r>
          </w:p>
        </w:tc>
        <w:tc>
          <w:tcPr>
            <w:tcW w:w="2400" w:type="dxa"/>
            <w:vAlign w:val="bottom"/>
          </w:tcPr>
          <w:p>
            <w:pPr>
              <w:ind w:left="160"/>
              <w:spacing w:after="0"/>
              <w:rPr>
                <w:sz w:val="20"/>
                <w:szCs w:val="20"/>
                <w:color w:val="auto"/>
              </w:rPr>
            </w:pPr>
            <w:r>
              <w:rPr>
                <w:rFonts w:ascii="Arial" w:cs="Arial" w:eastAsia="Arial" w:hAnsi="Arial"/>
                <w:sz w:val="22"/>
                <w:szCs w:val="22"/>
                <w:color w:val="auto"/>
              </w:rPr>
              <w:t>X Rule 506</w:t>
            </w:r>
          </w:p>
        </w:tc>
        <w:tc>
          <w:tcPr>
            <w:tcW w:w="1720" w:type="dxa"/>
            <w:vAlign w:val="bottom"/>
          </w:tcPr>
          <w:p>
            <w:pPr>
              <w:spacing w:after="0"/>
              <w:rPr>
                <w:sz w:val="24"/>
                <w:szCs w:val="24"/>
                <w:color w:val="auto"/>
              </w:rPr>
            </w:pP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(b)(1)(ii)</w:t>
            </w:r>
          </w:p>
        </w:tc>
        <w:tc>
          <w:tcPr>
            <w:tcW w:w="4120" w:type="dxa"/>
            <w:vAlign w:val="bottom"/>
            <w:gridSpan w:val="2"/>
          </w:tcPr>
          <w:p>
            <w:pPr>
              <w:ind w:left="440"/>
              <w:spacing w:after="0"/>
              <w:rPr>
                <w:sz w:val="20"/>
                <w:szCs w:val="20"/>
                <w:color w:val="auto"/>
              </w:rPr>
            </w:pPr>
            <w:r>
              <w:rPr>
                <w:rFonts w:ascii="Arial" w:cs="Arial" w:eastAsia="Arial" w:hAnsi="Arial"/>
                <w:sz w:val="22"/>
                <w:szCs w:val="22"/>
                <w:color w:val="auto"/>
              </w:rPr>
              <w:t>Securities Act Section 4(5)</w:t>
            </w: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(b)(1)(iii)</w:t>
            </w:r>
          </w:p>
        </w:tc>
        <w:tc>
          <w:tcPr>
            <w:tcW w:w="4120" w:type="dxa"/>
            <w:vAlign w:val="bottom"/>
            <w:gridSpan w:val="2"/>
          </w:tcPr>
          <w:p>
            <w:pPr>
              <w:ind w:left="440"/>
              <w:spacing w:after="0"/>
              <w:rPr>
                <w:sz w:val="20"/>
                <w:szCs w:val="20"/>
                <w:color w:val="auto"/>
              </w:rPr>
            </w:pPr>
            <w:r>
              <w:rPr>
                <w:rFonts w:ascii="Arial" w:cs="Arial" w:eastAsia="Arial" w:hAnsi="Arial"/>
                <w:sz w:val="22"/>
                <w:szCs w:val="22"/>
                <w:color w:val="auto"/>
                <w:w w:val="99"/>
              </w:rPr>
              <w:t>Investment Company Act Section 3(c)</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3(c)(1)</w:t>
            </w:r>
          </w:p>
        </w:tc>
        <w:tc>
          <w:tcPr>
            <w:tcW w:w="1720" w:type="dxa"/>
            <w:vAlign w:val="bottom"/>
          </w:tcPr>
          <w:p>
            <w:pPr>
              <w:ind w:left="280"/>
              <w:spacing w:after="0"/>
              <w:rPr>
                <w:sz w:val="20"/>
                <w:szCs w:val="20"/>
                <w:color w:val="auto"/>
              </w:rPr>
            </w:pPr>
            <w:r>
              <w:rPr>
                <w:rFonts w:ascii="Arial" w:cs="Arial" w:eastAsia="Arial" w:hAnsi="Arial"/>
                <w:sz w:val="22"/>
                <w:szCs w:val="22"/>
                <w:color w:val="auto"/>
                <w:w w:val="98"/>
              </w:rPr>
              <w:t>Section 3(c)(9)</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3(c)(2)</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3(c)(10)</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3(c)(3)</w:t>
            </w:r>
          </w:p>
        </w:tc>
        <w:tc>
          <w:tcPr>
            <w:tcW w:w="1720" w:type="dxa"/>
            <w:vAlign w:val="bottom"/>
          </w:tcPr>
          <w:p>
            <w:pPr>
              <w:ind w:left="320"/>
              <w:spacing w:after="0"/>
              <w:rPr>
                <w:sz w:val="20"/>
                <w:szCs w:val="20"/>
                <w:color w:val="auto"/>
              </w:rPr>
            </w:pPr>
            <w:r>
              <w:rPr>
                <w:rFonts w:ascii="Arial" w:cs="Arial" w:eastAsia="Arial" w:hAnsi="Arial"/>
                <w:sz w:val="22"/>
                <w:szCs w:val="22"/>
                <w:color w:val="auto"/>
                <w:w w:val="88"/>
              </w:rPr>
              <w:t>Section 3(c)(11)</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3(c)(4)</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3(c)(12)</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3(c)(5)</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3(c)(13)</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3(c)(6)</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3(c)(14)</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ind w:left="400"/>
              <w:spacing w:after="0"/>
              <w:rPr>
                <w:sz w:val="20"/>
                <w:szCs w:val="20"/>
                <w:color w:val="auto"/>
              </w:rPr>
            </w:pPr>
            <w:r>
              <w:rPr>
                <w:rFonts w:ascii="Arial" w:cs="Arial" w:eastAsia="Arial" w:hAnsi="Arial"/>
                <w:sz w:val="22"/>
                <w:szCs w:val="22"/>
                <w:color w:val="auto"/>
              </w:rPr>
              <w:t>Section 3(c)(7)</w:t>
            </w:r>
          </w:p>
        </w:tc>
        <w:tc>
          <w:tcPr>
            <w:tcW w:w="1720" w:type="dxa"/>
            <w:vAlign w:val="bottom"/>
          </w:tcPr>
          <w:p>
            <w:pPr>
              <w:spacing w:after="0"/>
              <w:rPr>
                <w:sz w:val="24"/>
                <w:szCs w:val="24"/>
                <w:color w:val="auto"/>
              </w:rPr>
            </w:pPr>
          </w:p>
        </w:tc>
      </w:tr>
      <w:tr>
        <w:trPr>
          <w:trHeight w:val="581"/>
        </w:trPr>
        <w:tc>
          <w:tcPr>
            <w:tcW w:w="4180" w:type="dxa"/>
            <w:vAlign w:val="bottom"/>
            <w:gridSpan w:val="2"/>
          </w:tcPr>
          <w:p>
            <w:pPr>
              <w:spacing w:after="0"/>
              <w:rPr>
                <w:sz w:val="20"/>
                <w:szCs w:val="20"/>
                <w:color w:val="auto"/>
              </w:rPr>
            </w:pPr>
            <w:r>
              <w:rPr>
                <w:rFonts w:ascii="Arial" w:cs="Arial" w:eastAsia="Arial" w:hAnsi="Arial"/>
                <w:sz w:val="22"/>
                <w:szCs w:val="22"/>
                <w:color w:val="auto"/>
              </w:rPr>
              <w:t>7. Type of Filing</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00"/>
        </w:trPr>
        <w:tc>
          <w:tcPr>
            <w:tcW w:w="4180" w:type="dxa"/>
            <w:vAlign w:val="bottom"/>
            <w:gridSpan w:val="2"/>
          </w:tcPr>
          <w:p>
            <w:pPr>
              <w:ind w:left="40"/>
              <w:spacing w:after="0"/>
              <w:rPr>
                <w:sz w:val="20"/>
                <w:szCs w:val="20"/>
                <w:color w:val="auto"/>
              </w:rPr>
            </w:pPr>
            <w:r>
              <w:rPr>
                <w:rFonts w:ascii="Arial" w:cs="Arial" w:eastAsia="Arial" w:hAnsi="Arial"/>
                <w:sz w:val="22"/>
                <w:szCs w:val="22"/>
                <w:color w:val="auto"/>
                <w:w w:val="94"/>
              </w:rPr>
              <w:t>X New Notice  Date of First Sale 2011-09-21</w:t>
            </w:r>
          </w:p>
        </w:tc>
        <w:tc>
          <w:tcPr>
            <w:tcW w:w="2400" w:type="dxa"/>
            <w:vAlign w:val="bottom"/>
          </w:tcPr>
          <w:p>
            <w:pPr>
              <w:jc w:val="center"/>
              <w:ind w:right="52"/>
              <w:spacing w:after="0"/>
              <w:rPr>
                <w:sz w:val="20"/>
                <w:szCs w:val="20"/>
                <w:color w:val="auto"/>
              </w:rPr>
            </w:pPr>
            <w:r>
              <w:rPr>
                <w:rFonts w:ascii="Arial" w:cs="Arial" w:eastAsia="Arial" w:hAnsi="Arial"/>
                <w:sz w:val="22"/>
                <w:szCs w:val="22"/>
                <w:color w:val="auto"/>
                <w:w w:val="88"/>
              </w:rPr>
              <w:t>First Sale Yet to Occur</w:t>
            </w:r>
          </w:p>
        </w:tc>
        <w:tc>
          <w:tcPr>
            <w:tcW w:w="1720" w:type="dxa"/>
            <w:vAlign w:val="bottom"/>
          </w:tcPr>
          <w:p>
            <w:pPr>
              <w:spacing w:after="0"/>
              <w:rPr>
                <w:sz w:val="24"/>
                <w:szCs w:val="24"/>
                <w:color w:val="auto"/>
              </w:rPr>
            </w:pPr>
          </w:p>
        </w:tc>
      </w:tr>
      <w:tr>
        <w:trPr>
          <w:trHeight w:val="297"/>
        </w:trPr>
        <w:tc>
          <w:tcPr>
            <w:tcW w:w="4180" w:type="dxa"/>
            <w:vAlign w:val="bottom"/>
            <w:gridSpan w:val="2"/>
          </w:tcPr>
          <w:p>
            <w:pPr>
              <w:ind w:left="260"/>
              <w:spacing w:after="0"/>
              <w:rPr>
                <w:sz w:val="20"/>
                <w:szCs w:val="20"/>
                <w:color w:val="auto"/>
              </w:rPr>
            </w:pPr>
            <w:r>
              <w:rPr>
                <w:rFonts w:ascii="Arial" w:cs="Arial" w:eastAsia="Arial" w:hAnsi="Arial"/>
                <w:sz w:val="22"/>
                <w:szCs w:val="22"/>
                <w:color w:val="auto"/>
              </w:rPr>
              <w:t>Amendment</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219"/>
          </w:cols>
          <w:pgMar w:left="240" w:top="118" w:right="1440" w:bottom="0" w:gutter="0" w:footer="0" w:header="0"/>
        </w:sectPr>
      </w:pPr>
    </w:p>
    <w:p>
      <w:pPr>
        <w:spacing w:after="0" w:line="247" w:lineRule="exact"/>
        <w:rPr>
          <w:sz w:val="20"/>
          <w:szCs w:val="20"/>
          <w:color w:val="auto"/>
        </w:rPr>
      </w:pPr>
    </w:p>
    <w:p>
      <w:pPr>
        <w:ind w:left="260" w:right="4740" w:hanging="211"/>
        <w:spacing w:after="0" w:line="326" w:lineRule="auto"/>
        <w:tabs>
          <w:tab w:leader="none" w:pos="260" w:val="left"/>
        </w:tabs>
        <w:numPr>
          <w:ilvl w:val="0"/>
          <w:numId w:val="2"/>
        </w:numPr>
        <w:rPr>
          <w:rFonts w:ascii="Arial" w:cs="Arial" w:eastAsia="Arial" w:hAnsi="Arial"/>
          <w:sz w:val="19"/>
          <w:szCs w:val="19"/>
          <w:color w:val="auto"/>
        </w:rPr>
      </w:pPr>
      <w:r>
        <w:rPr>
          <w:rFonts w:ascii="Arial" w:cs="Arial" w:eastAsia="Arial" w:hAnsi="Arial"/>
          <w:sz w:val="19"/>
          <w:szCs w:val="19"/>
          <w:color w:val="auto"/>
        </w:rPr>
        <w:t>Equity Debt</w:t>
      </w:r>
    </w:p>
    <w:p>
      <w:pPr>
        <w:ind w:left="260"/>
        <w:spacing w:after="0"/>
        <w:rPr>
          <w:rFonts w:ascii="Arial" w:cs="Arial" w:eastAsia="Arial" w:hAnsi="Arial"/>
          <w:sz w:val="19"/>
          <w:szCs w:val="19"/>
          <w:color w:val="auto"/>
        </w:rPr>
      </w:pPr>
      <w:r>
        <w:rPr>
          <w:rFonts w:ascii="Arial" w:cs="Arial" w:eastAsia="Arial" w:hAnsi="Arial"/>
          <w:sz w:val="19"/>
          <w:szCs w:val="19"/>
          <w:color w:val="auto"/>
        </w:rPr>
        <w:t>Option, Warrant or Other Right to Acquire Another Security</w:t>
      </w:r>
    </w:p>
    <w:p>
      <w:pPr>
        <w:spacing w:after="0" w:line="78" w:lineRule="exact"/>
        <w:rPr>
          <w:rFonts w:ascii="Arial" w:cs="Arial" w:eastAsia="Arial" w:hAnsi="Arial"/>
          <w:sz w:val="19"/>
          <w:szCs w:val="19"/>
          <w:color w:val="auto"/>
        </w:rPr>
      </w:pPr>
    </w:p>
    <w:p>
      <w:pPr>
        <w:ind w:left="260"/>
        <w:spacing w:after="0" w:line="251" w:lineRule="auto"/>
        <w:rPr>
          <w:rFonts w:ascii="Arial" w:cs="Arial" w:eastAsia="Arial" w:hAnsi="Arial"/>
          <w:sz w:val="19"/>
          <w:szCs w:val="19"/>
          <w:color w:val="auto"/>
        </w:rPr>
      </w:pPr>
      <w:r>
        <w:rPr>
          <w:rFonts w:ascii="Arial" w:cs="Arial" w:eastAsia="Arial" w:hAnsi="Arial"/>
          <w:sz w:val="22"/>
          <w:szCs w:val="22"/>
          <w:color w:val="auto"/>
        </w:rPr>
        <w:t>Security to be Acquired Upon Exercise of Option, Warrant or Other Right to Acquire Security</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10. Business Combination Transaction</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1399"/>
        <w:spacing w:after="0" w:line="357" w:lineRule="auto"/>
        <w:rPr>
          <w:sz w:val="20"/>
          <w:szCs w:val="20"/>
          <w:color w:val="auto"/>
        </w:rPr>
      </w:pPr>
      <w:r>
        <w:rPr>
          <w:rFonts w:ascii="Arial" w:cs="Arial" w:eastAsia="Arial" w:hAnsi="Arial"/>
          <w:sz w:val="19"/>
          <w:szCs w:val="19"/>
          <w:color w:val="auto"/>
        </w:rPr>
        <w:t>Pooled Investment Fund Interests Tenant-in-Common Securities Mineral Property Securities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Other (describe)</w:t>
      </w:r>
    </w:p>
    <w:p>
      <w:pPr>
        <w:sectPr>
          <w:pgSz w:w="11900" w:h="16838" w:orient="portrait"/>
          <w:cols w:equalWidth="0" w:num="2">
            <w:col w:w="5580" w:space="340"/>
            <w:col w:w="4299"/>
          </w:cols>
          <w:pgMar w:left="240" w:top="118" w:right="1440" w:bottom="0" w:gutter="0" w:footer="0" w:header="0"/>
          <w:type w:val="continuous"/>
        </w:sectPr>
      </w:pPr>
    </w:p>
    <w:bookmarkStart w:id="3" w:name="page4"/>
    <w:bookmarkEnd w:id="3"/>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4"/>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8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5460" w:type="dxa"/>
            <w:vAlign w:val="bottom"/>
            <w:gridSpan w:val="2"/>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5460" w:type="dxa"/>
            <w:vAlign w:val="bottom"/>
            <w:gridSpan w:val="2"/>
          </w:tcPr>
          <w:p>
            <w:pPr>
              <w:ind w:left="23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980" w:type="dxa"/>
            <w:vAlign w:val="bottom"/>
            <w:gridSpan w:val="2"/>
          </w:tcPr>
          <w:p>
            <w:pPr>
              <w:ind w:left="20"/>
              <w:spacing w:after="0"/>
              <w:rPr>
                <w:sz w:val="20"/>
                <w:szCs w:val="20"/>
                <w:color w:val="auto"/>
              </w:rPr>
            </w:pPr>
            <w:r>
              <w:rPr>
                <w:rFonts w:ascii="Arial" w:cs="Arial" w:eastAsia="Arial" w:hAnsi="Arial"/>
                <w:sz w:val="22"/>
                <w:szCs w:val="22"/>
                <w:color w:val="auto"/>
                <w:w w:val="96"/>
              </w:rPr>
              <w:t>$15,999,996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80" w:type="dxa"/>
            <w:vAlign w:val="bottom"/>
          </w:tcPr>
          <w:p>
            <w:pPr>
              <w:ind w:left="20"/>
              <w:spacing w:after="0"/>
              <w:rPr>
                <w:sz w:val="20"/>
                <w:szCs w:val="20"/>
                <w:color w:val="auto"/>
              </w:rPr>
            </w:pPr>
            <w:r>
              <w:rPr>
                <w:rFonts w:ascii="Arial" w:cs="Arial" w:eastAsia="Arial" w:hAnsi="Arial"/>
                <w:sz w:val="22"/>
                <w:szCs w:val="22"/>
                <w:color w:val="auto"/>
                <w:w w:val="93"/>
              </w:rPr>
              <w:t>$15,999,996 USD</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980" w:type="dxa"/>
            <w:vAlign w:val="bottom"/>
            <w:gridSpan w:val="2"/>
          </w:tcPr>
          <w:p>
            <w:pPr>
              <w:ind w:left="880"/>
              <w:spacing w:after="0"/>
              <w:rPr>
                <w:sz w:val="20"/>
                <w:szCs w:val="20"/>
                <w:color w:val="auto"/>
              </w:rPr>
            </w:pPr>
            <w:r>
              <w:rPr>
                <w:rFonts w:ascii="Arial" w:cs="Arial" w:eastAsia="Arial" w:hAnsi="Arial"/>
                <w:sz w:val="22"/>
                <w:szCs w:val="22"/>
                <w:color w:val="auto"/>
              </w:rPr>
              <w:t>$0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92" w:orient="portrait"/>
          <w:cols w:equalWidth="0" w:num="1">
            <w:col w:w="11380"/>
          </w:cols>
          <w:pgMar w:left="240" w:top="149"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92" w:orient="portrait"/>
          <w:cols w:equalWidth="0" w:num="3">
            <w:col w:w="2080" w:space="720"/>
            <w:col w:w="700" w:space="280"/>
            <w:col w:w="7600"/>
          </w:cols>
          <w:pgMar w:left="240" w:top="149"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92" w:orient="portrait"/>
          <w:cols w:equalWidth="0" w:num="3">
            <w:col w:w="2080" w:space="720"/>
            <w:col w:w="700" w:space="280"/>
            <w:col w:w="7600"/>
          </w:cols>
          <w:pgMar w:left="240" w:top="149"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584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46620" cy="584835"/>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ectPr>
          <w:pgSz w:w="11900" w:h="16892" w:orient="portrait"/>
          <w:cols w:equalWidth="0" w:num="1">
            <w:col w:w="11380"/>
          </w:cols>
          <w:pgMar w:left="240" w:top="149" w:right="279" w:bottom="0" w:gutter="0" w:footer="0" w:header="0"/>
          <w:type w:val="continuous"/>
        </w:sectPr>
      </w:pPr>
    </w:p>
    <w:bookmarkStart w:id="4" w:name="page5"/>
    <w:bookmarkEnd w:id="4"/>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-1563370</wp:posOffset>
            </wp:positionV>
            <wp:extent cx="7246620" cy="21526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46620" cy="2152650"/>
                    </a:xfrm>
                    <a:prstGeom prst="rect">
                      <a:avLst/>
                    </a:prstGeom>
                    <a:noFill/>
                  </pic:spPr>
                </pic:pic>
              </a:graphicData>
            </a:graphic>
          </wp:anchor>
        </w:drawing>
      </w:r>
    </w:p>
    <w:p>
      <w:pPr>
        <w:spacing w:after="0" w:line="14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460" w:type="dxa"/>
            <w:vAlign w:val="bottom"/>
            <w:tcBorders>
              <w:top w:val="single" w:sz="8" w:color="2C2C2C"/>
              <w:bottom w:val="single" w:sz="8" w:color="808080"/>
            </w:tcBorders>
          </w:tcPr>
          <w:p>
            <w:pPr>
              <w:ind w:left="94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360" w:type="dxa"/>
            <w:vAlign w:val="bottom"/>
            <w:tcBorders>
              <w:top w:val="single" w:sz="8" w:color="2C2C2C"/>
              <w:bottom w:val="single" w:sz="8" w:color="808080"/>
            </w:tcBorders>
          </w:tcPr>
          <w:p>
            <w:pPr>
              <w:ind w:left="74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3120" w:type="dxa"/>
            <w:vAlign w:val="bottom"/>
            <w:tcBorders>
              <w:top w:val="single" w:sz="8" w:color="2C2C2C"/>
              <w:bottom w:val="single" w:sz="8" w:color="808080"/>
            </w:tcBorders>
          </w:tcPr>
          <w:p>
            <w:pPr>
              <w:ind w:left="84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1020" w:type="dxa"/>
            <w:vAlign w:val="bottom"/>
            <w:tcBorders>
              <w:top w:val="single" w:sz="8" w:color="2C2C2C"/>
              <w:bottom w:val="single" w:sz="8" w:color="808080"/>
            </w:tcBorders>
          </w:tcPr>
          <w:p>
            <w:pPr>
              <w:ind w:left="28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2260" w:type="dxa"/>
            <w:vAlign w:val="bottom"/>
            <w:tcBorders>
              <w:top w:val="single" w:sz="8" w:color="2C2C2C"/>
              <w:bottom w:val="single" w:sz="8" w:color="808080"/>
            </w:tcBorders>
          </w:tcPr>
          <w:p>
            <w:pPr>
              <w:jc w:val="right"/>
              <w:ind w:right="8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4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SI-Bone Inc.</w:t>
            </w:r>
          </w:p>
        </w:tc>
        <w:tc>
          <w:tcPr>
            <w:tcW w:w="20" w:type="dxa"/>
            <w:vAlign w:val="bottom"/>
          </w:tcPr>
          <w:p>
            <w:pPr>
              <w:spacing w:after="0"/>
              <w:rPr>
                <w:sz w:val="22"/>
                <w:szCs w:val="22"/>
                <w:color w:val="auto"/>
              </w:rPr>
            </w:pPr>
          </w:p>
        </w:tc>
        <w:tc>
          <w:tcPr>
            <w:tcW w:w="23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Dan Murray</w:t>
            </w:r>
          </w:p>
        </w:tc>
        <w:tc>
          <w:tcPr>
            <w:tcW w:w="40" w:type="dxa"/>
            <w:vAlign w:val="bottom"/>
          </w:tcPr>
          <w:p>
            <w:pPr>
              <w:spacing w:after="0"/>
              <w:rPr>
                <w:sz w:val="22"/>
                <w:szCs w:val="22"/>
                <w:color w:val="auto"/>
              </w:rPr>
            </w:pPr>
          </w:p>
        </w:tc>
        <w:tc>
          <w:tcPr>
            <w:tcW w:w="31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Dan Murray</w:t>
            </w:r>
          </w:p>
        </w:tc>
        <w:tc>
          <w:tcPr>
            <w:tcW w:w="40" w:type="dxa"/>
            <w:vAlign w:val="bottom"/>
          </w:tcPr>
          <w:p>
            <w:pPr>
              <w:spacing w:after="0"/>
              <w:rPr>
                <w:sz w:val="22"/>
                <w:szCs w:val="22"/>
                <w:color w:val="auto"/>
              </w:rPr>
            </w:pPr>
          </w:p>
        </w:tc>
        <w:tc>
          <w:tcPr>
            <w:tcW w:w="10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CFO</w:t>
            </w:r>
          </w:p>
        </w:tc>
        <w:tc>
          <w:tcPr>
            <w:tcW w:w="20" w:type="dxa"/>
            <w:vAlign w:val="bottom"/>
          </w:tcPr>
          <w:p>
            <w:pPr>
              <w:spacing w:after="0"/>
              <w:rPr>
                <w:sz w:val="22"/>
                <w:szCs w:val="22"/>
                <w:color w:val="auto"/>
              </w:rPr>
            </w:pPr>
          </w:p>
        </w:tc>
        <w:tc>
          <w:tcPr>
            <w:tcW w:w="2260" w:type="dxa"/>
            <w:vAlign w:val="bottom"/>
            <w:tcBorders>
              <w:top w:val="single" w:sz="8" w:color="2C2C2C"/>
              <w:bottom w:val="single" w:sz="8" w:color="808080"/>
            </w:tcBorders>
          </w:tcPr>
          <w:p>
            <w:pPr>
              <w:jc w:val="right"/>
              <w:ind w:right="1112"/>
              <w:spacing w:after="0"/>
              <w:rPr>
                <w:sz w:val="20"/>
                <w:szCs w:val="20"/>
                <w:color w:val="auto"/>
              </w:rPr>
            </w:pPr>
            <w:r>
              <w:rPr>
                <w:rFonts w:ascii="Arial" w:cs="Arial" w:eastAsia="Arial" w:hAnsi="Arial"/>
                <w:sz w:val="22"/>
                <w:szCs w:val="22"/>
                <w:color w:val="auto"/>
                <w:w w:val="90"/>
              </w:rPr>
              <w:t>2011-09-29</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4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3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12"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2019-12-11T07:17:35Z</dcterms:created>
  <dcterms:modified xsi:type="dcterms:W3CDTF">2019-12-11T07:17:35Z</dcterms:modified>
</cp:coreProperties>
</file>