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22"/>
          <w:szCs w:val="22"/>
          <w:b w:val="1"/>
          <w:bCs w:val="1"/>
          <w:color w:val="auto"/>
        </w:rPr>
        <w:t>UNITED STATES</w:t>
      </w:r>
    </w:p>
    <w:p>
      <w:pPr>
        <w:spacing w:after="0" w:line="85"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38735</wp:posOffset>
            </wp:positionV>
            <wp:extent cx="19888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132080</wp:posOffset>
            </wp:positionV>
            <wp:extent cx="198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(Mark one)</w:t>
      </w:r>
    </w:p>
    <w:p>
      <w:pPr>
        <w:spacing w:after="0" w:line="19" w:lineRule="exact"/>
        <w:rPr>
          <w:sz w:val="24"/>
          <w:szCs w:val="24"/>
          <w:color w:val="auto"/>
        </w:rPr>
      </w:pPr>
    </w:p>
    <w:p>
      <w:pPr>
        <w:ind w:left="1620" w:hanging="219"/>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 the quarterly period ended March 31, 2022</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262" w:lineRule="exact"/>
        <w:rPr>
          <w:sz w:val="24"/>
          <w:szCs w:val="24"/>
          <w:color w:val="auto"/>
        </w:rPr>
      </w:pPr>
    </w:p>
    <w:p>
      <w:pPr>
        <w:ind w:left="1600" w:hanging="205"/>
        <w:spacing w:after="0"/>
        <w:tabs>
          <w:tab w:leader="none" w:pos="16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transition period from __________ to __________</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001-38701</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SI-BONE,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79375</wp:posOffset>
            </wp:positionV>
            <wp:extent cx="198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820" w:type="dxa"/>
            <w:vAlign w:val="bottom"/>
            <w:gridSpan w:val="4"/>
          </w:tcPr>
          <w:p>
            <w:pPr>
              <w:jc w:val="center"/>
              <w:ind w:left="85"/>
              <w:spacing w:after="0"/>
              <w:rPr>
                <w:sz w:val="20"/>
                <w:szCs w:val="20"/>
                <w:color w:val="auto"/>
              </w:rPr>
            </w:pPr>
            <w:r>
              <w:rPr>
                <w:rFonts w:ascii="Arial" w:cs="Arial" w:eastAsia="Arial" w:hAnsi="Arial"/>
                <w:sz w:val="16"/>
                <w:szCs w:val="16"/>
                <w:b w:val="1"/>
                <w:bCs w:val="1"/>
                <w:color w:val="auto"/>
                <w:w w:val="93"/>
              </w:rPr>
              <w:t>Delaware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60" w:type="dxa"/>
            <w:vAlign w:val="bottom"/>
            <w:gridSpan w:val="2"/>
          </w:tcPr>
          <w:p>
            <w:pPr>
              <w:jc w:val="center"/>
              <w:ind w:left="702"/>
              <w:spacing w:after="0"/>
              <w:rPr>
                <w:sz w:val="20"/>
                <w:szCs w:val="20"/>
                <w:color w:val="auto"/>
              </w:rPr>
            </w:pPr>
            <w:r>
              <w:rPr>
                <w:rFonts w:ascii="Arial" w:cs="Arial" w:eastAsia="Arial" w:hAnsi="Arial"/>
                <w:sz w:val="16"/>
                <w:szCs w:val="16"/>
                <w:b w:val="1"/>
                <w:bCs w:val="1"/>
                <w:color w:val="auto"/>
                <w:w w:val="91"/>
              </w:rPr>
              <w:t>26-2216351</w:t>
            </w:r>
          </w:p>
        </w:tc>
      </w:tr>
      <w:tr>
        <w:trPr>
          <w:trHeight w:val="144"/>
        </w:trPr>
        <w:tc>
          <w:tcPr>
            <w:tcW w:w="4820" w:type="dxa"/>
            <w:vAlign w:val="bottom"/>
            <w:gridSpan w:val="4"/>
          </w:tcPr>
          <w:p>
            <w:pPr>
              <w:jc w:val="center"/>
              <w:ind w:left="85"/>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tcPr>
          <w:p>
            <w:pPr>
              <w:ind w:left="1160"/>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86"/>
        </w:trPr>
        <w:tc>
          <w:tcPr>
            <w:tcW w:w="4820" w:type="dxa"/>
            <w:vAlign w:val="bottom"/>
            <w:gridSpan w:val="4"/>
          </w:tcPr>
          <w:p>
            <w:pPr>
              <w:jc w:val="center"/>
              <w:ind w:left="85"/>
              <w:spacing w:after="0"/>
              <w:rPr>
                <w:sz w:val="20"/>
                <w:szCs w:val="20"/>
                <w:color w:val="auto"/>
              </w:rPr>
            </w:pPr>
            <w:r>
              <w:rPr>
                <w:rFonts w:ascii="Arial" w:cs="Arial" w:eastAsia="Arial" w:hAnsi="Arial"/>
                <w:sz w:val="14"/>
                <w:szCs w:val="14"/>
                <w:b w:val="1"/>
                <w:bCs w:val="1"/>
                <w:color w:val="auto"/>
                <w:w w:val="95"/>
              </w:rPr>
              <w:t>Incorporation or Organization)</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left="628"/>
              <w:spacing w:after="0"/>
              <w:rPr>
                <w:sz w:val="20"/>
                <w:szCs w:val="20"/>
                <w:color w:val="auto"/>
              </w:rPr>
            </w:pPr>
            <w:r>
              <w:rPr>
                <w:rFonts w:ascii="Arial" w:cs="Arial" w:eastAsia="Arial" w:hAnsi="Arial"/>
                <w:sz w:val="14"/>
                <w:szCs w:val="14"/>
                <w:b w:val="1"/>
                <w:bCs w:val="1"/>
                <w:color w:val="auto"/>
                <w:w w:val="95"/>
              </w:rPr>
              <w:t>Identification Number)</w:t>
            </w:r>
          </w:p>
        </w:tc>
      </w:tr>
      <w:tr>
        <w:trPr>
          <w:trHeight w:val="318"/>
        </w:trPr>
        <w:tc>
          <w:tcPr>
            <w:tcW w:w="4820" w:type="dxa"/>
            <w:vAlign w:val="bottom"/>
            <w:gridSpan w:val="4"/>
          </w:tcPr>
          <w:p>
            <w:pPr>
              <w:jc w:val="center"/>
              <w:ind w:left="65"/>
              <w:spacing w:after="0"/>
              <w:rPr>
                <w:sz w:val="20"/>
                <w:szCs w:val="20"/>
                <w:color w:val="auto"/>
              </w:rPr>
            </w:pPr>
            <w:r>
              <w:rPr>
                <w:rFonts w:ascii="Arial" w:cs="Arial" w:eastAsia="Arial" w:hAnsi="Arial"/>
                <w:sz w:val="16"/>
                <w:szCs w:val="16"/>
                <w:b w:val="1"/>
                <w:bCs w:val="1"/>
                <w:color w:val="auto"/>
                <w:w w:val="93"/>
              </w:rPr>
              <w:t>471 El Camino Real, Suite 101, Santa Clara, California</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60" w:type="dxa"/>
            <w:vAlign w:val="bottom"/>
            <w:gridSpan w:val="2"/>
          </w:tcPr>
          <w:p>
            <w:pPr>
              <w:jc w:val="center"/>
              <w:ind w:left="722"/>
              <w:spacing w:after="0"/>
              <w:rPr>
                <w:sz w:val="20"/>
                <w:szCs w:val="20"/>
                <w:color w:val="auto"/>
              </w:rPr>
            </w:pPr>
            <w:r>
              <w:rPr>
                <w:rFonts w:ascii="Arial" w:cs="Arial" w:eastAsia="Arial" w:hAnsi="Arial"/>
                <w:sz w:val="16"/>
                <w:szCs w:val="16"/>
                <w:b w:val="1"/>
                <w:bCs w:val="1"/>
                <w:color w:val="auto"/>
                <w:w w:val="89"/>
              </w:rPr>
              <w:t>95050</w:t>
            </w:r>
          </w:p>
        </w:tc>
      </w:tr>
      <w:tr>
        <w:trPr>
          <w:trHeight w:val="186"/>
        </w:trPr>
        <w:tc>
          <w:tcPr>
            <w:tcW w:w="4820" w:type="dxa"/>
            <w:vAlign w:val="bottom"/>
            <w:gridSpan w:val="4"/>
          </w:tcPr>
          <w:p>
            <w:pPr>
              <w:jc w:val="center"/>
              <w:ind w:left="8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left="668"/>
              <w:spacing w:after="0"/>
              <w:rPr>
                <w:sz w:val="20"/>
                <w:szCs w:val="20"/>
                <w:color w:val="auto"/>
              </w:rPr>
            </w:pPr>
            <w:r>
              <w:rPr>
                <w:rFonts w:ascii="Arial" w:cs="Arial" w:eastAsia="Arial" w:hAnsi="Arial"/>
                <w:sz w:val="14"/>
                <w:szCs w:val="14"/>
                <w:b w:val="1"/>
                <w:bCs w:val="1"/>
                <w:color w:val="auto"/>
                <w:w w:val="95"/>
              </w:rPr>
              <w:t>(Zip Code)</w:t>
            </w:r>
          </w:p>
        </w:tc>
      </w:tr>
      <w:tr>
        <w:trPr>
          <w:trHeight w:val="310"/>
        </w:trPr>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560" w:type="dxa"/>
            <w:vAlign w:val="bottom"/>
            <w:gridSpan w:val="7"/>
          </w:tcPr>
          <w:p>
            <w:pPr>
              <w:ind w:left="200"/>
              <w:spacing w:after="0"/>
              <w:rPr>
                <w:sz w:val="20"/>
                <w:szCs w:val="20"/>
                <w:color w:val="auto"/>
              </w:rPr>
            </w:pPr>
            <w:r>
              <w:rPr>
                <w:rFonts w:ascii="Arial" w:cs="Arial" w:eastAsia="Arial" w:hAnsi="Arial"/>
                <w:sz w:val="14"/>
                <w:szCs w:val="14"/>
                <w:b w:val="1"/>
                <w:bCs w:val="1"/>
                <w:color w:val="auto"/>
              </w:rPr>
              <w:t>Registrant's telephone number, including area code</w:t>
            </w:r>
            <w:r>
              <w:rPr>
                <w:rFonts w:ascii="Arial" w:cs="Arial" w:eastAsia="Arial" w:hAnsi="Arial"/>
                <w:sz w:val="14"/>
                <w:szCs w:val="14"/>
                <w:color w:val="auto"/>
              </w:rPr>
              <w:t>:</w:t>
            </w:r>
            <w:r>
              <w:rPr>
                <w:rFonts w:ascii="Arial" w:cs="Arial" w:eastAsia="Arial" w:hAnsi="Arial"/>
                <w:sz w:val="14"/>
                <w:szCs w:val="14"/>
                <w:b w:val="1"/>
                <w:bCs w:val="1"/>
                <w:color w:val="auto"/>
              </w:rPr>
              <w:t xml:space="preserve"> (408) 207-0700</w:t>
            </w:r>
          </w:p>
        </w:tc>
      </w:tr>
      <w:tr>
        <w:trPr>
          <w:trHeight w:val="113"/>
        </w:trPr>
        <w:tc>
          <w:tcPr>
            <w:tcW w:w="2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80" w:type="dxa"/>
            <w:vAlign w:val="bottom"/>
          </w:tcPr>
          <w:p>
            <w:pPr>
              <w:spacing w:after="0"/>
              <w:rPr>
                <w:sz w:val="9"/>
                <w:szCs w:val="9"/>
                <w:color w:val="auto"/>
              </w:rPr>
            </w:pPr>
          </w:p>
        </w:tc>
      </w:tr>
      <w:tr>
        <w:trPr>
          <w:trHeight w:val="366"/>
        </w:trPr>
        <w:tc>
          <w:tcPr>
            <w:tcW w:w="482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82"/>
        </w:trPr>
        <w:tc>
          <w:tcPr>
            <w:tcW w:w="2300" w:type="dxa"/>
            <w:vAlign w:val="bottom"/>
          </w:tcPr>
          <w:p>
            <w:pPr>
              <w:spacing w:after="0"/>
              <w:rPr>
                <w:sz w:val="24"/>
                <w:szCs w:val="24"/>
                <w:color w:val="auto"/>
              </w:rPr>
            </w:pPr>
          </w:p>
        </w:tc>
        <w:tc>
          <w:tcPr>
            <w:tcW w:w="25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Trading Symbol(s)</w:t>
            </w:r>
          </w:p>
        </w:tc>
        <w:tc>
          <w:tcPr>
            <w:tcW w:w="276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2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4820" w:type="dxa"/>
            <w:vAlign w:val="bottom"/>
            <w:gridSpan w:val="4"/>
          </w:tcPr>
          <w:p>
            <w:pPr>
              <w:jc w:val="center"/>
              <w:ind w:left="805"/>
              <w:spacing w:after="0"/>
              <w:rPr>
                <w:sz w:val="20"/>
                <w:szCs w:val="20"/>
                <w:color w:val="auto"/>
              </w:rPr>
            </w:pPr>
            <w:r>
              <w:rPr>
                <w:rFonts w:ascii="Arial" w:cs="Arial" w:eastAsia="Arial" w:hAnsi="Arial"/>
                <w:sz w:val="14"/>
                <w:szCs w:val="14"/>
                <w:color w:val="auto"/>
                <w:w w:val="92"/>
              </w:rPr>
              <w:t>Common Stock, par value $0.0001 per share</w:t>
            </w:r>
          </w:p>
        </w:tc>
        <w:tc>
          <w:tcPr>
            <w:tcW w:w="440" w:type="dxa"/>
            <w:vAlign w:val="bottom"/>
          </w:tcPr>
          <w:p>
            <w:pPr>
              <w:spacing w:after="0"/>
              <w:rPr>
                <w:sz w:val="17"/>
                <w:szCs w:val="17"/>
                <w:color w:val="auto"/>
              </w:rPr>
            </w:pPr>
          </w:p>
        </w:tc>
        <w:tc>
          <w:tcPr>
            <w:tcW w:w="1920" w:type="dxa"/>
            <w:vAlign w:val="bottom"/>
            <w:gridSpan w:val="2"/>
          </w:tcPr>
          <w:p>
            <w:pPr>
              <w:jc w:val="center"/>
              <w:ind w:right="780"/>
              <w:spacing w:after="0"/>
              <w:rPr>
                <w:sz w:val="20"/>
                <w:szCs w:val="20"/>
                <w:color w:val="auto"/>
              </w:rPr>
            </w:pPr>
            <w:r>
              <w:rPr>
                <w:rFonts w:ascii="Arial" w:cs="Arial" w:eastAsia="Arial" w:hAnsi="Arial"/>
                <w:sz w:val="14"/>
                <w:szCs w:val="14"/>
                <w:color w:val="auto"/>
              </w:rPr>
              <w:t>SIBN</w:t>
            </w:r>
          </w:p>
        </w:tc>
        <w:tc>
          <w:tcPr>
            <w:tcW w:w="8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200" w:lineRule="exact"/>
        <w:rPr>
          <w:sz w:val="24"/>
          <w:szCs w:val="24"/>
          <w:color w:val="auto"/>
        </w:rPr>
      </w:pPr>
    </w:p>
    <w:p>
      <w:pPr>
        <w:spacing w:after="0" w:line="225" w:lineRule="exact"/>
        <w:rPr>
          <w:sz w:val="24"/>
          <w:szCs w:val="24"/>
          <w:color w:val="auto"/>
        </w:rPr>
      </w:pPr>
    </w:p>
    <w:p>
      <w:pPr>
        <w:jc w:val="center"/>
        <w:ind w:left="380" w:right="60"/>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2" w:lineRule="exact"/>
        <w:rPr>
          <w:sz w:val="24"/>
          <w:szCs w:val="24"/>
          <w:color w:val="auto"/>
        </w:rPr>
      </w:pPr>
    </w:p>
    <w:p>
      <w:pPr>
        <w:jc w:val="center"/>
        <w:ind w:left="380"/>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2" w:lineRule="exact"/>
        <w:rPr>
          <w:sz w:val="24"/>
          <w:szCs w:val="24"/>
          <w:color w:val="auto"/>
        </w:rPr>
      </w:pPr>
    </w:p>
    <w:p>
      <w:pPr>
        <w:jc w:val="center"/>
        <w:ind w:left="360" w:right="2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700" w:type="dxa"/>
        <w:tblCellMar>
          <w:top w:w="0" w:type="dxa"/>
          <w:left w:w="0" w:type="dxa"/>
          <w:bottom w:w="0" w:type="dxa"/>
          <w:right w:w="0" w:type="dxa"/>
        </w:tblCellMar>
      </w:tblPr>
      <w:tr>
        <w:trPr>
          <w:trHeight w:val="189"/>
        </w:trPr>
        <w:tc>
          <w:tcPr>
            <w:tcW w:w="1760" w:type="dxa"/>
            <w:vAlign w:val="bottom"/>
          </w:tcPr>
          <w:p>
            <w:pPr>
              <w:jc w:val="center"/>
              <w:ind w:right="108"/>
              <w:spacing w:after="0"/>
              <w:rPr>
                <w:sz w:val="20"/>
                <w:szCs w:val="20"/>
                <w:color w:val="auto"/>
              </w:rPr>
            </w:pPr>
            <w:r>
              <w:rPr>
                <w:rFonts w:ascii="Arial" w:cs="Arial" w:eastAsia="Arial" w:hAnsi="Arial"/>
                <w:sz w:val="14"/>
                <w:szCs w:val="14"/>
                <w:color w:val="auto"/>
                <w:w w:val="93"/>
              </w:rPr>
              <w:t>Large accelerated filer</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tcPr>
          <w:p>
            <w:pPr>
              <w:jc w:val="center"/>
              <w:ind w:left="188"/>
              <w:spacing w:after="0"/>
              <w:rPr>
                <w:sz w:val="20"/>
                <w:szCs w:val="20"/>
                <w:color w:val="auto"/>
              </w:rPr>
            </w:pPr>
            <w:r>
              <w:rPr>
                <w:rFonts w:ascii="Arial" w:cs="Arial" w:eastAsia="Arial" w:hAnsi="Arial"/>
                <w:sz w:val="14"/>
                <w:szCs w:val="14"/>
                <w:color w:val="auto"/>
                <w:w w:val="95"/>
              </w:rPr>
              <w:t>Accelerated filer</w:t>
            </w:r>
          </w:p>
        </w:tc>
        <w:tc>
          <w:tcPr>
            <w:tcW w:w="8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540"/>
              <w:spacing w:after="0"/>
              <w:rPr>
                <w:sz w:val="20"/>
                <w:szCs w:val="20"/>
                <w:color w:val="auto"/>
              </w:rPr>
            </w:pPr>
            <w:r>
              <w:rPr>
                <w:rFonts w:ascii="Arial" w:cs="Arial" w:eastAsia="Arial" w:hAnsi="Arial"/>
                <w:sz w:val="14"/>
                <w:szCs w:val="14"/>
                <w:color w:val="auto"/>
              </w:rPr>
              <w:t>Non-accelerated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4"/>
        </w:trPr>
        <w:tc>
          <w:tcPr>
            <w:tcW w:w="1760" w:type="dxa"/>
            <w:vAlign w:val="bottom"/>
          </w:tcPr>
          <w:p>
            <w:pPr>
              <w:jc w:val="center"/>
              <w:ind w:right="108"/>
              <w:spacing w:after="0"/>
              <w:rPr>
                <w:sz w:val="20"/>
                <w:szCs w:val="20"/>
                <w:color w:val="auto"/>
              </w:rPr>
            </w:pPr>
            <w:r>
              <w:rPr>
                <w:rFonts w:ascii="Arial" w:cs="Arial" w:eastAsia="Arial" w:hAnsi="Arial"/>
                <w:sz w:val="14"/>
                <w:szCs w:val="14"/>
                <w:color w:val="auto"/>
                <w:w w:val="94"/>
              </w:rPr>
              <w:t>Smaller reporting company</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tcPr>
          <w:p>
            <w:pPr>
              <w:jc w:val="center"/>
              <w:ind w:left="208"/>
              <w:spacing w:after="0"/>
              <w:rPr>
                <w:sz w:val="20"/>
                <w:szCs w:val="20"/>
                <w:color w:val="auto"/>
              </w:rPr>
            </w:pPr>
            <w:r>
              <w:rPr>
                <w:rFonts w:ascii="Arial" w:cs="Arial" w:eastAsia="Arial" w:hAnsi="Arial"/>
                <w:sz w:val="14"/>
                <w:szCs w:val="14"/>
                <w:color w:val="auto"/>
                <w:w w:val="94"/>
              </w:rPr>
              <w:t>Emerging growth company</w:t>
            </w:r>
          </w:p>
        </w:tc>
        <w:tc>
          <w:tcPr>
            <w:tcW w:w="8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r>
    </w:tbl>
    <w:p>
      <w:pPr>
        <w:spacing w:after="0" w:line="196" w:lineRule="exact"/>
        <w:rPr>
          <w:sz w:val="24"/>
          <w:szCs w:val="24"/>
          <w:color w:val="auto"/>
        </w:rPr>
      </w:pPr>
    </w:p>
    <w:p>
      <w:pPr>
        <w:jc w:val="center"/>
        <w:ind w:left="380" w:right="2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9" w:lineRule="exact"/>
        <w:rPr>
          <w:sz w:val="24"/>
          <w:szCs w:val="24"/>
          <w:color w:val="auto"/>
        </w:rPr>
      </w:pPr>
    </w:p>
    <w:p>
      <w:pPr>
        <w:jc w:val="center"/>
        <w:ind w:right="-59"/>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The number of shares outstanding of the registrant’s Common Stock was 33,913,049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229"/>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100" w:type="dxa"/>
            <w:vAlign w:val="bottom"/>
            <w:gridSpan w:val="18"/>
          </w:tcPr>
          <w:p>
            <w:pPr>
              <w:jc w:val="center"/>
              <w:ind w:right="2340"/>
              <w:spacing w:after="0"/>
              <w:rPr>
                <w:sz w:val="20"/>
                <w:szCs w:val="20"/>
                <w:color w:val="auto"/>
              </w:rPr>
            </w:pPr>
            <w:r>
              <w:rPr>
                <w:rFonts w:ascii="Arial" w:cs="Arial" w:eastAsia="Arial" w:hAnsi="Arial"/>
                <w:sz w:val="18"/>
                <w:szCs w:val="18"/>
                <w:b w:val="1"/>
                <w:bCs w:val="1"/>
                <w:color w:val="auto"/>
              </w:rPr>
              <w:t>PART I-FINANCIAL INFORMATION</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520" w:type="dxa"/>
            <w:vAlign w:val="bottom"/>
          </w:tcPr>
          <w:p>
            <w:pPr>
              <w:spacing w:after="0" w:line="190"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Item 1.</w:t>
              </w:r>
            </w:hyperlink>
          </w:p>
        </w:tc>
        <w:tc>
          <w:tcPr>
            <w:tcW w:w="760" w:type="dxa"/>
            <w:vAlign w:val="bottom"/>
            <w:gridSpan w:val="3"/>
          </w:tcPr>
          <w:p>
            <w:pPr>
              <w:spacing w:after="0"/>
              <w:rPr>
                <w:sz w:val="16"/>
                <w:szCs w:val="16"/>
                <w:color w:val="auto"/>
              </w:rPr>
            </w:pPr>
          </w:p>
        </w:tc>
        <w:tc>
          <w:tcPr>
            <w:tcW w:w="1500" w:type="dxa"/>
            <w:vAlign w:val="bottom"/>
            <w:gridSpan w:val="5"/>
          </w:tcPr>
          <w:p>
            <w:pPr>
              <w:spacing w:after="0" w:line="190"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7920" w:type="dxa"/>
            <w:vAlign w:val="bottom"/>
            <w:gridSpan w:val="20"/>
          </w:tcPr>
          <w:p>
            <w:pPr>
              <w:spacing w:after="0"/>
              <w:rPr>
                <w:sz w:val="16"/>
                <w:szCs w:val="16"/>
                <w:color w:val="auto"/>
              </w:rPr>
            </w:pPr>
          </w:p>
        </w:tc>
        <w:tc>
          <w:tcPr>
            <w:tcW w:w="520" w:type="dxa"/>
            <w:vAlign w:val="bottom"/>
            <w:gridSpan w:val="4"/>
          </w:tcPr>
          <w:p>
            <w:pPr>
              <w:jc w:val="right"/>
              <w:ind w:right="20"/>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00" w:type="dxa"/>
            <w:vAlign w:val="bottom"/>
            <w:gridSpan w:val="2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Sheets </w:t>
              </w:r>
            </w:hyperlink>
            <w:hyperlink w:anchor="page4">
              <w:r>
                <w:rPr>
                  <w:rFonts w:ascii="Arial" w:cs="Arial" w:eastAsia="Arial" w:hAnsi="Arial"/>
                  <w:sz w:val="18"/>
                  <w:szCs w:val="18"/>
                  <w:color w:val="0000FF"/>
                </w:rPr>
                <w:t>(Unaudited)</w:t>
              </w:r>
            </w:hyperlink>
          </w:p>
        </w:tc>
        <w:tc>
          <w:tcPr>
            <w:tcW w:w="5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00" w:type="dxa"/>
            <w:vAlign w:val="bottom"/>
            <w:gridSpan w:val="2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Operations and Comprehensive Loss </w:t>
              </w:r>
            </w:hyperlink>
            <w:hyperlink w:anchor="page4">
              <w:r>
                <w:rPr>
                  <w:rFonts w:ascii="Arial" w:cs="Arial" w:eastAsia="Arial" w:hAnsi="Arial"/>
                  <w:sz w:val="18"/>
                  <w:szCs w:val="18"/>
                  <w:color w:val="0000FF"/>
                </w:rPr>
                <w:t>(Unaudited)</w:t>
              </w:r>
            </w:hyperlink>
          </w:p>
        </w:tc>
        <w:tc>
          <w:tcPr>
            <w:tcW w:w="5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00" w:type="dxa"/>
            <w:vAlign w:val="bottom"/>
            <w:gridSpan w:val="2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Changes in Stockholders' Equity </w:t>
              </w:r>
            </w:hyperlink>
            <w:hyperlink w:anchor="page4">
              <w:r>
                <w:rPr>
                  <w:rFonts w:ascii="Arial" w:cs="Arial" w:eastAsia="Arial" w:hAnsi="Arial"/>
                  <w:sz w:val="18"/>
                  <w:szCs w:val="18"/>
                  <w:color w:val="0000FF"/>
                </w:rPr>
                <w:t>(Unaudited)</w:t>
              </w:r>
            </w:hyperlink>
          </w:p>
        </w:tc>
        <w:tc>
          <w:tcPr>
            <w:tcW w:w="5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2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Statements of Cash Flows </w:t>
              </w:r>
            </w:hyperlink>
            <w:hyperlink w:anchor="page4">
              <w:r>
                <w:rPr>
                  <w:rFonts w:ascii="Arial" w:cs="Arial" w:eastAsia="Arial" w:hAnsi="Arial"/>
                  <w:sz w:val="18"/>
                  <w:szCs w:val="18"/>
                  <w:color w:val="0000FF"/>
                </w:rPr>
                <w:t>(Unaudited)</w:t>
              </w:r>
            </w:hyperlink>
          </w:p>
        </w:tc>
        <w:tc>
          <w:tcPr>
            <w:tcW w:w="4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c>
          <w:tcPr>
            <w:tcW w:w="2980" w:type="dxa"/>
            <w:vAlign w:val="bottom"/>
            <w:gridSpan w:val="3"/>
          </w:tcPr>
          <w:p>
            <w:pPr>
              <w:spacing w:after="0"/>
              <w:rPr>
                <w:sz w:val="18"/>
                <w:szCs w:val="18"/>
                <w:color w:val="auto"/>
              </w:rPr>
            </w:pPr>
          </w:p>
        </w:tc>
        <w:tc>
          <w:tcPr>
            <w:tcW w:w="5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00" w:type="dxa"/>
            <w:vAlign w:val="bottom"/>
            <w:gridSpan w:val="2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 xml:space="preserve">Notes to Condensed Consolidated Financial Statements </w:t>
              </w:r>
            </w:hyperlink>
            <w:hyperlink w:anchor="page4">
              <w:r>
                <w:rPr>
                  <w:rFonts w:ascii="Arial" w:cs="Arial" w:eastAsia="Arial" w:hAnsi="Arial"/>
                  <w:sz w:val="18"/>
                  <w:szCs w:val="18"/>
                  <w:color w:val="0000FF"/>
                </w:rPr>
                <w:t>(Unaudited)</w:t>
              </w:r>
            </w:hyperlink>
          </w:p>
        </w:tc>
        <w:tc>
          <w:tcPr>
            <w:tcW w:w="52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2.</w:t>
              </w:r>
            </w:hyperlink>
          </w:p>
        </w:tc>
        <w:tc>
          <w:tcPr>
            <w:tcW w:w="760" w:type="dxa"/>
            <w:vAlign w:val="bottom"/>
            <w:gridSpan w:val="3"/>
          </w:tcPr>
          <w:p>
            <w:pPr>
              <w:spacing w:after="0"/>
              <w:rPr>
                <w:sz w:val="18"/>
                <w:szCs w:val="18"/>
                <w:color w:val="auto"/>
              </w:rPr>
            </w:pPr>
          </w:p>
        </w:tc>
        <w:tc>
          <w:tcPr>
            <w:tcW w:w="6460" w:type="dxa"/>
            <w:vAlign w:val="bottom"/>
            <w:tcBorders>
              <w:bottom w:val="single" w:sz="8" w:color="0000FF"/>
            </w:tcBorders>
            <w:gridSpan w:val="23"/>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29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21</w:t>
              </w:r>
            </w:hyperlink>
          </w:p>
        </w:tc>
        <w:tc>
          <w:tcPr>
            <w:tcW w:w="20" w:type="dxa"/>
            <w:vAlign w:val="bottom"/>
          </w:tcPr>
          <w:p>
            <w:pPr>
              <w:spacing w:after="0"/>
              <w:rPr>
                <w:sz w:val="18"/>
                <w:szCs w:val="18"/>
                <w:color w:val="auto"/>
              </w:rPr>
            </w:pPr>
          </w:p>
        </w:tc>
      </w:tr>
      <w:tr>
        <w:trPr>
          <w:trHeight w:val="210"/>
        </w:trPr>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3.</w:t>
              </w:r>
            </w:hyperlink>
          </w:p>
        </w:tc>
        <w:tc>
          <w:tcPr>
            <w:tcW w:w="640" w:type="dxa"/>
            <w:vAlign w:val="bottom"/>
            <w:gridSpan w:val="2"/>
          </w:tcPr>
          <w:p>
            <w:pPr>
              <w:spacing w:after="0"/>
              <w:rPr>
                <w:sz w:val="18"/>
                <w:szCs w:val="18"/>
                <w:color w:val="auto"/>
              </w:rPr>
            </w:pPr>
          </w:p>
        </w:tc>
        <w:tc>
          <w:tcPr>
            <w:tcW w:w="436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Quantitative and Qualitative Disclosures About Market Risk</w:t>
              </w:r>
            </w:hyperlink>
          </w:p>
        </w:tc>
        <w:tc>
          <w:tcPr>
            <w:tcW w:w="5060" w:type="dxa"/>
            <w:vAlign w:val="bottom"/>
            <w:gridSpan w:val="10"/>
          </w:tcPr>
          <w:p>
            <w:pPr>
              <w:spacing w:after="0"/>
              <w:rPr>
                <w:sz w:val="18"/>
                <w:szCs w:val="18"/>
                <w:color w:val="auto"/>
              </w:rPr>
            </w:pPr>
          </w:p>
        </w:tc>
        <w:tc>
          <w:tcPr>
            <w:tcW w:w="5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tcPr>
          <w:p>
            <w:pPr>
              <w:spacing w:after="0"/>
              <w:rPr>
                <w:sz w:val="18"/>
                <w:szCs w:val="18"/>
                <w:color w:val="auto"/>
              </w:rPr>
            </w:pPr>
          </w:p>
        </w:tc>
      </w:tr>
      <w:tr>
        <w:trPr>
          <w:trHeight w:val="209"/>
        </w:trPr>
        <w:tc>
          <w:tcPr>
            <w:tcW w:w="128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w:t>
              </w:r>
            </w:hyperlink>
          </w:p>
        </w:tc>
        <w:tc>
          <w:tcPr>
            <w:tcW w:w="9420" w:type="dxa"/>
            <w:vAlign w:val="bottom"/>
            <w:gridSpan w:val="2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50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r>
      <w:tr>
        <w:trPr>
          <w:trHeight w:val="479"/>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gridSpan w:val="16"/>
          </w:tcPr>
          <w:p>
            <w:pPr>
              <w:jc w:val="center"/>
              <w:ind w:right="3300"/>
              <w:spacing w:after="0"/>
              <w:rPr>
                <w:sz w:val="20"/>
                <w:szCs w:val="20"/>
                <w:color w:val="auto"/>
              </w:rPr>
            </w:pPr>
            <w:r>
              <w:rPr>
                <w:rFonts w:ascii="Arial" w:cs="Arial" w:eastAsia="Arial" w:hAnsi="Arial"/>
                <w:sz w:val="18"/>
                <w:szCs w:val="18"/>
                <w:b w:val="1"/>
                <w:bCs w:val="1"/>
                <w:color w:val="auto"/>
              </w:rPr>
              <w:t>PART II-OTHER INFORMATION</w:t>
            </w: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520" w:type="dxa"/>
            <w:vAlign w:val="bottom"/>
          </w:tcPr>
          <w:p>
            <w:pPr>
              <w:spacing w:after="0" w:line="190" w:lineRule="exact"/>
              <w:rPr>
                <w:rFonts w:ascii="Arial" w:cs="Arial" w:eastAsia="Arial" w:hAnsi="Arial"/>
                <w:sz w:val="18"/>
                <w:szCs w:val="18"/>
                <w:color w:val="0000FF"/>
                <w:w w:val="90"/>
              </w:rPr>
            </w:pPr>
            <w:hyperlink w:anchor="page34">
              <w:r>
                <w:rPr>
                  <w:rFonts w:ascii="Arial" w:cs="Arial" w:eastAsia="Arial" w:hAnsi="Arial"/>
                  <w:sz w:val="18"/>
                  <w:szCs w:val="18"/>
                  <w:color w:val="0000FF"/>
                  <w:w w:val="90"/>
                </w:rPr>
                <w:t>Item 1.</w:t>
              </w:r>
            </w:hyperlink>
          </w:p>
        </w:tc>
        <w:tc>
          <w:tcPr>
            <w:tcW w:w="760" w:type="dxa"/>
            <w:vAlign w:val="bottom"/>
            <w:gridSpan w:val="3"/>
          </w:tcPr>
          <w:p>
            <w:pPr>
              <w:spacing w:after="0"/>
              <w:rPr>
                <w:sz w:val="16"/>
                <w:szCs w:val="16"/>
                <w:color w:val="auto"/>
              </w:rPr>
            </w:pPr>
          </w:p>
        </w:tc>
        <w:tc>
          <w:tcPr>
            <w:tcW w:w="9420" w:type="dxa"/>
            <w:vAlign w:val="bottom"/>
            <w:gridSpan w:val="25"/>
          </w:tcPr>
          <w:p>
            <w:pPr>
              <w:spacing w:after="0" w:line="190" w:lineRule="exact"/>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500" w:type="dxa"/>
            <w:vAlign w:val="bottom"/>
            <w:gridSpan w:val="3"/>
          </w:tcPr>
          <w:p>
            <w:pPr>
              <w:jc w:val="right"/>
              <w:spacing w:after="0" w:line="190" w:lineRule="exact"/>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20" w:type="dxa"/>
            <w:vAlign w:val="bottom"/>
          </w:tcPr>
          <w:p>
            <w:pPr>
              <w:spacing w:after="0"/>
              <w:rPr>
                <w:sz w:val="16"/>
                <w:szCs w:val="16"/>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1A.</w:t>
              </w:r>
            </w:hyperlink>
          </w:p>
        </w:tc>
        <w:tc>
          <w:tcPr>
            <w:tcW w:w="9420" w:type="dxa"/>
            <w:vAlign w:val="bottom"/>
            <w:gridSpan w:val="25"/>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5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2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Item 2.</w:t>
              </w:r>
            </w:hyperlink>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20" w:type="dxa"/>
            <w:vAlign w:val="bottom"/>
            <w:gridSpan w:val="25"/>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Unregistered Sales of Equity Securities and Use of Proceeds</w:t>
              </w:r>
            </w:hyperlink>
          </w:p>
        </w:tc>
        <w:tc>
          <w:tcPr>
            <w:tcW w:w="500" w:type="dxa"/>
            <w:vAlign w:val="bottom"/>
            <w:gridSpan w:val="3"/>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c>
          <w:tcPr>
            <w:tcW w:w="20" w:type="dxa"/>
            <w:vAlign w:val="bottom"/>
          </w:tcPr>
          <w:p>
            <w:pPr>
              <w:spacing w:after="0"/>
              <w:rPr>
                <w:sz w:val="18"/>
                <w:szCs w:val="18"/>
                <w:color w:val="auto"/>
              </w:rPr>
            </w:pPr>
          </w:p>
        </w:tc>
      </w:tr>
      <w:tr>
        <w:trPr>
          <w:trHeight w:val="209"/>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Item 3.</w:t>
              </w:r>
            </w:hyperlink>
          </w:p>
        </w:tc>
        <w:tc>
          <w:tcPr>
            <w:tcW w:w="58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7"/>
          </w:tcPr>
          <w:p>
            <w:pPr>
              <w:spacing w:after="0"/>
              <w:rPr>
                <w:sz w:val="18"/>
                <w:szCs w:val="18"/>
                <w:color w:val="auto"/>
              </w:rPr>
            </w:pPr>
          </w:p>
        </w:tc>
        <w:tc>
          <w:tcPr>
            <w:tcW w:w="5080" w:type="dxa"/>
            <w:vAlign w:val="bottom"/>
            <w:gridSpan w:val="11"/>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66</w:t>
              </w:r>
            </w:hyperlink>
          </w:p>
        </w:tc>
        <w:tc>
          <w:tcPr>
            <w:tcW w:w="20" w:type="dxa"/>
            <w:vAlign w:val="bottom"/>
          </w:tcPr>
          <w:p>
            <w:pPr>
              <w:spacing w:after="0"/>
              <w:rPr>
                <w:sz w:val="18"/>
                <w:szCs w:val="18"/>
                <w:color w:val="auto"/>
              </w:rPr>
            </w:pPr>
          </w:p>
        </w:tc>
      </w:tr>
      <w:tr>
        <w:trPr>
          <w:trHeight w:val="209"/>
        </w:trPr>
        <w:tc>
          <w:tcPr>
            <w:tcW w:w="520" w:type="dxa"/>
            <w:vAlign w:val="bottom"/>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Item 4.</w:t>
              </w:r>
            </w:hyperlink>
          </w:p>
        </w:tc>
        <w:tc>
          <w:tcPr>
            <w:tcW w:w="760" w:type="dxa"/>
            <w:vAlign w:val="bottom"/>
            <w:gridSpan w:val="3"/>
          </w:tcPr>
          <w:p>
            <w:pPr>
              <w:spacing w:after="0"/>
              <w:rPr>
                <w:sz w:val="18"/>
                <w:szCs w:val="18"/>
                <w:color w:val="auto"/>
              </w:rPr>
            </w:pPr>
          </w:p>
        </w:tc>
        <w:tc>
          <w:tcPr>
            <w:tcW w:w="9420" w:type="dxa"/>
            <w:vAlign w:val="bottom"/>
            <w:gridSpan w:val="25"/>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Mine Safety Disclosures</w:t>
              </w:r>
            </w:hyperlink>
          </w:p>
        </w:tc>
        <w:tc>
          <w:tcPr>
            <w:tcW w:w="500" w:type="dxa"/>
            <w:vAlign w:val="bottom"/>
            <w:gridSpan w:val="3"/>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c>
          <w:tcPr>
            <w:tcW w:w="20" w:type="dxa"/>
            <w:vAlign w:val="bottom"/>
          </w:tcPr>
          <w:p>
            <w:pPr>
              <w:spacing w:after="0"/>
              <w:rPr>
                <w:sz w:val="18"/>
                <w:szCs w:val="18"/>
                <w:color w:val="auto"/>
              </w:rPr>
            </w:pPr>
          </w:p>
        </w:tc>
      </w:tr>
      <w:tr>
        <w:trPr>
          <w:trHeight w:val="210"/>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Item 5.</w:t>
              </w:r>
            </w:hyperlink>
          </w:p>
        </w:tc>
        <w:tc>
          <w:tcPr>
            <w:tcW w:w="760" w:type="dxa"/>
            <w:vAlign w:val="bottom"/>
            <w:gridSpan w:val="3"/>
          </w:tcPr>
          <w:p>
            <w:pPr>
              <w:spacing w:after="0"/>
              <w:rPr>
                <w:sz w:val="18"/>
                <w:szCs w:val="18"/>
                <w:color w:val="auto"/>
              </w:rPr>
            </w:pPr>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Other Information</w:t>
              </w:r>
            </w:hyperlink>
          </w:p>
        </w:tc>
        <w:tc>
          <w:tcPr>
            <w:tcW w:w="7660" w:type="dxa"/>
            <w:vAlign w:val="bottom"/>
            <w:gridSpan w:val="19"/>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66</w:t>
              </w:r>
            </w:hyperlink>
          </w:p>
        </w:tc>
        <w:tc>
          <w:tcPr>
            <w:tcW w:w="20" w:type="dxa"/>
            <w:vAlign w:val="bottom"/>
          </w:tcPr>
          <w:p>
            <w:pPr>
              <w:spacing w:after="0"/>
              <w:rPr>
                <w:sz w:val="18"/>
                <w:szCs w:val="18"/>
                <w:color w:val="auto"/>
              </w:rPr>
            </w:pPr>
          </w:p>
        </w:tc>
      </w:tr>
      <w:tr>
        <w:trPr>
          <w:trHeight w:val="210"/>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Item 6.</w:t>
              </w:r>
            </w:hyperlink>
          </w:p>
        </w:tc>
        <w:tc>
          <w:tcPr>
            <w:tcW w:w="760" w:type="dxa"/>
            <w:vAlign w:val="bottom"/>
            <w:gridSpan w:val="3"/>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Exhibits</w:t>
              </w:r>
            </w:hyperlink>
          </w:p>
        </w:tc>
        <w:tc>
          <w:tcPr>
            <w:tcW w:w="720" w:type="dxa"/>
            <w:vAlign w:val="bottom"/>
            <w:tcBorders>
              <w:top w:val="single" w:sz="8" w:color="0000FF"/>
            </w:tcBorders>
            <w:gridSpan w:val="2"/>
          </w:tcPr>
          <w:p>
            <w:pPr>
              <w:spacing w:after="0"/>
              <w:rPr>
                <w:sz w:val="18"/>
                <w:szCs w:val="18"/>
                <w:color w:val="auto"/>
              </w:rPr>
            </w:pPr>
          </w:p>
        </w:tc>
        <w:tc>
          <w:tcPr>
            <w:tcW w:w="8100" w:type="dxa"/>
            <w:vAlign w:val="bottom"/>
            <w:gridSpan w:val="21"/>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67</w:t>
              </w:r>
            </w:hyperlink>
          </w:p>
        </w:tc>
        <w:tc>
          <w:tcPr>
            <w:tcW w:w="20" w:type="dxa"/>
            <w:vAlign w:val="bottom"/>
          </w:tcPr>
          <w:p>
            <w:pPr>
              <w:spacing w:after="0"/>
              <w:rPr>
                <w:sz w:val="18"/>
                <w:szCs w:val="18"/>
                <w:color w:val="auto"/>
              </w:rPr>
            </w:pPr>
          </w:p>
        </w:tc>
      </w:tr>
      <w:tr>
        <w:trPr>
          <w:trHeight w:val="466"/>
        </w:trPr>
        <w:tc>
          <w:tcPr>
            <w:tcW w:w="1280" w:type="dxa"/>
            <w:vAlign w:val="bottom"/>
            <w:gridSpan w:val="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SIGNATURES</w:t>
              </w:r>
            </w:hyperlink>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0" w:type="dxa"/>
            <w:vAlign w:val="bottom"/>
            <w:gridSpan w:val="3"/>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68</w:t>
              </w:r>
            </w:hyperlink>
          </w:p>
        </w:tc>
        <w:tc>
          <w:tcPr>
            <w:tcW w:w="20" w:type="dxa"/>
            <w:vAlign w:val="bottom"/>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spacing w:after="0" w:line="21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192" w:lineRule="exact"/>
        <w:rPr>
          <w:sz w:val="20"/>
          <w:szCs w:val="20"/>
          <w:color w:val="auto"/>
        </w:rPr>
      </w:pPr>
    </w:p>
    <w:p>
      <w:pPr>
        <w:jc w:val="both"/>
        <w:ind w:left="66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the COVID-19 pandemic and governmental actions taken to combat the COVID-19 pandemic will have on us, including our operations, financial results, liquidity and capital resources, the existence and duration of state and local orders temporarily prohibiting elective procedures including procedures using our products, the ability and desire of patients and physicians to undergo and perform such procedures, the duration and any potential resurgence of the COVID-19 pandemic, and whether the COVID-19 pandemic will recur in the future;</w:t>
      </w:r>
    </w:p>
    <w:p>
      <w:pPr>
        <w:spacing w:after="0" w:line="15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the COVID-19 pandemic has on the global supply chain and our third-party manufacturers and suppliers, which could adversely impact the availability or cost of materials, which could disrupt our supply chain related to implants and instruments.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impacting the supply chains we rely on, including the availability of raw materials and skilled labor serving our suppliers, and the cost of these factors of production which may in turn impact the prices we pay for our devices;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employees, including those with specialized skills and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2022</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2021</w:t>
            </w:r>
          </w:p>
        </w:tc>
        <w:tc>
          <w:tcPr>
            <w:tcW w:w="0" w:type="dxa"/>
            <w:vAlign w:val="bottom"/>
          </w:tcPr>
          <w:p>
            <w:pPr>
              <w:spacing w:after="0"/>
              <w:rPr>
                <w:sz w:val="1"/>
                <w:szCs w:val="1"/>
                <w:color w:val="auto"/>
              </w:rPr>
            </w:pPr>
          </w:p>
        </w:tc>
      </w:tr>
      <w:tr>
        <w:trPr>
          <w:trHeight w:val="213"/>
        </w:trPr>
        <w:tc>
          <w:tcPr>
            <w:tcW w:w="83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63,419</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103,402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83,560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 for doubtful accounts of $258 and $264, respectively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11,498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161,261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175,866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176,849</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190,506</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6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4,998</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 and other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liabilities, current portion</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34,973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56,086</w:t>
            </w: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Preferred stock, $0.0001 par value; 5,000,000 shares authorized; no shares issued and outstanding</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Common stock, $0.0001 par value; 100,000,000 shares authorized; 33,872,363 and 33,674,085 shares issued and</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respectively</w:t>
            </w: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435,590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429,914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(295,849)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134,420</w:t>
            </w:r>
          </w:p>
        </w:tc>
        <w:tc>
          <w:tcPr>
            <w:tcW w:w="0" w:type="dxa"/>
            <w:vAlign w:val="bottom"/>
          </w:tcPr>
          <w:p>
            <w:pPr>
              <w:spacing w:after="0"/>
              <w:rPr>
                <w:sz w:val="1"/>
                <w:szCs w:val="1"/>
                <w:color w:val="auto"/>
              </w:rPr>
            </w:pP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176,849</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p>
      <w:pPr>
        <w:jc w:val="center"/>
        <w:ind w:left="5640"/>
        <w:spacing w:after="0"/>
        <w:rPr>
          <w:sz w:val="20"/>
          <w:szCs w:val="20"/>
          <w:color w:val="auto"/>
        </w:rPr>
      </w:pPr>
      <w:r>
        <w:rPr>
          <w:rFonts w:ascii="Arial" w:cs="Arial" w:eastAsia="Arial" w:hAnsi="Arial"/>
          <w:sz w:val="16"/>
          <w:szCs w:val="16"/>
          <w:b w:val="1"/>
          <w:bCs w:val="1"/>
          <w:color w:val="auto"/>
        </w:rPr>
        <w:t>Three Months Ended</w:t>
      </w:r>
    </w:p>
    <w:p>
      <w:pPr>
        <w:jc w:val="center"/>
        <w:ind w:left="56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56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20,442</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0" w:type="dxa"/>
            <w:vAlign w:val="bottom"/>
          </w:tcPr>
          <w:p>
            <w:pPr>
              <w:spacing w:after="0"/>
              <w:rPr>
                <w:sz w:val="1"/>
                <w:szCs w:val="1"/>
                <w:color w:val="auto"/>
              </w:rPr>
            </w:pPr>
          </w:p>
        </w:tc>
      </w:tr>
      <w:tr>
        <w:trPr>
          <w:trHeight w:val="210"/>
        </w:trPr>
        <w:tc>
          <w:tcPr>
            <w:tcW w:w="566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29"/>
        </w:trPr>
        <w:tc>
          <w:tcPr>
            <w:tcW w:w="566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29,817</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29"/>
        </w:trPr>
        <w:tc>
          <w:tcPr>
            <w:tcW w:w="566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566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5660" w:type="dxa"/>
            <w:vAlign w:val="bottom"/>
          </w:tcPr>
          <w:p>
            <w:pPr>
              <w:ind w:left="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500"/>
              <w:spacing w:after="0"/>
              <w:rPr>
                <w:sz w:val="20"/>
                <w:szCs w:val="20"/>
                <w:color w:val="auto"/>
              </w:rPr>
            </w:pPr>
            <w:r>
              <w:rPr>
                <w:rFonts w:ascii="Arial" w:cs="Arial" w:eastAsia="Arial" w:hAnsi="Arial"/>
                <w:sz w:val="18"/>
                <w:szCs w:val="18"/>
                <w:color w:val="auto"/>
              </w:rPr>
              <w:t>Changes in foreign currency translation</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Unrealized gain (loss) on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660" w:type="dxa"/>
            <w:vAlign w:val="bottom"/>
          </w:tcPr>
          <w:p>
            <w:pPr>
              <w:ind w:left="6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60" w:type="dxa"/>
            <w:vAlign w:val="bottom"/>
          </w:tcPr>
          <w:p>
            <w:pPr>
              <w:ind w:left="60"/>
              <w:spacing w:after="0" w:line="176" w:lineRule="exact"/>
              <w:rPr>
                <w:sz w:val="20"/>
                <w:szCs w:val="20"/>
                <w:color w:val="auto"/>
              </w:rPr>
            </w:pPr>
            <w:r>
              <w:rPr>
                <w:rFonts w:ascii="Arial" w:cs="Arial" w:eastAsia="Arial" w:hAnsi="Arial"/>
                <w:sz w:val="18"/>
                <w:szCs w:val="18"/>
                <w:color w:val="auto"/>
                <w:w w:val="95"/>
              </w:rPr>
              <w:t>Weighted-average number of common shares used to compute basic and</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33,792,326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32,691,578</w:t>
            </w: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diluted net loss per share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6" w:name="page7"/>
    <w:bookmarkEnd w:id="6"/>
    <w:p>
      <w:pPr>
        <w:ind w:left="4980"/>
        <w:spacing w:after="0"/>
        <w:rPr>
          <w:sz w:val="20"/>
          <w:szCs w:val="20"/>
          <w:color w:val="auto"/>
        </w:rPr>
      </w:pPr>
      <w:r>
        <w:rPr>
          <w:rFonts w:ascii="Arial" w:cs="Arial" w:eastAsia="Arial" w:hAnsi="Arial"/>
          <w:sz w:val="18"/>
          <w:szCs w:val="18"/>
          <w:b w:val="1"/>
          <w:bCs w:val="1"/>
          <w:color w:val="auto"/>
        </w:rPr>
        <w:t>SI-BONE, INC.</w:t>
      </w:r>
    </w:p>
    <w:p>
      <w:pPr>
        <w:spacing w:after="0" w:line="104"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0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share amounts)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860" w:type="dxa"/>
            <w:vAlign w:val="bottom"/>
            <w:gridSpan w:val="4"/>
            <w:vMerge w:val="restart"/>
          </w:tcPr>
          <w:p>
            <w:pPr>
              <w:jc w:val="right"/>
              <w:ind w:right="311"/>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2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16"/>
                <w:szCs w:val="16"/>
                <w:color w:val="auto"/>
              </w:rPr>
            </w:pPr>
          </w:p>
        </w:tc>
        <w:tc>
          <w:tcPr>
            <w:tcW w:w="18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9" w:lineRule="exact"/>
              <w:rPr>
                <w:sz w:val="20"/>
                <w:szCs w:val="20"/>
                <w:color w:val="auto"/>
              </w:rPr>
            </w:pPr>
            <w:r>
              <w:rPr>
                <w:rFonts w:ascii="Arial" w:cs="Arial" w:eastAsia="Arial" w:hAnsi="Arial"/>
                <w:sz w:val="16"/>
                <w:szCs w:val="16"/>
                <w:b w:val="1"/>
                <w:bCs w:val="1"/>
                <w:color w:val="auto"/>
                <w:w w:val="89"/>
              </w:rPr>
              <w:t>Comprehensive</w:t>
            </w:r>
          </w:p>
        </w:tc>
        <w:tc>
          <w:tcPr>
            <w:tcW w:w="1060" w:type="dxa"/>
            <w:vAlign w:val="bottom"/>
            <w:gridSpan w:val="3"/>
          </w:tcPr>
          <w:p>
            <w:pPr>
              <w:ind w:left="40"/>
              <w:spacing w:after="0" w:line="169" w:lineRule="exact"/>
              <w:rPr>
                <w:sz w:val="20"/>
                <w:szCs w:val="20"/>
                <w:color w:val="auto"/>
              </w:rPr>
            </w:pPr>
            <w:r>
              <w:rPr>
                <w:rFonts w:ascii="Arial" w:cs="Arial" w:eastAsia="Arial" w:hAnsi="Arial"/>
                <w:sz w:val="16"/>
                <w:szCs w:val="16"/>
                <w:b w:val="1"/>
                <w:bCs w:val="1"/>
                <w:color w:val="auto"/>
                <w:w w:val="99"/>
              </w:rPr>
              <w:t>Accumulated</w:t>
            </w:r>
          </w:p>
        </w:tc>
        <w:tc>
          <w:tcPr>
            <w:tcW w:w="100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33"/>
        </w:trPr>
        <w:tc>
          <w:tcPr>
            <w:tcW w:w="496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1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33,674,085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429,914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(295,849)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134,420</w:t>
            </w:r>
          </w:p>
        </w:tc>
        <w:tc>
          <w:tcPr>
            <w:tcW w:w="0" w:type="dxa"/>
            <w:vAlign w:val="bottom"/>
          </w:tcPr>
          <w:p>
            <w:pPr>
              <w:spacing w:after="0"/>
              <w:rPr>
                <w:sz w:val="1"/>
                <w:szCs w:val="1"/>
                <w:color w:val="auto"/>
              </w:rPr>
            </w:pPr>
          </w:p>
        </w:tc>
      </w:tr>
      <w:tr>
        <w:trPr>
          <w:trHeight w:val="175"/>
        </w:trPr>
        <w:tc>
          <w:tcPr>
            <w:tcW w:w="4960" w:type="dxa"/>
            <w:vAlign w:val="bottom"/>
          </w:tcPr>
          <w:p>
            <w:pPr>
              <w:ind w:left="20"/>
              <w:spacing w:after="0" w:line="176" w:lineRule="exact"/>
              <w:rPr>
                <w:sz w:val="20"/>
                <w:szCs w:val="20"/>
                <w:color w:val="auto"/>
              </w:rPr>
            </w:pPr>
            <w:r>
              <w:rPr>
                <w:rFonts w:ascii="Arial" w:cs="Arial" w:eastAsia="Arial" w:hAnsi="Arial"/>
                <w:sz w:val="18"/>
                <w:szCs w:val="18"/>
                <w:color w:val="auto"/>
                <w:w w:val="95"/>
              </w:rPr>
              <w:t>Issuance of common stock upon exercise of stock options, net of</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34,798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Issuance of common stock upon 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33,872,363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(313,259)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860" w:type="dxa"/>
            <w:vAlign w:val="bottom"/>
            <w:gridSpan w:val="4"/>
            <w:vMerge w:val="restart"/>
          </w:tcPr>
          <w:p>
            <w:pPr>
              <w:jc w:val="right"/>
              <w:ind w:right="311"/>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2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16"/>
                <w:szCs w:val="16"/>
                <w:color w:val="auto"/>
              </w:rPr>
            </w:pPr>
          </w:p>
        </w:tc>
        <w:tc>
          <w:tcPr>
            <w:tcW w:w="18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line="169"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9" w:lineRule="exact"/>
              <w:rPr>
                <w:sz w:val="20"/>
                <w:szCs w:val="20"/>
                <w:color w:val="auto"/>
              </w:rPr>
            </w:pPr>
            <w:r>
              <w:rPr>
                <w:rFonts w:ascii="Arial" w:cs="Arial" w:eastAsia="Arial" w:hAnsi="Arial"/>
                <w:sz w:val="16"/>
                <w:szCs w:val="16"/>
                <w:b w:val="1"/>
                <w:bCs w:val="1"/>
                <w:color w:val="auto"/>
                <w:w w:val="89"/>
              </w:rPr>
              <w:t>Comprehensive</w:t>
            </w:r>
          </w:p>
        </w:tc>
        <w:tc>
          <w:tcPr>
            <w:tcW w:w="1060" w:type="dxa"/>
            <w:vAlign w:val="bottom"/>
            <w:gridSpan w:val="3"/>
          </w:tcPr>
          <w:p>
            <w:pPr>
              <w:ind w:left="40"/>
              <w:spacing w:after="0" w:line="169" w:lineRule="exact"/>
              <w:rPr>
                <w:sz w:val="20"/>
                <w:szCs w:val="20"/>
                <w:color w:val="auto"/>
              </w:rPr>
            </w:pPr>
            <w:r>
              <w:rPr>
                <w:rFonts w:ascii="Arial" w:cs="Arial" w:eastAsia="Arial" w:hAnsi="Arial"/>
                <w:sz w:val="16"/>
                <w:szCs w:val="16"/>
                <w:b w:val="1"/>
                <w:bCs w:val="1"/>
                <w:color w:val="auto"/>
                <w:w w:val="99"/>
              </w:rPr>
              <w:t>Accumulated</w:t>
            </w:r>
          </w:p>
        </w:tc>
        <w:tc>
          <w:tcPr>
            <w:tcW w:w="100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33"/>
        </w:trPr>
        <w:tc>
          <w:tcPr>
            <w:tcW w:w="496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18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32,583,220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408,113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(239,277)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169,363</w:t>
            </w:r>
          </w:p>
        </w:tc>
        <w:tc>
          <w:tcPr>
            <w:tcW w:w="0" w:type="dxa"/>
            <w:vAlign w:val="bottom"/>
          </w:tcPr>
          <w:p>
            <w:pPr>
              <w:spacing w:after="0"/>
              <w:rPr>
                <w:sz w:val="1"/>
                <w:szCs w:val="1"/>
                <w:color w:val="auto"/>
              </w:rPr>
            </w:pPr>
          </w:p>
        </w:tc>
      </w:tr>
      <w:tr>
        <w:trPr>
          <w:trHeight w:val="175"/>
        </w:trPr>
        <w:tc>
          <w:tcPr>
            <w:tcW w:w="4960" w:type="dxa"/>
            <w:vAlign w:val="bottom"/>
          </w:tcPr>
          <w:p>
            <w:pPr>
              <w:ind w:left="20"/>
              <w:spacing w:after="0" w:line="176" w:lineRule="exact"/>
              <w:rPr>
                <w:sz w:val="20"/>
                <w:szCs w:val="20"/>
                <w:color w:val="auto"/>
              </w:rPr>
            </w:pPr>
            <w:r>
              <w:rPr>
                <w:rFonts w:ascii="Arial" w:cs="Arial" w:eastAsia="Arial" w:hAnsi="Arial"/>
                <w:sz w:val="18"/>
                <w:szCs w:val="18"/>
                <w:color w:val="auto"/>
                <w:w w:val="95"/>
              </w:rPr>
              <w:t>Issuance of common stock upon exercise of stock options, net of</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93,975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Issuance of common stock upon 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 on marketable securities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32,808,534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(251,519)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161,667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23" w:right="3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19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040" w:type="dxa"/>
            <w:vAlign w:val="bottom"/>
          </w:tcPr>
          <w:p>
            <w:pPr>
              <w:ind w:left="6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(17,410)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(12,242)</w:t>
            </w:r>
          </w:p>
        </w:tc>
      </w:tr>
      <w:tr>
        <w:trPr>
          <w:trHeight w:val="21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0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4,030</w:t>
            </w: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3"/>
        </w:trPr>
        <w:tc>
          <w:tcPr>
            <w:tcW w:w="8040" w:type="dxa"/>
            <w:vAlign w:val="bottom"/>
          </w:tcPr>
          <w:p>
            <w:pPr>
              <w:ind w:left="320"/>
              <w:spacing w:after="0"/>
              <w:rPr>
                <w:sz w:val="20"/>
                <w:szCs w:val="20"/>
                <w:color w:val="auto"/>
              </w:rPr>
            </w:pPr>
            <w:r>
              <w:rPr>
                <w:rFonts w:ascii="Arial" w:cs="Arial" w:eastAsia="Arial" w:hAnsi="Arial"/>
                <w:sz w:val="16"/>
                <w:szCs w:val="16"/>
                <w:color w:val="auto"/>
              </w:rPr>
              <w:t>Accretion of discount on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8040" w:type="dxa"/>
            <w:vAlign w:val="bottom"/>
          </w:tcPr>
          <w:p>
            <w:pPr>
              <w:ind w:left="340"/>
              <w:spacing w:after="0"/>
              <w:rPr>
                <w:sz w:val="20"/>
                <w:szCs w:val="20"/>
                <w:color w:val="auto"/>
              </w:rPr>
            </w:pPr>
            <w:r>
              <w:rPr>
                <w:rFonts w:ascii="Arial" w:cs="Arial" w:eastAsia="Arial" w:hAnsi="Arial"/>
                <w:sz w:val="16"/>
                <w:szCs w:val="16"/>
                <w:color w:val="auto"/>
              </w:rPr>
              <w:t>Loss on sale and disposal of property and equipment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04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r>
      <w:tr>
        <w:trPr>
          <w:trHeight w:val="213"/>
        </w:trPr>
        <w:tc>
          <w:tcPr>
            <w:tcW w:w="804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r>
      <w:tr>
        <w:trPr>
          <w:trHeight w:val="213"/>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Accrued liabilities and other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w:t>
            </w:r>
          </w:p>
        </w:tc>
      </w:tr>
      <w:tr>
        <w:trPr>
          <w:trHeight w:val="212"/>
        </w:trPr>
        <w:tc>
          <w:tcPr>
            <w:tcW w:w="80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(9,359)</w:t>
            </w:r>
          </w:p>
        </w:tc>
      </w:tr>
      <w:tr>
        <w:trPr>
          <w:trHeight w:val="193"/>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33,200</w:t>
            </w:r>
          </w:p>
        </w:tc>
      </w:tr>
      <w:tr>
        <w:trPr>
          <w:trHeight w:val="213"/>
        </w:trPr>
        <w:tc>
          <w:tcPr>
            <w:tcW w:w="8040" w:type="dxa"/>
            <w:vAlign w:val="bottom"/>
          </w:tcPr>
          <w:p>
            <w:pPr>
              <w:ind w:left="1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(45,334)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(38,346)</w:t>
            </w:r>
          </w:p>
        </w:tc>
      </w:tr>
      <w:tr>
        <w:trPr>
          <w:trHeight w:val="219"/>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r>
      <w:tr>
        <w:trPr>
          <w:trHeight w:val="206"/>
        </w:trPr>
        <w:tc>
          <w:tcPr>
            <w:tcW w:w="80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(22,608)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(7,122)</w:t>
            </w:r>
          </w:p>
        </w:tc>
      </w:tr>
      <w:tr>
        <w:trPr>
          <w:trHeight w:val="19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0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Proceeds from the exercise of stock options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r>
      <w:tr>
        <w:trPr>
          <w:trHeight w:val="213"/>
        </w:trPr>
        <w:tc>
          <w:tcPr>
            <w:tcW w:w="80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06"/>
        </w:trPr>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r>
      <w:tr>
        <w:trPr>
          <w:trHeight w:val="213"/>
        </w:trPr>
        <w:tc>
          <w:tcPr>
            <w:tcW w:w="80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(16,217)</w:t>
            </w:r>
          </w:p>
        </w:tc>
      </w:tr>
      <w:tr>
        <w:trPr>
          <w:trHeight w:val="213"/>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rPr>
              <w:t>Cash and cash equivalents at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53,581</w:t>
            </w:r>
          </w:p>
        </w:tc>
      </w:tr>
      <w:tr>
        <w:trPr>
          <w:trHeight w:val="183"/>
        </w:trPr>
        <w:tc>
          <w:tcPr>
            <w:tcW w:w="8040" w:type="dxa"/>
            <w:vAlign w:val="bottom"/>
          </w:tcPr>
          <w:p>
            <w:pPr>
              <w:ind w:left="60"/>
              <w:spacing w:after="0" w:line="183" w:lineRule="exact"/>
              <w:rPr>
                <w:sz w:val="20"/>
                <w:szCs w:val="20"/>
                <w:color w:val="auto"/>
              </w:rPr>
            </w:pPr>
            <w:r>
              <w:rPr>
                <w:rFonts w:ascii="Arial" w:cs="Arial" w:eastAsia="Arial" w:hAnsi="Arial"/>
                <w:sz w:val="16"/>
                <w:szCs w:val="16"/>
                <w:color w:val="auto"/>
              </w:rPr>
              <w:t>End of period</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27,329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37,364</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3"/>
        </w:trPr>
        <w:tc>
          <w:tcPr>
            <w:tcW w:w="8040" w:type="dxa"/>
            <w:vAlign w:val="bottom"/>
          </w:tcPr>
          <w:p>
            <w:pPr>
              <w:ind w:left="60"/>
              <w:spacing w:after="0"/>
              <w:rPr>
                <w:sz w:val="20"/>
                <w:szCs w:val="20"/>
                <w:color w:val="auto"/>
              </w:rPr>
            </w:pPr>
            <w:r>
              <w:rPr>
                <w:rFonts w:ascii="Arial" w:cs="Arial" w:eastAsia="Arial" w:hAnsi="Arial"/>
                <w:sz w:val="16"/>
                <w:szCs w:val="16"/>
                <w:color w:val="auto"/>
              </w:rPr>
              <w:t>Vesting of early exercised stock options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8040" w:type="dxa"/>
            <w:vAlign w:val="bottom"/>
            <w:shd w:val="clear" w:color="auto" w:fill="CCEEFF"/>
          </w:tcPr>
          <w:p>
            <w:pPr>
              <w:ind w:left="60"/>
              <w:spacing w:after="0"/>
              <w:rPr>
                <w:sz w:val="20"/>
                <w:szCs w:val="20"/>
                <w:color w:val="auto"/>
              </w:rPr>
            </w:pPr>
            <w:r>
              <w:rPr>
                <w:rFonts w:ascii="Arial" w:cs="Arial" w:eastAsia="Arial" w:hAnsi="Arial"/>
                <w:sz w:val="16"/>
                <w:szCs w:val="16"/>
                <w:color w:val="auto"/>
              </w:rPr>
              <w:t>Unpaid purchases of property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837" w:right="5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The Company and Nature of Business</w:t>
      </w:r>
    </w:p>
    <w:p>
      <w:pPr>
        <w:spacing w:after="0" w:line="2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 introduced its first generation iFuse implant in 2009 in the U.S., in 2010 in certain countries in the European Union, and in 2015 in certain countries in the rest of the world.</w:t>
      </w:r>
    </w:p>
    <w:p>
      <w:pPr>
        <w:spacing w:after="0" w:line="193"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In the first quarter of 2020, the Company received $63.0 million of net proceeds from its first follow-on public offering of 4,300,000 shares of the Company's common stock, of which 2,490,053 shares were offered and sold by the Company, and the exercise of underwriter's option to purchase from the Company an additional 645,000 shares of the Company's common stock, at a public offering price of $21.50 per share. The total public offering costs incurred in connection with the follow-on offering were allocated based on the gross proceeds received by the Company and the selling stockholders on a pro-rated basis. Public offering cost of $0.4 million allocated to selling of shares by the Company was charged against the gross proceeds received from the follow-on offering. Public offering costs of $0.2 million allocated to selling of shares by the selling stockholders was recognized as transaction costs within general and administrative expenses on the consolidated statements of operations in the year ended December 31, 2020.</w:t>
      </w:r>
    </w:p>
    <w:p>
      <w:pPr>
        <w:spacing w:after="0" w:line="16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October 2020, the Company received $71.6 million of net proceeds from its second follow-on public offering of shares of the Company's common stock, of which 3,000,000 shares were offered and sold by the Company, and the exercise of underwriter's option to purchase from the Company an additional 478,507 shares of the Company's common stock, at a public offering price of $22.00 per share. In addition to the shares sold by the Company in this second follow-on offering, the selling stockholder sold 190,053 shares of the Company's common stock previously held by the selling stockholder at a price to the public of $22.00 per share. The Company did not receive any proceeds from the sale by the selling stockholder.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The Company is subject to continuing risk and uncertainties as a result of the COVID-19 pandemic, and is closely monitoring the impact of the pandemic on all aspects of its business, including the impacts on its customers, patients that would benefit from procedures involving the Company's products, employees, suppliers, vendors, business partners and distribution channels. Economies worldwide continue to be negatively impacted by the COVID-19 pandemic, in particular with recurrent mutations of the virus, despite advances in vaccines, and the Company anticipates these disruptions will continue. While the Company has not experienced material disruptions to its supply chain to date, certain of its third-party suppliers have faced delays, product shortages and rising costs resulting from disruptions in the global supply chain, primarily related to the instruments. As a result, the Company is continuing to work closely with its manufacturing partners and suppliers, as well as determining alternative sourcing strategies to enable the Company to source key components and maintain appropriate inventory levels to meet customer demand. As such the Company's future results of operations and liquidity could be adversely impacted by a variety of factors related to the COVID-19 pandemic, including those discussed in the section entitled "Risk Factors" in this report. As of the date of issuance of these condensed consolidated financial statements, the extent to which the COVID-19 pandemic may materially impact the Company's financial condition, liquidity, or results of operations remains uncertain.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2021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months ended March 31, 2022 are not necessarily indicative of the results to be expected for the year ending December 31, 2022 or for any other interim period or for any other future year.</w:t>
      </w:r>
    </w:p>
    <w:p>
      <w:pPr>
        <w:spacing w:after="0" w:line="181"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The accompanying condensed consolidated financial statements should be read in conjunction with the audited financial statements and related notes thereto for the year ended December 31, 2021 contained in the Company’s Annual Report on Form 10-K filed with the SEC on March 1, 2022.</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Company’s significant accounting policies are disclosed in the Company’s Annual Report on Form 10-K for the year ended December 31, 2021. There have been no material changes to these accounting policies, except for the accounting policy related to performance-based restricted stock unit awards noted below that was added to the Company’s significant accounting policies in the first quarter of 2022.</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Performance-Based Restricted Stock Unit Award</w:t>
      </w:r>
      <w:r>
        <w:rPr>
          <w:rFonts w:ascii="Arial" w:cs="Arial" w:eastAsia="Arial" w:hAnsi="Arial"/>
          <w:sz w:val="18"/>
          <w:szCs w:val="18"/>
          <w:i w:val="1"/>
          <w:iCs w:val="1"/>
          <w:color w:val="auto"/>
        </w:rPr>
        <w: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grants restricted stock unit awards subject to market and service vesting conditions to certain executive officers. This type of grant consists of the right to receive shares of common stock, subject to achievement of time-based criteria and certain market performance-related goals over a specified period, as established by the Compensation Committee of our Board of Directors. For these awards that are subject to market performance, the fair value is determined based on the number of shares granted and a Monte Carlo valuation model, which incorporates the probability of the achievement of the market-related performance goals as part of the grant date fair value. If such performance goals are not ultimately met, the expense is not reversed. Stock-based compensation expense is recognized ratably over the requisite service period.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reportable and operating segment structure</w:t>
      </w:r>
      <w:r>
        <w:rPr>
          <w:rFonts w:ascii="Arial" w:cs="Arial" w:eastAsia="Arial" w:hAnsi="Arial"/>
          <w:sz w:val="21"/>
          <w:szCs w:val="21"/>
          <w:color w:val="008080"/>
        </w:rPr>
        <w:t>.</w:t>
      </w:r>
    </w:p>
    <w:p>
      <w:pPr>
        <w:spacing w:after="0" w:line="2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Following table summarizes the Company's revenue by geography:</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5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09"/>
        </w:trPr>
        <w:tc>
          <w:tcPr>
            <w:tcW w:w="5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r>
      <w:tr>
        <w:trPr>
          <w:trHeight w:val="232"/>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20,367</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18,770</w:t>
            </w:r>
          </w:p>
        </w:tc>
      </w:tr>
      <w:tr>
        <w:trPr>
          <w:trHeight w:val="230"/>
        </w:trPr>
        <w:tc>
          <w:tcPr>
            <w:tcW w:w="5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International</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r>
      <w:tr>
        <w:trPr>
          <w:trHeight w:val="248"/>
        </w:trPr>
        <w:tc>
          <w:tcPr>
            <w:tcW w:w="5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February 2016, the FASB issued ASU No. 2016-02, Leases (Topic 842) (ASU 2016-02), which requires the lessee to recognize a lease right-of-use asset and a lease liability for operating leases, initially measured at the present value of lease payments, in its consolidated balance sheet. In the fourth quarter of 2021, the Company adopted ASU 2016-02 using the modified retrospective method with the effective date of January 1, 2021. As a result, the Company has retrospectively changed its previously issued condensed consolidated financial statements as of March 31, 2021 and for the three months ended March 31, 2021 as presented in its March 31, 2021 Quarterly Report on Form 10-Q to reflect the adoption of Topic 842 on January 1, 2021. The condensed consolidated financial statements for the three months ended March 31, 2021 presented herein differ from the Company’s condensed consolidated financial statements included in its March 31, 2021 Quarterly Report on Form 10-Q, as those financial statements were prepared using the former accounting standard referred to as ASC Topic 840, Leases.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effect of the adoption of Topic 842 on the condensed consolidated balance sheet as of January 1, 2021:</w:t>
      </w:r>
    </w:p>
    <w:p>
      <w:pPr>
        <w:spacing w:after="0" w:line="256"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jc w:val="right"/>
              <w:ind w:right="332"/>
              <w:spacing w:after="0"/>
              <w:rPr>
                <w:sz w:val="20"/>
                <w:szCs w:val="20"/>
                <w:color w:val="auto"/>
              </w:rPr>
            </w:pPr>
            <w:r>
              <w:rPr>
                <w:rFonts w:ascii="Arial" w:cs="Arial" w:eastAsia="Arial" w:hAnsi="Arial"/>
                <w:sz w:val="16"/>
                <w:szCs w:val="16"/>
                <w:b w:val="1"/>
                <w:bCs w:val="1"/>
                <w:color w:val="auto"/>
                <w:w w:val="90"/>
              </w:rPr>
              <w:t>As Previously</w:t>
            </w:r>
          </w:p>
        </w:tc>
        <w:tc>
          <w:tcPr>
            <w:tcW w:w="460" w:type="dxa"/>
            <w:vAlign w:val="bottom"/>
          </w:tcPr>
          <w:p>
            <w:pPr>
              <w:spacing w:after="0"/>
              <w:rPr>
                <w:sz w:val="16"/>
                <w:szCs w:val="16"/>
                <w:color w:val="auto"/>
              </w:rPr>
            </w:pPr>
          </w:p>
        </w:tc>
        <w:tc>
          <w:tcPr>
            <w:tcW w:w="1520" w:type="dxa"/>
            <w:vAlign w:val="bottom"/>
          </w:tcPr>
          <w:p>
            <w:pPr>
              <w:jc w:val="right"/>
              <w:ind w:right="333"/>
              <w:spacing w:after="0"/>
              <w:rPr>
                <w:sz w:val="20"/>
                <w:szCs w:val="20"/>
                <w:color w:val="auto"/>
              </w:rPr>
            </w:pPr>
            <w:r>
              <w:rPr>
                <w:rFonts w:ascii="Arial" w:cs="Arial" w:eastAsia="Arial" w:hAnsi="Arial"/>
                <w:sz w:val="16"/>
                <w:szCs w:val="16"/>
                <w:b w:val="1"/>
                <w:bCs w:val="1"/>
                <w:color w:val="auto"/>
                <w:w w:val="91"/>
              </w:rPr>
              <w:t>Impact of Topic</w:t>
            </w:r>
          </w:p>
        </w:tc>
        <w:tc>
          <w:tcPr>
            <w:tcW w:w="500" w:type="dxa"/>
            <w:vAlign w:val="bottom"/>
          </w:tcPr>
          <w:p>
            <w:pPr>
              <w:spacing w:after="0"/>
              <w:rPr>
                <w:sz w:val="16"/>
                <w:szCs w:val="16"/>
                <w:color w:val="auto"/>
              </w:rPr>
            </w:pPr>
          </w:p>
        </w:tc>
        <w:tc>
          <w:tcPr>
            <w:tcW w:w="116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w w:val="96"/>
              </w:rPr>
              <w:t>As Adjusted</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02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16"/>
                <w:szCs w:val="16"/>
                <w:b w:val="1"/>
                <w:bCs w:val="1"/>
                <w:color w:val="auto"/>
              </w:rPr>
              <w:t>Reported</w:t>
            </w:r>
          </w:p>
        </w:tc>
        <w:tc>
          <w:tcPr>
            <w:tcW w:w="1980" w:type="dxa"/>
            <w:vAlign w:val="bottom"/>
            <w:tcBorders>
              <w:bottom w:val="single" w:sz="8" w:color="auto"/>
            </w:tcBorders>
            <w:gridSpan w:val="2"/>
          </w:tcPr>
          <w:p>
            <w:pPr>
              <w:jc w:val="right"/>
              <w:ind w:right="653"/>
              <w:spacing w:after="0"/>
              <w:rPr>
                <w:sz w:val="20"/>
                <w:szCs w:val="20"/>
                <w:color w:val="auto"/>
              </w:rPr>
            </w:pPr>
            <w:r>
              <w:rPr>
                <w:rFonts w:ascii="Arial" w:cs="Arial" w:eastAsia="Arial" w:hAnsi="Arial"/>
                <w:sz w:val="16"/>
                <w:szCs w:val="16"/>
                <w:b w:val="1"/>
                <w:bCs w:val="1"/>
                <w:color w:val="auto"/>
              </w:rPr>
              <w:t>842 Adoption</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333"/>
              <w:spacing w:after="0"/>
              <w:rPr>
                <w:sz w:val="20"/>
                <w:szCs w:val="20"/>
                <w:color w:val="auto"/>
              </w:rPr>
            </w:pPr>
            <w:r>
              <w:rPr>
                <w:rFonts w:ascii="Arial" w:cs="Arial" w:eastAsia="Arial" w:hAnsi="Arial"/>
                <w:sz w:val="16"/>
                <w:szCs w:val="16"/>
                <w:b w:val="1"/>
                <w:bCs w:val="1"/>
                <w:color w:val="auto"/>
                <w:w w:val="97"/>
              </w:rPr>
              <w:t>(in thousands)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ASSETS</w:t>
            </w:r>
          </w:p>
        </w:tc>
        <w:tc>
          <w:tcPr>
            <w:tcW w:w="6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93"/>
              <w:spacing w:after="0"/>
              <w:rPr>
                <w:sz w:val="20"/>
                <w:szCs w:val="20"/>
                <w:color w:val="auto"/>
              </w:rPr>
            </w:pPr>
            <w:r>
              <w:rPr>
                <w:rFonts w:ascii="Arial" w:cs="Arial" w:eastAsia="Arial" w:hAnsi="Arial"/>
                <w:sz w:val="18"/>
                <w:szCs w:val="18"/>
                <w:color w:val="auto"/>
              </w:rPr>
              <w:t>3,507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500"/>
              <w:spacing w:after="0" w:line="176" w:lineRule="exact"/>
              <w:rPr>
                <w:sz w:val="20"/>
                <w:szCs w:val="20"/>
                <w:color w:val="auto"/>
              </w:rPr>
            </w:pPr>
            <w:r>
              <w:rPr>
                <w:rFonts w:ascii="Arial" w:cs="Arial" w:eastAsia="Arial" w:hAnsi="Arial"/>
                <w:sz w:val="18"/>
                <w:szCs w:val="18"/>
                <w:color w:val="auto"/>
              </w:rPr>
              <w:t>LIABILITIES AND STOCKHOLDERS’</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EQUITY</w:t>
            </w: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Operating lease liabilities, current portion</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852</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175"/>
        </w:trPr>
        <w:tc>
          <w:tcPr>
            <w:tcW w:w="3740" w:type="dxa"/>
            <w:vAlign w:val="bottom"/>
          </w:tcPr>
          <w:p>
            <w:pPr>
              <w:ind w:left="500"/>
              <w:spacing w:after="0" w:line="176" w:lineRule="exact"/>
              <w:rPr>
                <w:sz w:val="20"/>
                <w:szCs w:val="20"/>
                <w:color w:val="auto"/>
              </w:rPr>
            </w:pPr>
            <w:r>
              <w:rPr>
                <w:rFonts w:ascii="Arial" w:cs="Arial" w:eastAsia="Arial" w:hAnsi="Arial"/>
                <w:sz w:val="18"/>
                <w:szCs w:val="18"/>
                <w:color w:val="auto"/>
              </w:rPr>
              <w:t>Operating lease liabilities, net of current</w:t>
            </w:r>
          </w:p>
        </w:tc>
        <w:tc>
          <w:tcPr>
            <w:tcW w:w="620" w:type="dxa"/>
            <w:vAlign w:val="bottom"/>
          </w:tcPr>
          <w:p>
            <w:pPr>
              <w:spacing w:after="0"/>
              <w:rPr>
                <w:sz w:val="15"/>
                <w:szCs w:val="15"/>
                <w:color w:val="auto"/>
              </w:rPr>
            </w:pPr>
          </w:p>
        </w:tc>
        <w:tc>
          <w:tcPr>
            <w:tcW w:w="1400" w:type="dxa"/>
            <w:vAlign w:val="bottom"/>
            <w:vMerge w:val="restart"/>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520" w:type="dxa"/>
            <w:vAlign w:val="bottom"/>
            <w:vMerge w:val="restart"/>
          </w:tcPr>
          <w:p>
            <w:pPr>
              <w:jc w:val="right"/>
              <w:ind w:right="293"/>
              <w:spacing w:after="0"/>
              <w:rPr>
                <w:sz w:val="20"/>
                <w:szCs w:val="20"/>
                <w:color w:val="auto"/>
              </w:rPr>
            </w:pPr>
            <w:r>
              <w:rPr>
                <w:rFonts w:ascii="Arial" w:cs="Arial" w:eastAsia="Arial" w:hAnsi="Arial"/>
                <w:sz w:val="18"/>
                <w:szCs w:val="18"/>
                <w:color w:val="auto"/>
              </w:rPr>
              <w:t>2,933</w:t>
            </w:r>
          </w:p>
        </w:tc>
        <w:tc>
          <w:tcPr>
            <w:tcW w:w="5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portion</w:t>
            </w:r>
          </w:p>
        </w:tc>
        <w:tc>
          <w:tcPr>
            <w:tcW w:w="6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liabilities and other</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10,199</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(345)</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30"/>
        </w:trPr>
        <w:tc>
          <w:tcPr>
            <w:tcW w:w="374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620" w:type="dxa"/>
            <w:vAlign w:val="bottom"/>
          </w:tcPr>
          <w:p>
            <w:pPr>
              <w:spacing w:after="0"/>
              <w:rPr>
                <w:sz w:val="20"/>
                <w:szCs w:val="20"/>
                <w:color w:val="auto"/>
              </w:rPr>
            </w:pPr>
          </w:p>
        </w:tc>
        <w:tc>
          <w:tcPr>
            <w:tcW w:w="1400" w:type="dxa"/>
            <w:vAlign w:val="bottom"/>
          </w:tcPr>
          <w:p>
            <w:pPr>
              <w:jc w:val="right"/>
              <w:ind w:right="212"/>
              <w:spacing w:after="0"/>
              <w:rPr>
                <w:sz w:val="20"/>
                <w:szCs w:val="20"/>
                <w:color w:val="auto"/>
              </w:rPr>
            </w:pPr>
            <w:r>
              <w:rPr>
                <w:rFonts w:ascii="Arial" w:cs="Arial" w:eastAsia="Arial" w:hAnsi="Arial"/>
                <w:sz w:val="18"/>
                <w:szCs w:val="18"/>
                <w:color w:val="auto"/>
              </w:rPr>
              <w:t>(239,277)</w:t>
            </w:r>
          </w:p>
        </w:tc>
        <w:tc>
          <w:tcPr>
            <w:tcW w:w="460" w:type="dxa"/>
            <w:vAlign w:val="bottom"/>
          </w:tcPr>
          <w:p>
            <w:pPr>
              <w:spacing w:after="0"/>
              <w:rPr>
                <w:sz w:val="20"/>
                <w:szCs w:val="20"/>
                <w:color w:val="auto"/>
              </w:rPr>
            </w:pPr>
          </w:p>
        </w:tc>
        <w:tc>
          <w:tcPr>
            <w:tcW w:w="1520" w:type="dxa"/>
            <w:vAlign w:val="bottom"/>
          </w:tcPr>
          <w:p>
            <w:pPr>
              <w:jc w:val="right"/>
              <w:ind w:right="293"/>
              <w:spacing w:after="0"/>
              <w:rPr>
                <w:sz w:val="20"/>
                <w:szCs w:val="20"/>
                <w:color w:val="auto"/>
              </w:rPr>
            </w:pPr>
            <w:r>
              <w:rPr>
                <w:rFonts w:ascii="Arial" w:cs="Arial" w:eastAsia="Arial" w:hAnsi="Arial"/>
                <w:sz w:val="18"/>
                <w:szCs w:val="18"/>
                <w:color w:val="auto"/>
              </w:rPr>
              <w:t>68</w:t>
            </w: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(239,209)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adoption of Topic 842 did not have any other material impact on the condensed consolidated financial statements as of March 31, 2021 and for the three months ended March 31, 2021.</w:t>
      </w:r>
    </w:p>
    <w:p>
      <w:pPr>
        <w:spacing w:after="0" w:line="17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ASU is effective for public companies, excluding entities eligible to be smaller reporting companies, for fiscal years beginning after December 15, 2021. The new standard went effective on January 1, 2022, and it did not impact the Company's consolidated financial statements and related disclosures.</w:t>
      </w:r>
    </w:p>
    <w:p>
      <w:pPr>
        <w:spacing w:after="0" w:line="18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which clarifies and reduces diversity in an issuer’s accounting for modifications or exchanges of freestanding equity-classified written call options that remain equity classified after modification or exchange. An entity should measure the effect of a modification or an exchange of a freestanding equity-classified written call option that remains equity classified after modification or exchange as follows: i) for a modification or an exchange that is a part of or directly related to a modification or an exchange of an existing debt instrument or line-of-credit or revolving-debt arrangements (hereinafter, referred to as a “debt” or “debt instrument”), as the difference between the fair value of the modified or exchanged written call option and the fair value of that written call option immediately before it is modified or exchanged; ii) for all other modifications or exchanges, as the excess, if any, of the fair value of the modified or exchanged written call option over the fair value of that written call option immediately before it is modified or exchanged. The amendments in this update are effective for all entities for fiscal years beginning after December 15, 2021, including interim periods within those fiscal years. An entity should apply the amendments prospectively to modifications or exchanges occurring on or after the effective date of the amendments. The new standard went effective on January 1, 2022, and it did not impact the Company's consolidated financial statements and related disclosures.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Accounting Standards Not Yet Effective</w:t>
      </w:r>
    </w:p>
    <w:p>
      <w:pPr>
        <w:spacing w:after="0" w:line="22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In March 2022, the FASB issued ASU 2022-02, Financial Instruments - Credit Losses (Topic 326), Troubled Debt Restructurings (“TDRs”) and Vintage Disclosures. ASU 2022-02 eliminates the accounting guidance for TDRs in ASC 310-40, Receivables - Troubled Debt Restructurings by Creditors. In addition, ASU 2022-02 also requires that public business entities disclose current-period gross write-offs by year of origination for financing receivables and net investments in leases within the scope of Subtopic 326-20, Financial Instruments—Credit Losses—Measured at Amortized Cost. The ASU is effective for public companies, excluding entities eligible to be smaller reporting companies, for fiscal years beginning after December 15, 2022. The Company is currently evaluating the impact of applying this guidance on its consolidated financial statements and related disclosures.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summarizes the marketable securities:</w:t>
      </w:r>
    </w:p>
    <w:p>
      <w:pPr>
        <w:spacing w:after="0" w:line="266"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7"/>
          </w:tcPr>
          <w:p>
            <w:pPr>
              <w:ind w:left="340"/>
              <w:spacing w:after="0"/>
              <w:rPr>
                <w:sz w:val="20"/>
                <w:szCs w:val="20"/>
                <w:color w:val="auto"/>
              </w:rPr>
            </w:pPr>
            <w:r>
              <w:rPr>
                <w:rFonts w:ascii="Arial" w:cs="Arial" w:eastAsia="Arial" w:hAnsi="Arial"/>
                <w:sz w:val="16"/>
                <w:szCs w:val="16"/>
                <w:b w:val="1"/>
                <w:bCs w:val="1"/>
                <w:color w:val="auto"/>
              </w:rPr>
              <w:t>March 31, 2022</w:t>
            </w: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720" w:type="dxa"/>
            <w:vAlign w:val="bottom"/>
            <w:gridSpan w:val="4"/>
          </w:tcPr>
          <w:p>
            <w:pPr>
              <w:ind w:left="660"/>
              <w:spacing w:after="0" w:line="158" w:lineRule="exact"/>
              <w:rPr>
                <w:sz w:val="20"/>
                <w:szCs w:val="20"/>
                <w:color w:val="auto"/>
              </w:rPr>
            </w:pPr>
            <w:r>
              <w:rPr>
                <w:rFonts w:ascii="Arial" w:cs="Arial" w:eastAsia="Arial" w:hAnsi="Arial"/>
                <w:sz w:val="16"/>
                <w:szCs w:val="16"/>
                <w:b w:val="1"/>
                <w:bCs w:val="1"/>
                <w:color w:val="auto"/>
              </w:rPr>
              <w:t>Unrealized</w:t>
            </w:r>
          </w:p>
        </w:tc>
        <w:tc>
          <w:tcPr>
            <w:tcW w:w="720" w:type="dxa"/>
            <w:vAlign w:val="bottom"/>
          </w:tcPr>
          <w:p>
            <w:pPr>
              <w:spacing w:after="0"/>
              <w:rPr>
                <w:sz w:val="13"/>
                <w:szCs w:val="13"/>
                <w:color w:val="auto"/>
              </w:rPr>
            </w:pPr>
          </w:p>
        </w:tc>
        <w:tc>
          <w:tcPr>
            <w:tcW w:w="1100" w:type="dxa"/>
            <w:vAlign w:val="bottom"/>
            <w:gridSpan w:val="4"/>
          </w:tcPr>
          <w:p>
            <w:pPr>
              <w:spacing w:after="0" w:line="158" w:lineRule="exact"/>
              <w:rPr>
                <w:sz w:val="20"/>
                <w:szCs w:val="20"/>
                <w:color w:val="auto"/>
              </w:rPr>
            </w:pPr>
            <w:r>
              <w:rPr>
                <w:rFonts w:ascii="Arial" w:cs="Arial" w:eastAsia="Arial" w:hAnsi="Arial"/>
                <w:sz w:val="16"/>
                <w:szCs w:val="16"/>
                <w:b w:val="1"/>
                <w:bCs w:val="1"/>
                <w:color w:val="auto"/>
              </w:rPr>
              <w:t>Unrealized</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tcPr>
          <w:p>
            <w:pPr>
              <w:jc w:val="right"/>
              <w:ind w:right="50"/>
              <w:spacing w:after="0" w:line="158" w:lineRule="exact"/>
              <w:rPr>
                <w:sz w:val="20"/>
                <w:szCs w:val="20"/>
                <w:color w:val="auto"/>
              </w:rPr>
            </w:pPr>
            <w:r>
              <w:rPr>
                <w:rFonts w:ascii="Arial" w:cs="Arial" w:eastAsia="Arial" w:hAnsi="Arial"/>
                <w:sz w:val="16"/>
                <w:szCs w:val="16"/>
                <w:b w:val="1"/>
                <w:bCs w:val="1"/>
                <w:color w:val="auto"/>
                <w:w w:val="93"/>
              </w:rPr>
              <w:t>Aggregate Fair</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Arial" w:cs="Arial" w:eastAsia="Arial" w:hAnsi="Arial"/>
                <w:sz w:val="16"/>
                <w:szCs w:val="16"/>
                <w:b w:val="1"/>
                <w:bCs w:val="1"/>
                <w:color w:val="auto"/>
                <w:w w:val="98"/>
              </w:rPr>
              <w:t>Gains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5"/>
          </w:tcPr>
          <w:p>
            <w:pPr>
              <w:ind w:left="620"/>
              <w:spacing w:after="0"/>
              <w:rPr>
                <w:sz w:val="20"/>
                <w:szCs w:val="20"/>
                <w:color w:val="auto"/>
              </w:rPr>
            </w:pPr>
            <w:r>
              <w:rPr>
                <w:rFonts w:ascii="Arial" w:cs="Arial" w:eastAsia="Arial" w:hAnsi="Arial"/>
                <w:sz w:val="16"/>
                <w:szCs w:val="16"/>
                <w:b w:val="1"/>
                <w:bCs w:val="1"/>
                <w:color w:val="auto"/>
              </w:rPr>
              <w:t>Losses</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80" w:type="dxa"/>
            <w:vAlign w:val="bottom"/>
            <w:shd w:val="clear" w:color="auto" w:fill="CCEEFF"/>
          </w:tcPr>
          <w:p>
            <w:pPr>
              <w:spacing w:after="0"/>
              <w:rPr>
                <w:sz w:val="20"/>
                <w:szCs w:val="20"/>
                <w:color w:val="auto"/>
              </w:rPr>
            </w:pPr>
          </w:p>
        </w:tc>
        <w:tc>
          <w:tcPr>
            <w:tcW w:w="2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6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Cash equivalents</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21,778</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6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57,286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6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27,414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27,298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18,986</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120" w:type="dxa"/>
            <w:vAlign w:val="bottom"/>
          </w:tcPr>
          <w:p>
            <w:pPr>
              <w:ind w:left="420"/>
              <w:spacing w:after="0" w:line="156" w:lineRule="exact"/>
              <w:rPr>
                <w:sz w:val="20"/>
                <w:szCs w:val="20"/>
                <w:color w:val="auto"/>
              </w:rPr>
            </w:pPr>
            <w:r>
              <w:rPr>
                <w:rFonts w:ascii="Arial" w:cs="Arial" w:eastAsia="Arial" w:hAnsi="Arial"/>
                <w:sz w:val="18"/>
                <w:szCs w:val="18"/>
                <w:color w:val="auto"/>
              </w:rPr>
              <w:t>Short-term</w:t>
            </w:r>
          </w:p>
        </w:tc>
        <w:tc>
          <w:tcPr>
            <w:tcW w:w="60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103,686</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103,402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investments</w:t>
            </w: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0" w:type="dxa"/>
            <w:vAlign w:val="bottom"/>
            <w:shd w:val="clear" w:color="auto" w:fill="CCEEFF"/>
          </w:tcPr>
          <w:p>
            <w:pPr>
              <w:spacing w:after="0"/>
              <w:rPr>
                <w:sz w:val="13"/>
                <w:szCs w:val="13"/>
                <w:color w:val="auto"/>
              </w:rPr>
            </w:pPr>
          </w:p>
        </w:tc>
        <w:tc>
          <w:tcPr>
            <w:tcW w:w="212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Total marketable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125,464</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125,180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securities</w:t>
            </w:r>
          </w:p>
        </w:tc>
        <w:tc>
          <w:tcPr>
            <w:tcW w:w="6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98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88"/>
              </w:rPr>
              <w:t>December 31, 2021</w:t>
            </w: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Amortized Cost</w:t>
            </w: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3"/>
              </w:rPr>
              <w:t>Unrealized Gains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w w:val="91"/>
              </w:rPr>
              <w:t>Unrealized 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line="169" w:lineRule="exact"/>
              <w:rPr>
                <w:sz w:val="20"/>
                <w:szCs w:val="20"/>
                <w:color w:val="auto"/>
              </w:rPr>
            </w:pPr>
            <w:r>
              <w:rPr>
                <w:rFonts w:ascii="Arial" w:cs="Arial" w:eastAsia="Arial" w:hAnsi="Arial"/>
                <w:sz w:val="18"/>
                <w:szCs w:val="18"/>
                <w:b w:val="1"/>
                <w:bCs w:val="1"/>
                <w:color w:val="auto"/>
                <w:w w:val="89"/>
              </w:rPr>
              <w:t>Aggregate Fair</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57,829</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57,829</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2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 equivalents</w:t>
            </w:r>
          </w:p>
        </w:tc>
        <w:tc>
          <w:tcPr>
            <w:tcW w:w="6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57,829</w:t>
            </w:r>
          </w:p>
        </w:tc>
        <w:tc>
          <w:tcPr>
            <w:tcW w:w="16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57,829</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28,064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center"/>
              <w:ind w:left="90"/>
              <w:spacing w:after="0"/>
              <w:rPr>
                <w:sz w:val="20"/>
                <w:szCs w:val="20"/>
                <w:color w:val="auto"/>
              </w:rPr>
            </w:pPr>
            <w:r>
              <w:rPr>
                <w:rFonts w:ascii="Arial" w:cs="Arial" w:eastAsia="Arial" w:hAnsi="Arial"/>
                <w:sz w:val="18"/>
                <w:szCs w:val="18"/>
                <w:color w:val="auto"/>
                <w:w w:val="93"/>
              </w:rPr>
              <w:t>(16)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28,048</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31,558</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Commercial paper</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23,973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21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6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83,595</w:t>
            </w:r>
          </w:p>
        </w:tc>
        <w:tc>
          <w:tcPr>
            <w:tcW w:w="1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3"/>
              </w:rPr>
              <w:t>(39)</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83,560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7"/>
              </w:rPr>
              <w:t>Total marketable securities</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141,424</w:t>
            </w:r>
          </w:p>
        </w:tc>
        <w:tc>
          <w:tcPr>
            <w:tcW w:w="16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3"/>
              </w:rPr>
              <w:t>(39)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141,389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During the three months ended March 31, 2022 and 2021,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March 31, 2022 and December 31, 2021.</w:t>
      </w:r>
    </w:p>
    <w:p>
      <w:pPr>
        <w:spacing w:after="0" w:line="16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elected to present accrued interest receivable separately from short-term and long-term investments on its condensed consolidated balance sheets. Accrued interest receivable was $0.3 million as of March 31, 2022,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as of March 31, 2022 or December 31, 2021.</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table below summarizes the fair value of the Company’s marketable securities measured at fair value on a recurring basis based on the three-tier fair value hierarchy:</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6"/>
                <w:szCs w:val="16"/>
                <w:b w:val="1"/>
                <w:bCs w:val="1"/>
                <w:color w:val="auto"/>
                <w:w w:val="93"/>
              </w:rPr>
              <w:t>March 31, 2022</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210"/>
        </w:trPr>
        <w:tc>
          <w:tcPr>
            <w:tcW w:w="3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40" w:type="dxa"/>
            <w:vAlign w:val="bottom"/>
            <w:gridSpan w:val="3"/>
          </w:tcPr>
          <w:p>
            <w:pPr>
              <w:jc w:val="center"/>
              <w:ind w:left="573"/>
              <w:spacing w:after="0"/>
              <w:rPr>
                <w:sz w:val="20"/>
                <w:szCs w:val="20"/>
                <w:color w:val="auto"/>
              </w:rPr>
            </w:pPr>
            <w:r>
              <w:rPr>
                <w:rFonts w:ascii="Arial" w:cs="Arial" w:eastAsia="Arial" w:hAnsi="Arial"/>
                <w:sz w:val="16"/>
                <w:szCs w:val="16"/>
                <w:b w:val="1"/>
                <w:bCs w:val="1"/>
                <w:color w:val="auto"/>
                <w:w w:val="8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3440" w:type="dxa"/>
            <w:vAlign w:val="bottom"/>
            <w:shd w:val="clear" w:color="auto" w:fill="CCEEFF"/>
          </w:tcPr>
          <w:p>
            <w:pPr>
              <w:jc w:val="center"/>
              <w:ind w:right="1570"/>
              <w:spacing w:after="0"/>
              <w:rPr>
                <w:sz w:val="20"/>
                <w:szCs w:val="20"/>
                <w:color w:val="auto"/>
              </w:rPr>
            </w:pPr>
            <w:r>
              <w:rPr>
                <w:rFonts w:ascii="Arial" w:cs="Arial" w:eastAsia="Arial" w:hAnsi="Arial"/>
                <w:sz w:val="18"/>
                <w:szCs w:val="18"/>
                <w:b w:val="1"/>
                <w:bCs w:val="1"/>
                <w:color w:val="auto"/>
                <w:w w:val="90"/>
              </w:rPr>
              <w:t>Marketable securities</w:t>
            </w:r>
          </w:p>
        </w:tc>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3440" w:type="dxa"/>
            <w:vAlign w:val="bottom"/>
          </w:tcPr>
          <w:p>
            <w:pPr>
              <w:jc w:val="center"/>
              <w:ind w:right="1570"/>
              <w:spacing w:after="0"/>
              <w:rPr>
                <w:sz w:val="20"/>
                <w:szCs w:val="20"/>
                <w:color w:val="auto"/>
              </w:rPr>
            </w:pPr>
            <w:r>
              <w:rPr>
                <w:rFonts w:ascii="Arial" w:cs="Arial" w:eastAsia="Arial" w:hAnsi="Arial"/>
                <w:sz w:val="18"/>
                <w:szCs w:val="18"/>
                <w:color w:val="auto"/>
                <w:w w:val="91"/>
              </w:rPr>
              <w:t>Money market funds</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16,778</w:t>
            </w:r>
          </w:p>
        </w:tc>
        <w:tc>
          <w:tcPr>
            <w:tcW w:w="10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16,778</w:t>
            </w:r>
          </w:p>
        </w:tc>
      </w:tr>
      <w:tr>
        <w:trPr>
          <w:trHeight w:val="229"/>
        </w:trPr>
        <w:tc>
          <w:tcPr>
            <w:tcW w:w="3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U.S. treasury securities</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62,118</w:t>
            </w:r>
          </w:p>
        </w:tc>
      </w:tr>
      <w:tr>
        <w:trPr>
          <w:trHeight w:val="230"/>
        </w:trPr>
        <w:tc>
          <w:tcPr>
            <w:tcW w:w="3440" w:type="dxa"/>
            <w:vAlign w:val="bottom"/>
          </w:tcPr>
          <w:p>
            <w:pPr>
              <w:ind w:left="580"/>
              <w:spacing w:after="0"/>
              <w:rPr>
                <w:sz w:val="20"/>
                <w:szCs w:val="20"/>
                <w:color w:val="auto"/>
              </w:rPr>
            </w:pPr>
            <w:r>
              <w:rPr>
                <w:rFonts w:ascii="Arial" w:cs="Arial" w:eastAsia="Arial" w:hAnsi="Arial"/>
                <w:sz w:val="18"/>
                <w:szCs w:val="18"/>
                <w:color w:val="auto"/>
              </w:rPr>
              <w:t>Corporate bonds</w:t>
            </w:r>
          </w:p>
        </w:tc>
        <w:tc>
          <w:tcPr>
            <w:tcW w:w="6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27,298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27,298</w:t>
            </w:r>
          </w:p>
        </w:tc>
      </w:tr>
      <w:tr>
        <w:trPr>
          <w:trHeight w:val="229"/>
        </w:trPr>
        <w:tc>
          <w:tcPr>
            <w:tcW w:w="3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w:t>
            </w:r>
          </w:p>
        </w:tc>
      </w:tr>
      <w:tr>
        <w:trPr>
          <w:trHeight w:val="223"/>
        </w:trPr>
        <w:tc>
          <w:tcPr>
            <w:tcW w:w="3440" w:type="dxa"/>
            <w:vAlign w:val="bottom"/>
          </w:tcPr>
          <w:p>
            <w:pPr>
              <w:ind w:left="780"/>
              <w:spacing w:after="0"/>
              <w:rPr>
                <w:sz w:val="20"/>
                <w:szCs w:val="20"/>
                <w:color w:val="auto"/>
              </w:rPr>
            </w:pPr>
            <w:r>
              <w:rPr>
                <w:rFonts w:ascii="Arial" w:cs="Arial" w:eastAsia="Arial" w:hAnsi="Arial"/>
                <w:sz w:val="18"/>
                <w:szCs w:val="18"/>
                <w:color w:val="auto"/>
              </w:rPr>
              <w:t>Total marketable securities</w:t>
            </w: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78,896</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46,284</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125,180</w:t>
            </w:r>
          </w:p>
        </w:tc>
      </w:tr>
      <w:tr>
        <w:trPr>
          <w:trHeight w:val="20"/>
        </w:trPr>
        <w:tc>
          <w:tcPr>
            <w:tcW w:w="3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0"/>
        </w:trPr>
        <w:tc>
          <w:tcPr>
            <w:tcW w:w="34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0"/>
              </w:rPr>
              <w:t>December 31, 2021</w:t>
            </w: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0"/>
        </w:trPr>
        <w:tc>
          <w:tcPr>
            <w:tcW w:w="34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209"/>
        </w:trPr>
        <w:tc>
          <w:tcPr>
            <w:tcW w:w="3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40" w:type="dxa"/>
            <w:vAlign w:val="bottom"/>
            <w:gridSpan w:val="3"/>
          </w:tcPr>
          <w:p>
            <w:pPr>
              <w:jc w:val="center"/>
              <w:ind w:left="573"/>
              <w:spacing w:after="0"/>
              <w:rPr>
                <w:sz w:val="20"/>
                <w:szCs w:val="20"/>
                <w:color w:val="auto"/>
              </w:rPr>
            </w:pPr>
            <w:r>
              <w:rPr>
                <w:rFonts w:ascii="Arial" w:cs="Arial" w:eastAsia="Arial" w:hAnsi="Arial"/>
                <w:sz w:val="16"/>
                <w:szCs w:val="16"/>
                <w:b w:val="1"/>
                <w:bCs w:val="1"/>
                <w:color w:val="auto"/>
                <w:w w:val="8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3440" w:type="dxa"/>
            <w:vAlign w:val="bottom"/>
            <w:shd w:val="clear" w:color="auto" w:fill="CCEEFF"/>
          </w:tcPr>
          <w:p>
            <w:pPr>
              <w:jc w:val="center"/>
              <w:ind w:right="1570"/>
              <w:spacing w:after="0"/>
              <w:rPr>
                <w:sz w:val="20"/>
                <w:szCs w:val="20"/>
                <w:color w:val="auto"/>
              </w:rPr>
            </w:pPr>
            <w:r>
              <w:rPr>
                <w:rFonts w:ascii="Arial" w:cs="Arial" w:eastAsia="Arial" w:hAnsi="Arial"/>
                <w:sz w:val="18"/>
                <w:szCs w:val="18"/>
                <w:b w:val="1"/>
                <w:bCs w:val="1"/>
                <w:color w:val="auto"/>
                <w:w w:val="90"/>
              </w:rPr>
              <w:t>Marketable securities</w:t>
            </w:r>
          </w:p>
        </w:tc>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3440" w:type="dxa"/>
            <w:vAlign w:val="bottom"/>
          </w:tcPr>
          <w:p>
            <w:pPr>
              <w:jc w:val="center"/>
              <w:ind w:right="1570"/>
              <w:spacing w:after="0"/>
              <w:rPr>
                <w:sz w:val="20"/>
                <w:szCs w:val="20"/>
                <w:color w:val="auto"/>
              </w:rPr>
            </w:pPr>
            <w:r>
              <w:rPr>
                <w:rFonts w:ascii="Arial" w:cs="Arial" w:eastAsia="Arial" w:hAnsi="Arial"/>
                <w:sz w:val="18"/>
                <w:szCs w:val="18"/>
                <w:color w:val="auto"/>
                <w:w w:val="91"/>
              </w:rPr>
              <w:t>Money market funds</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57,829</w:t>
            </w:r>
          </w:p>
        </w:tc>
        <w:tc>
          <w:tcPr>
            <w:tcW w:w="10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57,829</w:t>
            </w:r>
          </w:p>
        </w:tc>
      </w:tr>
      <w:tr>
        <w:trPr>
          <w:trHeight w:val="230"/>
        </w:trPr>
        <w:tc>
          <w:tcPr>
            <w:tcW w:w="3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U.S. treasury securities</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28,048</w:t>
            </w:r>
          </w:p>
        </w:tc>
      </w:tr>
      <w:tr>
        <w:trPr>
          <w:trHeight w:val="230"/>
        </w:trPr>
        <w:tc>
          <w:tcPr>
            <w:tcW w:w="3440" w:type="dxa"/>
            <w:vAlign w:val="bottom"/>
          </w:tcPr>
          <w:p>
            <w:pPr>
              <w:ind w:left="580"/>
              <w:spacing w:after="0"/>
              <w:rPr>
                <w:sz w:val="20"/>
                <w:szCs w:val="20"/>
                <w:color w:val="auto"/>
              </w:rPr>
            </w:pPr>
            <w:r>
              <w:rPr>
                <w:rFonts w:ascii="Arial" w:cs="Arial" w:eastAsia="Arial" w:hAnsi="Arial"/>
                <w:sz w:val="18"/>
                <w:szCs w:val="18"/>
                <w:color w:val="auto"/>
              </w:rPr>
              <w:t>Corporate bonds</w:t>
            </w:r>
          </w:p>
        </w:tc>
        <w:tc>
          <w:tcPr>
            <w:tcW w:w="6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31,539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31,539</w:t>
            </w:r>
          </w:p>
        </w:tc>
      </w:tr>
      <w:tr>
        <w:trPr>
          <w:trHeight w:val="230"/>
        </w:trPr>
        <w:tc>
          <w:tcPr>
            <w:tcW w:w="34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23,973</w:t>
            </w:r>
          </w:p>
        </w:tc>
      </w:tr>
      <w:tr>
        <w:trPr>
          <w:trHeight w:val="223"/>
        </w:trPr>
        <w:tc>
          <w:tcPr>
            <w:tcW w:w="3440" w:type="dxa"/>
            <w:vAlign w:val="bottom"/>
          </w:tcPr>
          <w:p>
            <w:pPr>
              <w:ind w:left="780"/>
              <w:spacing w:after="0"/>
              <w:rPr>
                <w:sz w:val="20"/>
                <w:szCs w:val="20"/>
                <w:color w:val="auto"/>
              </w:rPr>
            </w:pPr>
            <w:r>
              <w:rPr>
                <w:rFonts w:ascii="Arial" w:cs="Arial" w:eastAsia="Arial" w:hAnsi="Arial"/>
                <w:sz w:val="18"/>
                <w:szCs w:val="18"/>
                <w:color w:val="auto"/>
              </w:rPr>
              <w:t>Total marketable securities</w:t>
            </w: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85,877</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55,512</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141,389</w:t>
            </w:r>
          </w:p>
        </w:tc>
      </w:tr>
      <w:tr>
        <w:trPr>
          <w:trHeight w:val="20"/>
        </w:trPr>
        <w:tc>
          <w:tcPr>
            <w:tcW w:w="3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right="8960" w:hanging="452"/>
        <w:spacing w:after="0" w:line="425" w:lineRule="auto"/>
        <w:tabs>
          <w:tab w:leader="none" w:pos="19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Components </w:t>
      </w:r>
      <w:r>
        <w:rPr>
          <w:rFonts w:ascii="Arial" w:cs="Arial" w:eastAsia="Arial" w:hAnsi="Arial"/>
          <w:sz w:val="16"/>
          <w:szCs w:val="16"/>
          <w:b w:val="1"/>
          <w:bCs w:val="1"/>
          <w:i w:val="1"/>
          <w:iCs w:val="1"/>
          <w:color w:val="auto"/>
        </w:rPr>
        <w:t>Inventory</w:t>
      </w:r>
    </w:p>
    <w:p>
      <w:pPr>
        <w:ind w:right="500" w:firstLine="445"/>
        <w:spacing w:after="0" w:line="277" w:lineRule="auto"/>
        <w:rPr>
          <w:sz w:val="20"/>
          <w:szCs w:val="20"/>
          <w:color w:val="auto"/>
        </w:rPr>
      </w:pPr>
      <w:r>
        <w:rPr>
          <w:rFonts w:ascii="Arial" w:cs="Arial" w:eastAsia="Arial" w:hAnsi="Arial"/>
          <w:sz w:val="18"/>
          <w:szCs w:val="18"/>
          <w:color w:val="auto"/>
        </w:rPr>
        <w:t>As of March 31, 2022, inventory consisted of finished goods of $13.9 million and work-in-progress of $0.8 million. As of December 31, 2021, inventory consisted of finished goods.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5"/>
              </w:rPr>
              <w:t>December 31, 2021</w:t>
            </w:r>
          </w:p>
        </w:tc>
      </w:tr>
      <w:tr>
        <w:trPr>
          <w:trHeight w:val="210"/>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tcPr>
          <w:p>
            <w:pPr>
              <w:jc w:val="right"/>
              <w:ind w:right="153"/>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32"/>
        </w:trPr>
        <w:tc>
          <w:tcPr>
            <w:tcW w:w="6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w:t>
            </w:r>
          </w:p>
        </w:tc>
      </w:tr>
      <w:tr>
        <w:trPr>
          <w:trHeight w:val="229"/>
        </w:trPr>
        <w:tc>
          <w:tcPr>
            <w:tcW w:w="6200" w:type="dxa"/>
            <w:vAlign w:val="bottom"/>
          </w:tcPr>
          <w:p>
            <w:pPr>
              <w:ind w:left="6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3,657</w:t>
            </w:r>
          </w:p>
        </w:tc>
      </w:tr>
      <w:tr>
        <w:trPr>
          <w:trHeight w:val="229"/>
        </w:trPr>
        <w:tc>
          <w:tcPr>
            <w:tcW w:w="6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 and office equipment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620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29"/>
        </w:trPr>
        <w:tc>
          <w:tcPr>
            <w:tcW w:w="6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3"/>
        </w:trPr>
        <w:tc>
          <w:tcPr>
            <w:tcW w:w="6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17,916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15,958</w:t>
            </w:r>
          </w:p>
        </w:tc>
      </w:tr>
      <w:tr>
        <w:trPr>
          <w:trHeight w:val="229"/>
        </w:trPr>
        <w:tc>
          <w:tcPr>
            <w:tcW w:w="6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r>
      <w:tr>
        <w:trPr>
          <w:trHeight w:val="223"/>
        </w:trPr>
        <w:tc>
          <w:tcPr>
            <w:tcW w:w="6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10,276</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March 31, 2022, construction in progress pertains to cost of individual components of a custom instrument set used for surgical placement of the Company's products that have not yet been placed into service of $3.8 million. Depreciation expense was $0.7 million and $0.3 million for the three months ended March 31, 2022 and 2021,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Liabilities and Other</w:t>
      </w:r>
      <w:r>
        <w:rPr>
          <w:rFonts w:ascii="Arial" w:cs="Arial" w:eastAsia="Arial" w:hAnsi="Arial"/>
          <w:sz w:val="18"/>
          <w:szCs w:val="18"/>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5"/>
              </w:rPr>
              <w:t>December 31, 2021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tcPr>
          <w:p>
            <w:pPr>
              <w:jc w:val="right"/>
              <w:ind w:right="153"/>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Accrued professional services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60" w:type="dxa"/>
            <w:vAlign w:val="bottom"/>
            <w:gridSpan w:val="2"/>
          </w:tcPr>
          <w:p>
            <w:pPr>
              <w:ind w:left="460"/>
              <w:spacing w:after="0"/>
              <w:rPr>
                <w:sz w:val="20"/>
                <w:szCs w:val="20"/>
                <w:color w:val="auto"/>
              </w:rPr>
            </w:pPr>
            <w:r>
              <w:rPr>
                <w:rFonts w:ascii="Arial" w:cs="Arial" w:eastAsia="Arial" w:hAnsi="Arial"/>
                <w:sz w:val="18"/>
                <w:szCs w:val="18"/>
                <w:color w:val="auto"/>
              </w:rPr>
              <w:t>The movement in the allowance for credit losses was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5"/>
              </w:rPr>
              <w:t>December 31, 2021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0" w:type="dxa"/>
            <w:vAlign w:val="bottom"/>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right="8500" w:hanging="452"/>
        <w:spacing w:after="0" w:line="495" w:lineRule="auto"/>
        <w:tabs>
          <w:tab w:leader="none" w:pos="19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has a non-cancelable operating lease for an office building space, located in Santa Clara, California which expires in May 2025 and a building used for research and development and warehouse space in Santa Clara, California which expires in October 2026. The Company also has non-cancelable operating leases for its office building spaces in Gallarate, Italy and Knaresborough, United Kingdom, which expire in August 2027 and December 2025, respectively.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Further, the Company also leases vehicles under operating lease arrangements for certain of its personnel in Europe which expire at various times throughout 2022 to 2027.</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information related to lease expense and valuation of the lease assets and lease liabilities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-130175</wp:posOffset>
            </wp:positionV>
            <wp:extent cx="55549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15430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Variable lease expense</w:t>
      </w:r>
    </w:p>
    <w:p>
      <w:pPr>
        <w:spacing w:after="0" w:line="3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Total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-130175</wp:posOffset>
            </wp:positionV>
            <wp:extent cx="55549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4980" cy="171450"/>
                    </a:xfrm>
                    <a:prstGeom prst="rect">
                      <a:avLst/>
                    </a:prstGeom>
                    <a:noFill/>
                  </pic:spPr>
                </pic:pic>
              </a:graphicData>
            </a:graphic>
          </wp:anchor>
        </w:drawing>
      </w:r>
    </w:p>
    <w:p>
      <w:pPr>
        <w:spacing w:after="0" w:line="313" w:lineRule="exact"/>
        <w:rPr>
          <w:sz w:val="20"/>
          <w:szCs w:val="20"/>
          <w:color w:val="auto"/>
        </w:rPr>
      </w:pPr>
    </w:p>
    <w:p>
      <w:pPr>
        <w:ind w:left="1320"/>
        <w:spacing w:after="0" w:line="246" w:lineRule="auto"/>
        <w:rPr>
          <w:sz w:val="20"/>
          <w:szCs w:val="20"/>
          <w:color w:val="auto"/>
        </w:rPr>
      </w:pPr>
      <w:r>
        <w:rPr>
          <w:rFonts w:ascii="Arial" w:cs="Arial" w:eastAsia="Arial" w:hAnsi="Arial"/>
          <w:sz w:val="18"/>
          <w:szCs w:val="18"/>
          <w:color w:val="auto"/>
        </w:rPr>
        <w:t>Cash paid for amounts included in the measurement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-267970</wp:posOffset>
            </wp:positionV>
            <wp:extent cx="555498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54980" cy="27432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6"/>
          <w:szCs w:val="16"/>
          <w:color w:val="auto"/>
        </w:rPr>
        <w:t>Leased assets obtained in exchange for new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192405</wp:posOffset>
            </wp:positionV>
            <wp:extent cx="55549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549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Weighted average remaining lease term (in years)</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-130175</wp:posOffset>
            </wp:positionV>
            <wp:extent cx="55549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5498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w:t>
            </w:r>
          </w:p>
        </w:tc>
        <w:tc>
          <w:tcPr>
            <w:tcW w:w="140" w:type="dxa"/>
            <w:vAlign w:val="bottom"/>
          </w:tcPr>
          <w:p>
            <w:pPr>
              <w:spacing w:after="0"/>
              <w:rPr>
                <w:sz w:val="16"/>
                <w:szCs w:val="16"/>
                <w:color w:val="auto"/>
              </w:rPr>
            </w:pPr>
          </w:p>
        </w:tc>
        <w:tc>
          <w:tcPr>
            <w:tcW w:w="136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Three Months</w:t>
            </w:r>
          </w:p>
        </w:tc>
      </w:tr>
      <w:tr>
        <w:trPr>
          <w:trHeight w:val="162"/>
        </w:trPr>
        <w:tc>
          <w:tcPr>
            <w:tcW w:w="12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4"/>
              </w:rPr>
              <w:t>Ended March 31,</w:t>
            </w:r>
          </w:p>
        </w:tc>
        <w:tc>
          <w:tcPr>
            <w:tcW w:w="140" w:type="dxa"/>
            <w:vAlign w:val="bottom"/>
          </w:tcPr>
          <w:p>
            <w:pPr>
              <w:spacing w:after="0"/>
              <w:rPr>
                <w:sz w:val="14"/>
                <w:szCs w:val="14"/>
                <w:color w:val="auto"/>
              </w:rPr>
            </w:pPr>
          </w:p>
        </w:tc>
        <w:tc>
          <w:tcPr>
            <w:tcW w:w="136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2"/>
              </w:rPr>
              <w:t>Ended March 31,</w:t>
            </w:r>
          </w:p>
        </w:tc>
      </w:tr>
      <w:tr>
        <w:trPr>
          <w:trHeight w:val="213"/>
        </w:trPr>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5"/>
              </w:rPr>
              <w:t>2021</w:t>
            </w:r>
          </w:p>
        </w:tc>
      </w:tr>
      <w:tr>
        <w:trPr>
          <w:trHeight w:val="207"/>
        </w:trPr>
        <w:tc>
          <w:tcPr>
            <w:tcW w:w="120" w:type="dxa"/>
            <w:vAlign w:val="bottom"/>
          </w:tcPr>
          <w:p>
            <w:pPr>
              <w:spacing w:after="0"/>
              <w:rPr>
                <w:sz w:val="17"/>
                <w:szCs w:val="17"/>
                <w:color w:val="auto"/>
              </w:rPr>
            </w:pPr>
          </w:p>
        </w:tc>
        <w:tc>
          <w:tcPr>
            <w:tcW w:w="136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right="53"/>
              <w:spacing w:after="0"/>
              <w:rPr>
                <w:sz w:val="20"/>
                <w:szCs w:val="20"/>
                <w:color w:val="auto"/>
              </w:rPr>
            </w:pPr>
            <w:r>
              <w:rPr>
                <w:rFonts w:ascii="Arial" w:cs="Arial" w:eastAsia="Arial" w:hAnsi="Arial"/>
                <w:sz w:val="16"/>
                <w:szCs w:val="16"/>
                <w:b w:val="1"/>
                <w:bCs w:val="1"/>
                <w:color w:val="auto"/>
                <w:w w:val="88"/>
              </w:rPr>
              <w:t>(in thousands)</w:t>
            </w:r>
          </w:p>
        </w:tc>
      </w:tr>
      <w:tr>
        <w:trPr>
          <w:trHeight w:val="249"/>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282</w:t>
            </w:r>
          </w:p>
        </w:tc>
      </w:tr>
      <w:tr>
        <w:trPr>
          <w:trHeight w:val="243"/>
        </w:trPr>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42</w:t>
            </w: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324</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8"/>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285</w:t>
            </w:r>
          </w:p>
        </w:tc>
      </w:tr>
      <w:tr>
        <w:trPr>
          <w:trHeight w:val="48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37</w:t>
            </w:r>
          </w:p>
        </w:tc>
      </w:tr>
      <w:tr>
        <w:trPr>
          <w:trHeight w:val="483"/>
        </w:trPr>
        <w:tc>
          <w:tcPr>
            <w:tcW w:w="12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2022</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2021</w:t>
            </w:r>
          </w:p>
        </w:tc>
      </w:tr>
      <w:tr>
        <w:trPr>
          <w:trHeight w:val="227"/>
        </w:trPr>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3.98</w:t>
            </w:r>
          </w:p>
        </w:tc>
      </w:tr>
      <w:tr>
        <w:trPr>
          <w:trHeight w:val="242"/>
        </w:trPr>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5.75%</w:t>
            </w:r>
          </w:p>
        </w:tc>
      </w:tr>
    </w:tbl>
    <w:p>
      <w:pPr>
        <w:spacing w:after="0" w:line="200" w:lineRule="exact"/>
        <w:rPr>
          <w:sz w:val="20"/>
          <w:szCs w:val="20"/>
          <w:color w:val="auto"/>
        </w:rPr>
      </w:pPr>
    </w:p>
    <w:p>
      <w:pPr>
        <w:sectPr>
          <w:pgSz w:w="11900" w:h="16838" w:orient="portrait"/>
          <w:cols w:equalWidth="0" w:num="2">
            <w:col w:w="6380" w:space="560"/>
            <w:col w:w="4300"/>
          </w:cols>
          <w:pgMar w:left="320" w:top="121" w:right="339" w:bottom="1440" w:gutter="0" w:footer="0" w:header="0"/>
          <w:type w:val="continuous"/>
        </w:sect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w w:val="92"/>
              </w:rPr>
              <w:t>Future minimum lease payments under non-cancelable operating leases as of March 31, 2022 was as follows:</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6860" w:type="dxa"/>
            <w:vAlign w:val="bottom"/>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900" w:type="dxa"/>
            <w:vAlign w:val="bottom"/>
          </w:tcPr>
          <w:p>
            <w:pPr>
              <w:spacing w:after="0"/>
              <w:rPr>
                <w:sz w:val="24"/>
                <w:szCs w:val="24"/>
                <w:color w:val="auto"/>
              </w:rPr>
            </w:pPr>
          </w:p>
        </w:tc>
        <w:tc>
          <w:tcPr>
            <w:tcW w:w="1220" w:type="dxa"/>
            <w:vAlign w:val="bottom"/>
          </w:tcPr>
          <w:p>
            <w:pPr>
              <w:jc w:val="right"/>
              <w:ind w:right="11"/>
              <w:spacing w:after="0"/>
              <w:rPr>
                <w:sz w:val="20"/>
                <w:szCs w:val="20"/>
                <w:color w:val="auto"/>
              </w:rPr>
            </w:pPr>
            <w:r>
              <w:rPr>
                <w:rFonts w:ascii="Arial" w:cs="Arial" w:eastAsia="Arial" w:hAnsi="Arial"/>
                <w:sz w:val="16"/>
                <w:szCs w:val="16"/>
                <w:b w:val="1"/>
                <w:bCs w:val="1"/>
                <w:color w:val="auto"/>
                <w:w w:val="99"/>
              </w:rPr>
              <w:t>(in thousands)</w:t>
            </w:r>
          </w:p>
        </w:tc>
      </w:tr>
      <w:tr>
        <w:trPr>
          <w:trHeight w:val="230"/>
        </w:trPr>
        <w:tc>
          <w:tcPr>
            <w:tcW w:w="1300" w:type="dxa"/>
            <w:vAlign w:val="bottom"/>
          </w:tcPr>
          <w:p>
            <w:pPr>
              <w:spacing w:after="0"/>
              <w:rPr>
                <w:sz w:val="19"/>
                <w:szCs w:val="19"/>
                <w:color w:val="auto"/>
              </w:rPr>
            </w:pPr>
          </w:p>
        </w:tc>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Remainder of 2022</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230"/>
        </w:trPr>
        <w:tc>
          <w:tcPr>
            <w:tcW w:w="1300" w:type="dxa"/>
            <w:vAlign w:val="bottom"/>
          </w:tcPr>
          <w:p>
            <w:pPr>
              <w:spacing w:after="0"/>
              <w:rPr>
                <w:sz w:val="19"/>
                <w:szCs w:val="19"/>
                <w:color w:val="auto"/>
              </w:rPr>
            </w:pPr>
          </w:p>
        </w:tc>
        <w:tc>
          <w:tcPr>
            <w:tcW w:w="6860" w:type="dxa"/>
            <w:vAlign w:val="bottom"/>
          </w:tcPr>
          <w:p>
            <w:pPr>
              <w:ind w:left="680"/>
              <w:spacing w:after="0"/>
              <w:rPr>
                <w:sz w:val="20"/>
                <w:szCs w:val="20"/>
                <w:color w:val="auto"/>
              </w:rPr>
            </w:pPr>
            <w:r>
              <w:rPr>
                <w:rFonts w:ascii="Arial" w:cs="Arial" w:eastAsia="Arial" w:hAnsi="Arial"/>
                <w:sz w:val="18"/>
                <w:szCs w:val="18"/>
                <w:color w:val="auto"/>
              </w:rPr>
              <w:t>2023</w:t>
            </w:r>
          </w:p>
        </w:tc>
        <w:tc>
          <w:tcPr>
            <w:tcW w:w="9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29"/>
        </w:trPr>
        <w:tc>
          <w:tcPr>
            <w:tcW w:w="1300" w:type="dxa"/>
            <w:vAlign w:val="bottom"/>
          </w:tcPr>
          <w:p>
            <w:pPr>
              <w:spacing w:after="0"/>
              <w:rPr>
                <w:sz w:val="19"/>
                <w:szCs w:val="19"/>
                <w:color w:val="auto"/>
              </w:rPr>
            </w:pPr>
          </w:p>
        </w:tc>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2024</w:t>
            </w:r>
          </w:p>
        </w:tc>
        <w:tc>
          <w:tcPr>
            <w:tcW w:w="9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1300" w:type="dxa"/>
            <w:vAlign w:val="bottom"/>
          </w:tcPr>
          <w:p>
            <w:pPr>
              <w:spacing w:after="0"/>
              <w:rPr>
                <w:sz w:val="19"/>
                <w:szCs w:val="19"/>
                <w:color w:val="auto"/>
              </w:rPr>
            </w:pPr>
          </w:p>
        </w:tc>
        <w:tc>
          <w:tcPr>
            <w:tcW w:w="6860" w:type="dxa"/>
            <w:vAlign w:val="bottom"/>
          </w:tcPr>
          <w:p>
            <w:pPr>
              <w:ind w:left="680"/>
              <w:spacing w:after="0"/>
              <w:rPr>
                <w:sz w:val="20"/>
                <w:szCs w:val="20"/>
                <w:color w:val="auto"/>
              </w:rPr>
            </w:pPr>
            <w:r>
              <w:rPr>
                <w:rFonts w:ascii="Arial" w:cs="Arial" w:eastAsia="Arial" w:hAnsi="Arial"/>
                <w:sz w:val="18"/>
                <w:szCs w:val="18"/>
                <w:color w:val="auto"/>
              </w:rPr>
              <w:t>2025</w:t>
            </w:r>
          </w:p>
        </w:tc>
        <w:tc>
          <w:tcPr>
            <w:tcW w:w="9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30"/>
        </w:trPr>
        <w:tc>
          <w:tcPr>
            <w:tcW w:w="1300" w:type="dxa"/>
            <w:vAlign w:val="bottom"/>
          </w:tcPr>
          <w:p>
            <w:pPr>
              <w:spacing w:after="0"/>
              <w:rPr>
                <w:sz w:val="19"/>
                <w:szCs w:val="19"/>
                <w:color w:val="auto"/>
              </w:rPr>
            </w:pPr>
          </w:p>
        </w:tc>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2026</w:t>
            </w:r>
          </w:p>
        </w:tc>
        <w:tc>
          <w:tcPr>
            <w:tcW w:w="9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1300" w:type="dxa"/>
            <w:vAlign w:val="bottom"/>
          </w:tcPr>
          <w:p>
            <w:pPr>
              <w:spacing w:after="0"/>
              <w:rPr>
                <w:sz w:val="19"/>
                <w:szCs w:val="19"/>
                <w:color w:val="auto"/>
              </w:rPr>
            </w:pPr>
          </w:p>
        </w:tc>
        <w:tc>
          <w:tcPr>
            <w:tcW w:w="6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1300" w:type="dxa"/>
            <w:vAlign w:val="bottom"/>
          </w:tcPr>
          <w:p>
            <w:pPr>
              <w:spacing w:after="0"/>
              <w:rPr>
                <w:sz w:val="19"/>
                <w:szCs w:val="19"/>
                <w:color w:val="auto"/>
              </w:rPr>
            </w:pPr>
          </w:p>
        </w:tc>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lease payments</w:t>
            </w:r>
          </w:p>
        </w:tc>
        <w:tc>
          <w:tcPr>
            <w:tcW w:w="9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r>
      <w:tr>
        <w:trPr>
          <w:trHeight w:val="230"/>
        </w:trPr>
        <w:tc>
          <w:tcPr>
            <w:tcW w:w="1300" w:type="dxa"/>
            <w:vAlign w:val="bottom"/>
          </w:tcPr>
          <w:p>
            <w:pPr>
              <w:spacing w:after="0"/>
              <w:rPr>
                <w:sz w:val="19"/>
                <w:szCs w:val="19"/>
                <w:color w:val="auto"/>
              </w:rPr>
            </w:pPr>
          </w:p>
        </w:tc>
        <w:tc>
          <w:tcPr>
            <w:tcW w:w="6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Less: imputed interest</w:t>
            </w:r>
          </w:p>
        </w:tc>
        <w:tc>
          <w:tcPr>
            <w:tcW w:w="9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48"/>
        </w:trPr>
        <w:tc>
          <w:tcPr>
            <w:tcW w:w="130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operating lease liabilities</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r>
      <w:tr>
        <w:trPr>
          <w:trHeight w:val="20"/>
        </w:trPr>
        <w:tc>
          <w:tcPr>
            <w:tcW w:w="130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Company had no operating lease liabilities that had not commenced.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22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$0.6 million and $1.2 million as of March 31, 2022 and December 31, 2021, respectively.</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w:t>
      </w:r>
    </w:p>
    <w:p>
      <w:pPr>
        <w:spacing w:after="0" w:line="120" w:lineRule="exact"/>
        <w:rPr>
          <w:sz w:val="20"/>
          <w:szCs w:val="20"/>
          <w:color w:val="auto"/>
        </w:rPr>
      </w:pPr>
    </w:p>
    <w:p>
      <w:pPr>
        <w:ind w:left="420" w:right="10000" w:hanging="412"/>
        <w:spacing w:after="0" w:line="495" w:lineRule="auto"/>
        <w:tabs>
          <w:tab w:leader="none" w:pos="19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b w:val="1"/>
          <w:bCs w:val="1"/>
          <w:i w:val="1"/>
          <w:iCs w:val="1"/>
          <w:color w:val="auto"/>
        </w:rPr>
        <w:t>Term Loan</w:t>
      </w:r>
    </w:p>
    <w:p>
      <w:pPr>
        <w:spacing w:after="0" w:line="1" w:lineRule="exact"/>
        <w:rPr>
          <w:rFonts w:ascii="Arial" w:cs="Arial" w:eastAsia="Arial" w:hAnsi="Arial"/>
          <w:sz w:val="16"/>
          <w:szCs w:val="16"/>
          <w:b w:val="1"/>
          <w:bCs w:val="1"/>
          <w:color w:val="auto"/>
        </w:rPr>
      </w:pPr>
    </w:p>
    <w:p>
      <w:pPr>
        <w:ind w:left="42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summarizes the outstanding borrowings from the term loan as of periods presented:</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5"/>
              </w:rPr>
              <w:t>December 31, 2021</w:t>
            </w:r>
          </w:p>
        </w:tc>
      </w:tr>
      <w:tr>
        <w:trPr>
          <w:trHeight w:val="210"/>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tcPr>
          <w:p>
            <w:pPr>
              <w:jc w:val="right"/>
              <w:ind w:right="132"/>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232"/>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outstanding and final fee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Unaccreted value of final fee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Outstanding debt, net of debt issuance costs and unaccreted value of final fee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35,024</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34,973</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Classified as: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Long-term borrowings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35,024</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34,973</w:t>
            </w: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In May 29, 2020, the Company entered into a term loan with Solar Capital Partners (“Solar”). Pursuant to the Loan and Security Agreement, Solar provided an aggregate principal amount of $40.0 million term loan (the “Solar Term Loan”). The Solar Term Loan bore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included an interest-only period of 36 months through June 2023, and then repaid in equal monthly principal payments plus interest through June 1, 2025. The Company was also obligated to pay a final fee equal to $1.0 million or 2.5% of the aggregate principal amount of the Solar Term Loan, which was fully earned by Solar on the effective date of the Loan and Security Agreement with Solar. With respect to the Solar Term Loan, this final fee was due and payable on the earliest of (i) the maturity date, (ii) the acceleration of the loan balance or (iii) its full prepayment, refinancing, substitution or replacement. The Company paid in full and terminated the Solar Term Loan in August 2021. The effective interest rate related to the Solar Term Loan for the three months ended March 31, 2021 was 10.6%.</w:t>
      </w:r>
    </w:p>
    <w:p>
      <w:pPr>
        <w:spacing w:after="0" w:line="20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6"/>
          <w:szCs w:val="16"/>
          <w:color w:val="auto"/>
        </w:rPr>
        <w:t>The outstanding debt as of March 31, 2022 and December 31, 2021 is related to a term loan pursuant to the Loan and Security Agreement dated August 12, 2021 (the “Effective Date”), entered into by the Company with Silicon Valley Bank (“SVB”). Pursuant the agreement, SVB provided an aggregate principal amount of $35.0 million to the Company (the “SVB Term Loan”). The Company used the proceeds of the SVB Term Loan to repay in full and terminate the Solar Term Loan, which was accounted for as debt extinguishment in accordance with the accounting standards. The Company recognized the unamortized debt issuance costs and unaccreted value of final fee of $1.3 million and the prepayment penalty and lender fees of $0.5 million related to Solar Term Loan as a loss on debt extinguishment. The costs and fees are reflected as interest expense in the condensed consolidated statement of operations for the three months ended March 31, 2022. The total debt issuance costs of $0.1 million associated with the SVB Term Loan were recorded in the condensed consolidated balance sheet as a direct deduction from the carrying amount of the loan, and are amortized as a component of interest expense using straight-line method over the life of the term loan. The SVB Term Loan matures (the “Maturity Date”) on either (a) August 1, 2025 or (b) August 1, 2026 dependent on the Company’s achievement of a certain financial performance milestone as of December 31, 2022, as set forth in the Loan Agreement. Interest on the SVB Term Loan is payable monthly at an annual rate set at the greater of (a) 5.75% and (b) prime rate as published in the Wall Street Journal plus 2.5%. Commencing on September 1, 2023, the Company will be required to make monthly principal amortization payments. The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 The SVB Term Loan is secured by substantially all the Company's assets other than the Company's intellectual property. The Company is also obligated to pay a final payment equal to $0.7 million or 2% of the aggregate principal amount of the SVB Term Loan, which is considered fully earned by SVB on the effective date of the Loan and Security Agreement with SVB. This final payment shall be due and payable on the earliest of (i) the Maturity Date, (ii) the full repayment of the loan, (iii) permitted prepayment and mandatory prepayment upon an acceleration as specified in the agreement or (iv) the termination of</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agreement. The final payment is included within the long-term borrowings and is accreted to interest expense using straight-line method over the life of the term loan. The effective interest rate related to the SVB Term Loan was 6.3% for three months ended March 31,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future principal and final fee payments under the SVB Term Loan as of March 31, 2022:</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660" w:type="dxa"/>
            <w:vAlign w:val="bottom"/>
          </w:tcPr>
          <w:p>
            <w:pPr>
              <w:ind w:left="660"/>
              <w:spacing w:after="0"/>
              <w:rPr>
                <w:sz w:val="20"/>
                <w:szCs w:val="20"/>
                <w:color w:val="auto"/>
              </w:rPr>
            </w:pPr>
            <w:r>
              <w:rPr>
                <w:rFonts w:ascii="Arial" w:cs="Arial" w:eastAsia="Arial" w:hAnsi="Arial"/>
                <w:sz w:val="18"/>
                <w:szCs w:val="18"/>
                <w:b w:val="1"/>
                <w:bCs w:val="1"/>
                <w:color w:val="auto"/>
              </w:rPr>
              <w:t>Year ending December 31,</w:t>
            </w:r>
          </w:p>
        </w:tc>
        <w:tc>
          <w:tcPr>
            <w:tcW w:w="800" w:type="dxa"/>
            <w:vAlign w:val="bottom"/>
          </w:tcPr>
          <w:p>
            <w:pPr>
              <w:spacing w:after="0"/>
              <w:rPr>
                <w:sz w:val="20"/>
                <w:szCs w:val="20"/>
                <w:color w:val="auto"/>
              </w:rPr>
            </w:pPr>
          </w:p>
        </w:tc>
        <w:tc>
          <w:tcPr>
            <w:tcW w:w="1220" w:type="dxa"/>
            <w:vAlign w:val="bottom"/>
          </w:tcPr>
          <w:p>
            <w:pPr>
              <w:jc w:val="right"/>
              <w:ind w:right="91"/>
              <w:spacing w:after="0"/>
              <w:rPr>
                <w:sz w:val="20"/>
                <w:szCs w:val="20"/>
                <w:color w:val="auto"/>
              </w:rPr>
            </w:pPr>
            <w:r>
              <w:rPr>
                <w:rFonts w:ascii="Arial" w:cs="Arial" w:eastAsia="Arial" w:hAnsi="Arial"/>
                <w:sz w:val="16"/>
                <w:szCs w:val="16"/>
                <w:b w:val="1"/>
                <w:bCs w:val="1"/>
                <w:color w:val="auto"/>
                <w:w w:val="92"/>
              </w:rPr>
              <w:t>(in thousands)</w:t>
            </w:r>
          </w:p>
        </w:tc>
      </w:tr>
      <w:tr>
        <w:trPr>
          <w:trHeight w:val="229"/>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Remainder of 2022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Pr>
          <w:p>
            <w:pPr>
              <w:ind w:left="660"/>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7,292</w:t>
            </w:r>
          </w:p>
        </w:tc>
      </w:tr>
      <w:tr>
        <w:trPr>
          <w:trHeight w:val="229"/>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2024</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29"/>
        </w:trPr>
        <w:tc>
          <w:tcPr>
            <w:tcW w:w="7660" w:type="dxa"/>
            <w:vAlign w:val="bottom"/>
          </w:tcPr>
          <w:p>
            <w:pPr>
              <w:ind w:left="660"/>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10,908</w:t>
            </w:r>
          </w:p>
        </w:tc>
      </w:tr>
      <w:tr>
        <w:trPr>
          <w:trHeight w:val="230"/>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2026</w:t>
            </w:r>
          </w:p>
        </w:tc>
        <w:tc>
          <w:tcPr>
            <w:tcW w:w="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60" w:type="dxa"/>
            <w:vAlign w:val="bottom"/>
          </w:tcPr>
          <w:p>
            <w:pPr>
              <w:ind w:left="860"/>
              <w:spacing w:after="0"/>
              <w:rPr>
                <w:sz w:val="20"/>
                <w:szCs w:val="20"/>
                <w:color w:val="auto"/>
              </w:rPr>
            </w:pPr>
            <w:r>
              <w:rPr>
                <w:rFonts w:ascii="Arial" w:cs="Arial" w:eastAsia="Arial" w:hAnsi="Arial"/>
                <w:sz w:val="18"/>
                <w:szCs w:val="18"/>
                <w:color w:val="auto"/>
              </w:rPr>
              <w:t>Total principal and final fee payments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w:t>
            </w:r>
          </w:p>
        </w:tc>
      </w:tr>
      <w:tr>
        <w:trPr>
          <w:trHeight w:val="21"/>
        </w:trPr>
        <w:tc>
          <w:tcPr>
            <w:tcW w:w="7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March 31, 2022, the Company was in compliance with all debt covenants.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CARES Act</w:t>
      </w:r>
    </w:p>
    <w:p>
      <w:pPr>
        <w:spacing w:after="0" w:line="212"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On March 27, 2020, the U.S. federal government enacted the “Coronavirus Aid, Relief and Economic Security (CARES) Act,” which, among other things, allowed employers to defer the deposit and payment of an employer's share of social security taxes through December 31, 2020. The Company recorded a total liability of $0.5 million related to the deferral of the social security taxes that is included in the accrued liabilities and other in the condensed consolidated balance sheets as of March 31, 2022 and December 31, 2021.</w:t>
      </w:r>
    </w:p>
    <w:p>
      <w:pPr>
        <w:spacing w:after="0" w:line="200" w:lineRule="exact"/>
        <w:rPr>
          <w:sz w:val="20"/>
          <w:szCs w:val="20"/>
          <w:color w:val="auto"/>
        </w:rPr>
      </w:pPr>
    </w:p>
    <w:p>
      <w:pPr>
        <w:spacing w:after="0" w:line="227" w:lineRule="exact"/>
        <w:rPr>
          <w:sz w:val="20"/>
          <w:szCs w:val="20"/>
          <w:color w:val="auto"/>
        </w:rPr>
      </w:pPr>
    </w:p>
    <w:p>
      <w:pPr>
        <w:ind w:left="460" w:right="7720" w:hanging="452"/>
        <w:spacing w:after="0" w:line="518" w:lineRule="auto"/>
        <w:tabs>
          <w:tab w:leader="none" w:pos="19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Incentive Compensation Plans </w:t>
      </w:r>
      <w:r>
        <w:rPr>
          <w:rFonts w:ascii="Arial" w:cs="Arial" w:eastAsia="Arial" w:hAnsi="Arial"/>
          <w:sz w:val="18"/>
          <w:szCs w:val="18"/>
          <w:b w:val="1"/>
          <w:bCs w:val="1"/>
          <w:i w:val="1"/>
          <w:iCs w:val="1"/>
          <w:color w:val="auto"/>
        </w:rPr>
        <w:t>Stock Options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stock option activity for the three months ended March 31, 2022:</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8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4"/>
                <w:szCs w:val="14"/>
                <w:color w:val="auto"/>
              </w:rPr>
            </w:pPr>
          </w:p>
        </w:tc>
        <w:tc>
          <w:tcPr>
            <w:tcW w:w="1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Exercise</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2,009,513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$8.73</w:t>
            </w:r>
          </w:p>
        </w:tc>
        <w:tc>
          <w:tcPr>
            <w:tcW w:w="0" w:type="dxa"/>
            <w:vAlign w:val="bottom"/>
          </w:tcPr>
          <w:p>
            <w:pPr>
              <w:spacing w:after="0"/>
              <w:rPr>
                <w:sz w:val="1"/>
                <w:szCs w:val="1"/>
                <w:color w:val="auto"/>
              </w:rPr>
            </w:pPr>
          </w:p>
        </w:tc>
      </w:tr>
      <w:tr>
        <w:trPr>
          <w:trHeight w:val="243"/>
        </w:trPr>
        <w:tc>
          <w:tcPr>
            <w:tcW w:w="4420" w:type="dxa"/>
            <w:vAlign w:val="bottom"/>
          </w:tcPr>
          <w:p>
            <w:pPr>
              <w:ind w:left="60"/>
              <w:spacing w:after="0"/>
              <w:rPr>
                <w:sz w:val="20"/>
                <w:szCs w:val="20"/>
                <w:color w:val="auto"/>
              </w:rPr>
            </w:pPr>
            <w:r>
              <w:rPr>
                <w:rFonts w:ascii="Arial" w:cs="Arial" w:eastAsia="Arial" w:hAnsi="Arial"/>
                <w:sz w:val="18"/>
                <w:szCs w:val="18"/>
                <w:color w:val="auto"/>
              </w:rPr>
              <w:t>Exercised</w:t>
            </w:r>
          </w:p>
        </w:tc>
        <w:tc>
          <w:tcPr>
            <w:tcW w:w="1180" w:type="dxa"/>
            <w:vAlign w:val="bottom"/>
          </w:tcPr>
          <w:p>
            <w:pPr>
              <w:jc w:val="right"/>
              <w:spacing w:after="0"/>
              <w:rPr>
                <w:sz w:val="20"/>
                <w:szCs w:val="20"/>
                <w:color w:val="auto"/>
              </w:rPr>
            </w:pPr>
            <w:r>
              <w:rPr>
                <w:rFonts w:ascii="Arial" w:cs="Arial" w:eastAsia="Arial" w:hAnsi="Arial"/>
                <w:sz w:val="18"/>
                <w:szCs w:val="18"/>
                <w:color w:val="auto"/>
              </w:rPr>
              <w:t>(34,798)</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4.85</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 and 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3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14.46</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Outstanding as of March 31, 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1,963,360</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9.86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As of March 31, 2022, the unrecognized compensation cost related to stock options was $1.0 million, which is expected to be recognized over a period of approximately 0.8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stock options granted during the three months ended March 31, 2022 and 2021.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Early exercises of stock options under the Company's 2008 Stock Option Plan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March 31, 2022 and December 31, 2021, the Company had no shares subject to repurchase.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Restricted stock units (“RSUs”) are share awards that entitle the holder to receive freely tradable shares of the Company’s common stock upon vesting. RSUs generally vest over two to four years based upon continued services and are settled at vesting in shares of the Company's common stock. The grant date fair value of the RSUs is equal to the closing price of the Company’s common stock on the grant date.</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January 2022, the Company granted performance-based restricted stock unit awards subject to market and service vesting conditions to certain executive officers under SI-BONE's 2018 Equity Incentive Plan (“PSUs”). The shares subject to the PSUs vest over a three-year performance period beginning January 1, 2022 and ending December 31, 2024.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p>
      <w:pPr>
        <w:spacing w:after="0" w:line="199" w:lineRule="exact"/>
        <w:rPr>
          <w:sz w:val="20"/>
          <w:szCs w:val="20"/>
          <w:color w:val="auto"/>
        </w:rPr>
      </w:pPr>
    </w:p>
    <w:tbl>
      <w:tblPr>
        <w:tblLayout w:type="fixed"/>
        <w:tblInd w:w="420" w:type="dxa"/>
        <w:tblCellMar>
          <w:top w:w="0" w:type="dxa"/>
          <w:left w:w="0" w:type="dxa"/>
          <w:bottom w:w="0" w:type="dxa"/>
          <w:right w:w="0" w:type="dxa"/>
        </w:tblCellMar>
      </w:tblPr>
      <w:tr>
        <w:trPr>
          <w:trHeight w:val="224"/>
        </w:trPr>
        <w:tc>
          <w:tcPr>
            <w:tcW w:w="4600" w:type="dxa"/>
            <w:vAlign w:val="bottom"/>
          </w:tcPr>
          <w:p>
            <w:pPr>
              <w:spacing w:after="0"/>
              <w:rPr>
                <w:sz w:val="19"/>
                <w:szCs w:val="19"/>
                <w:color w:val="auto"/>
              </w:rPr>
            </w:pPr>
          </w:p>
        </w:tc>
        <w:tc>
          <w:tcPr>
            <w:tcW w:w="4280" w:type="dxa"/>
            <w:vAlign w:val="bottom"/>
            <w:tcBorders>
              <w:top w:val="single" w:sz="8" w:color="auto"/>
              <w:bottom w:val="single" w:sz="8" w:color="auto"/>
            </w:tcBorders>
            <w:gridSpan w:val="3"/>
          </w:tcPr>
          <w:p>
            <w:pPr>
              <w:jc w:val="center"/>
              <w:ind w:left="332"/>
              <w:spacing w:after="0"/>
              <w:rPr>
                <w:sz w:val="20"/>
                <w:szCs w:val="20"/>
                <w:color w:val="auto"/>
              </w:rPr>
            </w:pPr>
            <w:r>
              <w:rPr>
                <w:rFonts w:ascii="Arial" w:cs="Arial" w:eastAsia="Arial" w:hAnsi="Arial"/>
                <w:sz w:val="16"/>
                <w:szCs w:val="16"/>
                <w:b w:val="1"/>
                <w:bCs w:val="1"/>
                <w:color w:val="auto"/>
                <w:w w:val="93"/>
              </w:rPr>
              <w:t>Three Months Ended March 31, 2022</w:t>
            </w:r>
          </w:p>
        </w:tc>
      </w:tr>
      <w:tr>
        <w:trPr>
          <w:trHeight w:val="229"/>
        </w:trPr>
        <w:tc>
          <w:tcPr>
            <w:tcW w:w="4600" w:type="dxa"/>
            <w:vAlign w:val="bottom"/>
          </w:tcPr>
          <w:p>
            <w:pPr>
              <w:ind w:left="60"/>
              <w:spacing w:after="0"/>
              <w:rPr>
                <w:sz w:val="20"/>
                <w:szCs w:val="20"/>
                <w:color w:val="auto"/>
              </w:rPr>
            </w:pPr>
            <w:r>
              <w:rPr>
                <w:rFonts w:ascii="Arial" w:cs="Arial" w:eastAsia="Arial" w:hAnsi="Arial"/>
                <w:sz w:val="18"/>
                <w:szCs w:val="18"/>
                <w:color w:val="auto"/>
              </w:rPr>
              <w:t>Expected volatility of common stock</w:t>
            </w:r>
          </w:p>
        </w:tc>
        <w:tc>
          <w:tcPr>
            <w:tcW w:w="1720" w:type="dxa"/>
            <w:vAlign w:val="bottom"/>
          </w:tcPr>
          <w:p>
            <w:pPr>
              <w:jc w:val="center"/>
              <w:ind w:left="12"/>
              <w:spacing w:after="0"/>
              <w:rPr>
                <w:sz w:val="20"/>
                <w:szCs w:val="20"/>
                <w:color w:val="auto"/>
              </w:rPr>
            </w:pPr>
            <w:r>
              <w:rPr>
                <w:rFonts w:ascii="Arial" w:cs="Arial" w:eastAsia="Arial" w:hAnsi="Arial"/>
                <w:sz w:val="18"/>
                <w:szCs w:val="18"/>
                <w:color w:val="auto"/>
                <w:w w:val="90"/>
              </w:rPr>
              <w:t>48.9%</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320" w:type="dxa"/>
            <w:vAlign w:val="bottom"/>
          </w:tcPr>
          <w:p>
            <w:pPr>
              <w:jc w:val="center"/>
              <w:ind w:left="210"/>
              <w:spacing w:after="0"/>
              <w:rPr>
                <w:sz w:val="20"/>
                <w:szCs w:val="20"/>
                <w:color w:val="auto"/>
              </w:rPr>
            </w:pPr>
            <w:r>
              <w:rPr>
                <w:rFonts w:ascii="Arial" w:cs="Arial" w:eastAsia="Arial" w:hAnsi="Arial"/>
                <w:sz w:val="18"/>
                <w:szCs w:val="18"/>
                <w:color w:val="auto"/>
                <w:w w:val="90"/>
              </w:rPr>
              <w:t>58.7%</w:t>
            </w:r>
          </w:p>
        </w:tc>
      </w:tr>
      <w:tr>
        <w:trPr>
          <w:trHeight w:val="230"/>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volatility of peer companies</w:t>
            </w:r>
          </w:p>
        </w:tc>
        <w:tc>
          <w:tcPr>
            <w:tcW w:w="17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24.2%</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3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152.5%</w:t>
            </w:r>
          </w:p>
        </w:tc>
      </w:tr>
      <w:tr>
        <w:trPr>
          <w:trHeight w:val="229"/>
        </w:trPr>
        <w:tc>
          <w:tcPr>
            <w:tcW w:w="4600" w:type="dxa"/>
            <w:vAlign w:val="bottom"/>
          </w:tcPr>
          <w:p>
            <w:pPr>
              <w:ind w:left="60"/>
              <w:spacing w:after="0"/>
              <w:rPr>
                <w:sz w:val="20"/>
                <w:szCs w:val="20"/>
                <w:color w:val="auto"/>
              </w:rPr>
            </w:pPr>
            <w:r>
              <w:rPr>
                <w:rFonts w:ascii="Arial" w:cs="Arial" w:eastAsia="Arial" w:hAnsi="Arial"/>
                <w:sz w:val="18"/>
                <w:szCs w:val="18"/>
                <w:color w:val="auto"/>
              </w:rPr>
              <w:t>Correlation coefficient of peer companies</w:t>
            </w:r>
          </w:p>
        </w:tc>
        <w:tc>
          <w:tcPr>
            <w:tcW w:w="1720" w:type="dxa"/>
            <w:vAlign w:val="bottom"/>
          </w:tcPr>
          <w:p>
            <w:pPr>
              <w:jc w:val="center"/>
              <w:ind w:left="32"/>
              <w:spacing w:after="0"/>
              <w:rPr>
                <w:sz w:val="20"/>
                <w:szCs w:val="20"/>
                <w:color w:val="auto"/>
              </w:rPr>
            </w:pPr>
            <w:r>
              <w:rPr>
                <w:rFonts w:ascii="Arial" w:cs="Arial" w:eastAsia="Arial" w:hAnsi="Arial"/>
                <w:sz w:val="18"/>
                <w:szCs w:val="18"/>
                <w:color w:val="auto"/>
                <w:w w:val="93"/>
              </w:rPr>
              <w:t>(0.13)</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320" w:type="dxa"/>
            <w:vAlign w:val="bottom"/>
          </w:tcPr>
          <w:p>
            <w:pPr>
              <w:jc w:val="center"/>
              <w:ind w:left="230"/>
              <w:spacing w:after="0"/>
              <w:rPr>
                <w:sz w:val="20"/>
                <w:szCs w:val="20"/>
                <w:color w:val="auto"/>
              </w:rPr>
            </w:pPr>
            <w:r>
              <w:rPr>
                <w:rFonts w:ascii="Arial" w:cs="Arial" w:eastAsia="Arial" w:hAnsi="Arial"/>
                <w:sz w:val="18"/>
                <w:szCs w:val="18"/>
                <w:color w:val="auto"/>
                <w:w w:val="91"/>
              </w:rPr>
              <w:t>1.00</w:t>
            </w:r>
          </w:p>
        </w:tc>
      </w:tr>
      <w:tr>
        <w:trPr>
          <w:trHeight w:val="230"/>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2"/>
              </w:rPr>
              <w:t>0.4%</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3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2"/>
              </w:rPr>
              <w:t>1.2%</w:t>
            </w:r>
          </w:p>
        </w:tc>
      </w:tr>
      <w:tr>
        <w:trPr>
          <w:trHeight w:val="230"/>
        </w:trPr>
        <w:tc>
          <w:tcPr>
            <w:tcW w:w="4600" w:type="dxa"/>
            <w:vAlign w:val="bottom"/>
          </w:tcPr>
          <w:p>
            <w:pPr>
              <w:ind w:left="6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320" w:type="dxa"/>
            <w:vAlign w:val="bottom"/>
          </w:tcPr>
          <w:p>
            <w:pPr>
              <w:jc w:val="center"/>
              <w:ind w:left="210"/>
              <w:spacing w:after="0"/>
              <w:rPr>
                <w:sz w:val="20"/>
                <w:szCs w:val="20"/>
                <w:color w:val="auto"/>
              </w:rPr>
            </w:pPr>
            <w:r>
              <w:rPr>
                <w:rFonts w:ascii="Arial" w:cs="Arial" w:eastAsia="Arial" w:hAnsi="Arial"/>
                <w:sz w:val="18"/>
                <w:szCs w:val="18"/>
                <w:color w:val="auto"/>
                <w:w w:val="92"/>
              </w:rPr>
              <w:t>1.0%</w:t>
            </w:r>
          </w:p>
        </w:tc>
      </w:tr>
    </w:tbl>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RSU and PSU activity for the three months ended March 31, 2022:</w:t>
      </w:r>
    </w:p>
    <w:p>
      <w:pPr>
        <w:spacing w:after="0" w:line="266" w:lineRule="exact"/>
        <w:rPr>
          <w:sz w:val="20"/>
          <w:szCs w:val="20"/>
          <w:color w:val="auto"/>
        </w:rPr>
      </w:pPr>
    </w:p>
    <w:tbl>
      <w:tblPr>
        <w:tblLayout w:type="fixed"/>
        <w:tblInd w:w="110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gridSpan w:val="3"/>
          </w:tcPr>
          <w:p>
            <w:pPr>
              <w:ind w:left="120"/>
              <w:spacing w:after="0"/>
              <w:rPr>
                <w:sz w:val="20"/>
                <w:szCs w:val="20"/>
                <w:color w:val="auto"/>
              </w:rPr>
            </w:pPr>
            <w:r>
              <w:rPr>
                <w:rFonts w:ascii="Arial" w:cs="Arial" w:eastAsia="Arial" w:hAnsi="Arial"/>
                <w:sz w:val="16"/>
                <w:szCs w:val="16"/>
                <w:b w:val="1"/>
                <w:bCs w:val="1"/>
                <w:color w:val="auto"/>
              </w:rPr>
              <w:t>RSUs</w:t>
            </w:r>
          </w:p>
        </w:tc>
        <w:tc>
          <w:tcPr>
            <w:tcW w:w="1260" w:type="dxa"/>
            <w:vAlign w:val="bottom"/>
          </w:tcPr>
          <w:p>
            <w:pPr>
              <w:spacing w:after="0"/>
              <w:rPr>
                <w:sz w:val="18"/>
                <w:szCs w:val="18"/>
                <w:color w:val="auto"/>
              </w:rPr>
            </w:pPr>
          </w:p>
        </w:tc>
        <w:tc>
          <w:tcPr>
            <w:tcW w:w="1480" w:type="dxa"/>
            <w:vAlign w:val="bottom"/>
            <w:gridSpan w:val="2"/>
          </w:tcPr>
          <w:p>
            <w:pPr>
              <w:jc w:val="right"/>
              <w:ind w:right="875"/>
              <w:spacing w:after="0"/>
              <w:rPr>
                <w:sz w:val="20"/>
                <w:szCs w:val="20"/>
                <w:color w:val="auto"/>
              </w:rPr>
            </w:pPr>
            <w:r>
              <w:rPr>
                <w:rFonts w:ascii="Arial" w:cs="Arial" w:eastAsia="Arial" w:hAnsi="Arial"/>
                <w:sz w:val="16"/>
                <w:szCs w:val="16"/>
                <w:b w:val="1"/>
                <w:bCs w:val="1"/>
                <w:color w:val="auto"/>
              </w:rPr>
              <w:t>PSUs</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Number of</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Number of</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Average Grant</w:t>
            </w:r>
          </w:p>
        </w:tc>
        <w:tc>
          <w:tcPr>
            <w:tcW w:w="1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5"/>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18"/>
                <w:szCs w:val="18"/>
                <w:color w:val="auto"/>
              </w:rPr>
            </w:pPr>
          </w:p>
        </w:tc>
        <w:tc>
          <w:tcPr>
            <w:tcW w:w="1240" w:type="dxa"/>
            <w:vAlign w:val="bottom"/>
          </w:tcPr>
          <w:p>
            <w:pPr>
              <w:jc w:val="right"/>
              <w:ind w:right="313"/>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Date Fair Value</w:t>
            </w:r>
          </w:p>
        </w:tc>
        <w:tc>
          <w:tcPr>
            <w:tcW w:w="1260" w:type="dxa"/>
            <w:vAlign w:val="bottom"/>
          </w:tcPr>
          <w:p>
            <w:pPr>
              <w:jc w:val="right"/>
              <w:ind w:right="313"/>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w w:val="98"/>
              </w:rPr>
              <w:t>Date Fair Value</w:t>
            </w:r>
          </w:p>
        </w:tc>
        <w:tc>
          <w:tcPr>
            <w:tcW w:w="0" w:type="dxa"/>
            <w:vAlign w:val="bottom"/>
          </w:tcPr>
          <w:p>
            <w:pPr>
              <w:spacing w:after="0"/>
              <w:rPr>
                <w:sz w:val="1"/>
                <w:szCs w:val="1"/>
                <w:color w:val="auto"/>
              </w:rPr>
            </w:pPr>
          </w:p>
        </w:tc>
      </w:tr>
      <w:tr>
        <w:trPr>
          <w:trHeight w:val="226"/>
        </w:trPr>
        <w:tc>
          <w:tcPr>
            <w:tcW w:w="3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w w:val="97"/>
              </w:rPr>
              <w:t>Outstanding as of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1,566,522</w:t>
            </w:r>
          </w:p>
        </w:tc>
        <w:tc>
          <w:tcPr>
            <w:tcW w:w="1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ind w:left="377"/>
              <w:spacing w:after="0"/>
              <w:rPr>
                <w:sz w:val="20"/>
                <w:szCs w:val="20"/>
                <w:color w:val="auto"/>
              </w:rPr>
            </w:pPr>
            <w:r>
              <w:rPr>
                <w:rFonts w:ascii="Arial" w:cs="Arial" w:eastAsia="Arial" w:hAnsi="Arial"/>
                <w:sz w:val="18"/>
                <w:szCs w:val="18"/>
                <w:color w:val="auto"/>
                <w:w w:val="90"/>
              </w:rPr>
              <w:t>$25.17</w:t>
            </w: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600" w:type="dxa"/>
            <w:vAlign w:val="bottom"/>
          </w:tcPr>
          <w:p>
            <w:pPr>
              <w:ind w:left="4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1,001,111</w:t>
            </w:r>
          </w:p>
        </w:tc>
        <w:tc>
          <w:tcPr>
            <w:tcW w:w="1420" w:type="dxa"/>
            <w:vAlign w:val="bottom"/>
            <w:gridSpan w:val="2"/>
          </w:tcPr>
          <w:p>
            <w:pPr>
              <w:jc w:val="center"/>
              <w:ind w:left="532"/>
              <w:spacing w:after="0"/>
              <w:rPr>
                <w:sz w:val="20"/>
                <w:szCs w:val="20"/>
                <w:color w:val="auto"/>
              </w:rPr>
            </w:pPr>
            <w:r>
              <w:rPr>
                <w:rFonts w:ascii="Arial" w:cs="Arial" w:eastAsia="Arial" w:hAnsi="Arial"/>
                <w:sz w:val="18"/>
                <w:szCs w:val="18"/>
                <w:color w:val="auto"/>
                <w:w w:val="88"/>
              </w:rPr>
              <w:t>21.99</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155,596</w:t>
            </w:r>
          </w:p>
        </w:tc>
        <w:tc>
          <w:tcPr>
            <w:tcW w:w="1480" w:type="dxa"/>
            <w:vAlign w:val="bottom"/>
            <w:gridSpan w:val="2"/>
          </w:tcPr>
          <w:p>
            <w:pPr>
              <w:jc w:val="center"/>
              <w:ind w:left="593"/>
              <w:spacing w:after="0"/>
              <w:rPr>
                <w:sz w:val="20"/>
                <w:szCs w:val="20"/>
                <w:color w:val="auto"/>
              </w:rPr>
            </w:pPr>
            <w:r>
              <w:rPr>
                <w:rFonts w:ascii="Arial" w:cs="Arial" w:eastAsia="Arial" w:hAnsi="Arial"/>
                <w:sz w:val="18"/>
                <w:szCs w:val="18"/>
                <w:color w:val="auto"/>
                <w:w w:val="88"/>
              </w:rPr>
              <w:t>19.50</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(163,480)</w:t>
            </w:r>
          </w:p>
        </w:tc>
        <w:tc>
          <w:tcPr>
            <w:tcW w:w="142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8"/>
              </w:rPr>
              <w:t>25.27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(94,869)</w:t>
            </w:r>
          </w:p>
        </w:tc>
        <w:tc>
          <w:tcPr>
            <w:tcW w:w="1420" w:type="dxa"/>
            <w:vAlign w:val="bottom"/>
            <w:tcBorders>
              <w:bottom w:val="single" w:sz="8" w:color="CCEEFF"/>
            </w:tcBorders>
            <w:gridSpan w:val="2"/>
          </w:tcPr>
          <w:p>
            <w:pPr>
              <w:jc w:val="center"/>
              <w:ind w:left="532"/>
              <w:spacing w:after="0"/>
              <w:rPr>
                <w:sz w:val="20"/>
                <w:szCs w:val="20"/>
                <w:color w:val="auto"/>
              </w:rPr>
            </w:pPr>
            <w:r>
              <w:rPr>
                <w:rFonts w:ascii="Arial" w:cs="Arial" w:eastAsia="Arial" w:hAnsi="Arial"/>
                <w:sz w:val="18"/>
                <w:szCs w:val="18"/>
                <w:color w:val="auto"/>
                <w:w w:val="88"/>
              </w:rPr>
              <w:t>23.86</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center"/>
              <w:ind w:left="33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Outstanding as of March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2,309,284</w:t>
            </w:r>
          </w:p>
        </w:tc>
        <w:tc>
          <w:tcPr>
            <w:tcW w:w="1420" w:type="dxa"/>
            <w:vAlign w:val="bottom"/>
            <w:tcBorders>
              <w:bottom w:val="single" w:sz="8" w:color="CCEEFF"/>
            </w:tcBorders>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8"/>
              </w:rPr>
              <w:t>23.84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155,596</w:t>
            </w:r>
          </w:p>
        </w:tc>
        <w:tc>
          <w:tcPr>
            <w:tcW w:w="1480" w:type="dxa"/>
            <w:vAlign w:val="bottom"/>
            <w:tcBorders>
              <w:bottom w:val="single" w:sz="8" w:color="CCEEFF"/>
            </w:tcBorders>
            <w:gridSpan w:val="2"/>
            <w:shd w:val="clear" w:color="auto" w:fill="CCEEFF"/>
          </w:tcPr>
          <w:p>
            <w:pPr>
              <w:jc w:val="center"/>
              <w:ind w:left="593"/>
              <w:spacing w:after="0"/>
              <w:rPr>
                <w:sz w:val="20"/>
                <w:szCs w:val="20"/>
                <w:color w:val="auto"/>
              </w:rPr>
            </w:pPr>
            <w:r>
              <w:rPr>
                <w:rFonts w:ascii="Arial" w:cs="Arial" w:eastAsia="Arial" w:hAnsi="Arial"/>
                <w:sz w:val="18"/>
                <w:szCs w:val="18"/>
                <w:color w:val="auto"/>
                <w:w w:val="88"/>
              </w:rPr>
              <w:t>19.50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March 31, 2022, the unrecognized compensation cost related to the RSUs was $45.4 million, which is expected to be recognized over a period of approximately 3.0 years. As of March 31, 2022, the unrecognized compensation cost related to the PSUs was $2.7 million, which is expected to be recognized over a period of approximately 2.8 years.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2018 Employee Stock Purchase Plan (the “ESPP”) allows eligible employees to purchase shares of the Company's common stock through payroll deductions at the price equal to 85% of the lesser of the fair market value of the stock as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ESPP shares is estimated using the Black-Scholes option pricing model, which is being amortized over the requisite service period. The Company did not issue any shares under ESPP during the three months ended March 31, 2022 and 2021. As of March 31, 2022 and December 31, 2021, total accumulated ESPP related employee payroll deductions amounted to $1.3 million and $0.3 million which were included within accrued compensation and related expenses in the condensed consolidated balance sheets.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presents the detail of stock-based compensation expense amounts included in the condensed consolidated statements of operations:</w:t>
      </w:r>
    </w:p>
    <w:p>
      <w:pPr>
        <w:spacing w:after="0" w:line="285"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auto"/>
        </w:rPr>
        <w:t>Three Months Ended</w:t>
      </w:r>
    </w:p>
    <w:tbl>
      <w:tblPr>
        <w:tblLayout w:type="fixed"/>
        <w:tblInd w:w="420" w:type="dxa"/>
        <w:tblCellMar>
          <w:top w:w="0" w:type="dxa"/>
          <w:left w:w="0" w:type="dxa"/>
          <w:bottom w:w="0" w:type="dxa"/>
          <w:right w:w="0" w:type="dxa"/>
        </w:tblCellMar>
      </w:tblPr>
      <w:tr>
        <w:trPr>
          <w:trHeight w:val="198"/>
        </w:trPr>
        <w:tc>
          <w:tcPr>
            <w:tcW w:w="55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March 31,</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7"/>
        </w:trPr>
        <w:tc>
          <w:tcPr>
            <w:tcW w:w="558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10"/>
        </w:trPr>
        <w:tc>
          <w:tcPr>
            <w:tcW w:w="5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18"/>
                <w:szCs w:val="18"/>
                <w:color w:val="auto"/>
              </w:rPr>
            </w:pPr>
          </w:p>
        </w:tc>
      </w:tr>
      <w:tr>
        <w:trPr>
          <w:trHeight w:val="232"/>
        </w:trPr>
        <w:tc>
          <w:tcPr>
            <w:tcW w:w="5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goods sold</w:t>
            </w:r>
          </w:p>
        </w:tc>
        <w:tc>
          <w:tcPr>
            <w:tcW w:w="12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5580" w:type="dxa"/>
            <w:vAlign w:val="bottom"/>
          </w:tcPr>
          <w:p>
            <w:pPr>
              <w:ind w:left="60"/>
              <w:spacing w:after="0"/>
              <w:rPr>
                <w:sz w:val="20"/>
                <w:szCs w:val="20"/>
                <w:color w:val="auto"/>
              </w:rPr>
            </w:pPr>
            <w:r>
              <w:rPr>
                <w:rFonts w:ascii="Arial" w:cs="Arial" w:eastAsia="Arial" w:hAnsi="Arial"/>
                <w:sz w:val="18"/>
                <w:szCs w:val="18"/>
                <w:color w:val="auto"/>
              </w:rPr>
              <w:t>Sales and marketing</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2,594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1,899</w:t>
            </w:r>
          </w:p>
        </w:tc>
      </w:tr>
      <w:tr>
        <w:trPr>
          <w:trHeight w:val="229"/>
        </w:trPr>
        <w:tc>
          <w:tcPr>
            <w:tcW w:w="5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55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r>
      <w:tr>
        <w:trPr>
          <w:trHeight w:val="248"/>
        </w:trPr>
        <w:tc>
          <w:tcPr>
            <w:tcW w:w="5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5,507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of Common Stock</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the computation of basic and diluted net loss per share:</w:t>
      </w:r>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10"/>
        </w:trPr>
        <w:tc>
          <w:tcPr>
            <w:tcW w:w="5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2021</w:t>
            </w:r>
          </w:p>
        </w:tc>
      </w:tr>
      <w:tr>
        <w:trPr>
          <w:trHeight w:val="158"/>
        </w:trPr>
        <w:tc>
          <w:tcPr>
            <w:tcW w:w="5780" w:type="dxa"/>
            <w:vAlign w:val="bottom"/>
          </w:tcPr>
          <w:p>
            <w:pPr>
              <w:spacing w:after="0"/>
              <w:rPr>
                <w:sz w:val="13"/>
                <w:szCs w:val="13"/>
                <w:color w:val="auto"/>
              </w:rPr>
            </w:pPr>
          </w:p>
        </w:tc>
        <w:tc>
          <w:tcPr>
            <w:tcW w:w="2960" w:type="dxa"/>
            <w:vAlign w:val="bottom"/>
            <w:gridSpan w:val="5"/>
          </w:tcPr>
          <w:p>
            <w:pPr>
              <w:jc w:val="center"/>
              <w:spacing w:after="0" w:line="158" w:lineRule="exact"/>
              <w:rPr>
                <w:sz w:val="20"/>
                <w:szCs w:val="20"/>
                <w:color w:val="auto"/>
              </w:rPr>
            </w:pPr>
            <w:r>
              <w:rPr>
                <w:rFonts w:ascii="Arial" w:cs="Arial" w:eastAsia="Arial" w:hAnsi="Arial"/>
                <w:sz w:val="16"/>
                <w:szCs w:val="16"/>
                <w:b w:val="1"/>
                <w:bCs w:val="1"/>
                <w:color w:val="auto"/>
                <w:w w:val="89"/>
              </w:rPr>
              <w:t>(in thousands, except share and per share</w:t>
            </w:r>
          </w:p>
        </w:tc>
      </w:tr>
      <w:tr>
        <w:trPr>
          <w:trHeight w:val="213"/>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center"/>
              <w:ind w:left="775"/>
              <w:spacing w:after="0"/>
              <w:rPr>
                <w:sz w:val="20"/>
                <w:szCs w:val="20"/>
                <w:color w:val="auto"/>
              </w:rPr>
            </w:pPr>
            <w:r>
              <w:rPr>
                <w:rFonts w:ascii="Arial" w:cs="Arial" w:eastAsia="Arial" w:hAnsi="Arial"/>
                <w:sz w:val="16"/>
                <w:szCs w:val="16"/>
                <w:b w:val="1"/>
                <w:bCs w:val="1"/>
                <w:color w:val="auto"/>
                <w:w w:val="94"/>
              </w:rPr>
              <w:t>data)</w:t>
            </w:r>
          </w:p>
        </w:tc>
        <w:tc>
          <w:tcPr>
            <w:tcW w:w="1100" w:type="dxa"/>
            <w:vAlign w:val="bottom"/>
          </w:tcPr>
          <w:p>
            <w:pPr>
              <w:spacing w:after="0"/>
              <w:rPr>
                <w:sz w:val="18"/>
                <w:szCs w:val="18"/>
                <w:color w:val="auto"/>
              </w:rPr>
            </w:pPr>
          </w:p>
        </w:tc>
      </w:tr>
      <w:tr>
        <w:trPr>
          <w:trHeight w:val="232"/>
        </w:trPr>
        <w:tc>
          <w:tcPr>
            <w:tcW w:w="5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(17,410)</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(12,242)</w:t>
            </w:r>
          </w:p>
        </w:tc>
      </w:tr>
      <w:tr>
        <w:trPr>
          <w:trHeight w:val="466"/>
        </w:trPr>
        <w:tc>
          <w:tcPr>
            <w:tcW w:w="5780" w:type="dxa"/>
            <w:vAlign w:val="bottom"/>
          </w:tcPr>
          <w:p>
            <w:pPr>
              <w:ind w:left="60"/>
              <w:spacing w:after="0"/>
              <w:rPr>
                <w:sz w:val="20"/>
                <w:szCs w:val="20"/>
                <w:color w:val="auto"/>
              </w:rPr>
            </w:pPr>
            <w:r>
              <w:rPr>
                <w:rFonts w:ascii="Arial" w:cs="Arial" w:eastAsia="Arial" w:hAnsi="Arial"/>
                <w:sz w:val="18"/>
                <w:szCs w:val="18"/>
                <w:color w:val="auto"/>
                <w:w w:val="90"/>
              </w:rPr>
              <w:t>Weighted-average shares used to compute basic and diluted net loss per share</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5"/>
              </w:rPr>
              <w:t>33,792,326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5"/>
              </w:rPr>
              <w:t>32,691,578</w:t>
            </w: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5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300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60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22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1,963,360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2,311,932</w:t>
            </w:r>
          </w:p>
        </w:tc>
      </w:tr>
      <w:tr>
        <w:trPr>
          <w:trHeight w:val="229"/>
        </w:trPr>
        <w:tc>
          <w:tcPr>
            <w:tcW w:w="6080" w:type="dxa"/>
            <w:vAlign w:val="bottom"/>
          </w:tcPr>
          <w:p>
            <w:pPr>
              <w:ind w:left="60"/>
              <w:spacing w:after="0"/>
              <w:rPr>
                <w:sz w:val="20"/>
                <w:szCs w:val="20"/>
                <w:color w:val="auto"/>
              </w:rPr>
            </w:pPr>
            <w:r>
              <w:rPr>
                <w:rFonts w:ascii="Arial" w:cs="Arial" w:eastAsia="Arial" w:hAnsi="Arial"/>
                <w:sz w:val="18"/>
                <w:szCs w:val="18"/>
                <w:color w:val="auto"/>
              </w:rPr>
              <w:t>Restricted stock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2,309,284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1,844,125</w:t>
            </w:r>
          </w:p>
        </w:tc>
      </w:tr>
      <w:tr>
        <w:trPr>
          <w:trHeight w:val="229"/>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subject to repurchase</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r>
      <w:tr>
        <w:trPr>
          <w:trHeight w:val="230"/>
        </w:trPr>
        <w:tc>
          <w:tcPr>
            <w:tcW w:w="6080" w:type="dxa"/>
            <w:vAlign w:val="bottom"/>
          </w:tcPr>
          <w:p>
            <w:pPr>
              <w:ind w:left="60"/>
              <w:spacing w:after="0"/>
              <w:rPr>
                <w:sz w:val="20"/>
                <w:szCs w:val="20"/>
                <w:color w:val="auto"/>
              </w:rPr>
            </w:pPr>
            <w:r>
              <w:rPr>
                <w:rFonts w:ascii="Arial" w:cs="Arial" w:eastAsia="Arial" w:hAnsi="Arial"/>
                <w:sz w:val="18"/>
                <w:szCs w:val="18"/>
                <w:color w:val="auto"/>
              </w:rPr>
              <w:t>ESPP purchase rights</w:t>
            </w:r>
          </w:p>
        </w:tc>
        <w:tc>
          <w:tcPr>
            <w:tcW w:w="1440" w:type="dxa"/>
            <w:vAlign w:val="bottom"/>
          </w:tcPr>
          <w:p>
            <w:pPr>
              <w:jc w:val="right"/>
              <w:spacing w:after="0"/>
              <w:rPr>
                <w:sz w:val="20"/>
                <w:szCs w:val="20"/>
                <w:color w:val="auto"/>
              </w:rPr>
            </w:pPr>
            <w:r>
              <w:rPr>
                <w:rFonts w:ascii="Arial" w:cs="Arial" w:eastAsia="Arial" w:hAnsi="Arial"/>
                <w:sz w:val="18"/>
                <w:szCs w:val="18"/>
                <w:color w:val="auto"/>
              </w:rPr>
              <w:t>61,264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101,282</w:t>
            </w:r>
          </w:p>
        </w:tc>
      </w:tr>
      <w:tr>
        <w:trPr>
          <w:trHeight w:val="229"/>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warrants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r>
      <w:tr>
        <w:trPr>
          <w:trHeight w:val="223"/>
        </w:trPr>
        <w:tc>
          <w:tcPr>
            <w:tcW w:w="60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4,452,030</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4,379,350</w:t>
            </w:r>
          </w:p>
        </w:tc>
      </w:tr>
      <w:tr>
        <w:trPr>
          <w:trHeight w:val="20"/>
        </w:trPr>
        <w:tc>
          <w:tcPr>
            <w:tcW w:w="6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w:t>
      </w:r>
    </w:p>
    <w:p>
      <w:pPr>
        <w:spacing w:after="0" w:line="18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months ended March 31, 2022 and 2021, the Company expensed $6,225 and $10,000, respectively, of the reimbursement charges from SeaSpine. The reimbursement charges were recorded within research and development expense in the condensed consolidated statements of operations. The outstanding liability to SeaSpine as of March 31, 2022 amounted to $6,225, recorded within accounts payable in the condensed consolidated balance sheet. There was no outstanding liability to SeaSpine as of December 31, 2021.</w:t>
      </w:r>
    </w:p>
    <w:p>
      <w:pPr>
        <w:spacing w:after="0" w:line="17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months ended March 31, 2022 and 2021. The Company continues to maintain a full valuation allowance against its net deferred tax assets due to the uncertainty surrounding realization of such assets.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December 31,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37"/>
        <w:spacing w:after="0" w:line="255"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 2022.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of this Quarterly Report on Form 10-Q, our actual results could differ materially from the results described in, or implied, by these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We are a medical device company dedicated to solving musculoskeletal disorders of the sacropelvic anatomy. We have pioneered a proprietary minimally invasive surgical implant system, which we call iFuse, to addresss sacroiliac joint dysfunction and degeneration, adult deformity, pelvic ring traumatic fractures. Since we introduced iFuse in 2009, as of March 31, 2022, more than 65,000 procedures have been performed by over 2,700 surgeons in the U.S. and 36 other countries.</w:t>
      </w:r>
    </w:p>
    <w:p>
      <w:pPr>
        <w:spacing w:after="0" w:line="18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Our iFuse Implant System includes a series of patented titanium implants and the instruments we have developed to enable surgeons to perform the procedure. Surgeons place our implants across the sacroiliac joint, either from a lateral approach through the iliac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17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first-generation iFuse implant has a triangular cross section that resists twisting or rotation of the implant within the bone within which it is implanted, regardless of the surgical approach and technique used to place the implants. The triangular shape of our implants helps stabilize the joint, and the implants’ porous surface facilitates biologic fixation of the bone onto the implant, or bony ongrowth and ingrowth, that results in fusion. The implant has at least three times the strength of a typical eight-millimeter cannulated surgical screw, and the large porous surface area of our implants allows for bony ingrowth. We hold issued patents on implants with cross-sections of many non-round shapes, including the triangular shape of our first-generation iFuse implant. We also hold issued patents for the method of placing those implants across the sacroiliac joint, as well as other parts of the spine and pelvis.</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introduced our second-generation implant, iFuse-3D, in 2017. This patented titanium implant combines the triangular cross-section of the iFuse implant with the proprietary 3D-printed porous surface and fenestrated design. This design also allows the surgeon to fill the implant with ground-up bone before implantation, which some surgeons believe accelerates bone through-growth and biological fixation. iFuse-3D implants have shown positive bony ingrowth, ongrowth and through-growth and in animal studies, whether or not ground-up bone is used. We hold issued patents on 3D-printed triangular implants with fenestrations, or holes, which allow bone to grow into and through the implants.</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April 2019, we received clearance from the United States Food and Drug Administration, or FDA, to promote the use of our iFuse-3D implants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iFuse for this indication and surgical technique in Europe in December 2019. In March 2020, we received FDA 510(k) clearance for an expanded indication for our triangular iFuse implants to support our trauma program.</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2021, we received clearance from the FDA for iFuse-TORQ, a 3D-printed portfolio of threaded implants designed to meet the needs of pelvic trauma and minimally invasive sacroiliac joint fusion applications. iFuse-TORQ is targeted to address an unmet clinical need for low energy pelvic ring fractures and chronic sacroiliac joint pain after high energy pelvic ring trauma. iFuse-TORQ also provides an opportunity for us to capture competitive screw business for minimally invasive sacroiliac joint fusions.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U.S., and with a combination of a direct sales force and distributors in other countries.</w:t>
      </w:r>
    </w:p>
    <w:p>
      <w:pPr>
        <w:spacing w:after="0" w:line="11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expenses, from our first follow-on public offering of our common stock. In October 2020, we received a total of $71.6 million of net proceeds from our second follow-on offering of our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Impact of COVID-19 Pandemic</w:t>
      </w:r>
    </w:p>
    <w:p>
      <w:pPr>
        <w:spacing w:after="0" w:line="24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The global COVID-19 pandemic presents significant risks to us and has impacted, and continues to impact our business, operations, and financial results and condition, directly and indirectly, including, without limitation, impacts on the health of our management and employees; our manufacturing, distribution, marketing and sales operations; our research and development activities, including clinical activities; and customer and patient behaviors.</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Access to many hospitals and other customer sites was impacted by prevalence of COVID-19, which negatively impacts our ability to promote the use of our products with physicians. Additionally, many hospitals and ambulatory surgery centers have in the past suspended and may suspend in the future, many elective procedures, resulting in a reduced volume of procedures using our products. Our customer behavior is impacted by the prevalence of COVID-19 and changes in the infection rates in the locations where our customers reside. Quarantines, shelter-in-place, elective procedure moratoria and similar government orders have also impacted, and may continue to impact, our third-party manufacturers and suppliers, and could in turn adversely impact the availability or cost of materials, which could disrupt our supply chain. Periodic resurgence of the COVID-19 pandemic negatively impacted our revenues at various periods throughout 2021 and 2022 as evidenced by case deferrals attributed to COVID-19.</w:t>
      </w:r>
    </w:p>
    <w:p>
      <w:pPr>
        <w:spacing w:after="0" w:line="20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We have taken a variety of steps to address the impact of the COVID-19 pandemic, while attempting to minimize business disruption. Essential staff in operations and limited support functions worked from our Santa Clara headquarters throughout the pandemic, following appropriate hygiene and social distancing protocols. To reduce risk to our employees and families from potential exposure to COVID-19, other staff in our Santa Clara headquarters worked from home. We also restricted non-essential travel to protect the health and safety of our employees and customers. Starting June 15, 2021, we began the return to work for many of our headquarter-based personnel based upon new guidelines from the State of California. In December 2021, amid the rising cases related to the Omicron variant, we again required non-essential staff to work remotely until the level of cases subsided. We are continuing to monitor the impact of the COVID-19 pandemic on our employees and customers and on the markets in which we operate, and will take further actions that are considered prudent to address the COVID-19 pandemic, while ensuring that we can support our customers and continue to develop our products.</w:t>
      </w:r>
    </w:p>
    <w:p>
      <w:pPr>
        <w:spacing w:after="0" w:line="181"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While we have not experienced material disruptions to our supply chain to date, certain of our third-party suppliers have faced delays, product shortages and rising costs resulting from disruptions in the global supply chain, primarily related to our instruments. As a result, we are continuing to work closely with our manufacturing partners and suppliers, as well as determining alternative sourcing strategies to enable us to source key components and maintain appropriate inventory levels to meet customer demand.</w:t>
      </w:r>
    </w:p>
    <w:p>
      <w:pPr>
        <w:spacing w:after="0" w:line="21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existence and further duration of the COVID-19 pandemic may also further exacerbate certain risks as described in “Part II- Item 1A - Risk Factors” below.</w:t>
      </w:r>
    </w:p>
    <w:p>
      <w:pPr>
        <w:spacing w:after="0" w:line="19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We cannot currently predict with certainty the full extent to which the COVID-19 pandemic will impact demand for our products in the future, or the impact of the COVID-19 pandemic on our supply chain or other aspects of our business. Accordingly, the COVID-19 pandemic could have a material adverse effect on our results of operations, financial condition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 and Key Performance Indicators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leverage our sales force, increase surgeon activity and training, engage key opinion leaders, and leverage broad coverage.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our sales force</w:t>
      </w:r>
    </w:p>
    <w:p>
      <w:pPr>
        <w:spacing w:after="0" w:line="212"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8"/>
          <w:szCs w:val="18"/>
          <w:color w:val="auto"/>
        </w:rPr>
        <w:t>We have made significant investments in our sales force since our initial public offering in 2018. We have built a valuable sales team, and we believe they are the key to expand the market and deliver revenue growth. We limited new sales force hiring in the second and third quarter of 2020 due to uncertainty from the COVID-19 pandemic and focused on sales force productivity during this period, but resumed hiring of salespeople in the fourth quarter of 2020 and into 2021.</w:t>
      </w:r>
    </w:p>
    <w:p>
      <w:pPr>
        <w:spacing w:after="0" w:line="18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March 31, 2022, our U.S. sales force consisted of 88 territory sales managers and 66 clinical support specialists directly employed by us and 66 third-party distributors, compared to 75 territory sales managers and 52 clinical support specialists directly employed by us and 44 third-party distributors as of March 31, 2021. As of March 31, 2022, our international sales force consisted of 18 sales representatives directly employed by us and 31 exclusive third-party distributors, compared to 21 sales representatives directly employed by us and 28 exclusive third-party distributors as of March 31, 2021.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left="420"/>
        <w:spacing w:after="0"/>
        <w:rPr>
          <w:sz w:val="20"/>
          <w:szCs w:val="20"/>
          <w:color w:val="auto"/>
        </w:rPr>
      </w:pPr>
      <w:r>
        <w:rPr>
          <w:rFonts w:ascii="Arial" w:cs="Arial" w:eastAsia="Arial" w:hAnsi="Arial"/>
          <w:sz w:val="18"/>
          <w:szCs w:val="18"/>
          <w:b w:val="1"/>
          <w:bCs w:val="1"/>
          <w:i w:val="1"/>
          <w:iCs w:val="1"/>
          <w:color w:val="auto"/>
        </w:rPr>
        <w:t>Increase surgeon activity and training</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medical affairs team works closely with our sales team to increase surgeon activity and training. Surgeon activity includes both the number of surgeons performing iFuse procedures as well as the number of procedures performed per surgeon. As of March 31, 2022 and 2021, in the U.S., more than 1,800 surgeons and 1,600 surgeons, respectively, have been trained on iFuse and have treated at least one patient. Outside the U.S., as of each of March 31, 2022 and 2021, more than 700 surgeons have been trained on iFuse and have treated at least one patient. We will continue to pursue the remainder of the approximately 7,500 target surgeons in the U.S., as well as international surgeons for training in the future.</w:t>
      </w:r>
    </w:p>
    <w:p>
      <w:pPr>
        <w:spacing w:after="0" w:line="2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COVID-19 pandemic has challenged our traditional method of hands-on cadaveric and dry-lab training. Therefore, in addition to utilizing a virtual education series for surgeons and mid-level practitioners for training activities, we began using the SI-BONE SImulator - a portable, radiation-free, haptics and computer-based simulator for training purposes. Starting in July 2020 we began deploying the SImulators to cover all US regions and European subsidiaries and had 24 SImulators in our offices and the field as of the date of this report.</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Launch new products</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triangular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We received CE mark clearance for the promotion of the Bedrock technique in Europe in November 2019 and we launched the promotion of this technique in select European markets in December 2019.</w:t>
      </w:r>
    </w:p>
    <w:p>
      <w:pPr>
        <w:spacing w:after="0" w:line="19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we received FDA clearance for our new trauma product, iFuse-TORQ, in the first quarter of 2021. iFuse-TORQ is a highly differentiated 3D-printed threaded implant for pelvic trauma and minimally invasive sacroiliac joint fusion applications. Relative to competitive trauma products, iFuse-TORQ is roughly two times stronger in bending and requires 10 times the rotational resistance, or torque, to insert due to its porosity and other design features. We believe that this rotational resistance gives surgeons confidence in the strength of mechanical fixation that iFuse-TORQ provides, and that the technological advancements incorporated into iFuse-TORQ represent a significant improvement compared to conventional trauma screws. Furthermore, iFuse-TORQ has a larger surface area for bone ingrowth than competitive trauma products and was specifically designed to allow for osteointegration. The addition of iFuse-TORQ to our product portfolio will allow us to serve a significant unmet need for patients with pelvic trauma, as well as sacroiliac joint dysfunction and degeneration.</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Engage key opinion leaders</w:t>
      </w:r>
    </w:p>
    <w:p>
      <w:pPr>
        <w:spacing w:after="0" w:line="239"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7"/>
          <w:szCs w:val="17"/>
          <w:color w:val="auto"/>
        </w:rPr>
        <w:t>We conduct training courses in several academic centers in the U.S. and engage key opinion leaders to support our development efforts. Interest in the Bedrock technique among deformity surgeons, including many key opinion leaders, has provided our sales representatives with access to important academic medical centers in the U.S. This enables our representatives to train a broader group of spine surgeons, including residents and fellows at these centers, on both the Bedrock technique and minimally invasive sacroiliac fusion. To date, we have trained residents and fellows in over 175 academic programs in the U.S., resulting in the training of over 940 surgical residents and fellows since August 1, 2018.</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broad coverage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made significant progress in the number of covered lives for minimally invasive sacroiliac fusion in the U.S.</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March 31, 2022, substantially all U.S. payors reimburse for sacroiliac joint fusion. As of March 31, 2022, a significant number of U.S. payors have issued positive coverage policies exclusive to our patented design of triangular titanium implants for sacroiliac joint fusion because of the clinical evidence.</w:t>
      </w:r>
    </w:p>
    <w:p>
      <w:pPr>
        <w:spacing w:after="0" w:line="184"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We believe that the full impact of each coverage decision grows over time as surgeons gain confidence that they will receive reimbursement for the majority of their diagnosed patients. With recent payor decisions, over 300 million people in the U.S. now have access to minimally invasive SI joint fusion, representing nearly universal coverage of the procedure.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generate most of our revenue from sales of iFuse triangular titanium implants. Our revenue from sales of implants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seasonality, and the impact of COVID-19. 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9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Starting March 2020, the impact of COVID-19 pandemic on our revenue has varied by period and region based on various factors, including stage of containment, resurgence of variants, success of regional vaccination campaigns, and associated government and hospital actions around elective procedures.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225"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We utilize third-party manufacturers for production of our implants and instrument sets. Cost of goods sold consists primarily of costs of the components of implants and instruments, instrument set depreciation, scrap and inventory obsolescence, as well as distribution-related expenses such as logistics and shipping costs. Our cost of goods sold has historically increased as case levels increase.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During the second quarter of 2020, we took steps to reduce variable expenses that were ineffective and slowed down hiring due to the impact to our revenue from COVID-19. We returned to more normalized spending levels starting in the fourth quarter of 2020. We intend to make investments to execute our strategic plans and operational initiatives. We anticipate operating expenses will continue to increase to support our growth.</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Sales and Marketing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direct territory sales managers, clinical support specialists and third-party distributors.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left="4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General and administrative expenses primarily consist of salaries, stock-based compensation expense, and other costs for finance, accounting, legal, insurance, compliance, and administrative matters.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income is primarily related to our investments of excess cash in money market funds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is primarily related to borrowings, amortization of debt issuance costs and accretion of final fees on the Solar and SVB Term Loan.</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1"/>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51"/>
              <w:spacing w:after="0"/>
              <w:rPr>
                <w:sz w:val="20"/>
                <w:szCs w:val="20"/>
                <w:color w:val="auto"/>
              </w:rPr>
            </w:pPr>
            <w:r>
              <w:rPr>
                <w:rFonts w:ascii="Arial" w:cs="Arial" w:eastAsia="Arial" w:hAnsi="Arial"/>
                <w:sz w:val="16"/>
                <w:szCs w:val="16"/>
                <w:b w:val="1"/>
                <w:bCs w:val="1"/>
                <w:color w:val="auto"/>
              </w:rPr>
              <w:t>Amount</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Amount</w:t>
            </w:r>
          </w:p>
        </w:tc>
        <w:tc>
          <w:tcPr>
            <w:tcW w:w="14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20" w:type="dxa"/>
            <w:vAlign w:val="bottom"/>
            <w:gridSpan w:val="5"/>
          </w:tcPr>
          <w:p>
            <w:pPr>
              <w:jc w:val="right"/>
              <w:ind w:right="291"/>
              <w:spacing w:after="0"/>
              <w:rPr>
                <w:sz w:val="20"/>
                <w:szCs w:val="20"/>
                <w:color w:val="auto"/>
              </w:rPr>
            </w:pPr>
            <w:r>
              <w:rPr>
                <w:rFonts w:ascii="Arial" w:cs="Arial" w:eastAsia="Arial" w:hAnsi="Arial"/>
                <w:sz w:val="16"/>
                <w:szCs w:val="16"/>
                <w:b w:val="1"/>
                <w:bCs w:val="1"/>
                <w:color w:val="auto"/>
                <w:w w:val="95"/>
              </w:rPr>
              <w:t>(in thousands, except for percentages)</w:t>
            </w: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200" w:type="dxa"/>
            <w:vAlign w:val="bottom"/>
            <w:gridSpan w:val="3"/>
          </w:tcPr>
          <w:p>
            <w:pPr>
              <w:ind w:left="500"/>
              <w:spacing w:after="0"/>
              <w:rPr>
                <w:sz w:val="20"/>
                <w:szCs w:val="20"/>
                <w:color w:val="auto"/>
              </w:rPr>
            </w:pPr>
            <w:r>
              <w:rPr>
                <w:rFonts w:ascii="Arial" w:cs="Arial" w:eastAsia="Arial" w:hAnsi="Arial"/>
                <w:sz w:val="18"/>
                <w:szCs w:val="18"/>
                <w:b w:val="1"/>
                <w:bCs w:val="1"/>
                <w:color w:val="auto"/>
              </w:rPr>
              <w:t>Consolidated Statements of Operations Data:</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22,439</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20,442</w:t>
            </w:r>
          </w:p>
        </w:tc>
        <w:tc>
          <w:tcPr>
            <w:tcW w:w="1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Cost of goods sold</w:t>
            </w:r>
          </w:p>
        </w:tc>
        <w:tc>
          <w:tcPr>
            <w:tcW w:w="8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2,983</w:t>
            </w: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2,200</w:t>
            </w:r>
          </w:p>
        </w:tc>
        <w:tc>
          <w:tcPr>
            <w:tcW w:w="14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8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19,456</w:t>
            </w:r>
          </w:p>
        </w:tc>
        <w:tc>
          <w:tcPr>
            <w:tcW w:w="8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87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18,242</w:t>
            </w:r>
          </w:p>
        </w:tc>
        <w:tc>
          <w:tcPr>
            <w:tcW w:w="1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720" w:type="dxa"/>
            <w:vAlign w:val="bottom"/>
          </w:tcPr>
          <w:p>
            <w:pPr>
              <w:ind w:left="500"/>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25,605</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20,922</w:t>
            </w:r>
          </w:p>
        </w:tc>
        <w:tc>
          <w:tcPr>
            <w:tcW w:w="1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tcPr>
          <w:p>
            <w:pPr>
              <w:ind w:left="700"/>
              <w:spacing w:after="0"/>
              <w:rPr>
                <w:sz w:val="20"/>
                <w:szCs w:val="20"/>
                <w:color w:val="auto"/>
              </w:rPr>
            </w:pPr>
            <w:r>
              <w:rPr>
                <w:rFonts w:ascii="Arial" w:cs="Arial" w:eastAsia="Arial" w:hAnsi="Arial"/>
                <w:sz w:val="18"/>
                <w:szCs w:val="18"/>
                <w:color w:val="auto"/>
                <w:w w:val="90"/>
              </w:rPr>
              <w:t>Research and development</w:t>
            </w:r>
          </w:p>
        </w:tc>
        <w:tc>
          <w:tcPr>
            <w:tcW w:w="800" w:type="dxa"/>
            <w:vAlign w:val="bottom"/>
          </w:tcPr>
          <w:p>
            <w:pPr>
              <w:spacing w:after="0"/>
              <w:rPr>
                <w:sz w:val="19"/>
                <w:szCs w:val="19"/>
                <w:color w:val="auto"/>
              </w:rPr>
            </w:pPr>
          </w:p>
        </w:tc>
        <w:tc>
          <w:tcPr>
            <w:tcW w:w="1680" w:type="dxa"/>
            <w:vAlign w:val="bottom"/>
          </w:tcPr>
          <w:p>
            <w:pPr>
              <w:jc w:val="right"/>
              <w:ind w:right="631"/>
              <w:spacing w:after="0"/>
              <w:rPr>
                <w:sz w:val="20"/>
                <w:szCs w:val="20"/>
                <w:color w:val="auto"/>
              </w:rPr>
            </w:pPr>
            <w:r>
              <w:rPr>
                <w:rFonts w:ascii="Arial" w:cs="Arial" w:eastAsia="Arial" w:hAnsi="Arial"/>
                <w:sz w:val="18"/>
                <w:szCs w:val="18"/>
                <w:color w:val="auto"/>
              </w:rPr>
              <w:t>3,580</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2,955</w:t>
            </w:r>
          </w:p>
        </w:tc>
        <w:tc>
          <w:tcPr>
            <w:tcW w:w="1460" w:type="dxa"/>
            <w:vAlign w:val="bottom"/>
          </w:tcPr>
          <w:p>
            <w:pPr>
              <w:jc w:val="right"/>
              <w:ind w:right="251"/>
              <w:spacing w:after="0"/>
              <w:rPr>
                <w:sz w:val="20"/>
                <w:szCs w:val="20"/>
                <w:color w:val="auto"/>
              </w:rPr>
            </w:pPr>
            <w:r>
              <w:rPr>
                <w:rFonts w:ascii="Arial" w:cs="Arial" w:eastAsia="Arial" w:hAnsi="Arial"/>
                <w:sz w:val="18"/>
                <w:szCs w:val="18"/>
                <w:color w:val="auto"/>
              </w:rPr>
              <w:t>14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General and administrative</w:t>
            </w:r>
          </w:p>
        </w:tc>
        <w:tc>
          <w:tcPr>
            <w:tcW w:w="8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7,139</w:t>
            </w:r>
          </w:p>
        </w:tc>
        <w:tc>
          <w:tcPr>
            <w:tcW w:w="8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5,940</w:t>
            </w:r>
          </w:p>
        </w:tc>
        <w:tc>
          <w:tcPr>
            <w:tcW w:w="1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36,324</w:t>
            </w: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162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29,817</w:t>
            </w:r>
          </w:p>
        </w:tc>
        <w:tc>
          <w:tcPr>
            <w:tcW w:w="14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8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(16,868)</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gridSpan w:val="2"/>
          </w:tcPr>
          <w:p>
            <w:pPr>
              <w:ind w:left="500"/>
              <w:spacing w:after="0"/>
              <w:rPr>
                <w:sz w:val="20"/>
                <w:szCs w:val="20"/>
                <w:color w:val="auto"/>
              </w:rPr>
            </w:pPr>
            <w:r>
              <w:rPr>
                <w:rFonts w:ascii="Arial" w:cs="Arial" w:eastAsia="Arial" w:hAnsi="Arial"/>
                <w:sz w:val="18"/>
                <w:szCs w:val="18"/>
                <w:color w:val="auto"/>
                <w:w w:val="91"/>
              </w:rPr>
              <w:t>Interest and other income (expense), net:</w:t>
            </w:r>
          </w:p>
        </w:tc>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73</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9"/>
                <w:szCs w:val="19"/>
                <w:color w:val="auto"/>
              </w:rPr>
            </w:pPr>
          </w:p>
        </w:tc>
        <w:tc>
          <w:tcPr>
            <w:tcW w:w="1680" w:type="dxa"/>
            <w:vAlign w:val="bottom"/>
          </w:tcPr>
          <w:p>
            <w:pPr>
              <w:jc w:val="right"/>
              <w:ind w:right="571"/>
              <w:spacing w:after="0"/>
              <w:rPr>
                <w:sz w:val="20"/>
                <w:szCs w:val="20"/>
                <w:color w:val="auto"/>
              </w:rPr>
            </w:pPr>
            <w:r>
              <w:rPr>
                <w:rFonts w:ascii="Arial" w:cs="Arial" w:eastAsia="Arial" w:hAnsi="Arial"/>
                <w:sz w:val="18"/>
                <w:szCs w:val="18"/>
                <w:color w:val="auto"/>
              </w:rPr>
              <w:t>(561)</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(1,064)</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700"/>
              <w:spacing w:after="0" w:line="176" w:lineRule="exact"/>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ind w:right="571"/>
              <w:spacing w:after="0"/>
              <w:rPr>
                <w:sz w:val="20"/>
                <w:szCs w:val="20"/>
                <w:color w:val="auto"/>
              </w:rPr>
            </w:pPr>
            <w:r>
              <w:rPr>
                <w:rFonts w:ascii="Arial" w:cs="Arial" w:eastAsia="Arial" w:hAnsi="Arial"/>
                <w:sz w:val="18"/>
                <w:szCs w:val="18"/>
                <w:color w:val="auto"/>
              </w:rPr>
              <w:t>(54)</w:t>
            </w:r>
          </w:p>
        </w:tc>
        <w:tc>
          <w:tcPr>
            <w:tcW w:w="86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46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8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Pr>
          <w:p>
            <w:pPr>
              <w:ind w:left="500"/>
              <w:spacing w:after="0"/>
              <w:rPr>
                <w:sz w:val="20"/>
                <w:szCs w:val="20"/>
                <w:color w:val="auto"/>
              </w:rPr>
            </w:pPr>
            <w:r>
              <w:rPr>
                <w:rFonts w:ascii="Arial" w:cs="Arial" w:eastAsia="Arial" w:hAnsi="Arial"/>
                <w:sz w:val="18"/>
                <w:szCs w:val="18"/>
                <w:color w:val="auto"/>
              </w:rPr>
              <w:t>Net loss</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(17,410)</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derive the majority of our revenue from sales to customers in the U.S. Revenue by geography is based on billing address of the customer. The table below summarizes our revenue by geography:</w:t>
      </w:r>
    </w:p>
    <w:p>
      <w:pPr>
        <w:spacing w:after="0" w:line="211"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18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6"/>
                <w:szCs w:val="16"/>
                <w:b w:val="1"/>
                <w:bCs w:val="1"/>
                <w:color w:val="auto"/>
              </w:rPr>
              <w:t>Three Months Ended March 31,</w:t>
            </w: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18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210"/>
        </w:trPr>
        <w:tc>
          <w:tcPr>
            <w:tcW w:w="18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54"/>
              <w:spacing w:after="0"/>
              <w:rPr>
                <w:sz w:val="20"/>
                <w:szCs w:val="20"/>
                <w:color w:val="auto"/>
              </w:rPr>
            </w:pPr>
            <w:r>
              <w:rPr>
                <w:rFonts w:ascii="Arial" w:cs="Arial" w:eastAsia="Arial" w:hAnsi="Arial"/>
                <w:sz w:val="16"/>
                <w:szCs w:val="16"/>
                <w:b w:val="1"/>
                <w:bCs w:val="1"/>
                <w:color w:val="auto"/>
              </w:rPr>
              <w:t>Amount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r>
      <w:tr>
        <w:trPr>
          <w:trHeight w:val="210"/>
        </w:trPr>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20" w:type="dxa"/>
            <w:vAlign w:val="bottom"/>
            <w:gridSpan w:val="5"/>
          </w:tcPr>
          <w:p>
            <w:pPr>
              <w:jc w:val="right"/>
              <w:ind w:right="192"/>
              <w:spacing w:after="0"/>
              <w:rPr>
                <w:sz w:val="20"/>
                <w:szCs w:val="20"/>
                <w:color w:val="auto"/>
              </w:rPr>
            </w:pPr>
            <w:r>
              <w:rPr>
                <w:rFonts w:ascii="Arial" w:cs="Arial" w:eastAsia="Arial" w:hAnsi="Arial"/>
                <w:sz w:val="16"/>
                <w:szCs w:val="16"/>
                <w:b w:val="1"/>
                <w:bCs w:val="1"/>
                <w:color w:val="auto"/>
                <w:w w:val="93"/>
              </w:rPr>
              <w:t>(in thousands except for percentages)</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2"/>
        </w:trPr>
        <w:tc>
          <w:tcPr>
            <w:tcW w:w="1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20,367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International</w:t>
            </w:r>
          </w:p>
        </w:tc>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rPr>
              <w:t>2,072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1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22,439</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Comparison of the Three Months Ended March 31, 2022 and 2021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gridSpan w:val="3"/>
          </w:tcPr>
          <w:p>
            <w:pPr>
              <w:ind w:left="460"/>
              <w:spacing w:after="0"/>
              <w:rPr>
                <w:sz w:val="20"/>
                <w:szCs w:val="20"/>
                <w:color w:val="auto"/>
              </w:rPr>
            </w:pPr>
            <w:r>
              <w:rPr>
                <w:rFonts w:ascii="Arial" w:cs="Arial" w:eastAsia="Arial" w:hAnsi="Arial"/>
                <w:sz w:val="18"/>
                <w:szCs w:val="18"/>
                <w:b w:val="1"/>
                <w:bCs w:val="1"/>
                <w:i w:val="1"/>
                <w:iCs w:val="1"/>
                <w:color w:val="auto"/>
                <w:w w:val="87"/>
              </w:rPr>
              <w:t>Revenue, Cost of Goods Sold, Gross Profit, and Gross Margin</w:t>
            </w:r>
            <w:r>
              <w:rPr>
                <w:rFonts w:ascii="Arial" w:cs="Arial" w:eastAsia="Arial" w:hAnsi="Arial"/>
                <w:sz w:val="18"/>
                <w:szCs w:val="18"/>
                <w:color w:val="auto"/>
                <w:w w:val="87"/>
              </w:rPr>
              <w:t>:</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320" w:type="dxa"/>
            <w:vAlign w:val="bottom"/>
            <w:gridSpan w:val="6"/>
          </w:tcPr>
          <w:p>
            <w:pPr>
              <w:ind w:left="48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 Change</w:t>
            </w: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right"/>
              <w:ind w:right="212"/>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22,439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20,442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500" w:type="dxa"/>
            <w:vAlign w:val="bottom"/>
            <w:tcBorders>
              <w:bottom w:val="single" w:sz="8" w:color="CCEEFF"/>
            </w:tcBorders>
          </w:tcPr>
          <w:p>
            <w:pPr>
              <w:jc w:val="center"/>
              <w:ind w:left="32"/>
              <w:spacing w:after="0"/>
              <w:rPr>
                <w:sz w:val="20"/>
                <w:szCs w:val="20"/>
                <w:color w:val="auto"/>
              </w:rPr>
            </w:pPr>
            <w:r>
              <w:rPr>
                <w:rFonts w:ascii="Arial" w:cs="Arial" w:eastAsia="Arial" w:hAnsi="Arial"/>
                <w:sz w:val="18"/>
                <w:szCs w:val="18"/>
                <w:color w:val="auto"/>
                <w:w w:val="94"/>
              </w:rPr>
              <w:t>36%</w:t>
            </w:r>
          </w:p>
        </w:tc>
        <w:tc>
          <w:tcPr>
            <w:tcW w:w="0" w:type="dxa"/>
            <w:vAlign w:val="bottom"/>
          </w:tcPr>
          <w:p>
            <w:pPr>
              <w:spacing w:after="0"/>
              <w:rPr>
                <w:sz w:val="1"/>
                <w:szCs w:val="1"/>
                <w:color w:val="auto"/>
              </w:rPr>
            </w:pPr>
          </w:p>
        </w:tc>
      </w:tr>
      <w:tr>
        <w:trPr>
          <w:trHeight w:val="248"/>
        </w:trPr>
        <w:tc>
          <w:tcPr>
            <w:tcW w:w="46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19,456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50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41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87 %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line="204" w:lineRule="exact"/>
              <w:rPr>
                <w:sz w:val="20"/>
                <w:szCs w:val="20"/>
                <w:color w:val="auto"/>
              </w:rPr>
            </w:pPr>
            <w:r>
              <w:rPr>
                <w:rFonts w:ascii="Arial" w:cs="Arial" w:eastAsia="Arial" w:hAnsi="Arial"/>
                <w:sz w:val="18"/>
                <w:szCs w:val="18"/>
                <w:color w:val="auto"/>
              </w:rPr>
              <w:t>89 %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both"/>
        <w:ind w:firstLine="486"/>
        <w:spacing w:after="0" w:line="228"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increase in revenue for the three months ended March 31, 2022 as compared to the three months ended March 31, 2021 comprised a</w:t>
      </w:r>
      <w:r>
        <w:rPr>
          <w:rFonts w:ascii="Arial" w:cs="Arial" w:eastAsia="Arial" w:hAnsi="Arial"/>
          <w:sz w:val="18"/>
          <w:szCs w:val="18"/>
          <w:i w:val="1"/>
          <w:iCs w:val="1"/>
          <w:color w:val="auto"/>
        </w:rPr>
        <w:t xml:space="preserve"> </w:t>
      </w:r>
      <w:r>
        <w:rPr>
          <w:rFonts w:ascii="Arial" w:cs="Arial" w:eastAsia="Arial" w:hAnsi="Arial"/>
          <w:sz w:val="18"/>
          <w:szCs w:val="18"/>
          <w:color w:val="auto"/>
        </w:rPr>
        <w:t>$1.6 million increase in our U.S. revenue and an increase of $0.4 million in our international revenue. The increase in revenue is due to the increase in domestic and international case volumes, higher number of sales personnel as we continue to invest in our sales organization and increased active surgeons, which benefited from the use of our SImulator to train both new surgeons and re-engage inactive surgeons. This increase was partially offset by lower average selling prices in the U.S.</w:t>
      </w:r>
    </w:p>
    <w:p>
      <w:pPr>
        <w:spacing w:after="0" w:line="21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increased $1.2 million for the three months ended March 31, 2022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mainly driven by higher revenue. The gross margin was 87% for the three months ended March 31, 2022 as compared to 89% for the three months ended March 31, 2021. Gross margin decreased in the first quarter 2022 due to an increase in cost of operations to support the growth of the business.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5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4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 Change</w:t>
            </w:r>
          </w:p>
        </w:tc>
        <w:tc>
          <w:tcPr>
            <w:tcW w:w="16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660" w:type="dxa"/>
            <w:vAlign w:val="bottom"/>
          </w:tcPr>
          <w:p>
            <w:pPr>
              <w:spacing w:after="0"/>
              <w:rPr>
                <w:sz w:val="18"/>
                <w:szCs w:val="18"/>
                <w:color w:val="auto"/>
              </w:rPr>
            </w:pPr>
          </w:p>
        </w:tc>
      </w:tr>
      <w:tr>
        <w:trPr>
          <w:trHeight w:val="232"/>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422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w:t>
            </w:r>
          </w:p>
        </w:tc>
        <w:tc>
          <w:tcPr>
            <w:tcW w:w="166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422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w:t>
            </w:r>
          </w:p>
        </w:tc>
        <w:tc>
          <w:tcPr>
            <w:tcW w:w="16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increase in sales and marketing expenses for the three months ended March 31, 2022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was primarily due to (a) increases in employee related costs, commissions and stock-based compensation of $3.0 million driven by increased headcount and higher revenues, (b) as COVID-19 pandemic restrictions eased, we experienced higher levels of travel, marketing, training activities, facilities and other related costs resulting in an increase of $1.5 million and (c) higher consulting fees of $0.2 million associated with more surgeon training programs and surgeon consulting fees.</w:t>
      </w:r>
    </w:p>
    <w:p>
      <w:pPr>
        <w:spacing w:after="0" w:line="18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The increase in research and development expenses for the three months ended March 31,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2021 was primarily due to an increase of $0.4 million in employee related costs and stock-based compensation driven by increased headcount and an increase of $0.2 million due to increased clinical study, research and development activities and facilities costs.</w:t>
      </w:r>
    </w:p>
    <w:p>
      <w:pPr>
        <w:spacing w:after="0" w:line="149"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The increase in general and administrative expenses for the three months ended March 31,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2021 was primarily due to an increase of $1.0 million in employee related costs and stock-based compensation driven by increased headcount and an increase of $0.2 million in consulting, accounting and audit fees associated with SOX compliance requirements.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 Change</w:t>
            </w:r>
          </w:p>
        </w:tc>
        <w:tc>
          <w:tcPr>
            <w:tcW w:w="16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4"/>
          </w:tcPr>
          <w:p>
            <w:pPr>
              <w:jc w:val="right"/>
              <w:ind w:right="34"/>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660" w:type="dxa"/>
            <w:vAlign w:val="bottom"/>
          </w:tcPr>
          <w:p>
            <w:pPr>
              <w:spacing w:after="0"/>
              <w:rPr>
                <w:sz w:val="18"/>
                <w:szCs w:val="18"/>
                <w:color w:val="auto"/>
              </w:rPr>
            </w:pPr>
          </w:p>
        </w:tc>
      </w:tr>
      <w:tr>
        <w:trPr>
          <w:trHeight w:val="232"/>
        </w:trPr>
        <w:tc>
          <w:tcPr>
            <w:tcW w:w="4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452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4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4520" w:type="dxa"/>
            <w:vAlign w:val="bottom"/>
          </w:tcPr>
          <w:p>
            <w:pPr>
              <w:ind w:left="60"/>
              <w:spacing w:after="0"/>
              <w:rPr>
                <w:sz w:val="20"/>
                <w:szCs w:val="20"/>
                <w:color w:val="auto"/>
              </w:rPr>
            </w:pPr>
            <w:r>
              <w:rPr>
                <w:rFonts w:ascii="Arial" w:cs="Arial" w:eastAsia="Arial" w:hAnsi="Arial"/>
                <w:sz w:val="18"/>
                <w:szCs w:val="18"/>
                <w:color w:val="auto"/>
              </w:rPr>
              <w:t>Total interest and other expense, net</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4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The increase in interest income for the three months ended March 31, 2022 as compared to the three months ended March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was mainly due to higher interest earned on our investments in marketable securities, primarily as a result of higher interest rates.</w:t>
      </w:r>
    </w:p>
    <w:p>
      <w:pPr>
        <w:spacing w:after="0" w:line="14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decrease in interest expense for the three months ended March 31, 2022 as compared to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was primarily due to lower interest associated with the SVB Term Loan compared to the Solar Term Loan.</w:t>
      </w:r>
    </w:p>
    <w:p>
      <w:pPr>
        <w:spacing w:after="0" w:line="17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decreased for the three months ended March 31, 2022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due to foreign currency fluctuations.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8"/>
          <w:szCs w:val="18"/>
          <w:color w:val="auto"/>
        </w:rPr>
        <w:t>As of March 31, 2022, we had cash and marketable securities of $130.7 million compared to $147.0 million as of December 31, 2021. We have financed our operations primarily through our public offerings and debt financing arrangements. As of March 31, 2022 and December 31, 2021, we had $35.0 million in outstanding debt.</w:t>
      </w:r>
    </w:p>
    <w:p>
      <w:pPr>
        <w:ind w:left="460"/>
        <w:spacing w:after="0" w:line="233" w:lineRule="auto"/>
        <w:rPr>
          <w:sz w:val="20"/>
          <w:szCs w:val="20"/>
          <w:color w:val="auto"/>
        </w:rPr>
      </w:pPr>
      <w:r>
        <w:rPr>
          <w:rFonts w:ascii="Arial" w:cs="Arial" w:eastAsia="Arial" w:hAnsi="Arial"/>
          <w:sz w:val="17"/>
          <w:szCs w:val="17"/>
          <w:color w:val="auto"/>
        </w:rPr>
        <w:t>As of March 31, 2022, we had an accumulated deficit of $313.3 million, compared to $295.8 million as of December 31, 2021. During the three</w:t>
      </w:r>
    </w:p>
    <w:p>
      <w:pPr>
        <w:spacing w:after="0"/>
        <w:rPr>
          <w:sz w:val="20"/>
          <w:szCs w:val="20"/>
          <w:color w:val="auto"/>
        </w:rPr>
      </w:pPr>
      <w:r>
        <w:rPr>
          <w:rFonts w:ascii="Arial" w:cs="Arial" w:eastAsia="Arial" w:hAnsi="Arial"/>
          <w:sz w:val="16"/>
          <w:szCs w:val="16"/>
          <w:color w:val="auto"/>
        </w:rPr>
        <w:t>months ended March 31, 2022, we incurred a net loss of $17.4 million. During the years ended December 31, 2021 and 2020, we incurred a net loss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$56.6 million and $43.7 million, respectively, and expect to incur additional losses in the future. We have not achieved positive cash flow from operations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to date.</w:t>
      </w:r>
    </w:p>
    <w:p>
      <w:pPr>
        <w:spacing w:after="0" w:line="196"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Based upon our current operating plan, we believe that our existing cash and marketable securities will enable us to fund our operating expenses and capital expenditure requirements over the next 12 months and beyond. However, the economic impact of the duration and severity of the COVID-19 pandemic, and our responses thereto (including such actions we have taken or may take in the future as disclosed elsewhere in this Report) pose risks and uncertainties in our future available capital resources. Further, we may face challenges and uncertainties and, as a result, may need to raise additional capital as our available capital resources may be consumed more rapidly than currently expected due to, but not limited to, the following as a result of the COVID-19 pandemic or otherwise: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right="20" w:firstLine="405"/>
        <w:spacing w:after="0" w:line="324" w:lineRule="auto"/>
        <w:rPr>
          <w:sz w:val="20"/>
          <w:szCs w:val="20"/>
          <w:color w:val="auto"/>
        </w:rPr>
      </w:pPr>
      <w:r>
        <w:rPr>
          <w:rFonts w:ascii="Arial" w:cs="Arial" w:eastAsia="Arial" w:hAnsi="Arial"/>
          <w:sz w:val="16"/>
          <w:szCs w:val="16"/>
          <w:color w:val="auto"/>
        </w:rPr>
        <w:t>In May 29, 2020, we entered into a term loan with Solar Capital Partners (“Solar”). Pursuant to the Loan and Security Agreement, Solar provided an aggregate principal amount of $40.0 million term loan (the “Solar Term Loan”). We paid in full and terminated the Solar Term Loan in August 2021.</w:t>
      </w:r>
    </w:p>
    <w:p>
      <w:pPr>
        <w:spacing w:after="0" w:line="124"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6"/>
          <w:szCs w:val="16"/>
          <w:color w:val="auto"/>
        </w:rPr>
        <w:t>The outstanding debt as of March 31, 2022 and December 31, 2021 is related to a term loan pursuant to the Loan and Security Agreement dated August 12, 2021 (the “Effective Date”), entered into by us with Silicon Valley Bank (“SVB”). Pursuant the agreement, SVB provided an aggregate principal amount of $35.0 million to us (the “SVB Term Loan”). We used the proceeds of the SVB Term Loan to repay in full and terminate the Solar Term Loan, which was accounted for as debt extinguishment in accordance with the accounting standards. We recognized the unamortized debt issuance costs and unaccreted value of final fee of $1.3 million and the prepayment penalty and lender fees of $0.5 million related to Solar Term Loan as a loss on debt extinguishment. The costs and fees are reflected as interest expense in the condensed consolidated statement of operations for the three months ended March 31, 2022. The total debt issuance costs of $0.1 million associated with the SVB Term Loan were recorded in the condensed consolidated balance sheet as a direct deduction from the carrying amount of the loan, and are amortized as a component of interest expense using straight-line method over the life of the term loan. The SVB Term Loan matures (the “Maturity Date”) on either (a) August 1, 2025 or (b) August 1, 2026 dependent on our achievement of a certain financial performance milestone as of December 31, 2022, as set forth in the Loan Agreement. Interest on the SVB Term Loan is payable monthly at an annual rate set at the greater of (a) 5.75% and (b) prime rate as published in the Wall Street Journal plus 2.5%. Commencing on September 1, 2023, we will be required to make monthly principal amortization payments. We 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 The SVB Term Loan is secured by substantially all our assets other than our intellectual property. We are also obligated to pay a final payment equal to $0.7 million or 2% of the aggregate principal amount of the SVB Term Loan, which is considered fully earned by SVB on the effective date of the Loan and Security Agreement with SVB. This final payment shall be due and payable on the earliest of (i) the maturity date, (ii) the full repayment of the loan, (iii) permitted prepayment and mandatory prepayment upon an acceleration as specified</w:t>
      </w:r>
    </w:p>
    <w:p>
      <w:pPr>
        <w:spacing w:after="0" w:line="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the agreement or (iv) the termination of the agreement. The final payment is included within the long-term borrowings and is accreted to interest expense using straight-line method over the life of the term loan.</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Loan Agreement includes affirmative and negative covenants applicable to us and certain of its foreign subsidiaries. The affirmative covenants include, among others, covenants requiring us to maintain its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 As of March 31, 2022, we were in compliance with all debt covenants.</w:t>
      </w:r>
    </w:p>
    <w:p>
      <w:pPr>
        <w:spacing w:after="0" w:line="15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material cash requirements include various contractual and other obligations consisting of long-term debt obligations with SVB, operating lease obligations and purchase obligations with some of our suppliers and have not changed materially since the 2021 Form 10-K filed with the SEC on March 1, 2022. As of March 31, 2022, expected timing of those payments are as follows:</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Payments Due By Period</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540" w:type="dxa"/>
            <w:vAlign w:val="bottom"/>
          </w:tcPr>
          <w:p>
            <w:pPr>
              <w:spacing w:after="0"/>
              <w:rPr>
                <w:sz w:val="13"/>
                <w:szCs w:val="13"/>
                <w:color w:val="auto"/>
              </w:rPr>
            </w:pPr>
          </w:p>
        </w:tc>
        <w:tc>
          <w:tcPr>
            <w:tcW w:w="10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Less than 1</w:t>
            </w:r>
          </w:p>
        </w:tc>
        <w:tc>
          <w:tcPr>
            <w:tcW w:w="60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1-3 years</w:t>
            </w:r>
          </w:p>
        </w:tc>
        <w:tc>
          <w:tcPr>
            <w:tcW w:w="58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4-5 years</w:t>
            </w:r>
          </w:p>
        </w:tc>
        <w:tc>
          <w:tcPr>
            <w:tcW w:w="14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year</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years</w:t>
            </w: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w w:val="95"/>
              </w:rPr>
              <w:t>Principal obligations and final fee on</w:t>
            </w:r>
          </w:p>
        </w:tc>
        <w:tc>
          <w:tcPr>
            <w:tcW w:w="6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4"/>
                <w:szCs w:val="14"/>
                <w:color w:val="auto"/>
              </w:rPr>
              <w:t>(1)</w:t>
            </w:r>
          </w:p>
        </w:tc>
        <w:tc>
          <w:tcPr>
            <w:tcW w:w="6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(2)</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lease obligations</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780" w:type="dxa"/>
            <w:vAlign w:val="bottom"/>
          </w:tcPr>
          <w:p>
            <w:pPr>
              <w:ind w:left="420"/>
              <w:spacing w:after="0"/>
              <w:rPr>
                <w:sz w:val="20"/>
                <w:szCs w:val="20"/>
                <w:color w:val="auto"/>
              </w:rPr>
            </w:pPr>
            <w:r>
              <w:rPr>
                <w:rFonts w:ascii="Arial" w:cs="Arial" w:eastAsia="Arial" w:hAnsi="Arial"/>
                <w:sz w:val="18"/>
                <w:szCs w:val="18"/>
                <w:color w:val="auto"/>
              </w:rPr>
              <w:t>Purchase obligations</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316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31" w:lineRule="exact"/>
        <w:rPr>
          <w:sz w:val="20"/>
          <w:szCs w:val="20"/>
          <w:color w:val="auto"/>
        </w:rPr>
      </w:pPr>
    </w:p>
    <w:p>
      <w:pPr>
        <w:ind w:left="480" w:hanging="310"/>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principal obligations and the final fee at maturities of our SVB Term Loan.</w:t>
      </w:r>
    </w:p>
    <w:p>
      <w:pPr>
        <w:spacing w:after="0" w:line="13" w:lineRule="exact"/>
        <w:rPr>
          <w:rFonts w:ascii="Arial" w:cs="Arial" w:eastAsia="Arial" w:hAnsi="Arial"/>
          <w:sz w:val="14"/>
          <w:szCs w:val="14"/>
          <w:color w:val="auto"/>
        </w:rPr>
      </w:pPr>
    </w:p>
    <w:p>
      <w:pPr>
        <w:ind w:left="480" w:hanging="310"/>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future interest obligations on our SVB Term Loan estimated using an interest rate of 6.0% as of March 31, 2022.</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compared to $48.4 million of contractual obligations as of December 31, 2021 .</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March 31,</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5"/>
        </w:trPr>
        <w:tc>
          <w:tcPr>
            <w:tcW w:w="4580" w:type="dxa"/>
            <w:vAlign w:val="bottom"/>
          </w:tcPr>
          <w:p>
            <w:pPr>
              <w:ind w:left="60"/>
              <w:spacing w:after="0"/>
              <w:rPr>
                <w:sz w:val="20"/>
                <w:szCs w:val="20"/>
                <w:color w:val="auto"/>
              </w:rPr>
            </w:pPr>
            <w:r>
              <w:rPr>
                <w:rFonts w:ascii="Arial" w:cs="Arial" w:eastAsia="Arial" w:hAnsi="Arial"/>
                <w:sz w:val="18"/>
                <w:szCs w:val="18"/>
                <w:b w:val="1"/>
                <w:bCs w:val="1"/>
                <w:color w:val="auto"/>
              </w:rPr>
              <w:t>Net cash provided by (used in):</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activities</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30"/>
        </w:trPr>
        <w:tc>
          <w:tcPr>
            <w:tcW w:w="4580" w:type="dxa"/>
            <w:vAlign w:val="bottom"/>
          </w:tcPr>
          <w:p>
            <w:pPr>
              <w:ind w:left="60"/>
              <w:spacing w:after="0"/>
              <w:rPr>
                <w:sz w:val="20"/>
                <w:szCs w:val="20"/>
                <w:color w:val="auto"/>
              </w:rPr>
            </w:pPr>
            <w:r>
              <w:rPr>
                <w:rFonts w:ascii="Arial" w:cs="Arial" w:eastAsia="Arial" w:hAnsi="Arial"/>
                <w:sz w:val="18"/>
                <w:szCs w:val="18"/>
                <w:color w:val="auto"/>
              </w:rPr>
              <w:t>Investing activities</w:t>
            </w: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(22,608)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(7,122)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Financing activities</w:t>
            </w:r>
          </w:p>
        </w:tc>
        <w:tc>
          <w:tcPr>
            <w:tcW w:w="7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76"/>
        </w:trPr>
        <w:tc>
          <w:tcPr>
            <w:tcW w:w="4580" w:type="dxa"/>
            <w:vAlign w:val="bottom"/>
          </w:tcPr>
          <w:p>
            <w:pPr>
              <w:ind w:left="60"/>
              <w:spacing w:after="0" w:line="176" w:lineRule="exact"/>
              <w:rPr>
                <w:sz w:val="20"/>
                <w:szCs w:val="20"/>
                <w:color w:val="auto"/>
              </w:rPr>
            </w:pPr>
            <w:r>
              <w:rPr>
                <w:rFonts w:ascii="Arial" w:cs="Arial" w:eastAsia="Arial" w:hAnsi="Arial"/>
                <w:sz w:val="18"/>
                <w:szCs w:val="18"/>
                <w:color w:val="auto"/>
              </w:rPr>
              <w:t>Effects of exchange rate changes on cash and cash</w:t>
            </w:r>
          </w:p>
        </w:tc>
        <w:tc>
          <w:tcPr>
            <w:tcW w:w="7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equivalents</w:t>
            </w:r>
          </w:p>
        </w:tc>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9"/>
              </w:rPr>
              <w:t>Net increase (decrease) in cash and cash equivalents</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Used in Operating Activities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Net cash used in operating activities for the three months ended March 31, 2022 of $13.5 million resulted from cash outflows due to a net loss of $17.4 million, adjusted for $6.5 million of non-cash items, and cash outflows from net changes in operating assets and liabilities of $2.6 million. Net cash used in operating activities for the three months ended March 31, 2021 of $9.4 million resulted from cash outflows due to a net loss of $12.2 million, adjusted for $4.9 million of non-cash items, and cash outflows from changes in operating assets and liabilities of $2.0 million. The increase in net loss, net of non-cash items for the three months ended March 31, 2022 compared to the three months ended March 31, 2021 was mainly due to higher operating expenses from the growth of the business. Net cash outflows from changes in operating assets and liabilities for the three months ended March 31, 2022 were primarily due to higher inventory due to the timing of inventory build-up related to our iFuse-TORQ implants and higher accrued liabilities and others due to timing of other third-party payments and higher compensation and benefits accruals, partly offset primarily by an increase in accounts receivable due to timing of collections and an increase in accounts payable due to timing of vendor payments. Cash outflows from changes in operating assets and liabilities for the three months ended March 31, 2021 were primarily due to higher inventory due to the timing of inventory build-up related to our iFuse-TORQ implants, timing of vendor payments, partly offsets by timing of collections of account receivables.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Used in Investing Activities</w:t>
      </w:r>
    </w:p>
    <w:p>
      <w:pPr>
        <w:spacing w:after="0" w:line="12" w:lineRule="exact"/>
        <w:rPr>
          <w:sz w:val="20"/>
          <w:szCs w:val="20"/>
          <w:color w:val="auto"/>
        </w:rPr>
      </w:pPr>
    </w:p>
    <w:p>
      <w:pPr>
        <w:jc w:val="both"/>
        <w:ind w:firstLine="445"/>
        <w:spacing w:after="0" w:line="236" w:lineRule="auto"/>
        <w:rPr>
          <w:sz w:val="20"/>
          <w:szCs w:val="20"/>
          <w:color w:val="auto"/>
        </w:rPr>
      </w:pPr>
      <w:r>
        <w:rPr>
          <w:rFonts w:ascii="Arial" w:cs="Arial" w:eastAsia="Arial" w:hAnsi="Arial"/>
          <w:sz w:val="17"/>
          <w:szCs w:val="17"/>
          <w:color w:val="auto"/>
        </w:rPr>
        <w:t>Net cash used in investing activities in the three months ended March 31, 2022 was $22.6 million compared to $7.1 million in the three months ended March 31, 2021. Net cash used in investing activities for the three months ended March 31, 2022 consisted of purchases of our marketable securities, net of maturities of $20.3 million, and purchases of property and equipment of $2.3 million primarily related to individual components in instrument sets to support revenue growth, as well as leasehold improvements made to the building used for research and development and warehouse space in Santa Clara. Net cash used in investing activities for the three months ended March 31, 2021 consisted of purchases of our marketable securities, net of maturities and sales of our marketable securities of $5.1 million and purchase of property and equipment of $2.0 million primarily related to individual components in instrument sets as we anticipated increased case volumes.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Cash provided by financing activities in the three months ended March 31, 2022 was $0.2 million compared to $0.6 million in the three months ended March 31, 2021. For both periods, the cash provided was from the proceeds from the issuance of common stock under our stock-based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151" w:lineRule="exact"/>
        <w:rPr>
          <w:sz w:val="20"/>
          <w:szCs w:val="20"/>
          <w:color w:val="auto"/>
        </w:rPr>
      </w:pPr>
    </w:p>
    <w:p>
      <w:pPr>
        <w:jc w:val="both"/>
        <w:ind w:firstLine="445"/>
        <w:spacing w:after="0" w:line="246" w:lineRule="auto"/>
        <w:rPr>
          <w:sz w:val="20"/>
          <w:szCs w:val="20"/>
          <w:color w:val="auto"/>
        </w:rPr>
      </w:pPr>
      <w:r>
        <w:rPr>
          <w:rFonts w:ascii="Arial" w:cs="Arial" w:eastAsia="Arial" w:hAnsi="Arial"/>
          <w:sz w:val="17"/>
          <w:szCs w:val="17"/>
          <w:color w:val="auto"/>
        </w:rPr>
        <w:t>Our critical accounting policies and estimates are described in “Management's Discussion and Analysis of Financial Condition and Results of Operations - Critical Accounting Policies and Estimates” in our Annual Report on Form 10-K filed with the SEC on March 1, 2022. There had been no material changes to the descriptions of these accounting policies, judgments and estimates. See Note 2 of Notes to Condensed Consolidated Financial Statements (Unaudited) for related discussions on updates on recently issued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See Note 2 of Notes to Condensed Consolidated Financial Statements (Unaudited) for related discussions on updates on recently issued accounting pronouncements not yet effective.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exposed to market risks, including changes to foreign currency exchange rates and interest rates.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w:t>
      </w:r>
    </w:p>
    <w:p>
      <w:pPr>
        <w:spacing w:after="0" w:line="18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three months ended March 31, 2022 and 2021 were not material.</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Our exposure to changes in interest rates relates to interest earned and market value on our cash and cash equivalents and short-term investments. Our cash and cash equivalents and short-term investments consist of cash, money market funds, U.S. government securities, commercial paper and investment grade corporate debt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3" w:name="page34"/>
    <w:bookmarkEnd w:id="33"/>
    <w:p>
      <w:pPr>
        <w:ind w:right="60" w:firstLine="405"/>
        <w:spacing w:after="0" w:line="263" w:lineRule="auto"/>
        <w:rPr>
          <w:sz w:val="20"/>
          <w:szCs w:val="20"/>
          <w:color w:val="auto"/>
        </w:rPr>
      </w:pPr>
      <w:r>
        <w:rPr>
          <w:rFonts w:ascii="Arial" w:cs="Arial" w:eastAsia="Arial" w:hAnsi="Arial"/>
          <w:sz w:val="18"/>
          <w:szCs w:val="18"/>
          <w:color w:val="auto"/>
        </w:rPr>
        <w:t>Interest rate risk also reflects our exposure to movements in interest rates associated with our long-term debt that bears interest at an annual rate set at the greater of (a) 5.75% and (b) prime rate as published in the Wall Street Journal plus 2.5%. Rising interest rates will increase the amount of interest paid on this debt.</w:t>
      </w:r>
    </w:p>
    <w:p>
      <w:pPr>
        <w:spacing w:after="0" w:line="18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 hypothetical 100 basis point increase in interest rates would decrease the fair market value of our investment portfolio by $0.4 million for the three months ended March 31, 2022. Such losses would only be realized if we sold the investments prior to maturity.</w:t>
      </w:r>
    </w:p>
    <w:p>
      <w:pPr>
        <w:spacing w:after="0" w:line="17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 hypothetical 100 basis point increase in interest rates would increase the interest owed on our debt by $0.1 million for the three months ended March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67" w:lineRule="exact"/>
        <w:rPr>
          <w:sz w:val="20"/>
          <w:szCs w:val="20"/>
          <w:color w:val="auto"/>
        </w:rPr>
      </w:pPr>
    </w:p>
    <w:p>
      <w:pPr>
        <w:jc w:val="both"/>
        <w:ind w:firstLine="486"/>
        <w:spacing w:after="0" w:line="220" w:lineRule="exact"/>
        <w:rPr>
          <w:sz w:val="20"/>
          <w:szCs w:val="20"/>
          <w:color w:val="auto"/>
        </w:rPr>
      </w:pPr>
      <w:r>
        <w:rPr>
          <w:rFonts w:ascii="Arial" w:cs="Arial" w:eastAsia="Arial" w:hAnsi="Arial"/>
          <w:sz w:val="18"/>
          <w:szCs w:val="18"/>
          <w:color w:val="auto"/>
        </w:rPr>
        <w:t>As of March 31, 2022,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Based on that evaluation, our CEO and our CFO have concluded that, as of March 31, 2022, our disclosure controls and procedures were effective at the reasonable assurance level.</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quarter ended March 31, 2022, there were no changes in our internal controls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i w:val="1"/>
          <w:iCs w:val="1"/>
          <w:color w:val="auto"/>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170" w:lineRule="exact"/>
        <w:rPr>
          <w:rFonts w:ascii="Arial" w:cs="Arial" w:eastAsia="Arial" w:hAnsi="Arial"/>
          <w:sz w:val="18"/>
          <w:szCs w:val="18"/>
          <w:b w:val="1"/>
          <w:bCs w:val="1"/>
          <w:i w:val="1"/>
          <w:iCs w:val="1"/>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57"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color w:val="auto"/>
        </w:rPr>
        <w:t>Prolonged inflation and supply chain disruptions could result in delayed product launches, lost revenue, higher costs and decreased profit margins;</w:t>
      </w:r>
    </w:p>
    <w:p>
      <w:pPr>
        <w:spacing w:after="0" w:line="234" w:lineRule="exact"/>
        <w:rPr>
          <w:rFonts w:ascii="Arial" w:cs="Arial" w:eastAsia="Arial" w:hAnsi="Arial"/>
          <w:sz w:val="16"/>
          <w:szCs w:val="16"/>
          <w:b w:val="1"/>
          <w:bCs w:val="1"/>
          <w:i w:val="1"/>
          <w:iCs w:val="1"/>
          <w:color w:val="auto"/>
        </w:rPr>
      </w:pPr>
    </w:p>
    <w:p>
      <w:pPr>
        <w:ind w:left="660" w:hanging="328"/>
        <w:spacing w:after="0" w:line="261"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70" w:lineRule="exact"/>
        <w:rPr>
          <w:rFonts w:ascii="Arial" w:cs="Arial" w:eastAsia="Arial" w:hAnsi="Arial"/>
          <w:sz w:val="18"/>
          <w:szCs w:val="18"/>
          <w:b w:val="1"/>
          <w:bCs w:val="1"/>
          <w:i w:val="1"/>
          <w:iCs w:val="1"/>
          <w:color w:val="auto"/>
        </w:rPr>
      </w:pPr>
    </w:p>
    <w:p>
      <w:pPr>
        <w:jc w:val="both"/>
        <w:ind w:left="660" w:hanging="328"/>
        <w:spacing w:after="0" w:line="248"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208" w:lineRule="exact"/>
        <w:rPr>
          <w:rFonts w:ascii="Arial" w:cs="Arial" w:eastAsia="Arial" w:hAnsi="Arial"/>
          <w:sz w:val="18"/>
          <w:szCs w:val="18"/>
          <w:b w:val="1"/>
          <w:bCs w:val="1"/>
          <w:i w:val="1"/>
          <w:iCs w:val="1"/>
          <w:color w:val="auto"/>
        </w:rPr>
      </w:pPr>
    </w:p>
    <w:p>
      <w:pPr>
        <w:ind w:left="660" w:hanging="328"/>
        <w:spacing w:after="0" w:line="251" w:lineRule="auto"/>
        <w:tabs>
          <w:tab w:leader="none" w:pos="655" w:val="left"/>
        </w:tabs>
        <w:numPr>
          <w:ilvl w:val="0"/>
          <w:numId w:val="10"/>
        </w:numPr>
        <w:rPr>
          <w:rFonts w:ascii="Arial" w:cs="Arial" w:eastAsia="Arial" w:hAnsi="Arial"/>
          <w:sz w:val="21"/>
          <w:szCs w:val="21"/>
          <w:color w:val="auto"/>
        </w:rPr>
      </w:pPr>
      <w:r>
        <w:rPr>
          <w:rFonts w:ascii="Arial" w:cs="Arial" w:eastAsia="Arial" w:hAnsi="Arial"/>
          <w:sz w:val="17"/>
          <w:szCs w:val="17"/>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77" w:lineRule="exact"/>
        <w:rPr>
          <w:rFonts w:ascii="Arial" w:cs="Arial" w:eastAsia="Arial" w:hAnsi="Arial"/>
          <w:sz w:val="21"/>
          <w:szCs w:val="21"/>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97" w:lineRule="exact"/>
        <w:rPr>
          <w:rFonts w:ascii="Arial" w:cs="Arial" w:eastAsia="Arial" w:hAnsi="Arial"/>
          <w:sz w:val="18"/>
          <w:szCs w:val="18"/>
          <w:b w:val="1"/>
          <w:bCs w:val="1"/>
          <w:i w:val="1"/>
          <w:iCs w:val="1"/>
          <w:color w:val="auto"/>
        </w:rPr>
      </w:pPr>
    </w:p>
    <w:p>
      <w:pPr>
        <w:jc w:val="both"/>
        <w:ind w:left="660" w:hanging="328"/>
        <w:spacing w:after="0" w:line="233"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21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89" w:lineRule="exact"/>
        <w:rPr>
          <w:rFonts w:ascii="Arial" w:cs="Arial" w:eastAsia="Arial" w:hAnsi="Arial"/>
          <w:sz w:val="22"/>
          <w:szCs w:val="22"/>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adversely affected;</w:t>
      </w:r>
    </w:p>
    <w:p>
      <w:pPr>
        <w:spacing w:after="0" w:line="197" w:lineRule="exact"/>
        <w:rPr>
          <w:rFonts w:ascii="Arial" w:cs="Arial" w:eastAsia="Arial" w:hAnsi="Arial"/>
          <w:sz w:val="18"/>
          <w:szCs w:val="18"/>
          <w:color w:val="auto"/>
        </w:rPr>
      </w:pPr>
    </w:p>
    <w:p>
      <w:pPr>
        <w:jc w:val="both"/>
        <w:ind w:left="660" w:hanging="328"/>
        <w:spacing w:after="0" w:line="233"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21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ind w:left="660" w:hanging="328"/>
        <w:spacing w:after="0" w:line="261" w:lineRule="auto"/>
        <w:tabs>
          <w:tab w:leader="none" w:pos="65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If we are unable to maintain our network of direct sales representatives and third-party distributors, we may not be able to generate anticipated sales;</w:t>
      </w:r>
    </w:p>
    <w:p>
      <w:pPr>
        <w:spacing w:after="0" w:line="170"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Our business could suffer if we lose the services of key members of our senior management, key advisors or personnel;</w:t>
      </w:r>
    </w:p>
    <w:p>
      <w:pPr>
        <w:spacing w:after="0" w:line="211" w:lineRule="exact"/>
        <w:rPr>
          <w:rFonts w:ascii="Arial" w:cs="Arial" w:eastAsia="Arial" w:hAnsi="Arial"/>
          <w:sz w:val="18"/>
          <w:szCs w:val="18"/>
          <w:b w:val="1"/>
          <w:bCs w:val="1"/>
          <w:i w:val="1"/>
          <w:iCs w:val="1"/>
          <w:color w:val="auto"/>
        </w:rPr>
      </w:pPr>
    </w:p>
    <w:p>
      <w:pPr>
        <w:ind w:left="660" w:hanging="328"/>
        <w:spacing w:after="0" w:line="261" w:lineRule="auto"/>
        <w:tabs>
          <w:tab w:leader="none" w:pos="65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If use of our products results in adverse events, this may require them to be taken off the market, require them to include safety warnings or otherwise limit their sales;</w:t>
      </w:r>
    </w:p>
    <w:p>
      <w:pPr>
        <w:spacing w:after="0" w:line="170"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Various factors outside our direct control may adversely affect manufacturing, sterilization, and distribution of our products;</w:t>
      </w:r>
    </w:p>
    <w:p>
      <w:pPr>
        <w:spacing w:after="0" w:line="211" w:lineRule="exact"/>
        <w:rPr>
          <w:rFonts w:ascii="Arial" w:cs="Arial" w:eastAsia="Arial" w:hAnsi="Arial"/>
          <w:sz w:val="18"/>
          <w:szCs w:val="18"/>
          <w:b w:val="1"/>
          <w:bCs w:val="1"/>
          <w:i w:val="1"/>
          <w:iCs w:val="1"/>
          <w:color w:val="auto"/>
        </w:rPr>
      </w:pPr>
    </w:p>
    <w:p>
      <w:pPr>
        <w:jc w:val="both"/>
        <w:ind w:left="660" w:hanging="328"/>
        <w:spacing w:after="0" w:line="248" w:lineRule="auto"/>
        <w:tabs>
          <w:tab w:leader="none" w:pos="65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1" w:lineRule="exact"/>
        <w:rPr>
          <w:rFonts w:ascii="Arial" w:cs="Arial" w:eastAsia="Arial" w:hAnsi="Arial"/>
          <w:sz w:val="18"/>
          <w:szCs w:val="18"/>
          <w:b w:val="1"/>
          <w:bCs w:val="1"/>
          <w:i w:val="1"/>
          <w:iCs w:val="1"/>
          <w:color w:val="auto"/>
        </w:rPr>
      </w:pPr>
    </w:p>
    <w:p>
      <w:pPr>
        <w:ind w:left="660" w:right="20" w:hanging="328"/>
        <w:spacing w:after="0" w:line="261" w:lineRule="auto"/>
        <w:tabs>
          <w:tab w:leader="none" w:pos="65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We, our suppliers, and our third-party manufacturers are subject to extensive governmental regulation both in the U.S. and abroad, and failure to comply with applicable requirements could cause our business to suffer;</w:t>
      </w:r>
    </w:p>
    <w:p>
      <w:pPr>
        <w:spacing w:after="0" w:line="197" w:lineRule="exact"/>
        <w:rPr>
          <w:rFonts w:ascii="Arial" w:cs="Arial" w:eastAsia="Arial" w:hAnsi="Arial"/>
          <w:sz w:val="18"/>
          <w:szCs w:val="18"/>
          <w:b w:val="1"/>
          <w:bCs w:val="1"/>
          <w:i w:val="1"/>
          <w:iCs w:val="1"/>
          <w:color w:val="auto"/>
        </w:rPr>
      </w:pPr>
    </w:p>
    <w:p>
      <w:pPr>
        <w:jc w:val="both"/>
        <w:ind w:left="660" w:hanging="328"/>
        <w:spacing w:after="0" w:line="233"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89" w:lineRule="exact"/>
        <w:rPr>
          <w:rFonts w:ascii="Arial" w:cs="Arial" w:eastAsia="Arial" w:hAnsi="Arial"/>
          <w:sz w:val="22"/>
          <w:szCs w:val="22"/>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have incurred net losses since our inception in 2008. For the three months ended March 31, 2022, we had a net loss of $17.4 million. For the years ended December 31, 2021 and 2020, we had net losses of $56.6 million and $43.7 million, respectively. As of March 31, 2022, we had an accumulated deficit of $313.3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70"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17"/>
          <w:szCs w:val="17"/>
          <w:color w:val="auto"/>
        </w:rPr>
        <w:t>Our expected future capital requirements may depend on many factors including expanding our surgeon base, the expansion of our sales force, investment in implants and instruments, and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7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Outbreaks of infectious diseases, such as COVID-19, and historically, the Ebola virus, Middle East Respiratory Syndrome, Severe Acute Respiratory Syndrome, or the H1N1 influenza virus, could divert medical resources and priorities towards the treatment of that disease. An outbreak of an infectious disease, or continued escalation of the COVID-19 pandemic could also negatively affect hospital admission rates and the decision by patients to undergo elective surgery, which could decrease demand for procedures using our implants and cause other disruptions to our business. Business disruptions could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spacing w:after="0" w:line="210"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To date, COVID-19 has had, and we expect will continue to have, an adverse impact on our operations as a result of preventive and precautionary measures that we, other businesses, health systems and governments are taking. Due to these measures, we have experienced and expect to continue to experience significant and unpredictable reductions in the demand for our products, negative impact on hospital admission rates and delay in the decision by patients to undergo elective surgery, each of which has decreased and may continue to impact the demand for procedures using our implants. There are numerous uncertainties associated with the COVID-19 pandemic, including the number of individuals who will become infected, the effectiveness of vaccines or one or more therapies that mitigate the effect of the virus, the availability of vaccines and the vaccination rates in the U.S. and worldwide, the emergence of variants of the COVID-19 virus such as the delta and omicron variants, the extent of the protective and preventative measures that have been put in place by both governmental entities and other businesses and those that may be put in place in the future, the effect that testing for COVID-19 and antibodies will enable relaxation of protective measures for a subset of the population, and numerous other uncertainties. We intend to continue to execute on our strategic plans and operational initiatives during the COVID-19 pandemic. However, these uncertainties may result in delays or modifications to these plans and initiatives.</w:t>
      </w:r>
    </w:p>
    <w:p>
      <w:pPr>
        <w:spacing w:after="0" w:line="213"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Travel restrictions, and the risk that countries may continue to close borders, impose prolonged quarantines, and further restrict travel, limit our ability to reach surgeons with our goal of increasing surgeon activity by providing education and support.</w:t>
      </w:r>
    </w:p>
    <w:p>
      <w:pPr>
        <w:spacing w:after="0" w:line="198"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221"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The existence and further duration of the COVID-19 pandemic may also further exacerbate certain of the risks as described in this “Item 1A - Risk Factors” of this Quarterly Report on Form 10-Q.”</w:t>
      </w:r>
    </w:p>
    <w:p>
      <w:pPr>
        <w:spacing w:after="0" w:line="184" w:lineRule="exact"/>
        <w:rPr>
          <w:sz w:val="20"/>
          <w:szCs w:val="20"/>
          <w:color w:val="auto"/>
        </w:rPr>
      </w:pPr>
    </w:p>
    <w:p>
      <w:pPr>
        <w:ind w:right="600" w:firstLine="405"/>
        <w:spacing w:after="0" w:line="246" w:lineRule="auto"/>
        <w:rPr>
          <w:sz w:val="20"/>
          <w:szCs w:val="20"/>
          <w:color w:val="auto"/>
        </w:rPr>
      </w:pPr>
      <w:r>
        <w:rPr>
          <w:rFonts w:ascii="Arial" w:cs="Arial" w:eastAsia="Arial" w:hAnsi="Arial"/>
          <w:sz w:val="18"/>
          <w:szCs w:val="18"/>
          <w:b w:val="1"/>
          <w:bCs w:val="1"/>
          <w:i w:val="1"/>
          <w:iCs w:val="1"/>
          <w:color w:val="auto"/>
        </w:rPr>
        <w:t>Prolonged inflation and supply chain disruptions could result in delayed product launches, lost revenue, higher costs and decreased profit margins.</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experienced shortages in certain raw materials and component inputs of our products, primarily surgical instruments, as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 effective manner. A reduction or interruption in the supply of materials or components used in manufacturing our products, such as due to one or more suppliers experiencing reductions in operations and/or worker absences due to the COVID-19 pandemic or other health epidemics, an inability to timely develop and validate alternative sources if required, or a significant increase in the price of such materials or components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and such geopolitical events and factors relating thereto or resulting therefrom, including related sanctions, may negatively impact the ability of our suppliers’ third-party supply sources to timely supply titanium to our suppliers and may increase or result in additional costs to us.</w:t>
      </w:r>
    </w:p>
    <w:p>
      <w:pPr>
        <w:spacing w:after="0" w:line="18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the COVID-19 pandemic or other health epidemics, we may be unable to transition to other contract sterilizers, sterilizer locations or sterilization methods in a timely or cost effective manner or at all, which could have a material impact on our results of operations and financial condition.</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b w:val="1"/>
          <w:bCs w:val="1"/>
          <w:i w:val="1"/>
          <w:iCs w:val="1"/>
          <w:color w:val="auto"/>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182"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 When a procedure using our implants is performed, both the surgeon and the healthcare facility, either a hospital or ambulatory surgical center, submit claims for reimbursement to the healthcare payor. We may be unable to sell our products on a profitable basis if third-party payors deny coverage or reduce their current levels of payment, or if reimbursement levels are insufficient to support use of our products by healthcare facilities or to compensate surgeons for their time spent diagnosing patients and performing procedures using our products.</w:t>
      </w:r>
    </w:p>
    <w:p>
      <w:pPr>
        <w:spacing w:after="0" w:line="190"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While all Medicare Administrative Contractors are regularly reimbursing for minimally invasive sacroiliac joint fusion, some private payors still have policies that treat the procedure as experimental or investigational and do not regularly reimburse for the procedure. Future action by the Centers for Medicare &amp; Medicaid Services (“CMS”) or third-party payors may further reduce the availability of payments to physicians, outpatient surgery centers, and/or hospitals for procedures using our products.</w:t>
      </w:r>
    </w:p>
    <w:p>
      <w:pPr>
        <w:spacing w:after="0" w:line="215"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2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Effective January 1, 2022, the Medicare physician fee reimbursement for minimally invasive fusion with our iFuse implants, described as CPT Code 27279, is $860. Commercial payors generally set their physician fee reimbursement with reference to Medicare reimbursement rates. 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181" w:lineRule="exact"/>
        <w:rPr>
          <w:sz w:val="20"/>
          <w:szCs w:val="20"/>
          <w:color w:val="auto"/>
        </w:rPr>
      </w:pPr>
    </w:p>
    <w:p>
      <w:pPr>
        <w:ind w:right="80" w:firstLine="405"/>
        <w:spacing w:after="0" w:line="246" w:lineRule="auto"/>
        <w:rPr>
          <w:sz w:val="20"/>
          <w:szCs w:val="20"/>
          <w:color w:val="auto"/>
        </w:rPr>
      </w:pPr>
      <w:r>
        <w:rPr>
          <w:rFonts w:ascii="Arial" w:cs="Arial" w:eastAsia="Arial" w:hAnsi="Arial"/>
          <w:sz w:val="18"/>
          <w:szCs w:val="18"/>
          <w:color w:val="auto"/>
        </w:rPr>
        <w:t>The American Medical Association (AMA) develops and maintains Current Procedural Terminology (CPT) codes that are used by third-party payors to determine the amount of reimbursement that a healthcare provider and facility will receive for a particular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p>
      <w:pPr>
        <w:ind w:right="80"/>
        <w:spacing w:after="0" w:line="254" w:lineRule="auto"/>
        <w:rPr>
          <w:sz w:val="20"/>
          <w:szCs w:val="20"/>
          <w:color w:val="auto"/>
        </w:rPr>
      </w:pPr>
      <w:r>
        <w:rPr>
          <w:rFonts w:ascii="Arial" w:cs="Arial" w:eastAsia="Arial" w:hAnsi="Arial"/>
          <w:sz w:val="16"/>
          <w:szCs w:val="16"/>
          <w:color w:val="auto"/>
        </w:rPr>
        <w:t>service. CPT codes are divided into three categories: Category I codes represent existing services or procedures that are widely used. Category II codes are supplemental tracking codes, and Category III codes are temporary codes that represent new technologies, services, and procedures. A Category III code does not have a payment rate established and reimbursement is at the payor’s discretion. CPT Code 27279, which describes minimally-invasive surgical fusion of the sacroiliac joint performed with our iFuse implants, is a Category I CPT code. As the number of products and surgical procedures to address sacroiliac joint dysfunction has expanded and diversified, we are aware that certain medical societies have requested that the AMA create a Category III CPT code representing some of these unproven technologies. If either the current or future procedures performed with our products are determined to be best described by a Category III CPT code, or if the levels of reimbursement for, and consistency of coverage associated with, procedures performed with our medical devices, either under the existing Category I CPT Code or under any newly created Category I or III CPT Code, could decrease which could make the procedures we support less attractive to healthcare professionals using our products.</w:t>
      </w:r>
    </w:p>
    <w:p>
      <w:pPr>
        <w:spacing w:after="0" w:line="192"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6"/>
          <w:szCs w:val="16"/>
          <w:color w:val="auto"/>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CMS budget neutrality requirements may impose cuts to the Medicare physician fee schedule, which may be mitigated by acts of Congress or other changes to regulations. Other federal laws, known as budget sequestration, further reduce Medicare’s payments to providers by two percent through 2030. However, COVID-19 relief support legislation suspended the 2% Medicare reductions from May 1, 2020 through April 1, 2022, and reduced the Medicare reductions to 1% from April 1 to June 30, 2022.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spacing w:after="0" w:line="21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1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51"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As of March 31, 2022, a significant number of the largest U.S. payors that we track and target have issued positive coverage policies covering the patented design of our triangular iFuse implants and excluding coverage of other products that are intended to fuse the sacroiliac joint because of the clinical evidence supporting the use of triangular titanium implants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our triangular iFuse implants. Payors could also abandon their decisions to cover triangular implants exclusively for other reasons.</w:t>
      </w:r>
    </w:p>
    <w:p>
      <w:pPr>
        <w:spacing w:after="0" w:line="19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Healthcare payors which have adopted sacroiliac joint fusion coverage policies exclusive to titanium triangles could reverse the exclusive nature of their policies and allow surgeons to use other types of products when performing sacroiliac fusion procedures. For example, on April 1, 2022, AIM, a clinical evidence evaluation organization which influences Anthem, among other payors, promulgated such a policy that is no longer exclusive to titanium triangles and which will become effective September 1, 2022. If healthcare payors covering a significant number of covered lives reverse their policies of covering minimally invasive sacroiliac joint fusion exclusively when performed with triangular titanium implants, sales of our triangular iFuse implants could decline or fail to grow, which could adversely affect our business, results of operations and financial condition.</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Surgeons, in consultation with their patients, play the primary role in determining the course of treatment and, ultimately, any product that will be used in treatment. In order for us to sell our iFuse system successfully, we must demonstrate to surgeons through education and training that treatment with iFuse is beneficial, safe, and cost-effective for patients as compared to our competitors’ products. If we are not successful in demonstrating the merits of iFuse to surgeons, their use of our products may decline, adversely affecting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jc w:val="both"/>
        <w:ind w:firstLine="445"/>
        <w:spacing w:after="0" w:line="241" w:lineRule="auto"/>
        <w:rPr>
          <w:sz w:val="20"/>
          <w:szCs w:val="20"/>
          <w:color w:val="auto"/>
        </w:rPr>
      </w:pPr>
      <w:r>
        <w:rPr>
          <w:rFonts w:ascii="Arial" w:cs="Arial" w:eastAsia="Arial" w:hAnsi="Arial"/>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23" w:lineRule="exact"/>
        <w:rPr>
          <w:sz w:val="20"/>
          <w:szCs w:val="20"/>
          <w:color w:val="auto"/>
        </w:rPr>
      </w:pPr>
    </w:p>
    <w:p>
      <w:pPr>
        <w:ind w:left="1020" w:hanging="121"/>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35" w:lineRule="exact"/>
        <w:rPr>
          <w:rFonts w:ascii="Arial" w:cs="Arial" w:eastAsia="Arial" w:hAnsi="Arial"/>
          <w:sz w:val="18"/>
          <w:szCs w:val="18"/>
          <w:color w:val="auto"/>
        </w:rPr>
      </w:pPr>
    </w:p>
    <w:p>
      <w:pPr>
        <w:ind w:left="1020" w:hanging="121"/>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36" w:lineRule="exact"/>
        <w:rPr>
          <w:rFonts w:ascii="Arial" w:cs="Arial" w:eastAsia="Arial" w:hAnsi="Arial"/>
          <w:sz w:val="18"/>
          <w:szCs w:val="18"/>
          <w:color w:val="auto"/>
        </w:rPr>
      </w:pPr>
    </w:p>
    <w:p>
      <w:pPr>
        <w:ind w:left="1020" w:hanging="121"/>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36" w:lineRule="exact"/>
        <w:rPr>
          <w:rFonts w:ascii="Arial" w:cs="Arial" w:eastAsia="Arial" w:hAnsi="Arial"/>
          <w:sz w:val="18"/>
          <w:szCs w:val="18"/>
          <w:color w:val="auto"/>
        </w:rPr>
      </w:pPr>
    </w:p>
    <w:p>
      <w:pPr>
        <w:ind w:left="1020" w:hanging="121"/>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5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199"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and other products intended to treat the sacroiliac joint or the pain it can cause.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because they feel these interventions are superior or because they have a financial interest in offering additional treatments to these patients. If we are unable to demonstrate to potential referring health care providers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7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209"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215"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jc w:val="both"/>
        <w:ind w:firstLine="445"/>
        <w:spacing w:after="0" w:line="252" w:lineRule="auto"/>
        <w:rPr>
          <w:sz w:val="20"/>
          <w:szCs w:val="20"/>
          <w:color w:val="auto"/>
        </w:rPr>
      </w:pPr>
      <w:r>
        <w:rPr>
          <w:rFonts w:ascii="Arial" w:cs="Arial" w:eastAsia="Arial" w:hAnsi="Arial"/>
          <w:sz w:val="17"/>
          <w:szCs w:val="17"/>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98"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We anticipate that this trend will nevertheless continue as a cost control measure with the healthcare system. Since patients do not stay overnight in ASCs and COVID-19 patients would not otherwise be treated in ASCs, it is likely that the ASC will be viewed as a safer site of service for patients and health care providers, where the risk of transmission of the novel coronavirus can be more effectively controlled. In addition, ASC are generally more economically favorable site of service, and surgeons performing the procedures sometimes have ownership interests in the ASC. Because ASC facility fee reimbursement is typically less than facility fee reimbursement for hospitals and due to surgeons’ economic interest in ASCs, we typically experience more pressure on the pricing of our products by ASCs than by hospitals, and the average price for which we sell our products to ASCs is less than the average prices we charge to hospitals. In addition, some surgeons may choose to use fewer implants due to their interest in the profitability of the ASC. An accelerated shift of procedures using our products to ASCs as a result of the COVID-19 pandemic could adversely impact the average selling prices of our products and our revenues could suffer as a result.</w:t>
      </w:r>
    </w:p>
    <w:p>
      <w:pPr>
        <w:spacing w:after="0" w:line="18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71"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216"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The number of competitors that we are aware of marketing sacroiliac joint fusion products in the United States has grown from zero to more than 20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w:t>
      </w:r>
    </w:p>
    <w:p>
      <w:pPr>
        <w:spacing w:after="0" w:line="193"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In the United States, we believe that our primary competitors marketing implantable devices currently are Medtronic plc and Globus Medical, Inc. In addition, a number of smaller companies selling allograft implants to a variety of physicians have collectively become a larger presence in our market.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jc w:val="both"/>
        <w:spacing w:after="0" w:line="261" w:lineRule="auto"/>
        <w:rPr>
          <w:sz w:val="20"/>
          <w:szCs w:val="20"/>
          <w:color w:val="auto"/>
        </w:rPr>
      </w:pPr>
      <w:r>
        <w:rPr>
          <w:rFonts w:ascii="Arial" w:cs="Arial" w:eastAsia="Arial" w:hAnsi="Arial"/>
          <w:sz w:val="18"/>
          <w:szCs w:val="18"/>
          <w:color w:val="auto"/>
        </w:rPr>
        <w:t>and commercialize similar processes or products. If alternative treatments are, or are perceived to be, superior to our products, sales of our products and our results of operations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216"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20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Substantially all of our revenue comes from the sale of iFuse, iFuse-3D and iFuse-TORQ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74" w:lineRule="exact"/>
        <w:rPr>
          <w:sz w:val="20"/>
          <w:szCs w:val="20"/>
          <w:color w:val="auto"/>
        </w:rPr>
      </w:pPr>
    </w:p>
    <w:p>
      <w:pPr>
        <w:jc w:val="both"/>
        <w:ind w:firstLine="445"/>
        <w:spacing w:after="0" w:line="282" w:lineRule="auto"/>
        <w:rPr>
          <w:sz w:val="20"/>
          <w:szCs w:val="20"/>
          <w:color w:val="auto"/>
        </w:rPr>
      </w:pPr>
      <w:r>
        <w:rPr>
          <w:rFonts w:ascii="Arial" w:cs="Arial" w:eastAsia="Arial" w:hAnsi="Arial"/>
          <w:sz w:val="16"/>
          <w:szCs w:val="16"/>
          <w:color w:val="auto"/>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w:t>
      </w:r>
    </w:p>
    <w:p>
      <w:pPr>
        <w:jc w:val="both"/>
        <w:spacing w:after="0" w:line="290" w:lineRule="auto"/>
        <w:rPr>
          <w:sz w:val="20"/>
          <w:szCs w:val="20"/>
          <w:color w:val="auto"/>
        </w:rPr>
      </w:pPr>
      <w:r>
        <w:rPr>
          <w:rFonts w:ascii="Arial" w:cs="Arial" w:eastAsia="Arial" w:hAnsi="Arial"/>
          <w:sz w:val="17"/>
          <w:szCs w:val="17"/>
          <w:color w:val="auto"/>
        </w:rPr>
        <w:t>spinal fusion devices to the pelvis. In April 2019, the FDA cleared promotion of iFuse Bedrock for a broader and more general purpose, to provide additional stability and immobilization of the sacroiliac joint in connection with a 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our network of direct sales representatives and third-party distributors, we may not be able to generate anticipated sales.</w:t>
      </w:r>
    </w:p>
    <w:p>
      <w:pPr>
        <w:spacing w:after="0" w:line="246"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As of March 31, 2022, our U.S. sales force consisted of 88 territory sales managers and 66 clinical support specialists directly employed by us, and 66 third-party distributors. As of March 31, 2022, our international sales force consisted of 18 sales representatives directly employed by us and 31 third-party distributors, which together have had sales in 37 countries through March 31, 2022. Our operating results are directly dependent upon the sales and marketing efforts of both our direct sales force and of our third-party distributors.</w:t>
      </w:r>
    </w:p>
    <w:p>
      <w:pPr>
        <w:spacing w:after="0" w:line="18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 If our direct sales representatives or third-party distributors fail to adequately promote, market and sell our products or decide to leave or cease to do business with us, our sales could significantly decrease.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jc w:val="both"/>
        <w:ind w:right="20" w:firstLine="445"/>
        <w:spacing w:after="0" w:line="261"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21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216"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Our business is highly reliant on a base of skilled employees, including those serving in engineering, information technology, operational, strategic marketing and sales functions. Many of these employees have developed specialized skills which are valuable within the medical device and life sciences industry, and, in some cases, in a broader variety of industries. Competition for skilled employees is significant, and some of the labor markets we compete in have experienced tightening in the past year. In addition, rates of employee turnover have increased among our employees, consistent with the rates experienced by other companies in these industries. If these conditions persist, we could experience further turnover among our employees which could become difficult and more costly to manage, adversely impacting our results of operation. Sustained pressure in these labor markets could also cause prevailing wages to rise, which could adversely impact our business and results of operation and financial condition.</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use of our products results in adverse events, this may require them to be taken off the market, require them to include safety warnings or otherwise limit their sales.</w:t>
      </w:r>
    </w:p>
    <w:p>
      <w:pPr>
        <w:spacing w:after="0" w:line="171"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212" w:lineRule="exact"/>
        <w:rPr>
          <w:sz w:val="20"/>
          <w:szCs w:val="20"/>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211" w:lineRule="exact"/>
        <w:rPr>
          <w:rFonts w:ascii="Arial" w:cs="Arial" w:eastAsia="Arial" w:hAnsi="Arial"/>
          <w:sz w:val="18"/>
          <w:szCs w:val="18"/>
          <w:color w:val="auto"/>
        </w:rPr>
      </w:pPr>
    </w:p>
    <w:p>
      <w:pPr>
        <w:ind w:left="900" w:right="20" w:hanging="406"/>
        <w:spacing w:after="0" w:line="261" w:lineRule="auto"/>
        <w:tabs>
          <w:tab w:leader="none" w:pos="8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11" w:lineRule="exact"/>
        <w:rPr>
          <w:rFonts w:ascii="Arial" w:cs="Arial" w:eastAsia="Arial" w:hAnsi="Arial"/>
          <w:sz w:val="18"/>
          <w:szCs w:val="18"/>
          <w:color w:val="auto"/>
        </w:rPr>
      </w:pPr>
    </w:p>
    <w:p>
      <w:pPr>
        <w:ind w:left="900" w:hanging="406"/>
        <w:spacing w:after="0" w:line="261" w:lineRule="auto"/>
        <w:tabs>
          <w:tab w:leader="none" w:pos="7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us to temporarily or permanently take our approved product off the market or to conduct other field safety corrective actions;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firstLine="445"/>
        <w:spacing w:after="0" w:line="291"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jc w:val="both"/>
        <w:ind w:firstLine="405"/>
        <w:spacing w:after="0"/>
        <w:rPr>
          <w:sz w:val="20"/>
          <w:szCs w:val="20"/>
          <w:color w:val="auto"/>
        </w:rPr>
      </w:pPr>
      <w:r>
        <w:rPr>
          <w:rFonts w:ascii="Arial" w:cs="Arial" w:eastAsia="Arial" w:hAnsi="Arial"/>
          <w:sz w:val="18"/>
          <w:szCs w:val="18"/>
          <w:color w:val="auto"/>
        </w:rPr>
        <w:t>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182" w:lineRule="exact"/>
        <w:rPr>
          <w:sz w:val="20"/>
          <w:szCs w:val="20"/>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depend on for quality control and release of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large-scale epidemics of communicable diseases such as COVID-19;</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chain disruptions, including those caused by material and labor supply shortages in the wake of COVID-19;</w:t>
      </w:r>
    </w:p>
    <w:p>
      <w:pPr>
        <w:spacing w:after="0" w:line="211" w:lineRule="exact"/>
        <w:rPr>
          <w:rFonts w:ascii="Arial" w:cs="Arial" w:eastAsia="Arial" w:hAnsi="Arial"/>
          <w:sz w:val="18"/>
          <w:szCs w:val="18"/>
          <w:color w:val="auto"/>
        </w:rPr>
      </w:pPr>
    </w:p>
    <w:p>
      <w:pPr>
        <w:ind w:left="900" w:hanging="406"/>
        <w:spacing w:after="0" w:line="261" w:lineRule="auto"/>
        <w:tabs>
          <w:tab w:leader="none" w:pos="7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170" w:lineRule="exact"/>
        <w:rPr>
          <w:rFonts w:ascii="Arial" w:cs="Arial" w:eastAsia="Arial" w:hAnsi="Arial"/>
          <w:sz w:val="18"/>
          <w:szCs w:val="18"/>
          <w:color w:val="auto"/>
        </w:rPr>
      </w:pPr>
    </w:p>
    <w:p>
      <w:pPr>
        <w:ind w:left="900" w:right="340" w:hanging="406"/>
        <w:spacing w:after="0" w:line="261" w:lineRule="auto"/>
        <w:tabs>
          <w:tab w:leader="none" w:pos="7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or field safety corrective action with respect to such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could be adversely impacted.</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spacing w:after="0" w:line="174"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generally use a small number of suppliers for our instruments and currently rely on RMS for iFuse-3D implants and Orchid for iFuse implants.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on such a limited number of suppliers exposes us to risks, including, among other things:</w:t>
      </w:r>
    </w:p>
    <w:p>
      <w:pPr>
        <w:spacing w:after="0" w:line="196" w:lineRule="exact"/>
        <w:rPr>
          <w:sz w:val="20"/>
          <w:szCs w:val="20"/>
          <w:color w:val="auto"/>
        </w:rPr>
      </w:pPr>
    </w:p>
    <w:p>
      <w:pPr>
        <w:ind w:left="900" w:right="20" w:hanging="406"/>
        <w:spacing w:after="0" w:line="261" w:lineRule="auto"/>
        <w:tabs>
          <w:tab w:leader="none" w:pos="8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70" w:lineRule="exact"/>
        <w:rPr>
          <w:rFonts w:ascii="Arial" w:cs="Arial" w:eastAsia="Arial" w:hAnsi="Arial"/>
          <w:sz w:val="18"/>
          <w:szCs w:val="18"/>
          <w:color w:val="auto"/>
        </w:rPr>
      </w:pPr>
    </w:p>
    <w:p>
      <w:pPr>
        <w:ind w:left="900" w:hanging="406"/>
        <w:spacing w:after="0" w:line="291" w:lineRule="auto"/>
        <w:tabs>
          <w:tab w:leader="none" w:pos="86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ind w:left="900" w:hanging="406"/>
        <w:spacing w:after="0" w:line="261" w:lineRule="auto"/>
        <w:tabs>
          <w:tab w:leader="none" w:pos="7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70" w:lineRule="exact"/>
        <w:rPr>
          <w:rFonts w:ascii="Arial" w:cs="Arial" w:eastAsia="Arial" w:hAnsi="Arial"/>
          <w:sz w:val="18"/>
          <w:szCs w:val="18"/>
          <w:color w:val="auto"/>
        </w:rPr>
      </w:pPr>
    </w:p>
    <w:p>
      <w:pPr>
        <w:ind w:left="900" w:hanging="406"/>
        <w:spacing w:after="0" w:line="261" w:lineRule="auto"/>
        <w:tabs>
          <w:tab w:leader="none" w:pos="7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170" w:lineRule="exact"/>
        <w:rPr>
          <w:rFonts w:ascii="Arial" w:cs="Arial" w:eastAsia="Arial" w:hAnsi="Arial"/>
          <w:sz w:val="18"/>
          <w:szCs w:val="18"/>
          <w:color w:val="auto"/>
        </w:rPr>
      </w:pPr>
    </w:p>
    <w:p>
      <w:pPr>
        <w:ind w:left="900" w:hanging="406"/>
        <w:spacing w:after="0" w:line="291" w:lineRule="auto"/>
        <w:tabs>
          <w:tab w:leader="none" w:pos="7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or our third-party manufacturers and suppliers may lose access to critical services, raw materials and components, or experience significant delays in obtaining them, resulting in an interruption in the manufacture, assembly and shipment of our systems;</w:t>
      </w:r>
    </w:p>
    <w:p>
      <w:pPr>
        <w:spacing w:after="0" w:line="146" w:lineRule="exact"/>
        <w:rPr>
          <w:rFonts w:ascii="Arial" w:cs="Arial" w:eastAsia="Arial" w:hAnsi="Arial"/>
          <w:sz w:val="17"/>
          <w:szCs w:val="17"/>
          <w:color w:val="auto"/>
        </w:rPr>
      </w:pPr>
    </w:p>
    <w:p>
      <w:pPr>
        <w:ind w:left="900" w:hanging="406"/>
        <w:spacing w:after="0" w:line="291" w:lineRule="auto"/>
        <w:tabs>
          <w:tab w:leader="none" w:pos="792"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146" w:lineRule="exact"/>
        <w:rPr>
          <w:rFonts w:ascii="Arial" w:cs="Arial" w:eastAsia="Arial" w:hAnsi="Arial"/>
          <w:sz w:val="17"/>
          <w:szCs w:val="17"/>
          <w:color w:val="auto"/>
        </w:rPr>
      </w:pPr>
    </w:p>
    <w:p>
      <w:pPr>
        <w:ind w:left="740" w:hanging="2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234" w:lineRule="exact"/>
        <w:rPr>
          <w:rFonts w:ascii="Arial" w:cs="Arial" w:eastAsia="Arial" w:hAnsi="Arial"/>
          <w:sz w:val="16"/>
          <w:szCs w:val="16"/>
          <w:color w:val="auto"/>
        </w:rPr>
      </w:pPr>
    </w:p>
    <w:p>
      <w:pPr>
        <w:ind w:left="900" w:hanging="406"/>
        <w:spacing w:after="0" w:line="261"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third-party manufacturers and suppliers may wish to discontinue supplying components or services to us for risk management reasons;</w:t>
      </w:r>
    </w:p>
    <w:p>
      <w:pPr>
        <w:spacing w:after="0" w:line="223" w:lineRule="exact"/>
        <w:rPr>
          <w:rFonts w:ascii="Arial" w:cs="Arial" w:eastAsia="Arial" w:hAnsi="Arial"/>
          <w:sz w:val="17"/>
          <w:szCs w:val="17"/>
          <w:color w:val="auto"/>
        </w:rPr>
      </w:pPr>
    </w:p>
    <w:p>
      <w:pPr>
        <w:ind w:left="900" w:hanging="406"/>
        <w:spacing w:after="0" w:line="261" w:lineRule="auto"/>
        <w:tabs>
          <w:tab w:leader="none" w:pos="8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170" w:lineRule="exact"/>
        <w:rPr>
          <w:rFonts w:ascii="Arial" w:cs="Arial" w:eastAsia="Arial" w:hAnsi="Arial"/>
          <w:sz w:val="18"/>
          <w:szCs w:val="18"/>
          <w:color w:val="auto"/>
        </w:rPr>
      </w:pPr>
    </w:p>
    <w:p>
      <w:pPr>
        <w:ind w:left="900" w:hanging="406"/>
        <w:spacing w:after="0" w:line="261" w:lineRule="auto"/>
        <w:tabs>
          <w:tab w:leader="none" w:pos="7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8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9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202"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jc w:val="both"/>
        <w:ind w:right="20"/>
        <w:spacing w:after="0" w:line="261" w:lineRule="auto"/>
        <w:rPr>
          <w:sz w:val="20"/>
          <w:szCs w:val="20"/>
          <w:color w:val="auto"/>
        </w:rPr>
      </w:pPr>
      <w:r>
        <w:rPr>
          <w:rFonts w:ascii="Arial" w:cs="Arial" w:eastAsia="Arial" w:hAnsi="Arial"/>
          <w:sz w:val="18"/>
          <w:szCs w:val="18"/>
          <w:color w:val="auto"/>
        </w:rPr>
        <w:t>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9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6"/>
          <w:szCs w:val="16"/>
          <w:color w:val="auto"/>
        </w:rPr>
        <w:t>In addition, each of our third-party suppliers operates at a facility in a single location and substantially all of our inventory of component supplies and finished goods is held at these locations.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After the impacts of the COVID-19 pandemic subside, 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182" w:lineRule="exact"/>
        <w:rPr>
          <w:sz w:val="20"/>
          <w:szCs w:val="20"/>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1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If we are unable to satisfy commercial demand for our products due to our inability to assemble and test, our ability to generate revenue would be impaired, market acceptance of our products could be adversely affected and customers may instead purchase or use our competitors’ products.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and broaden our product offerings through our research and development efforts, we may be unable to compete effectively.</w:t>
      </w:r>
    </w:p>
    <w:p>
      <w:pPr>
        <w:spacing w:after="0" w:line="23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174" w:lineRule="exact"/>
        <w:rPr>
          <w:sz w:val="20"/>
          <w:szCs w:val="20"/>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211" w:lineRule="exact"/>
        <w:rPr>
          <w:rFonts w:ascii="Arial" w:cs="Arial" w:eastAsia="Arial" w:hAnsi="Arial"/>
          <w:sz w:val="18"/>
          <w:szCs w:val="18"/>
          <w:color w:val="auto"/>
        </w:rPr>
      </w:pPr>
    </w:p>
    <w:p>
      <w:pPr>
        <w:ind w:left="900" w:hanging="406"/>
        <w:spacing w:after="0" w:line="261"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jc w:val="both"/>
        <w:ind w:firstLine="445"/>
        <w:spacing w:after="0" w:line="276" w:lineRule="auto"/>
        <w:rPr>
          <w:sz w:val="20"/>
          <w:szCs w:val="20"/>
          <w:color w:val="auto"/>
        </w:rPr>
      </w:pPr>
      <w:r>
        <w:rPr>
          <w:rFonts w:ascii="Arial" w:cs="Arial" w:eastAsia="Arial" w:hAnsi="Arial"/>
          <w:sz w:val="16"/>
          <w:szCs w:val="16"/>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223"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90"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156"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international business effectively.</w:t>
      </w:r>
    </w:p>
    <w:p>
      <w:pPr>
        <w:spacing w:after="0" w:line="21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212" w:lineRule="exact"/>
        <w:rPr>
          <w:sz w:val="20"/>
          <w:szCs w:val="20"/>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inability of the local healthcare system to absorb prices for our product that would enable our business to become profitable in those markets;</w:t>
      </w:r>
    </w:p>
    <w:p>
      <w:pPr>
        <w:spacing w:after="0" w:line="234" w:lineRule="exact"/>
        <w:rPr>
          <w:rFonts w:ascii="Arial" w:cs="Arial" w:eastAsia="Arial" w:hAnsi="Arial"/>
          <w:sz w:val="16"/>
          <w:szCs w:val="16"/>
          <w:color w:val="auto"/>
        </w:rPr>
      </w:pPr>
    </w:p>
    <w:p>
      <w:pPr>
        <w:ind w:left="900" w:right="40" w:hanging="406"/>
        <w:spacing w:after="0" w:line="261" w:lineRule="auto"/>
        <w:tabs>
          <w:tab w:leader="none" w:pos="7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numbers of patients requiring procedures that use our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12"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21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171"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171" w:lineRule="exact"/>
        <w:rPr>
          <w:sz w:val="20"/>
          <w:szCs w:val="20"/>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8" w:name="page49"/>
    <w:bookmarkEnd w:id="48"/>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212" w:lineRule="exact"/>
        <w:rPr>
          <w:sz w:val="20"/>
          <w:szCs w:val="20"/>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 or breach of our cybersecurity;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21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4"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Like other public companies, we have in the past, and could be in the future, subject to instances of phishing attacks on our email systems, other cyber-attacks, industrial espionage, insider threats, computer denial-of-service attacks, computer viruses, ransomware and other malware, wire fraud or other cyber incidents.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spacing w:after="0" w:line="200" w:lineRule="exact"/>
        <w:rPr>
          <w:sz w:val="20"/>
          <w:szCs w:val="20"/>
          <w:color w:val="auto"/>
        </w:rPr>
      </w:pPr>
    </w:p>
    <w:p>
      <w:pPr>
        <w:spacing w:after="0" w:line="23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spacing w:after="0" w:line="180"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0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82" w:lineRule="exact"/>
        <w:rPr>
          <w:sz w:val="20"/>
          <w:szCs w:val="20"/>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9" w:name="page50"/>
    <w:bookmarkEnd w:id="49"/>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1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20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20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term loan contains covenants that may restrict our business and financing activities.</w:t>
      </w:r>
    </w:p>
    <w:p>
      <w:pPr>
        <w:spacing w:after="0" w:line="25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On August 12, 2021, we entered into a Loan and Security Agreement with Silicon Valley Bank (“SVB”), pursuant to which we borrowed $35.0 million pursuant to a term loan (the “SVB Term Loan”). The Loan and Security Agreement with SVB contains customary events of default, including bankruptcy, the failure to make payments when due, the occurrence of a material impairment on SVB's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spacing w:after="0" w:line="216"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The SVB Term Loan is secured by substantially all our assets other than our intellectual property. The Loan and Security Agreement with SVB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0" w:name="page51"/>
    <w:bookmarkEnd w:id="50"/>
    <w:p>
      <w:pPr>
        <w:jc w:val="both"/>
        <w:ind w:right="20"/>
        <w:spacing w:after="0" w:line="261" w:lineRule="auto"/>
        <w:rPr>
          <w:sz w:val="20"/>
          <w:szCs w:val="20"/>
          <w:color w:val="auto"/>
        </w:rPr>
      </w:pPr>
      <w:r>
        <w:rPr>
          <w:rFonts w:ascii="Arial" w:cs="Arial" w:eastAsia="Arial" w:hAnsi="Arial"/>
          <w:sz w:val="18"/>
          <w:szCs w:val="18"/>
          <w:color w:val="auto"/>
        </w:rPr>
        <w:t>dividends or making other distributions, incurring indebtedness, transacting with affiliates, and entering into certain investments, in each case subject to certain exceptions.</w:t>
      </w:r>
    </w:p>
    <w:p>
      <w:pPr>
        <w:spacing w:after="0" w:line="1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covenants in the SVB Term Loan,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Loan and Security Agreement with SVB to become immediately due and payable.</w:t>
      </w:r>
    </w:p>
    <w:p>
      <w:pPr>
        <w:spacing w:after="0" w:line="18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Effective as of December 31, 2021, we became a large accelerated filer and are no longer an emerging growth company, which will impose additional costs on us.</w:t>
      </w:r>
    </w:p>
    <w:p>
      <w:pPr>
        <w:spacing w:after="0" w:line="170"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As a result of our public float as of June 30, 2021, we became a large accelerated filer as of December 31, 2021. We therefore no longer qualified as an “emerging growth company,” as defined in the JOBS Act. Additionally, due to our public float as of June 30, 2021, we no longer qualified as a “smaller reporting company” as defined in the Exchange Act.</w:t>
      </w:r>
    </w:p>
    <w:p>
      <w:pPr>
        <w:spacing w:after="0" w:line="18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As a large accelerated filer, we are subject to certain disclosure and compliance requirements that apply to other public companies but did not previously apply to us due to our status as an emerging growth company, such as the necessity of our independent registered public accounting firm providing an attestation on our internal control over financial reporting.</w:t>
      </w:r>
    </w:p>
    <w:p>
      <w:pPr>
        <w:spacing w:after="0" w:line="182"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We expect that compliance with the additional requirements of being a large accelerated filer will increase our legal and financial compliance costs and may cause management and other personnel to devote more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7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147" w:lineRule="exact"/>
        <w:rPr>
          <w:sz w:val="20"/>
          <w:szCs w:val="20"/>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1" w:name="page52"/>
    <w:bookmarkEnd w:id="51"/>
    <w:p>
      <w:pPr>
        <w:ind w:left="900" w:hanging="406"/>
        <w:spacing w:after="0" w:line="261" w:lineRule="auto"/>
        <w:tabs>
          <w:tab w:leader="none" w:pos="8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2"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8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12"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2"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88"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In the EEA., a single regulatory approval process exists, and conformity with its requirements is required to affix a CE mark to our medical devices, without which they cannot be marketed or sold in the EEA. To obtain a CE mark, defined products must meet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2" w:name="page53"/>
    <w:bookmarkEnd w:id="52"/>
    <w:p>
      <w:pPr>
        <w:jc w:val="both"/>
        <w:spacing w:after="0" w:line="272" w:lineRule="auto"/>
        <w:rPr>
          <w:sz w:val="20"/>
          <w:szCs w:val="20"/>
          <w:color w:val="auto"/>
        </w:rPr>
      </w:pPr>
      <w:r>
        <w:rPr>
          <w:rFonts w:ascii="Arial" w:cs="Arial" w:eastAsia="Arial" w:hAnsi="Arial"/>
          <w:sz w:val="16"/>
          <w:szCs w:val="16"/>
          <w:color w:val="auto"/>
        </w:rPr>
        <w:t>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 EEA country, known as a Notified Body. The competent authorities of the E.U. countries separately regulate the clinical research for medical devices and the market surveillance of products once they are placed on the market. A new Medical Device Regulation was published by the E.U. in 2017 and became effective on May 26, 2021. Medical devices marketed in the EEA will require certification according to these new requirements, except that devices with valid CE certificates, issued pursuant to the Medical Device Directives before May 2020, can be placed on the market until May 2024. The new EU MDR includes significant additional premarket and post-market requirements. Penalties for regulatory non-compliance could be severe, including fines and revocation or suspension of a company’s business license, mandatory price reductions and criminal sanctions.</w:t>
      </w:r>
    </w:p>
    <w:p>
      <w:pPr>
        <w:spacing w:after="0" w:line="168"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212"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223" w:lineRule="exact"/>
        <w:rPr>
          <w:rFonts w:ascii="Arial" w:cs="Arial" w:eastAsia="Arial" w:hAnsi="Arial"/>
          <w:sz w:val="17"/>
          <w:szCs w:val="17"/>
          <w:color w:val="auto"/>
        </w:rPr>
      </w:pPr>
    </w:p>
    <w:p>
      <w:pPr>
        <w:ind w:left="900" w:hanging="406"/>
        <w:spacing w:after="0" w:line="261" w:lineRule="auto"/>
        <w:tabs>
          <w:tab w:leader="none" w:pos="7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withdrawals, variation, or suspensions of current clearances or approvals and CE Certificates of Conformity, resulting in prohibitions on sales of our products; and</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209"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Healthcare providers, distributors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spacing w:after="0" w:line="213"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10, 2021.</w:t>
      </w:r>
    </w:p>
    <w:p>
      <w:pPr>
        <w:spacing w:after="0" w:line="203"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Certain states also have enacted analogous state and foreign law equivalents of each of the above federal laws and certain states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laws differ from each other in significant ways and may not have the same effect,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215"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6"/>
          <w:szCs w:val="16"/>
          <w:color w:val="auto"/>
        </w:rPr>
        <w:t>We have entered into consulting agreements and royalty agreements with physicians and healthcare executives,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96"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7"/>
          <w:szCs w:val="17"/>
          <w:color w:val="auto"/>
        </w:rPr>
        <w:t>Various state and federal regulatory and enforcement agencies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207" w:lineRule="exact"/>
        <w:rPr>
          <w:sz w:val="20"/>
          <w:szCs w:val="20"/>
          <w:color w:val="auto"/>
        </w:rPr>
      </w:pPr>
    </w:p>
    <w:p>
      <w:pPr>
        <w:jc w:val="both"/>
        <w:ind w:firstLine="450"/>
        <w:spacing w:after="0" w:line="248" w:lineRule="auto"/>
        <w:rPr>
          <w:sz w:val="20"/>
          <w:szCs w:val="20"/>
          <w:color w:val="auto"/>
        </w:rPr>
      </w:pPr>
      <w:r>
        <w:rPr>
          <w:rFonts w:ascii="Arial" w:cs="Arial" w:eastAsia="Arial" w:hAnsi="Arial"/>
          <w:sz w:val="18"/>
          <w:szCs w:val="18"/>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w:t>
      </w:r>
    </w:p>
    <w:p>
      <w:pPr>
        <w:sectPr>
          <w:pgSz w:w="11900" w:h="16838" w:orient="portrait"/>
          <w:cols w:equalWidth="0" w:num="1">
            <w:col w:w="11240"/>
          </w:cols>
          <w:pgMar w:left="320" w:top="773"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4" w:name="page55"/>
    <w:bookmarkEnd w:id="54"/>
    <w:p>
      <w:pPr>
        <w:jc w:val="both"/>
        <w:spacing w:after="0" w:line="261" w:lineRule="auto"/>
        <w:rPr>
          <w:sz w:val="20"/>
          <w:szCs w:val="20"/>
          <w:color w:val="auto"/>
        </w:rPr>
      </w:pPr>
      <w:r>
        <w:rPr>
          <w:rFonts w:ascii="Arial" w:cs="Arial" w:eastAsia="Arial" w:hAnsi="Arial"/>
          <w:sz w:val="18"/>
          <w:szCs w:val="18"/>
          <w:color w:val="auto"/>
        </w:rPr>
        <w:t>or state regulatory authorities might challenge our current or future activities under these laws. Additionally, we cannot predict the impact of any changes in these laws, whether or not retroactive.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21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In the ordinary course of our business, we collect and store sensitive data, including legally protected personally identifiable information. We collect this kind of information for billing, reimbursement support, marketing purposes, post-marketing safety vigilance, servicing potential warranty claims and during the course of clinical trials.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10, 2021.</w:t>
      </w:r>
    </w:p>
    <w:p>
      <w:pPr>
        <w:spacing w:after="0" w:line="20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6"/>
          <w:szCs w:val="16"/>
          <w:color w:val="auto"/>
        </w:rPr>
        <w:t>The California Consumer Privacy Act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$750 per consumer per data breach. These remedies are expected to increase data breach litigation. Although the CCPA includes exemptions for certain clinical trials data, and protected health information governed by HIPAA, the law may increase our compliance costs and potential liability with respect to other personal information we collect about California residents. Our compliance costs and potential liability with respect to personal information may also increase in response to other states adopting and considering initiative regarding protection of personal information. In March 2021, Virginia passed the Consumer Data Protection Act (“CDPA”) which will take effect on January 1, 2023. Virginia is the second state to pass comprehensive privacy litigation. Colorado passed the Colorado Privacy Act (“CPA”) on July 7, 2021 with enforcement to begin on July 1, 2023. While the CDPA and CPA emulate the GDPR and the CCPA in certain respects, the laws differ and compliance with one law does not equate to compliance with the other laws. Several other states (including Washington, New York, and Minnesota)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spacing w:after="0" w:line="190"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6"/>
          <w:szCs w:val="16"/>
          <w:color w:val="auto"/>
        </w:rPr>
        <w:t>We have in the past, and could be in the future, subject to data breaches. 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212"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213"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5" w:name="page56"/>
    <w:bookmarkEnd w:id="55"/>
    <w:p>
      <w:pPr>
        <w:jc w:val="both"/>
        <w:spacing w:after="0" w:line="243" w:lineRule="auto"/>
        <w:rPr>
          <w:sz w:val="20"/>
          <w:szCs w:val="20"/>
          <w:color w:val="auto"/>
        </w:rPr>
      </w:pPr>
      <w:r>
        <w:rPr>
          <w:rFonts w:ascii="Arial" w:cs="Arial" w:eastAsia="Arial" w:hAnsi="Arial"/>
          <w:sz w:val="18"/>
          <w:szCs w:val="18"/>
          <w:color w:val="auto"/>
        </w:rPr>
        <w:t>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8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75"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47"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234" w:lineRule="exact"/>
        <w:rPr>
          <w:rFonts w:ascii="Arial" w:cs="Arial" w:eastAsia="Arial" w:hAnsi="Arial"/>
          <w:sz w:val="16"/>
          <w:szCs w:val="16"/>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variation or withdrawal of CE Certificates of Conformity;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6" w:name="page57"/>
    <w:bookmarkEnd w:id="56"/>
    <w:p>
      <w:pPr>
        <w:jc w:val="both"/>
        <w:ind w:firstLine="445"/>
        <w:spacing w:after="0"/>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7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1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7" w:name="page58"/>
    <w:bookmarkEnd w:id="57"/>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71"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In the EEA, we must report serious incidents and field safety corrective actions through the Commission’s electronic system on vigilance and post-market surveillance, which reports are transmitted to the competent authority of the Member State in which the incident occurred.</w:t>
      </w:r>
    </w:p>
    <w:p>
      <w:pPr>
        <w:spacing w:after="0" w:line="189"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8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18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20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207"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24"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8" w:name="page59"/>
    <w:bookmarkEnd w:id="58"/>
    <w:p>
      <w:pPr>
        <w:jc w:val="both"/>
        <w:ind w:firstLine="445"/>
        <w:spacing w:after="0" w:line="279" w:lineRule="auto"/>
        <w:rPr>
          <w:sz w:val="20"/>
          <w:szCs w:val="20"/>
          <w:color w:val="auto"/>
        </w:rPr>
      </w:pPr>
      <w:r>
        <w:rPr>
          <w:rFonts w:ascii="Arial" w:cs="Arial" w:eastAsia="Arial" w:hAnsi="Arial"/>
          <w:sz w:val="16"/>
          <w:szCs w:val="16"/>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200" w:lineRule="exact"/>
        <w:rPr>
          <w:sz w:val="20"/>
          <w:szCs w:val="20"/>
          <w:color w:val="auto"/>
        </w:rPr>
      </w:pPr>
    </w:p>
    <w:p>
      <w:pPr>
        <w:spacing w:after="0" w:line="229"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89"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8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2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6"/>
          <w:szCs w:val="16"/>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9" w:name="page60"/>
    <w:bookmarkEnd w:id="59"/>
    <w:p>
      <w:pPr>
        <w:jc w:val="both"/>
        <w:spacing w:after="0" w:line="243" w:lineRule="auto"/>
        <w:rPr>
          <w:sz w:val="20"/>
          <w:szCs w:val="20"/>
          <w:color w:val="auto"/>
        </w:rPr>
      </w:pPr>
      <w:r>
        <w:rPr>
          <w:rFonts w:ascii="Arial" w:cs="Arial" w:eastAsia="Arial" w:hAnsi="Arial"/>
          <w:sz w:val="18"/>
          <w:szCs w:val="18"/>
          <w:b w:val="1"/>
          <w:bCs w:val="1"/>
          <w:i w:val="1"/>
          <w:iCs w:val="1"/>
          <w:color w:val="auto"/>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188"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188"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our clinical trials may not support our product candidate claims or may result in the occurrence of adverse events.</w:t>
      </w:r>
    </w:p>
    <w:p>
      <w:pPr>
        <w:spacing w:after="0" w:line="212"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spacing w:after="0" w:line="16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51"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entered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216"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0" w:name="page61"/>
    <w:bookmarkEnd w:id="60"/>
    <w:p>
      <w:pPr>
        <w:jc w:val="both"/>
        <w:ind w:firstLine="445"/>
        <w:spacing w:after="0" w:line="248" w:lineRule="auto"/>
        <w:rPr>
          <w:sz w:val="20"/>
          <w:szCs w:val="20"/>
          <w:color w:val="auto"/>
        </w:rPr>
      </w:pPr>
      <w:r>
        <w:rPr>
          <w:rFonts w:ascii="Arial" w:cs="Arial" w:eastAsia="Arial" w:hAnsi="Arial"/>
          <w:sz w:val="18"/>
          <w:szCs w:val="18"/>
          <w:color w:val="auto"/>
        </w:rPr>
        <w:t>Another example can be found in the EEA. The Medical Devices Regulation (“MDR”) entered into application on May 26, 2021. MDR introduced substantial changes to the obligations with which medical device manufacturers must comply in the EEA. Examples of the changes which will be introduced by these regulations include the following:</w:t>
      </w:r>
    </w:p>
    <w:p>
      <w:pPr>
        <w:spacing w:after="0" w:line="182"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211" w:lineRule="exact"/>
        <w:rPr>
          <w:rFonts w:ascii="Arial" w:cs="Arial" w:eastAsia="Arial" w:hAnsi="Arial"/>
          <w:sz w:val="18"/>
          <w:szCs w:val="18"/>
          <w:color w:val="auto"/>
        </w:rPr>
      </w:pPr>
    </w:p>
    <w:p>
      <w:pPr>
        <w:ind w:left="900" w:hanging="406"/>
        <w:spacing w:after="0" w:line="261" w:lineRule="auto"/>
        <w:tabs>
          <w:tab w:leader="none" w:pos="8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authorized representatives held legally responsible and liable for defective products placed on the EU market;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(“UDI”), system;</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211" w:lineRule="exact"/>
        <w:rPr>
          <w:rFonts w:ascii="Arial" w:cs="Arial" w:eastAsia="Arial" w:hAnsi="Arial"/>
          <w:sz w:val="18"/>
          <w:szCs w:val="18"/>
          <w:color w:val="auto"/>
        </w:rPr>
      </w:pPr>
    </w:p>
    <w:p>
      <w:pPr>
        <w:jc w:val="both"/>
        <w:ind w:left="900" w:hanging="406"/>
        <w:spacing w:after="0" w:line="248" w:lineRule="auto"/>
        <w:tabs>
          <w:tab w:leader="none" w:pos="8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Transition from the regulation of our products under the Medical Device Directive, and implementing legislation in each EU Member State, to</w:t>
      </w:r>
    </w:p>
    <w:p>
      <w:pPr>
        <w:spacing w:after="0" w:line="3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regulation under the Medical Devices Regulation has required and will continue to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w:t>
      </w:r>
    </w:p>
    <w:p>
      <w:pPr>
        <w:spacing w:after="0" w:line="20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7"/>
          <w:szCs w:val="17"/>
          <w:color w:val="auto"/>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pursuant to guidance issued by the UK Government as a result of the UK formally withdrawing from the European Union, the Medicines and Healthcare products Regulatory Agency (“MHRA”) became the standalone medicines and medical devices regulator for the UK as of January 1, 2021. A new mark referred to as “UKCA” (UK Conformity Assessed) has also been introduced and will replace the CE conformity mark. Although CE conformity marketing and certificates issued by Notified Bodies will continue to be recognized in the UK through June 2023, all medical devices must be registered with the MHRA as of January 1, 2021. Complying with this new regulatory framework will require us to invest in additional resources and could be expensive, time-consuming and disruptive to our existing operations in the UK.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1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1" w:name="page62"/>
    <w:bookmarkEnd w:id="61"/>
    <w:p>
      <w:pPr>
        <w:jc w:val="both"/>
        <w:ind w:firstLine="445"/>
        <w:spacing w:after="0" w:line="243"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8"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223"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6"/>
          <w:szCs w:val="16"/>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which requires adoption of a radiation safety plan. 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or could be subject to additional regulations and requirements.</w:t>
      </w:r>
    </w:p>
    <w:p>
      <w:pPr>
        <w:spacing w:after="0" w:line="2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18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In addition, procurement of certain human organs and tissue for transplantation is subject to the National Organ Transplant Act, or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7"/>
          <w:szCs w:val="17"/>
          <w:color w:val="auto"/>
        </w:rPr>
        <w:t>We rely primarily on patent, copyright, trademark and trade secret laws, as well as confidentiality and nondisclosure agreements and other methods, to protect our proprietary technologies and know-how. As of March 31, 2022, we owned 46 issued U.S. patents and had 35 pending U.S. patent applications, and we owned 15 issued foreign patents and had 9 pending foreign patent applications.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October 2031.</w:t>
      </w:r>
    </w:p>
    <w:p>
      <w:pPr>
        <w:spacing w:after="0" w:line="175"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color w:val="auto"/>
        </w:rPr>
        <w:t>As of March 31, 2022, we have 18 registered trademarks in the U.S. and have filed for 9 more. We have sought protection for at least two of these trademarks in 60 countries including the 27 European member countries of the Madrid Protocol.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2" w:name="page63"/>
    <w:bookmarkEnd w:id="62"/>
    <w:p>
      <w:pPr>
        <w:jc w:val="both"/>
        <w:ind w:firstLine="445"/>
        <w:spacing w:after="0" w:line="252"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207"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2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208"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90"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3" w:name="page64"/>
    <w:bookmarkEnd w:id="63"/>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2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07"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01"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w:t>
      </w:r>
    </w:p>
    <w:p>
      <w:pPr>
        <w:spacing w:after="0" w:line="185"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82"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4" w:name="page65"/>
    <w:bookmarkEnd w:id="64"/>
    <w:p>
      <w:pPr>
        <w:ind w:left="900" w:hanging="406"/>
        <w:spacing w:after="0" w:line="261" w:lineRule="auto"/>
        <w:tabs>
          <w:tab w:leader="none" w:pos="8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11" w:lineRule="exact"/>
        <w:rPr>
          <w:rFonts w:ascii="Arial" w:cs="Arial" w:eastAsia="Arial" w:hAnsi="Arial"/>
          <w:sz w:val="18"/>
          <w:szCs w:val="18"/>
          <w:color w:val="auto"/>
        </w:rPr>
      </w:pPr>
    </w:p>
    <w:p>
      <w:pPr>
        <w:ind w:left="900" w:hanging="406"/>
        <w:spacing w:after="0" w:line="261" w:lineRule="auto"/>
        <w:tabs>
          <w:tab w:leader="none" w:pos="7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in the U.S., foreign countries, or both;</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1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volumes and our operating results may fluctuate over the course of the year, which could affect the price of our common stock.</w:t>
      </w:r>
    </w:p>
    <w:p>
      <w:pPr>
        <w:spacing w:after="0" w:line="223"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71" w:lineRule="exact"/>
        <w:rPr>
          <w:sz w:val="20"/>
          <w:szCs w:val="20"/>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5" w:name="page66"/>
    <w:bookmarkEnd w:id="65"/>
    <w:p>
      <w:pPr>
        <w:ind w:left="900" w:right="20" w:hanging="406"/>
        <w:spacing w:after="0" w:line="261" w:lineRule="auto"/>
        <w:tabs>
          <w:tab w:leader="none" w:pos="8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170"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212" w:lineRule="exact"/>
        <w:rPr>
          <w:sz w:val="20"/>
          <w:szCs w:val="20"/>
          <w:color w:val="auto"/>
        </w:rPr>
      </w:pPr>
    </w:p>
    <w:p>
      <w:pPr>
        <w:jc w:val="both"/>
        <w:ind w:firstLine="450"/>
        <w:spacing w:after="0" w:line="274" w:lineRule="auto"/>
        <w:rPr>
          <w:sz w:val="20"/>
          <w:szCs w:val="20"/>
          <w:color w:val="auto"/>
        </w:rPr>
      </w:pPr>
      <w:r>
        <w:rPr>
          <w:rFonts w:ascii="Arial" w:cs="Arial" w:eastAsia="Arial" w:hAnsi="Arial"/>
          <w:sz w:val="16"/>
          <w:szCs w:val="16"/>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utilize our federal and state net operating loss carryforwards to reduce our income taxes.</w:t>
      </w:r>
    </w:p>
    <w:p>
      <w:pPr>
        <w:spacing w:after="0" w:line="21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As of December 31, 2021, we had net operating loss (“NOL”) carryforwards of $200.5 million and $165.0 million available to reduce future taxable income, if any, for U.S. federal income tax and state income tax purposes, respectively. If not utilized, our federal and state NOL carryforwards begin to expire in 2028 and 2021,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by legislation enacted in 2020, unused U.S. federal NOLs generated in tax years beginning after December 31, 2017</w:t>
      </w:r>
      <w:r>
        <w:rPr>
          <w:rFonts w:ascii="Arial" w:cs="Arial" w:eastAsia="Arial" w:hAnsi="Arial"/>
          <w:sz w:val="20"/>
          <w:szCs w:val="20"/>
          <w:color w:val="auto"/>
        </w:rPr>
        <w:t>,</w:t>
      </w:r>
      <w:r>
        <w:rPr>
          <w:rFonts w:ascii="Arial" w:cs="Arial" w:eastAsia="Arial" w:hAnsi="Arial"/>
          <w:sz w:val="17"/>
          <w:szCs w:val="17"/>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w:t>
      </w:r>
    </w:p>
    <w:p>
      <w:pPr>
        <w:spacing w:after="0" w:line="20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Given that we expect to be at a loss position in the current year, the new legislation will not impact our current year provision. We will continue to monitor the possible California NOLs and credit limitation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212"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6" w:name="page67"/>
    <w:bookmarkEnd w:id="66"/>
    <w:p>
      <w:pPr>
        <w:spacing w:after="0" w:line="261" w:lineRule="auto"/>
        <w:rPr>
          <w:sz w:val="20"/>
          <w:szCs w:val="20"/>
          <w:color w:val="auto"/>
        </w:rPr>
      </w:pPr>
      <w:r>
        <w:rPr>
          <w:rFonts w:ascii="Arial" w:cs="Arial" w:eastAsia="Arial" w:hAnsi="Arial"/>
          <w:sz w:val="18"/>
          <w:szCs w:val="18"/>
          <w:color w:val="auto"/>
        </w:rPr>
        <w:t>not nominated by the current members of our board of directors or take other corporate actions, including effecting changes in our management. These provisions include:</w:t>
      </w:r>
    </w:p>
    <w:p>
      <w:pPr>
        <w:spacing w:after="0" w:line="171" w:lineRule="exact"/>
        <w:rPr>
          <w:sz w:val="20"/>
          <w:szCs w:val="20"/>
          <w:color w:val="auto"/>
        </w:rPr>
      </w:pPr>
    </w:p>
    <w:p>
      <w:pPr>
        <w:ind w:left="900" w:right="20" w:hanging="406"/>
        <w:spacing w:after="0" w:line="261" w:lineRule="auto"/>
        <w:tabs>
          <w:tab w:leader="none" w:pos="8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900" w:hanging="406"/>
        <w:spacing w:after="0" w:line="291" w:lineRule="auto"/>
        <w:tabs>
          <w:tab w:leader="none" w:pos="82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46" w:lineRule="exact"/>
        <w:rPr>
          <w:rFonts w:ascii="Arial" w:cs="Arial" w:eastAsia="Arial" w:hAnsi="Arial"/>
          <w:sz w:val="17"/>
          <w:szCs w:val="17"/>
          <w:color w:val="auto"/>
        </w:rPr>
      </w:pPr>
    </w:p>
    <w:p>
      <w:pPr>
        <w:ind w:left="900" w:right="20" w:hanging="406"/>
        <w:spacing w:after="0" w:line="291" w:lineRule="auto"/>
        <w:tabs>
          <w:tab w:leader="none" w:pos="84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46" w:lineRule="exact"/>
        <w:rPr>
          <w:rFonts w:ascii="Arial" w:cs="Arial" w:eastAsia="Arial" w:hAnsi="Arial"/>
          <w:sz w:val="17"/>
          <w:szCs w:val="17"/>
          <w:color w:val="auto"/>
        </w:rPr>
      </w:pPr>
    </w:p>
    <w:p>
      <w:pPr>
        <w:ind w:left="900" w:hanging="406"/>
        <w:spacing w:after="0" w:line="261" w:lineRule="auto"/>
        <w:tabs>
          <w:tab w:leader="none" w:pos="8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ind w:left="900" w:right="20" w:hanging="406"/>
        <w:spacing w:after="0" w:line="248" w:lineRule="auto"/>
        <w:tabs>
          <w:tab w:leader="none" w:pos="7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81" w:lineRule="exact"/>
        <w:rPr>
          <w:rFonts w:ascii="Arial" w:cs="Arial" w:eastAsia="Arial" w:hAnsi="Arial"/>
          <w:sz w:val="18"/>
          <w:szCs w:val="18"/>
          <w:color w:val="auto"/>
        </w:rPr>
      </w:pPr>
    </w:p>
    <w:p>
      <w:pPr>
        <w:ind w:left="900" w:hanging="406"/>
        <w:spacing w:after="0" w:line="243" w:lineRule="auto"/>
        <w:tabs>
          <w:tab w:leader="none" w:pos="7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187" w:lineRule="exact"/>
        <w:rPr>
          <w:rFonts w:ascii="Arial" w:cs="Arial" w:eastAsia="Arial" w:hAnsi="Arial"/>
          <w:sz w:val="18"/>
          <w:szCs w:val="18"/>
          <w:color w:val="auto"/>
        </w:rPr>
      </w:pPr>
    </w:p>
    <w:p>
      <w:pPr>
        <w:ind w:left="900" w:hanging="406"/>
        <w:spacing w:after="0" w:line="248" w:lineRule="auto"/>
        <w:tabs>
          <w:tab w:leader="none" w:pos="7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2" w:lineRule="exact"/>
        <w:rPr>
          <w:sz w:val="20"/>
          <w:szCs w:val="20"/>
          <w:color w:val="auto"/>
        </w:rPr>
      </w:pPr>
    </w:p>
    <w:p>
      <w:pPr>
        <w:jc w:val="both"/>
        <w:ind w:right="20" w:firstLine="445"/>
        <w:spacing w:after="0" w:line="324"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6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7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Our amended and restated certificate of incorporation also provides that the U.S. federal district courts are the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sales of unregistered equity securities during the three months ended March 31, 2022.</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repurchases of shares or equity securities during the three months ended March 31, 2022.</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Proceeds from our Initial Public Offering of Common Stock</w:t>
      </w:r>
    </w:p>
    <w:p>
      <w:pPr>
        <w:spacing w:after="0" w:line="22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October 16, 2018, our registration statement on Form S-1 (File No. 333-227445) relating to our Initial Public Offering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the IPO were paid to directors, officers, persons owning 10% or more of any class of equity securities, or to their associates, or to our affiliates.</w:t>
      </w:r>
    </w:p>
    <w:p>
      <w:pPr>
        <w:spacing w:after="0" w:line="1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16, 2018. As of March 31, 2022, all of the net proceeds had been used for general corporate purposes including cash used in operations and capital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6. Exhibits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3"/>
              </w:rPr>
              <w:t>Incorporation By Reference</w:t>
            </w:r>
          </w:p>
        </w:tc>
        <w:tc>
          <w:tcPr>
            <w:tcW w:w="9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40" w:type="dxa"/>
            <w:vAlign w:val="bottom"/>
            <w:gridSpan w:val="2"/>
          </w:tcPr>
          <w:p>
            <w:pPr>
              <w:ind w:left="30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60" w:type="dxa"/>
            <w:vAlign w:val="bottom"/>
            <w:gridSpan w:val="16"/>
            <w:vMerge w:val="restart"/>
          </w:tcPr>
          <w:p>
            <w:pPr>
              <w:ind w:left="1120"/>
              <w:spacing w:after="0"/>
              <w:rPr>
                <w:sz w:val="20"/>
                <w:szCs w:val="20"/>
                <w:color w:val="auto"/>
              </w:rPr>
            </w:pPr>
            <w:r>
              <w:rPr>
                <w:rFonts w:ascii="Arial" w:cs="Arial" w:eastAsia="Arial" w:hAnsi="Arial"/>
                <w:sz w:val="14"/>
                <w:szCs w:val="14"/>
                <w:b w:val="1"/>
                <w:bCs w:val="1"/>
                <w:color w:val="auto"/>
              </w:rPr>
              <w:t>Description</w:t>
            </w:r>
          </w:p>
        </w:tc>
        <w:tc>
          <w:tcPr>
            <w:tcW w:w="800" w:type="dxa"/>
            <w:vAlign w:val="bottom"/>
            <w:vMerge w:val="restart"/>
          </w:tcPr>
          <w:p>
            <w:pPr>
              <w:jc w:val="center"/>
              <w:ind w:left="54"/>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SEC File No.</w:t>
            </w:r>
          </w:p>
        </w:tc>
        <w:tc>
          <w:tcPr>
            <w:tcW w:w="90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11"/>
                <w:szCs w:val="11"/>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60" w:type="dxa"/>
            <w:vAlign w:val="bottom"/>
            <w:gridSpan w:val="16"/>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Reference</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6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740" w:type="dxa"/>
            <w:vAlign w:val="bottom"/>
            <w:tcBorders>
              <w:top w:val="single" w:sz="8" w:color="auto"/>
              <w:bottom w:val="single" w:sz="8" w:color="0000FF"/>
            </w:tcBorders>
            <w:gridSpan w:val="8"/>
          </w:tcPr>
          <w:p>
            <w:pPr>
              <w:spacing w:after="0" w:line="184"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Amended and Restated Certificate of Incorporation.</w:t>
              </w:r>
            </w:hyperlink>
          </w:p>
        </w:tc>
        <w:tc>
          <w:tcPr>
            <w:tcW w:w="1020" w:type="dxa"/>
            <w:vAlign w:val="bottom"/>
            <w:tcBorders>
              <w:top w:val="single" w:sz="8" w:color="auto"/>
            </w:tcBorders>
            <w:gridSpan w:val="8"/>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auto"/>
            </w:tcBorders>
          </w:tcPr>
          <w:p>
            <w:pPr>
              <w:jc w:val="center"/>
              <w:ind w:left="74"/>
              <w:spacing w:after="0" w:line="184" w:lineRule="exact"/>
              <w:rPr>
                <w:sz w:val="20"/>
                <w:szCs w:val="20"/>
                <w:color w:val="auto"/>
              </w:rPr>
            </w:pPr>
            <w:r>
              <w:rPr>
                <w:rFonts w:ascii="Arial" w:cs="Arial" w:eastAsia="Arial" w:hAnsi="Arial"/>
                <w:sz w:val="18"/>
                <w:szCs w:val="18"/>
                <w:color w:val="auto"/>
                <w:w w:val="99"/>
              </w:rPr>
              <w:t>8-K</w:t>
            </w:r>
          </w:p>
        </w:tc>
        <w:tc>
          <w:tcPr>
            <w:tcW w:w="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76"/>
              <w:spacing w:after="0" w:line="184" w:lineRule="exact"/>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5"/>
                <w:szCs w:val="15"/>
                <w:color w:val="auto"/>
              </w:rPr>
            </w:pPr>
          </w:p>
        </w:tc>
        <w:tc>
          <w:tcPr>
            <w:tcW w:w="12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263"/>
        </w:trPr>
        <w:tc>
          <w:tcPr>
            <w:tcW w:w="106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tcBorders>
              <w:bottom w:val="single" w:sz="8" w:color="0000FF"/>
            </w:tcBorders>
            <w:gridSpan w:val="3"/>
          </w:tcPr>
          <w:p>
            <w:pPr>
              <w:spacing w:after="0"/>
              <w:rPr>
                <w:rFonts w:ascii="Arial" w:cs="Arial" w:eastAsia="Arial" w:hAnsi="Arial"/>
                <w:sz w:val="18"/>
                <w:szCs w:val="18"/>
                <w:color w:val="0000FF"/>
                <w:w w:val="88"/>
              </w:rPr>
            </w:pPr>
            <w:hyperlink r:id="rId86">
              <w:r>
                <w:rPr>
                  <w:rFonts w:ascii="Arial" w:cs="Arial" w:eastAsia="Arial" w:hAnsi="Arial"/>
                  <w:sz w:val="18"/>
                  <w:szCs w:val="18"/>
                  <w:color w:val="0000FF"/>
                  <w:w w:val="88"/>
                </w:rPr>
                <w:t>Amended and Restated Bylaws.</w:t>
              </w:r>
            </w:hyperlink>
          </w:p>
        </w:tc>
        <w:tc>
          <w:tcPr>
            <w:tcW w:w="2660" w:type="dxa"/>
            <w:vAlign w:val="bottom"/>
            <w:gridSpan w:val="14"/>
          </w:tcPr>
          <w:p>
            <w:pPr>
              <w:spacing w:after="0"/>
              <w:rPr>
                <w:sz w:val="22"/>
                <w:szCs w:val="22"/>
                <w:color w:val="auto"/>
              </w:rPr>
            </w:pPr>
          </w:p>
        </w:tc>
        <w:tc>
          <w:tcPr>
            <w:tcW w:w="800" w:type="dxa"/>
            <w:vAlign w:val="bottom"/>
          </w:tcPr>
          <w:p>
            <w:pPr>
              <w:jc w:val="center"/>
              <w:ind w:left="74"/>
              <w:spacing w:after="0"/>
              <w:rPr>
                <w:sz w:val="20"/>
                <w:szCs w:val="20"/>
                <w:color w:val="auto"/>
              </w:rPr>
            </w:pPr>
            <w:r>
              <w:rPr>
                <w:rFonts w:ascii="Arial" w:cs="Arial" w:eastAsia="Arial" w:hAnsi="Arial"/>
                <w:sz w:val="18"/>
                <w:szCs w:val="18"/>
                <w:color w:val="auto"/>
                <w:w w:val="97"/>
              </w:rPr>
              <w:t>S-1/A</w:t>
            </w:r>
          </w:p>
        </w:tc>
        <w:tc>
          <w:tcPr>
            <w:tcW w:w="1500" w:type="dxa"/>
            <w:vAlign w:val="bottom"/>
            <w:gridSpan w:val="3"/>
          </w:tcPr>
          <w:p>
            <w:pPr>
              <w:jc w:val="center"/>
              <w:ind w:left="255"/>
              <w:spacing w:after="0"/>
              <w:rPr>
                <w:sz w:val="20"/>
                <w:szCs w:val="20"/>
                <w:color w:val="auto"/>
              </w:rPr>
            </w:pPr>
            <w:r>
              <w:rPr>
                <w:rFonts w:ascii="Arial" w:cs="Arial" w:eastAsia="Arial" w:hAnsi="Arial"/>
                <w:sz w:val="18"/>
                <w:szCs w:val="18"/>
                <w:color w:val="auto"/>
                <w:w w:val="91"/>
              </w:rPr>
              <w:t>333-227445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center"/>
              <w:ind w:right="76"/>
              <w:spacing w:after="0"/>
              <w:rPr>
                <w:sz w:val="20"/>
                <w:szCs w:val="20"/>
                <w:color w:val="auto"/>
              </w:rPr>
            </w:pPr>
            <w:r>
              <w:rPr>
                <w:rFonts w:ascii="Arial" w:cs="Arial" w:eastAsia="Arial" w:hAnsi="Arial"/>
                <w:sz w:val="18"/>
                <w:szCs w:val="18"/>
                <w:color w:val="auto"/>
                <w:w w:val="87"/>
              </w:rPr>
              <w:t>3.4</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63"/>
        </w:trPr>
        <w:tc>
          <w:tcPr>
            <w:tcW w:w="1060" w:type="dxa"/>
            <w:vAlign w:val="bottom"/>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0" w:type="dxa"/>
            <w:vAlign w:val="bottom"/>
            <w:tcBorders>
              <w:bottom w:val="single" w:sz="8" w:color="0000FF"/>
            </w:tcBorders>
            <w:gridSpan w:val="9"/>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Form of Common Stock Certificate of the Company.</w:t>
              </w:r>
            </w:hyperlink>
          </w:p>
        </w:tc>
        <w:tc>
          <w:tcPr>
            <w:tcW w:w="1160" w:type="dxa"/>
            <w:vAlign w:val="bottom"/>
            <w:gridSpan w:val="8"/>
          </w:tcPr>
          <w:p>
            <w:pPr>
              <w:spacing w:after="0"/>
              <w:rPr>
                <w:sz w:val="22"/>
                <w:szCs w:val="22"/>
                <w:color w:val="auto"/>
              </w:rPr>
            </w:pPr>
          </w:p>
        </w:tc>
        <w:tc>
          <w:tcPr>
            <w:tcW w:w="800" w:type="dxa"/>
            <w:vAlign w:val="bottom"/>
          </w:tcPr>
          <w:p>
            <w:pPr>
              <w:jc w:val="center"/>
              <w:ind w:left="74"/>
              <w:spacing w:after="0"/>
              <w:rPr>
                <w:sz w:val="20"/>
                <w:szCs w:val="20"/>
                <w:color w:val="auto"/>
              </w:rPr>
            </w:pPr>
            <w:r>
              <w:rPr>
                <w:rFonts w:ascii="Arial" w:cs="Arial" w:eastAsia="Arial" w:hAnsi="Arial"/>
                <w:sz w:val="18"/>
                <w:szCs w:val="18"/>
                <w:color w:val="auto"/>
                <w:w w:val="97"/>
              </w:rPr>
              <w:t>S-1/A</w:t>
            </w:r>
          </w:p>
        </w:tc>
        <w:tc>
          <w:tcPr>
            <w:tcW w:w="1500" w:type="dxa"/>
            <w:vAlign w:val="bottom"/>
            <w:gridSpan w:val="3"/>
          </w:tcPr>
          <w:p>
            <w:pPr>
              <w:jc w:val="center"/>
              <w:ind w:left="255"/>
              <w:spacing w:after="0"/>
              <w:rPr>
                <w:sz w:val="20"/>
                <w:szCs w:val="20"/>
                <w:color w:val="auto"/>
              </w:rPr>
            </w:pPr>
            <w:r>
              <w:rPr>
                <w:rFonts w:ascii="Arial" w:cs="Arial" w:eastAsia="Arial" w:hAnsi="Arial"/>
                <w:sz w:val="18"/>
                <w:szCs w:val="18"/>
                <w:color w:val="auto"/>
                <w:w w:val="91"/>
              </w:rPr>
              <w:t>333-227445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center"/>
              <w:ind w:right="76"/>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17"/>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5">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86">
              <w:r>
                <w:rPr>
                  <w:rFonts w:ascii="Arial" w:cs="Arial" w:eastAsia="Arial" w:hAnsi="Arial"/>
                  <w:sz w:val="18"/>
                  <w:szCs w:val="18"/>
                  <w:color w:val="0000FF"/>
                </w:rPr>
                <w:t>3.2</w:t>
              </w:r>
            </w:hyperlink>
            <w:r>
              <w:rPr>
                <w:rFonts w:ascii="Arial" w:cs="Arial" w:eastAsia="Arial" w:hAnsi="Arial"/>
                <w:sz w:val="18"/>
                <w:szCs w:val="18"/>
                <w:color w:val="auto"/>
              </w:rPr>
              <w:t>.</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gridSpan w:val="17"/>
          </w:tcPr>
          <w:p>
            <w:pPr>
              <w:spacing w:after="0"/>
              <w:rPr>
                <w:rFonts w:ascii="Arial" w:cs="Arial" w:eastAsia="Arial" w:hAnsi="Arial"/>
                <w:sz w:val="18"/>
                <w:szCs w:val="18"/>
                <w:color w:val="0000FF"/>
              </w:rPr>
            </w:pPr>
            <w:hyperlink r:id="rId88">
              <w:r>
                <w:rPr>
                  <w:rFonts w:ascii="Arial" w:cs="Arial" w:eastAsia="Arial" w:hAnsi="Arial"/>
                  <w:sz w:val="18"/>
                  <w:szCs w:val="18"/>
                  <w:color w:val="0000FF"/>
                </w:rPr>
                <w:t>Performance Stock Unit Grants to CEO and CFO</w:t>
              </w:r>
            </w:hyperlink>
          </w:p>
        </w:tc>
        <w:tc>
          <w:tcPr>
            <w:tcW w:w="800" w:type="dxa"/>
            <w:vAlign w:val="bottom"/>
          </w:tcPr>
          <w:p>
            <w:pPr>
              <w:jc w:val="center"/>
              <w:ind w:left="74"/>
              <w:spacing w:after="0"/>
              <w:rPr>
                <w:sz w:val="20"/>
                <w:szCs w:val="20"/>
                <w:color w:val="auto"/>
              </w:rPr>
            </w:pPr>
            <w:r>
              <w:rPr>
                <w:rFonts w:ascii="Arial" w:cs="Arial" w:eastAsia="Arial" w:hAnsi="Arial"/>
                <w:sz w:val="18"/>
                <w:szCs w:val="18"/>
                <w:color w:val="auto"/>
                <w:w w:val="99"/>
              </w:rPr>
              <w:t>8-K</w:t>
            </w:r>
          </w:p>
        </w:tc>
        <w:tc>
          <w:tcPr>
            <w:tcW w:w="1500" w:type="dxa"/>
            <w:vAlign w:val="bottom"/>
            <w:gridSpan w:val="3"/>
          </w:tcPr>
          <w:p>
            <w:pPr>
              <w:jc w:val="center"/>
              <w:ind w:left="255"/>
              <w:spacing w:after="0"/>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Item 5.02</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1/10/2022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Certification of Principal Executive Officer Pursuant to Rules</w:t>
              </w:r>
            </w:hyperlink>
          </w:p>
        </w:tc>
        <w:tc>
          <w:tcPr>
            <w:tcW w:w="520" w:type="dxa"/>
            <w:vAlign w:val="bottom"/>
            <w:gridSpan w:val="5"/>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7"/>
          </w:tcPr>
          <w:p>
            <w:pPr>
              <w:spacing w:after="0" w:line="156" w:lineRule="exact"/>
              <w:rPr>
                <w:rFonts w:ascii="Arial" w:cs="Arial" w:eastAsia="Arial" w:hAnsi="Arial"/>
                <w:sz w:val="18"/>
                <w:szCs w:val="18"/>
                <w:color w:val="0000FF"/>
                <w:w w:val="99"/>
              </w:rPr>
            </w:pPr>
            <w:hyperlink w:anchor="page71">
              <w:r>
                <w:rPr>
                  <w:rFonts w:ascii="Arial" w:cs="Arial" w:eastAsia="Arial" w:hAnsi="Arial"/>
                  <w:sz w:val="18"/>
                  <w:szCs w:val="18"/>
                  <w:color w:val="0000FF"/>
                  <w:w w:val="99"/>
                </w:rPr>
                <w:t>13a-14(a) and 15d-14(a) under the Securities Exchange Act of</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gridSpan w:val="9"/>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7"/>
          </w:tcPr>
          <w:p>
            <w:pPr>
              <w:spacing w:after="0" w:line="156" w:lineRule="exact"/>
              <w:rPr>
                <w:rFonts w:ascii="Arial" w:cs="Arial" w:eastAsia="Arial" w:hAnsi="Arial"/>
                <w:sz w:val="18"/>
                <w:szCs w:val="18"/>
                <w:color w:val="0000FF"/>
                <w:w w:val="94"/>
              </w:rPr>
            </w:pPr>
            <w:hyperlink w:anchor="page71">
              <w:r>
                <w:rPr>
                  <w:rFonts w:ascii="Arial" w:cs="Arial" w:eastAsia="Arial" w:hAnsi="Arial"/>
                  <w:sz w:val="18"/>
                  <w:szCs w:val="18"/>
                  <w:color w:val="0000FF"/>
                  <w:w w:val="94"/>
                </w:rPr>
                <w:t>1934, as Adopted Pursuant to Section 302 of the Sarbanes-Oxley</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71">
              <w:r>
                <w:rPr>
                  <w:rFonts w:ascii="Arial" w:cs="Arial" w:eastAsia="Arial" w:hAnsi="Arial"/>
                  <w:sz w:val="18"/>
                  <w:szCs w:val="18"/>
                  <w:color w:val="0000FF"/>
                  <w:w w:val="91"/>
                </w:rPr>
                <w:t>Act of 2002.</w:t>
              </w:r>
            </w:hyperlink>
          </w:p>
        </w:tc>
        <w:tc>
          <w:tcPr>
            <w:tcW w:w="378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17"/>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Principal Financial Officer Pursuant to Rules</w:t>
              </w:r>
            </w:hyperlink>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10"/>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7"/>
          </w:tcPr>
          <w:p>
            <w:pPr>
              <w:spacing w:after="0" w:line="156"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13a-14(a) and 15d-14(a) under the Securities Exchange Act of</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10"/>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7"/>
          </w:tcPr>
          <w:p>
            <w:pPr>
              <w:spacing w:after="0" w:line="156" w:lineRule="exact"/>
              <w:rPr>
                <w:rFonts w:ascii="Arial" w:cs="Arial" w:eastAsia="Arial" w:hAnsi="Arial"/>
                <w:sz w:val="18"/>
                <w:szCs w:val="18"/>
                <w:color w:val="0000FF"/>
                <w:w w:val="94"/>
              </w:rPr>
            </w:pPr>
            <w:hyperlink w:anchor="page72">
              <w:r>
                <w:rPr>
                  <w:rFonts w:ascii="Arial" w:cs="Arial" w:eastAsia="Arial" w:hAnsi="Arial"/>
                  <w:sz w:val="18"/>
                  <w:szCs w:val="18"/>
                  <w:color w:val="0000FF"/>
                  <w:w w:val="94"/>
                </w:rPr>
                <w:t>1934, as Adopted Pursuant to Section 302 of the Sarbanes-Oxley</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72">
              <w:r>
                <w:rPr>
                  <w:rFonts w:ascii="Arial" w:cs="Arial" w:eastAsia="Arial" w:hAnsi="Arial"/>
                  <w:sz w:val="18"/>
                  <w:szCs w:val="18"/>
                  <w:color w:val="0000FF"/>
                  <w:w w:val="91"/>
                </w:rPr>
                <w:t>Act of 2002.</w:t>
              </w:r>
            </w:hyperlink>
          </w:p>
        </w:tc>
        <w:tc>
          <w:tcPr>
            <w:tcW w:w="378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17"/>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Principal Executive Officer and Principal</w:t>
              </w:r>
            </w:hyperlink>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w:anchor="page73">
              <w:r>
                <w:rPr>
                  <w:rFonts w:ascii="Arial" w:cs="Arial" w:eastAsia="Arial" w:hAnsi="Arial"/>
                  <w:sz w:val="18"/>
                  <w:szCs w:val="18"/>
                  <w:color w:val="0000FF"/>
                  <w:w w:val="91"/>
                </w:rPr>
                <w:t>Financial Officer Pursuant to 18 U.S.C. Section 1350, as</w:t>
              </w:r>
            </w:hyperlink>
          </w:p>
        </w:tc>
        <w:tc>
          <w:tcPr>
            <w:tcW w:w="840" w:type="dxa"/>
            <w:vAlign w:val="bottom"/>
            <w:gridSpan w:val="7"/>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Adopted</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w:anchor="page73">
              <w:r>
                <w:rPr>
                  <w:rFonts w:ascii="Arial" w:cs="Arial" w:eastAsia="Arial" w:hAnsi="Arial"/>
                  <w:sz w:val="18"/>
                  <w:szCs w:val="18"/>
                  <w:color w:val="0000FF"/>
                  <w:w w:val="90"/>
                </w:rPr>
                <w:t>Pursuant to Section 906 of the Sarbanes-Oxley Act of 2002.</w:t>
              </w:r>
            </w:hyperlink>
          </w:p>
        </w:tc>
        <w:tc>
          <w:tcPr>
            <w:tcW w:w="360" w:type="dxa"/>
            <w:vAlign w:val="bottom"/>
            <w:tcBorders>
              <w:top w:val="single" w:sz="8" w:color="0000FF"/>
            </w:tcBorders>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w w:val="99"/>
              </w:rPr>
              <w:t>Inline XBRL Instance Document - the instance document does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gridSpan w:val="17"/>
          </w:tcPr>
          <w:p>
            <w:pPr>
              <w:spacing w:after="0" w:line="176" w:lineRule="exact"/>
              <w:rPr>
                <w:sz w:val="20"/>
                <w:szCs w:val="20"/>
                <w:color w:val="auto"/>
              </w:rPr>
            </w:pPr>
            <w:r>
              <w:rPr>
                <w:rFonts w:ascii="Arial" w:cs="Arial" w:eastAsia="Arial" w:hAnsi="Arial"/>
                <w:sz w:val="18"/>
                <w:szCs w:val="18"/>
                <w:color w:val="auto"/>
                <w:w w:val="95"/>
              </w:rPr>
              <w:t>not appear in the Interactive Data File because its XBRL tags are</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300" w:right="5280" w:hanging="1247"/>
        <w:spacing w:after="0" w:line="235"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340" w:right="20" w:hanging="332"/>
        <w:spacing w:after="0" w:line="253" w:lineRule="auto"/>
        <w:tabs>
          <w:tab w:leader="none" w:pos="3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Santa Clara, California, on May 10, 2022.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SI-BONE, Inc.</w:t>
      </w:r>
    </w:p>
    <w:p>
      <w:pPr>
        <w:spacing w:after="0" w:line="279" w:lineRule="exact"/>
        <w:rPr>
          <w:sz w:val="20"/>
          <w:szCs w:val="20"/>
          <w:color w:val="auto"/>
        </w:rPr>
      </w:pPr>
    </w:p>
    <w:p>
      <w:pPr>
        <w:ind w:left="920"/>
        <w:spacing w:after="0"/>
        <w:tabs>
          <w:tab w:leader="none" w:pos="1540" w:val="left"/>
          <w:tab w:leader="none" w:pos="5460" w:val="left"/>
          <w:tab w:leader="none" w:pos="6180" w:val="left"/>
        </w:tabs>
        <w:rPr>
          <w:sz w:val="20"/>
          <w:szCs w:val="20"/>
          <w:color w:val="auto"/>
        </w:rPr>
      </w:pPr>
      <w:r>
        <w:rPr>
          <w:rFonts w:ascii="Arial" w:cs="Arial" w:eastAsia="Arial" w:hAnsi="Arial"/>
          <w:sz w:val="18"/>
          <w:szCs w:val="18"/>
          <w:color w:val="auto"/>
        </w:rPr>
        <w:t>Date:</w:t>
        <w:tab/>
        <w:t>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26485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A. Francis</w:t>
      </w:r>
    </w:p>
    <w:p>
      <w:pPr>
        <w:spacing w:after="0" w:line="5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and Principal Executive</w:t>
      </w:r>
    </w:p>
    <w:p>
      <w:pPr>
        <w:ind w:left="6200"/>
        <w:spacing w:after="0"/>
        <w:rPr>
          <w:sz w:val="20"/>
          <w:szCs w:val="20"/>
          <w:color w:val="auto"/>
        </w:rPr>
      </w:pPr>
      <w:r>
        <w:rPr>
          <w:rFonts w:ascii="Arial" w:cs="Arial" w:eastAsia="Arial" w:hAnsi="Arial"/>
          <w:sz w:val="18"/>
          <w:szCs w:val="18"/>
          <w:color w:val="auto"/>
        </w:rPr>
        <w:t>Officer</w:t>
      </w:r>
      <w:r>
        <w:rPr>
          <w:rFonts w:ascii="Arial" w:cs="Arial" w:eastAsia="Arial" w:hAnsi="Arial"/>
          <w:sz w:val="14"/>
          <w:szCs w:val="14"/>
          <w:color w:val="auto"/>
        </w:rPr>
        <w:t>)</w:t>
      </w:r>
    </w:p>
    <w:p>
      <w:pPr>
        <w:spacing w:after="0" w:line="200" w:lineRule="exact"/>
        <w:rPr>
          <w:sz w:val="20"/>
          <w:szCs w:val="20"/>
          <w:color w:val="auto"/>
        </w:rPr>
      </w:pPr>
    </w:p>
    <w:p>
      <w:pPr>
        <w:spacing w:after="0" w:line="26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SI-BONE, Inc.</w:t>
      </w:r>
    </w:p>
    <w:p>
      <w:pPr>
        <w:spacing w:after="0" w:line="279" w:lineRule="exact"/>
        <w:rPr>
          <w:sz w:val="20"/>
          <w:szCs w:val="20"/>
          <w:color w:val="auto"/>
        </w:rPr>
      </w:pPr>
    </w:p>
    <w:p>
      <w:pPr>
        <w:ind w:left="920"/>
        <w:spacing w:after="0"/>
        <w:tabs>
          <w:tab w:leader="none" w:pos="1540" w:val="left"/>
          <w:tab w:leader="none" w:pos="5460" w:val="left"/>
          <w:tab w:leader="none" w:pos="6180" w:val="left"/>
        </w:tabs>
        <w:rPr>
          <w:sz w:val="20"/>
          <w:szCs w:val="20"/>
          <w:color w:val="auto"/>
        </w:rPr>
      </w:pPr>
      <w:r>
        <w:rPr>
          <w:rFonts w:ascii="Arial" w:cs="Arial" w:eastAsia="Arial" w:hAnsi="Arial"/>
          <w:sz w:val="18"/>
          <w:szCs w:val="18"/>
          <w:color w:val="auto"/>
        </w:rPr>
        <w:t>Date:</w:t>
        <w:tab/>
        <w:t>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26485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Anshul Maheshwari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3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and Principal Financial and</w:t>
      </w:r>
    </w:p>
    <w:p>
      <w:pPr>
        <w:ind w:left="62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25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060" w:hanging="404"/>
        <w:spacing w:after="0" w:line="308" w:lineRule="auto"/>
        <w:tabs>
          <w:tab w:leader="none" w:pos="105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3" w:lineRule="auto"/>
        <w:tabs>
          <w:tab w:leader="none" w:pos="10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wp:posOffset>
            </wp:positionV>
            <wp:extent cx="29571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16" w:lineRule="exact"/>
        <w:rPr>
          <w:sz w:val="20"/>
          <w:szCs w:val="20"/>
          <w:color w:val="auto"/>
        </w:rPr>
      </w:pPr>
    </w:p>
    <w:p>
      <w:pPr>
        <w:ind w:left="320"/>
        <w:spacing w:after="0"/>
        <w:tabs>
          <w:tab w:leader="none" w:pos="840" w:val="left"/>
          <w:tab w:leader="none" w:pos="6600" w:val="left"/>
        </w:tabs>
        <w:rPr>
          <w:sz w:val="20"/>
          <w:szCs w:val="20"/>
          <w:color w:val="auto"/>
        </w:rPr>
      </w:pPr>
      <w:r>
        <w:rPr>
          <w:rFonts w:ascii="Arial" w:cs="Arial" w:eastAsia="Arial" w:hAnsi="Arial"/>
          <w:sz w:val="18"/>
          <w:szCs w:val="18"/>
          <w:color w:val="auto"/>
        </w:rPr>
        <w:t>Date:</w:t>
        <w:tab/>
        <w:t>May 10, 2022</w:t>
      </w:r>
      <w:r>
        <w:rPr>
          <w:sz w:val="20"/>
          <w:szCs w:val="20"/>
          <w:color w:val="auto"/>
        </w:rPr>
        <w:tab/>
      </w:r>
      <w:r>
        <w:rPr>
          <w:rFonts w:ascii="Arial" w:cs="Arial" w:eastAsia="Arial" w:hAnsi="Arial"/>
          <w:sz w:val="16"/>
          <w:szCs w:val="16"/>
          <w:color w:val="auto"/>
        </w:rPr>
        <w:t>Laura A. Francis</w:t>
      </w:r>
    </w:p>
    <w:p>
      <w:pPr>
        <w:spacing w:after="0" w:line="23" w:lineRule="exact"/>
        <w:rPr>
          <w:sz w:val="20"/>
          <w:szCs w:val="20"/>
          <w:color w:val="auto"/>
        </w:rPr>
      </w:pPr>
    </w:p>
    <w:p>
      <w:pPr>
        <w:jc w:val="center"/>
        <w:ind w:left="31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3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Anshul Maheshwari, certify that:</w:t>
      </w:r>
    </w:p>
    <w:p>
      <w:pPr>
        <w:spacing w:after="0" w:line="37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060" w:hanging="404"/>
        <w:spacing w:after="0" w:line="308" w:lineRule="auto"/>
        <w:tabs>
          <w:tab w:leader="none" w:pos="1051"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30600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680" w:val="left"/>
          <w:tab w:leader="none" w:pos="6620" w:val="left"/>
        </w:tabs>
        <w:rPr>
          <w:sz w:val="20"/>
          <w:szCs w:val="20"/>
          <w:color w:val="auto"/>
        </w:rPr>
      </w:pPr>
      <w:r>
        <w:rPr>
          <w:rFonts w:ascii="Arial" w:cs="Arial" w:eastAsia="Arial" w:hAnsi="Arial"/>
          <w:sz w:val="18"/>
          <w:szCs w:val="18"/>
          <w:color w:val="auto"/>
        </w:rPr>
        <w:t>Date:</w:t>
        <w:tab/>
        <w:t>May 10, 2022</w:t>
      </w:r>
      <w:r>
        <w:rPr>
          <w:sz w:val="20"/>
          <w:szCs w:val="20"/>
          <w:color w:val="auto"/>
        </w:rPr>
        <w:tab/>
      </w:r>
      <w:r>
        <w:rPr>
          <w:rFonts w:ascii="Arial" w:cs="Arial" w:eastAsia="Arial" w:hAnsi="Arial"/>
          <w:sz w:val="16"/>
          <w:szCs w:val="16"/>
          <w:color w:val="auto"/>
        </w:rPr>
        <w:t>Anshul Maheshwari</w:t>
      </w:r>
    </w:p>
    <w:p>
      <w:pPr>
        <w:spacing w:after="0" w:line="23" w:lineRule="exact"/>
        <w:rPr>
          <w:sz w:val="20"/>
          <w:szCs w:val="20"/>
          <w:color w:val="auto"/>
        </w:rPr>
      </w:pPr>
    </w:p>
    <w:p>
      <w:pPr>
        <w:jc w:val="center"/>
        <w:ind w:left="3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34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769"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her or his knowledge:</w:t>
      </w:r>
    </w:p>
    <w:p>
      <w:pPr>
        <w:spacing w:after="0" w:line="165" w:lineRule="exact"/>
        <w:rPr>
          <w:sz w:val="20"/>
          <w:szCs w:val="20"/>
          <w:color w:val="auto"/>
        </w:rPr>
      </w:pPr>
    </w:p>
    <w:p>
      <w:pPr>
        <w:ind w:firstLine="8"/>
        <w:spacing w:after="0" w:line="277" w:lineRule="auto"/>
        <w:tabs>
          <w:tab w:leader="none" w:pos="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Laura A. Francis</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tcPr>
          <w:p>
            <w:pPr>
              <w:ind w:left="100"/>
              <w:spacing w:after="0"/>
              <w:rPr>
                <w:sz w:val="20"/>
                <w:szCs w:val="20"/>
                <w:color w:val="auto"/>
              </w:rPr>
            </w:pPr>
            <w:r>
              <w:rPr>
                <w:rFonts w:ascii="Arial" w:cs="Arial" w:eastAsia="Arial" w:hAnsi="Arial"/>
                <w:sz w:val="18"/>
                <w:szCs w:val="18"/>
                <w:color w:val="auto"/>
              </w:rPr>
              <w:t>May 10, 2022</w:t>
            </w: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Laura A. Francis</w:t>
            </w:r>
          </w:p>
        </w:tc>
      </w:tr>
      <w:tr>
        <w:trPr>
          <w:trHeight w:val="230"/>
        </w:trPr>
        <w:tc>
          <w:tcPr>
            <w:tcW w:w="5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240" w:type="dxa"/>
            <w:vAlign w:val="bottom"/>
          </w:tcPr>
          <w:p>
            <w:pPr>
              <w:ind w:left="1640"/>
              <w:spacing w:after="0"/>
              <w:rPr>
                <w:sz w:val="20"/>
                <w:szCs w:val="20"/>
                <w:color w:val="auto"/>
              </w:rPr>
            </w:pPr>
            <w:r>
              <w:rPr>
                <w:rFonts w:ascii="Arial" w:cs="Arial" w:eastAsia="Arial" w:hAnsi="Arial"/>
                <w:sz w:val="18"/>
                <w:szCs w:val="18"/>
                <w:color w:val="auto"/>
              </w:rPr>
              <w:t>(Principal Executive Officer)</w:t>
            </w:r>
          </w:p>
        </w:tc>
      </w:tr>
      <w:tr>
        <w:trPr>
          <w:trHeight w:val="445"/>
        </w:trPr>
        <w:tc>
          <w:tcPr>
            <w:tcW w:w="5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Anshul Maheshwari</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tcPr>
          <w:p>
            <w:pPr>
              <w:ind w:left="100"/>
              <w:spacing w:after="0"/>
              <w:rPr>
                <w:sz w:val="20"/>
                <w:szCs w:val="20"/>
                <w:color w:val="auto"/>
              </w:rPr>
            </w:pPr>
            <w:r>
              <w:rPr>
                <w:rFonts w:ascii="Arial" w:cs="Arial" w:eastAsia="Arial" w:hAnsi="Arial"/>
                <w:sz w:val="18"/>
                <w:szCs w:val="18"/>
                <w:color w:val="auto"/>
              </w:rPr>
              <w:t>May 10, 2022</w:t>
            </w: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Anshul Maheshwari</w:t>
            </w:r>
          </w:p>
        </w:tc>
      </w:tr>
      <w:tr>
        <w:trPr>
          <w:trHeight w:val="230"/>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vMerge w:val="restart"/>
          </w:tcPr>
          <w:p>
            <w:pPr>
              <w:spacing w:after="0"/>
              <w:rPr>
                <w:sz w:val="20"/>
                <w:szCs w:val="20"/>
                <w:color w:val="auto"/>
              </w:rPr>
            </w:pPr>
            <w:r>
              <w:rPr>
                <w:rFonts w:ascii="Arial" w:cs="Arial" w:eastAsia="Arial" w:hAnsi="Arial"/>
                <w:sz w:val="18"/>
                <w:szCs w:val="18"/>
                <w:color w:val="auto"/>
              </w:rPr>
              <w:t>Company.</w:t>
            </w:r>
          </w:p>
        </w:tc>
        <w:tc>
          <w:tcPr>
            <w:tcW w:w="5460" w:type="dxa"/>
            <w:vAlign w:val="bottom"/>
          </w:tcPr>
          <w:p>
            <w:pPr>
              <w:ind w:left="3400"/>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107"/>
        </w:trPr>
        <w:tc>
          <w:tcPr>
            <w:tcW w:w="4160" w:type="dxa"/>
            <w:vAlign w:val="bottom"/>
            <w:vMerge w:val="continue"/>
          </w:tcPr>
          <w:p>
            <w:pPr>
              <w:spacing w:after="0"/>
              <w:rPr>
                <w:sz w:val="9"/>
                <w:szCs w:val="9"/>
                <w:color w:val="auto"/>
              </w:rPr>
            </w:pPr>
          </w:p>
        </w:tc>
        <w:tc>
          <w:tcPr>
            <w:tcW w:w="5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5"/>
    </w:lvl>
  </w:abstractNum>
  <w:abstractNum w:abstractNumId="5">
    <w:nsid w:val="2D1D5AE9"/>
    <w:multiLevelType w:val="hybridMultilevel"/>
    <w:lvl w:ilvl="0">
      <w:lvlJc w:val="left"/>
      <w:lvlText w:val="%1."/>
      <w:numFmt w:val="decimal"/>
      <w:start w:val="6"/>
    </w:lvl>
  </w:abstractNum>
  <w:abstractNum w:abstractNumId="6">
    <w:nsid w:val="6763845E"/>
    <w:multiLevelType w:val="hybridMultilevel"/>
    <w:lvl w:ilvl="0">
      <w:lvlJc w:val="left"/>
      <w:lvlText w:val="%1."/>
      <w:numFmt w:val="decimal"/>
      <w:start w:val="7"/>
    </w:lvl>
  </w:abstractNum>
  <w:abstractNum w:abstractNumId="7">
    <w:nsid w:val="75A2A8D4"/>
    <w:multiLevelType w:val="hybridMultilevel"/>
    <w:lvl w:ilvl="0">
      <w:lvlJc w:val="left"/>
      <w:lvlText w:val="%1."/>
      <w:numFmt w:val="decimal"/>
      <w:start w:val="8"/>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lvl w:ilvl="1">
      <w:lvlJc w:val="left"/>
      <w:lvlText w:val="%2"/>
      <w:numFmt w:val="decimal"/>
      <w:start w:val="104"/>
    </w:lvl>
  </w:abstractNum>
  <w:abstractNum w:abstractNumId="36">
    <w:nsid w:val="2463B9EA"/>
    <w:multiLevelType w:val="hybridMultilevel"/>
    <w:lvl w:ilvl="0">
      <w:lvlJc w:val="left"/>
      <w:lvlText w:val="**"/>
      <w:numFmt w:val="bullet"/>
      <w:start w:val="1"/>
    </w:lvl>
    <w:lvl w:ilvl="1">
      <w:lvlJc w:val="left"/>
      <w:lvlText w:val="%2"/>
      <w:numFmt w:val="decimal"/>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85" Type="http://schemas.openxmlformats.org/officeDocument/2006/relationships/hyperlink" Target="http://www.sec.gov/Archives/edgar/data/1459839/000119312518303020/d641574dex31.htm" TargetMode="External"/><Relationship Id="rId86" Type="http://schemas.openxmlformats.org/officeDocument/2006/relationships/hyperlink" Target="http://www.sec.gov/Archives/edgar/data/1459839/000119312518293978/d452987dex34.htm" TargetMode="External"/><Relationship Id="rId87" Type="http://schemas.openxmlformats.org/officeDocument/2006/relationships/hyperlink" Target="http://www.sec.gov/Archives/edgar/data/1459839/000119312518293978/d452987dex41.htm" TargetMode="External"/><Relationship Id="rId88" Type="http://schemas.openxmlformats.org/officeDocument/2006/relationships/hyperlink" Target="https://www.sec.gov/ix?doc=/Archives/edgar/data/1459839/000145983922000006/sibn-20220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2022-05-10T15:32:16Z</dcterms:created>
  <dcterms:modified xsi:type="dcterms:W3CDTF">2022-05-10T15:32:16Z</dcterms:modified>
</cp:coreProperties>
</file>