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Date of report (Date of earliest event reported): November 6, 2025</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SI-BONE,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tbl>
      <w:tblPr>
        <w:tblW w:w="5410"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001-38701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471 El Camino Real</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Suite 101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Santa Clara, CA 95050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(408) 207-0700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include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414" w:type="dxa"/>
        <w:jc w:val="center"/>
        <w:tblInd w:w="0" w:type="dxa"/>
        <w:tblLayout w:type="fixed"/>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Title of each class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Trading Symbol(s) </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Name of each exchange on which registered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SIBN</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On November 10, 2025, SI-BONE,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issued a press release (the “</w:t>
      </w:r>
      <w:r>
        <w:rPr>
          <w:rFonts w:ascii="Times New Roman;serif" w:hAnsi="Times New Roman;serif"/>
          <w:b/>
          <w:color w:val="000000"/>
          <w:sz w:val="20"/>
        </w:rPr>
        <w:t>Press Release</w:t>
      </w:r>
      <w:r>
        <w:rPr>
          <w:color w:val="000000"/>
        </w:rPr>
        <w:t>”</w:t>
      </w:r>
      <w:r>
        <w:rPr>
          <w:rFonts w:ascii="Times New Roman;serif" w:hAnsi="Times New Roman;serif"/>
          <w:b w:val="false"/>
          <w:color w:val="000000"/>
          <w:sz w:val="20"/>
        </w:rPr>
        <w:t>) announcing results for the quarter ended September 30, 2025. A copy of the Press Release is attached as Exhibit 99.1 to this current report on Form 8-K and is incorporated by reference herein.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On November 6, 2025, Daniel Wolf resigned from the Company’s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xml:space="preserve">) and any committees thereof. Mr. Wolf’s resignation was not the result of any disagreement between him and the Company or its management.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Mr. Wolf's resignation from the Board, the Board decreased the size of the Board from nine to eight directors, and appointed Thomas A. West, a current director of the Company, as a member of the Board’s Audit Committee.</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rPr>
        <w:t>On November 6, 2025, the Company and Mr. Wolf (through an entity wholly owned by him) entered into a consulting agreement (the “</w:t>
      </w:r>
      <w:r>
        <w:rPr>
          <w:rFonts w:ascii="Times New Roman;serif" w:hAnsi="Times New Roman;serif"/>
          <w:b/>
          <w:color w:val="000000"/>
          <w:sz w:val="20"/>
        </w:rPr>
        <w:t>Consulting Agreement</w:t>
      </w:r>
      <w:r>
        <w:rPr>
          <w:color w:val="000000"/>
        </w:rPr>
        <w:t>”</w:t>
      </w:r>
      <w:r>
        <w:rPr>
          <w:rFonts w:ascii="Times New Roman;serif" w:hAnsi="Times New Roman;serif"/>
          <w:b w:val="false"/>
          <w:color w:val="000000"/>
          <w:sz w:val="20"/>
        </w:rPr>
        <w:t>), pursuant to which Mr. Wolf will provide consulting services to support the Company’s efforts relating to marketing, strategy, business development and other corporate matters. The Consulting Agreement provides for, among other terms and conditions: (a) a consulting period of 12 months; (b) acceleration of vesting of the 8,675 shares of restricted stock units granted to Mr. Wolf on June 5, 2025 such that all shares pursuant to such grant are fully vested as of November 6, 2025; and (c) cash compensation at the hourly rate set forth in applicable statements of work accepted by him.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Consulting Agreement are qualified in their entirety by the full text of such agreement, a copy of which will be filed as an exhibit to the Company’s quarterly report on Form 10-Q for the quarter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8"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q325earningsrel.htm">
              <w:r>
                <w:rPr>
                  <w:rStyle w:val="InternetLink"/>
                  <w:rFonts w:ascii="Times New Roman;serif" w:hAnsi="Times New Roman;serif"/>
                  <w:b w:val="false"/>
                  <w:color w:val="0000FF"/>
                  <w:sz w:val="20"/>
                  <w:u w:val="single"/>
                </w:rPr>
                <w:t>Press Release dated November 10, 2025</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95"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222"/>
        <w:gridCol w:w="222"/>
        <w:gridCol w:w="222"/>
        <w:gridCol w:w="1098"/>
        <w:gridCol w:w="1098"/>
        <w:gridCol w:w="15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669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SI-BONE,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bidi w:val="0"/>
        <w:spacing w:lineRule="auto" w:line="429" w:before="0" w:after="0"/>
        <w:jc w:val="center"/>
        <w:rPr>
          <w:rFonts w:ascii="Times New Roman;serif" w:hAnsi="Times New Roman;serif"/>
          <w:b/>
          <w:color w:val="000000"/>
          <w:sz w:val="22"/>
        </w:rPr>
      </w:pPr>
      <w:r>
        <w:rPr>
          <w:rFonts w:ascii="Times New Roman;serif" w:hAnsi="Times New Roman;serif"/>
          <w:b/>
          <w:color w:val="000000"/>
          <w:sz w:val="22"/>
        </w:rPr>
        <w:t>SI-BONE, Inc. Reports Financial Results for the Third Quarter 2025 and Raises 2025 Guidance</w:t>
      </w:r>
    </w:p>
    <w:p>
      <w:pPr>
        <w:pStyle w:val="TextBody"/>
        <w:bidi w:val="0"/>
        <w:spacing w:lineRule="atLeast" w:line="427" w:before="0" w:after="0"/>
        <w:jc w:val="center"/>
        <w:rPr/>
      </w:pPr>
      <w:r>
        <w:rPr>
          <w:rFonts w:ascii="Times New Roman;serif" w:hAnsi="Times New Roman;serif"/>
          <w:b w:val="false"/>
          <w:i/>
          <w:color w:val="000000"/>
          <w:sz w:val="22"/>
        </w:rPr>
        <w:t>Delivered ~</w:t>
      </w:r>
      <w:r>
        <w:rPr>
          <w:rFonts w:ascii="Times New Roman;serif" w:hAnsi="Times New Roman;serif"/>
          <w:b w:val="false"/>
          <w:color w:val="000000"/>
          <w:sz w:val="22"/>
        </w:rPr>
        <w:t>21%</w:t>
      </w:r>
      <w:r>
        <w:rPr>
          <w:color w:val="000000"/>
        </w:rPr>
        <w:t xml:space="preserve"> </w:t>
      </w:r>
      <w:r>
        <w:rPr>
          <w:rFonts w:ascii="Times New Roman;serif" w:hAnsi="Times New Roman;serif"/>
          <w:b w:val="false"/>
          <w:i/>
          <w:color w:val="000000"/>
          <w:sz w:val="22"/>
        </w:rPr>
        <w:t>worldwide revenue growth, ~</w:t>
      </w:r>
      <w:r>
        <w:rPr>
          <w:rFonts w:ascii="Times New Roman;serif" w:hAnsi="Times New Roman;serif"/>
          <w:b w:val="false"/>
          <w:color w:val="000000"/>
          <w:sz w:val="22"/>
        </w:rPr>
        <w:t>5%</w:t>
      </w:r>
      <w:r>
        <w:rPr>
          <w:color w:val="000000"/>
        </w:rPr>
        <w:t xml:space="preserve"> </w:t>
      </w:r>
      <w:r>
        <w:rPr>
          <w:rFonts w:ascii="Times New Roman;serif" w:hAnsi="Times New Roman;serif"/>
          <w:b w:val="false"/>
          <w:i/>
          <w:color w:val="000000"/>
          <w:sz w:val="22"/>
        </w:rPr>
        <w:t xml:space="preserve">adjusted EBITDA margin, and positive cash from operating activities in the quarter </w:t>
      </w:r>
    </w:p>
    <w:p>
      <w:pPr>
        <w:pStyle w:val="TextBody"/>
        <w:bidi w:val="0"/>
        <w:spacing w:before="0" w:after="0"/>
        <w:jc w:val="center"/>
        <w:rPr/>
      </w:pPr>
      <w:r>
        <w:rPr/>
      </w:r>
    </w:p>
    <w:p>
      <w:pPr>
        <w:pStyle w:val="TextBody"/>
        <w:bidi w:val="0"/>
        <w:spacing w:lineRule="atLeast" w:line="427" w:before="0" w:after="0"/>
        <w:jc w:val="both"/>
        <w:rPr/>
      </w:pPr>
      <w:r>
        <w:rPr>
          <w:rFonts w:ascii="Times New Roman;serif" w:hAnsi="Times New Roman;serif"/>
          <w:b/>
          <w:color w:val="000000"/>
          <w:sz w:val="22"/>
        </w:rPr>
        <w:t>Third Quarter 2025 Financial Highlights</w:t>
      </w:r>
      <w:r>
        <w:rPr>
          <w:color w:val="000000"/>
        </w:rPr>
        <w:t xml:space="preserve"> </w:t>
      </w:r>
      <w:r>
        <w:rPr>
          <w:rFonts w:ascii="Times New Roman;serif" w:hAnsi="Times New Roman;serif"/>
          <w:b w:val="false"/>
          <w:i/>
          <w:color w:val="000000"/>
          <w:sz w:val="22"/>
        </w:rPr>
        <w:t>(all</w:t>
      </w:r>
      <w:r>
        <w:rPr>
          <w:color w:val="3051F2"/>
        </w:rPr>
        <w:t xml:space="preserve"> </w:t>
      </w:r>
      <w:r>
        <w:rPr>
          <w:rFonts w:ascii="Times New Roman;serif" w:hAnsi="Times New Roman;serif"/>
          <w:b w:val="false"/>
          <w:i/>
          <w:color w:val="000000"/>
          <w:sz w:val="22"/>
        </w:rPr>
        <w:t>comparisons are to the prior year period)</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Worldwide revenue of</w:t>
      </w:r>
      <w:r>
        <w:rPr>
          <w:color w:val="FAAC16"/>
        </w:rPr>
        <w:t xml:space="preserve"> </w:t>
      </w:r>
      <w:r>
        <w:rPr>
          <w:rFonts w:ascii="Times New Roman;serif" w:hAnsi="Times New Roman;serif"/>
          <w:b w:val="false"/>
          <w:color w:val="000000"/>
          <w:sz w:val="22"/>
        </w:rPr>
        <w:t>$48.7</w:t>
      </w:r>
      <w:r>
        <w:rPr>
          <w:color w:val="000000"/>
        </w:rPr>
        <w:t xml:space="preserve"> </w:t>
      </w:r>
      <w:r>
        <w:rPr>
          <w:rFonts w:ascii="Times New Roman;serif" w:hAnsi="Times New Roman;serif"/>
          <w:b w:val="false"/>
          <w:color w:val="000000"/>
          <w:sz w:val="22"/>
        </w:rPr>
        <w:t>million, representing growth of 20.6%</w:t>
      </w:r>
      <w:r>
        <w:rPr>
          <w:color w:val="3051F2"/>
        </w:rPr>
        <w:t xml:space="preserve">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U.S. revenue of</w:t>
      </w:r>
      <w:r>
        <w:rPr>
          <w:color w:val="3051F2"/>
        </w:rPr>
        <w:t xml:space="preserve"> </w:t>
      </w:r>
      <w:r>
        <w:rPr>
          <w:rFonts w:ascii="Times New Roman;serif" w:hAnsi="Times New Roman;serif"/>
          <w:b w:val="false"/>
          <w:color w:val="000000"/>
          <w:sz w:val="22"/>
        </w:rPr>
        <w:t>$46.4 million, representing growth of 21.2%</w:t>
      </w:r>
      <w:r>
        <w:rPr>
          <w:color w:val="3051F2"/>
        </w:rPr>
        <w:t xml:space="preserve">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Gross margin of</w:t>
      </w:r>
      <w:r>
        <w:rPr>
          <w:color w:val="FAAC16"/>
        </w:rPr>
        <w:t xml:space="preserve"> </w:t>
      </w:r>
      <w:r>
        <w:rPr>
          <w:rFonts w:ascii="Times New Roman;serif" w:hAnsi="Times New Roman;serif"/>
          <w:b w:val="false"/>
          <w:color w:val="000000"/>
          <w:sz w:val="22"/>
        </w:rPr>
        <w:t xml:space="preserve">79.8%, representing an improvement of 75 basis points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Net loss of $4.6 million, representing an improvement of</w:t>
      </w:r>
      <w:r>
        <w:rPr>
          <w:color w:val="FAAC16"/>
        </w:rPr>
        <w:t xml:space="preserve"> </w:t>
      </w:r>
      <w:r>
        <w:rPr>
          <w:rFonts w:ascii="Times New Roman;serif" w:hAnsi="Times New Roman;serif"/>
          <w:b w:val="false"/>
          <w:color w:val="000000"/>
          <w:sz w:val="22"/>
        </w:rPr>
        <w:t xml:space="preserve">30.6%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Positive adjusted EBITDA of</w:t>
      </w:r>
      <w:r>
        <w:rPr>
          <w:color w:val="FAAC16"/>
        </w:rPr>
        <w:t xml:space="preserve"> </w:t>
      </w:r>
      <w:r>
        <w:rPr>
          <w:rFonts w:ascii="Times New Roman;serif" w:hAnsi="Times New Roman;serif"/>
          <w:b w:val="false"/>
          <w:color w:val="000000"/>
          <w:sz w:val="22"/>
        </w:rPr>
        <w:t xml:space="preserve">$2.3 million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Positive cash from operating activities of $2.3</w:t>
      </w:r>
      <w:r>
        <w:rPr>
          <w:color w:val="000000"/>
          <w:shd w:fill="FFFFFF" w:val="clear"/>
        </w:rPr>
        <w:t xml:space="preserve"> </w:t>
      </w:r>
      <w:r>
        <w:rPr>
          <w:rFonts w:ascii="Times New Roman;serif" w:hAnsi="Times New Roman;serif"/>
          <w:b w:val="false"/>
          <w:color w:val="000000"/>
          <w:sz w:val="22"/>
          <w:shd w:fill="FFFFFF" w:val="clear"/>
        </w:rPr>
        <w:t>m</w:t>
      </w:r>
      <w:r>
        <w:rPr>
          <w:rFonts w:ascii="Times New Roman;serif" w:hAnsi="Times New Roman;serif"/>
          <w:b w:val="false"/>
          <w:color w:val="000000"/>
          <w:sz w:val="22"/>
        </w:rPr>
        <w:t>illion</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$145.7 million in cash and equivalents </w:t>
      </w:r>
    </w:p>
    <w:p>
      <w:pPr>
        <w:pStyle w:val="TextBody"/>
        <w:bidi w:val="0"/>
        <w:spacing w:lineRule="atLeast" w:line="427" w:before="0" w:after="0"/>
        <w:jc w:val="both"/>
        <w:rPr/>
      </w:pPr>
      <w:r>
        <w:rPr>
          <w:rFonts w:ascii="Times New Roman;serif" w:hAnsi="Times New Roman;serif"/>
          <w:b/>
          <w:color w:val="000000"/>
          <w:sz w:val="22"/>
        </w:rPr>
        <w:t xml:space="preserve">Recent Operational Highlights </w:t>
      </w:r>
      <w:r>
        <w:rPr>
          <w:rFonts w:ascii="Times New Roman;serif" w:hAnsi="Times New Roman;serif"/>
          <w:b w:val="false"/>
          <w:i/>
          <w:color w:val="000000"/>
          <w:sz w:val="22"/>
        </w:rPr>
        <w:t>(any</w:t>
      </w:r>
      <w:r>
        <w:rPr>
          <w:color w:val="3051F2"/>
        </w:rPr>
        <w:t xml:space="preserve"> </w:t>
      </w:r>
      <w:r>
        <w:rPr>
          <w:rFonts w:ascii="Times New Roman;serif" w:hAnsi="Times New Roman;serif"/>
          <w:b w:val="false"/>
          <w:i/>
          <w:color w:val="000000"/>
          <w:sz w:val="22"/>
        </w:rPr>
        <w:t>comparisons are to the prior year period)</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1,530 active U.S. physicians, representing growth of 27%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$2.1 million in trailing 12-month average revenue per territory, representing an increase of 16% </w:t>
      </w:r>
    </w:p>
    <w:p>
      <w:pPr>
        <w:pStyle w:val="TextBody"/>
        <w:bidi w:val="0"/>
        <w:spacing w:lineRule="atLeast" w:line="427" w:before="0" w:after="0"/>
        <w:ind w:left="0" w:right="0" w:hanging="450"/>
        <w:jc w:val="left"/>
        <w:rPr/>
      </w:pPr>
      <w:r>
        <w:rPr>
          <w:color w:val="000000"/>
        </w:rPr>
        <w:t>•</w:t>
      </w:r>
      <w:r>
        <w:rPr>
          <w:rFonts w:ascii="Times New Roman;serif" w:hAnsi="Times New Roman;serif"/>
          <w:b w:val="false"/>
          <w:color w:val="000000"/>
          <w:sz w:val="22"/>
        </w:rPr>
        <w:t>New Technology Add-on Payment (“NTAP”) of over $4,100 for procedures involving iFuse TORQ TNT effective October 1, 2025</w:t>
      </w:r>
    </w:p>
    <w:p>
      <w:pPr>
        <w:pStyle w:val="TextBody"/>
        <w:bidi w:val="0"/>
        <w:spacing w:before="0" w:after="0"/>
        <w:ind w:left="0" w:right="0" w:hanging="90"/>
        <w:jc w:val="both"/>
        <w:rPr/>
      </w:pPr>
      <w:r>
        <w:rPr/>
      </w:r>
    </w:p>
    <w:p>
      <w:pPr>
        <w:pStyle w:val="TextBody"/>
        <w:bidi w:val="0"/>
        <w:spacing w:lineRule="auto" w:line="540" w:before="0" w:after="0"/>
        <w:jc w:val="both"/>
        <w:rPr/>
      </w:pPr>
      <w:r>
        <w:rPr>
          <w:rFonts w:ascii="Times New Roman;serif" w:hAnsi="Times New Roman;serif"/>
          <w:b/>
          <w:color w:val="000000"/>
          <w:sz w:val="22"/>
        </w:rPr>
        <w:t>SANTA CLARA, Calif. November 10, 2025</w:t>
      </w:r>
      <w:r>
        <w:rPr>
          <w:color w:val="000000"/>
        </w:rPr>
        <w:t xml:space="preserve"> </w:t>
      </w:r>
      <w:r>
        <w:rPr>
          <w:rFonts w:ascii="Times New Roman;serif" w:hAnsi="Times New Roman;serif"/>
          <w:b w:val="false"/>
          <w:color w:val="000000"/>
          <w:sz w:val="22"/>
        </w:rPr>
        <w:t>- SI-BONE, Inc. (Nasdaq: SIBN), a medical device company dedicated to solving sacropelvic disorders, today reported financial results for the quarter ended September 30, 2025.</w:t>
      </w:r>
    </w:p>
    <w:p>
      <w:pPr>
        <w:pStyle w:val="TextBody"/>
        <w:bidi w:val="0"/>
        <w:spacing w:before="0" w:after="0"/>
        <w:jc w:val="both"/>
        <w:rPr/>
      </w:pPr>
      <w:r>
        <w:rPr/>
      </w:r>
    </w:p>
    <w:p>
      <w:pPr>
        <w:pStyle w:val="TextBody"/>
        <w:bidi w:val="0"/>
        <w:spacing w:lineRule="atLeast" w:line="427"/>
        <w:jc w:val="both"/>
        <w:rPr>
          <w:color w:val="000000"/>
        </w:rPr>
      </w:pPr>
      <w:r>
        <w:rPr>
          <w:color w:val="000000"/>
        </w:rPr>
        <w:t>“</w:t>
      </w:r>
      <w:r>
        <w:rPr>
          <w:rFonts w:ascii="Times New Roman;serif" w:hAnsi="Times New Roman;serif"/>
          <w:b w:val="false"/>
          <w:color w:val="000000"/>
          <w:sz w:val="22"/>
        </w:rPr>
        <w:t xml:space="preserve">The robust procedure volume growth across all modalities and record increase in the number of physicians in the third quarter underscore the demand momentum for our differentiated platform,” said Laura Francis, Chief Executive Officer. “In addition to sustained topline growth, the continued expansion of our profitability and positive operating cash flow in the quarter demonstrate the strength and scalability of our asset-light business model. Looking beyond 2025, we are well-positioned to self-fund innovation, advance our deep pipeline of novel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2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technologies that address unmet needs for our existing call points, and consistently deliver industry-leading profitable growth." </w:t>
      </w:r>
    </w:p>
    <w:p>
      <w:pPr>
        <w:pStyle w:val="TextBody"/>
        <w:bidi w:val="0"/>
        <w:spacing w:before="0" w:after="0"/>
        <w:jc w:val="both"/>
        <w:rPr/>
      </w:pPr>
      <w:r>
        <w:rPr/>
      </w:r>
    </w:p>
    <w:p>
      <w:pPr>
        <w:pStyle w:val="TextBody"/>
        <w:bidi w:val="0"/>
        <w:spacing w:lineRule="auto" w:line="386" w:before="55" w:after="30"/>
        <w:jc w:val="left"/>
        <w:rPr>
          <w:rFonts w:ascii="Times New Roman;serif" w:hAnsi="Times New Roman;serif"/>
          <w:b/>
          <w:color w:val="000000"/>
          <w:sz w:val="22"/>
        </w:rPr>
      </w:pPr>
      <w:r>
        <w:rPr>
          <w:rFonts w:ascii="Times New Roman;serif" w:hAnsi="Times New Roman;serif"/>
          <w:b/>
          <w:color w:val="000000"/>
          <w:sz w:val="22"/>
        </w:rPr>
        <w:t>Third Quarter 2025 Financial Results</w:t>
      </w:r>
    </w:p>
    <w:p>
      <w:pPr>
        <w:pStyle w:val="TextBody"/>
        <w:bidi w:val="0"/>
        <w:spacing w:lineRule="atLeast" w:line="427" w:before="0" w:after="0"/>
        <w:jc w:val="both"/>
        <w:rPr>
          <w:rFonts w:ascii="Times New Roman;serif" w:hAnsi="Times New Roman;serif"/>
          <w:b w:val="false"/>
          <w:color w:val="000000"/>
          <w:sz w:val="22"/>
        </w:rPr>
      </w:pPr>
      <w:r>
        <w:rPr>
          <w:rFonts w:ascii="Times New Roman;serif" w:hAnsi="Times New Roman;serif"/>
          <w:b w:val="false"/>
          <w:color w:val="000000"/>
          <w:sz w:val="22"/>
        </w:rPr>
        <w:t>Worldwide revenue was $48.7 million in the third quarter 2025, a 20.6% increase from $40.3 million in the corresponding period in 2024. U.S. revenue for the third quarter 2025 was $46.4 million, a 21.2% increase from $38.3 million in the corresponding period in 2024. U.S revenue growth benefited from strong underlying procedure demand. International revenue for the third quarter 2025 was $2.3 million, a 10.2% increase from $2.1 million in the corresponding period in 2024. International revenue growth reflects the strong initial reception for TORQ, which launched in the quarter across various European markets.</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Gross profit was $38.8 million in the third quarter 2025, an increase of 21.8% from $31.9 million in the corresponding period in 2024. Gross margin was 79.8% for the third quarter 2025, compared to 79.1% in the corresponding period in 2024, representing an improvement of 75 basis points. </w:t>
      </w:r>
    </w:p>
    <w:p>
      <w:pPr>
        <w:pStyle w:val="TextBody"/>
        <w:bidi w:val="0"/>
        <w:spacing w:before="0" w:after="0"/>
        <w:jc w:val="both"/>
        <w:rPr/>
      </w:pPr>
      <w:r>
        <w:rPr/>
      </w:r>
    </w:p>
    <w:p>
      <w:pPr>
        <w:pStyle w:val="TextBody"/>
        <w:bidi w:val="0"/>
        <w:spacing w:lineRule="atLeast" w:line="427" w:before="0" w:after="0"/>
        <w:jc w:val="both"/>
        <w:rPr/>
      </w:pPr>
      <w:r>
        <w:rPr>
          <w:rFonts w:ascii="Times New Roman;serif" w:hAnsi="Times New Roman;serif"/>
          <w:b w:val="false"/>
          <w:color w:val="000000"/>
          <w:sz w:val="22"/>
        </w:rPr>
        <w:t>Operating expenses increased 11.9% to $44.2 million in the third quarter 2025, as compared to</w:t>
      </w:r>
      <w:r>
        <w:rPr>
          <w:color w:val="FAAC16"/>
        </w:rPr>
        <w:t xml:space="preserve"> </w:t>
      </w:r>
      <w:r>
        <w:rPr>
          <w:rFonts w:ascii="Times New Roman;serif" w:hAnsi="Times New Roman;serif"/>
          <w:b w:val="false"/>
          <w:color w:val="000000"/>
          <w:sz w:val="22"/>
        </w:rPr>
        <w:t xml:space="preserve">$39.5 million in the corresponding period in 2024. The change in operating expenses was primarily driven by general commercial activity related to higher revenue and new product rollout as well as elevated general and administrative spend. </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Operating loss improved by 29.5% to $5.4 million in the third quarter 2025, as compared to an operating loss of $7.6 million in the corresponding period in 2024.</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loss improved by 30.6% to $4.6 million, or $0.11 per diluted share, in the third quarter 2025, as compared to a net loss of $6.6 million, or $0.16 per diluted share, in the corresponding period in 2024. </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Adjusted EBITDA was positive $2.3 million in the third quarter 2025, improving from an adjusted EBITDA loss of $0.2 million in the corresponding period in 2024. </w:t>
      </w:r>
    </w:p>
    <w:p>
      <w:pPr>
        <w:pStyle w:val="TextBody"/>
        <w:bidi w:val="0"/>
        <w:spacing w:before="0" w:after="0"/>
        <w:jc w:val="both"/>
        <w:rPr/>
      </w:pPr>
      <w:r>
        <w:rPr/>
      </w:r>
    </w:p>
    <w:p>
      <w:pPr>
        <w:pStyle w:val="TextBody"/>
        <w:bidi w:val="0"/>
        <w:spacing w:lineRule="auto" w:line="540"/>
        <w:jc w:val="both"/>
        <w:rPr/>
      </w:pPr>
      <w:r>
        <w:rPr>
          <w:rFonts w:ascii="Times New Roman;serif" w:hAnsi="Times New Roman;serif"/>
          <w:b w:val="false"/>
          <w:color w:val="000000"/>
          <w:sz w:val="22"/>
        </w:rPr>
        <w:t>Cash and equivalents as of September 30, 2025 were $145.7 million,</w:t>
      </w:r>
      <w:r>
        <w:rPr>
          <w:color w:val="3051F2"/>
        </w:rPr>
        <w:t xml:space="preserve"> </w:t>
      </w:r>
      <w:r>
        <w:rPr>
          <w:rFonts w:ascii="Times New Roman;serif" w:hAnsi="Times New Roman;serif"/>
          <w:b w:val="false"/>
          <w:color w:val="000000"/>
          <w:sz w:val="22"/>
        </w:rPr>
        <w:t>compared to</w:t>
      </w:r>
      <w:r>
        <w:rPr>
          <w:color w:val="FAAC16"/>
        </w:rPr>
        <w:t xml:space="preserve"> </w:t>
      </w:r>
      <w:r>
        <w:rPr>
          <w:rFonts w:ascii="Times New Roman;serif" w:hAnsi="Times New Roman;serif"/>
          <w:b w:val="false"/>
          <w:color w:val="000000"/>
          <w:sz w:val="22"/>
        </w:rPr>
        <w:t>$145.5 million</w:t>
      </w:r>
      <w:r>
        <w:rPr>
          <w:color w:val="FAAC16"/>
        </w:rPr>
        <w:t xml:space="preserve"> </w:t>
      </w:r>
      <w:r>
        <w:rPr>
          <w:rFonts w:ascii="Times New Roman;serif" w:hAnsi="Times New Roman;serif"/>
          <w:b w:val="false"/>
          <w:color w:val="000000"/>
          <w:sz w:val="22"/>
        </w:rPr>
        <w:t xml:space="preserve">as of June 30, 2025.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 xml:space="preserve">Fiscal 2025 Updated Financial Guidance </w:t>
      </w:r>
    </w:p>
    <w:p>
      <w:pPr>
        <w:pStyle w:val="TextBody"/>
        <w:bidi w:val="0"/>
        <w:spacing w:lineRule="auto" w:line="561" w:before="0" w:after="0"/>
        <w:jc w:val="both"/>
        <w:rPr/>
      </w:pPr>
      <w:r>
        <w:rPr>
          <w:rFonts w:ascii="Times New Roman;serif" w:hAnsi="Times New Roman;serif"/>
          <w:b w:val="false"/>
          <w:color w:val="000000"/>
          <w:sz w:val="22"/>
        </w:rPr>
        <w:t xml:space="preserve">SI-BONE expects 2025 worldwide revenue to be in the range of $198 million to </w:t>
      </w:r>
      <w:r>
        <w:rPr>
          <w:rFonts w:ascii="Times New Roman;serif" w:hAnsi="Times New Roman;serif"/>
          <w:b/>
          <w:color w:val="000000"/>
          <w:sz w:val="22"/>
        </w:rPr>
        <w:t>$</w:t>
      </w:r>
      <w:r>
        <w:rPr>
          <w:rFonts w:ascii="Times New Roman;serif" w:hAnsi="Times New Roman;serif"/>
          <w:b w:val="false"/>
          <w:color w:val="000000"/>
          <w:sz w:val="22"/>
        </w:rPr>
        <w:t>200</w:t>
      </w:r>
      <w:r>
        <w:rPr>
          <w:color w:val="000000"/>
        </w:rPr>
        <w:t xml:space="preserve"> </w:t>
      </w:r>
      <w:r>
        <w:rPr>
          <w:rFonts w:ascii="Times New Roman;serif" w:hAnsi="Times New Roman;serif"/>
          <w:b w:val="false"/>
          <w:color w:val="000000"/>
          <w:sz w:val="22"/>
        </w:rPr>
        <w:t xml:space="preserve">million, implying year-over-year growth of ~18% to 20%. SI-BONE estimates full year 2025 gross margin to be ~79.5%. </w:t>
      </w:r>
    </w:p>
    <w:p>
      <w:pPr>
        <w:pStyle w:val="TextBody"/>
        <w:bidi w:val="0"/>
        <w:spacing w:before="0" w:after="0"/>
        <w:jc w:val="both"/>
        <w:rPr/>
      </w:pPr>
      <w:r>
        <w:rPr/>
      </w:r>
    </w:p>
    <w:tbl>
      <w:tblPr>
        <w:tblW w:w="5984" w:type="dxa"/>
        <w:jc w:val="left"/>
        <w:tblInd w:w="0" w:type="dxa"/>
        <w:tblLayout w:type="fixed"/>
        <w:tblCellMar>
          <w:top w:w="28" w:type="dxa"/>
          <w:left w:w="28" w:type="dxa"/>
          <w:bottom w:w="28" w:type="dxa"/>
          <w:right w:w="28" w:type="dxa"/>
        </w:tblCellMar>
      </w:tblPr>
      <w:tblGrid>
        <w:gridCol w:w="645"/>
        <w:gridCol w:w="569"/>
        <w:gridCol w:w="570"/>
        <w:gridCol w:w="740"/>
        <w:gridCol w:w="740"/>
        <w:gridCol w:w="740"/>
        <w:gridCol w:w="574"/>
        <w:gridCol w:w="574"/>
        <w:gridCol w:w="832"/>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 Guidance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New (November 10, 2025)</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Prior (August 4, 2025)</w:t>
            </w:r>
          </w:p>
        </w:tc>
      </w:tr>
      <w:tr>
        <w:trPr/>
        <w:tc>
          <w:tcPr>
            <w:tcW w:w="1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$198M - $200M</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~18-20% growth</w:t>
            </w:r>
          </w:p>
        </w:tc>
        <w:tc>
          <w:tcPr>
            <w:tcW w:w="19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$195M - $198M</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~17%-18% growth</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~79.5%</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78.5% to 79.0%</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growth</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revenue midpoint</w:t>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growth</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revenue midpoint</w:t>
            </w:r>
          </w:p>
        </w:tc>
      </w:tr>
      <w:tr>
        <w:trPr/>
        <w:tc>
          <w:tcPr>
            <w:tcW w:w="1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2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86" w:before="0" w:after="0"/>
              <w:jc w:val="center"/>
              <w:rPr>
                <w:rFonts w:ascii="Times New Roman;serif" w:hAnsi="Times New Roman;serif"/>
                <w:b w:val="false"/>
                <w:i/>
                <w:color w:val="000000"/>
                <w:sz w:val="20"/>
              </w:rPr>
            </w:pPr>
            <w:r>
              <w:rPr>
                <w:rFonts w:ascii="Times New Roman;serif" w:hAnsi="Times New Roman;serif"/>
                <w:b w:val="false"/>
                <w:i/>
                <w:color w:val="000000"/>
                <w:sz w:val="20"/>
              </w:rPr>
              <w:t>Positive</w:t>
            </w:r>
          </w:p>
        </w:tc>
        <w:tc>
          <w:tcPr>
            <w:tcW w:w="198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86" w:before="0" w:after="0"/>
              <w:jc w:val="center"/>
              <w:rPr>
                <w:rFonts w:ascii="Times New Roman;serif" w:hAnsi="Times New Roman;serif"/>
                <w:b w:val="false"/>
                <w:i/>
                <w:color w:val="000000"/>
                <w:sz w:val="20"/>
              </w:rPr>
            </w:pPr>
            <w:r>
              <w:rPr>
                <w:rFonts w:ascii="Times New Roman;serif" w:hAnsi="Times New Roman;serif"/>
                <w:b w:val="false"/>
                <w:i/>
                <w:color w:val="000000"/>
                <w:sz w:val="20"/>
              </w:rPr>
              <w:t>Positive</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1017" w:before="0" w:after="0"/>
        <w:jc w:val="both"/>
        <w:rPr>
          <w:rFonts w:ascii="Times New Roman;serif" w:hAnsi="Times New Roman;serif"/>
          <w:b/>
          <w:color w:val="000000"/>
          <w:sz w:val="22"/>
        </w:rPr>
      </w:pPr>
      <w:r>
        <w:rPr>
          <w:rFonts w:ascii="Times New Roman;serif" w:hAnsi="Times New Roman;serif"/>
          <w:b/>
          <w:color w:val="000000"/>
          <w:sz w:val="22"/>
        </w:rPr>
        <w:t>Webcast Information</w:t>
      </w:r>
    </w:p>
    <w:p>
      <w:pPr>
        <w:pStyle w:val="TextBody"/>
        <w:bidi w:val="0"/>
        <w:spacing w:lineRule="auto" w:line="561" w:before="0" w:after="0"/>
        <w:jc w:val="both"/>
        <w:rPr/>
      </w:pPr>
      <w:r>
        <w:rPr>
          <w:rFonts w:ascii="Times New Roman;serif" w:hAnsi="Times New Roman;serif"/>
          <w:b w:val="false"/>
          <w:color w:val="000000"/>
          <w:sz w:val="22"/>
        </w:rPr>
        <w:t>SI-BONE will host a conference call to discuss the third quarter 2025 financial results after market close on Monday, November 10, 2025 at 4:30 P.M. Eastern Time. The conference call can be accessed live over webcast at https://edge.media-server.com/mmc/p/fnam2tia</w:t>
      </w:r>
      <w:r>
        <w:rPr>
          <w:rFonts w:ascii="Times New Roman;serif" w:hAnsi="Times New Roman;serif"/>
          <w:b w:val="false"/>
          <w:color w:val="3051F2"/>
          <w:sz w:val="22"/>
        </w:rPr>
        <w:t>.</w:t>
      </w:r>
      <w:r>
        <w:rPr>
          <w:color w:val="000000"/>
        </w:rPr>
        <w:t xml:space="preserve"> </w:t>
      </w:r>
      <w:r>
        <w:rPr>
          <w:rFonts w:ascii="Times New Roman;serif" w:hAnsi="Times New Roman;serif"/>
          <w:b w:val="false"/>
          <w:color w:val="000000"/>
          <w:sz w:val="22"/>
        </w:rPr>
        <w:t xml:space="preserve">Live audio of the webcast will be available on the “Investors” section of the company’s website at: </w:t>
      </w:r>
      <w:r>
        <w:rPr>
          <w:rFonts w:ascii="Times New Roman;serif" w:hAnsi="Times New Roman;serif"/>
          <w:b w:val="false"/>
          <w:color w:val="0E32E1"/>
          <w:sz w:val="22"/>
        </w:rPr>
        <w:t>www.si-bone.com</w:t>
      </w:r>
      <w:r>
        <w:rPr>
          <w:rFonts w:ascii="Times New Roman;serif" w:hAnsi="Times New Roman;serif"/>
          <w:b w:val="false"/>
          <w:color w:val="000000"/>
          <w:sz w:val="22"/>
        </w:rPr>
        <w:t>. The webcast will be archived and available for replay for at least 90 days after the event.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About SI-BONE, Inc.</w:t>
      </w:r>
    </w:p>
    <w:p>
      <w:pPr>
        <w:pStyle w:val="TextBody"/>
        <w:bidi w:val="0"/>
        <w:spacing w:before="0" w:after="0"/>
        <w:jc w:val="both"/>
        <w:rPr/>
      </w:pPr>
      <w:r>
        <w:rPr/>
      </w:r>
    </w:p>
    <w:p>
      <w:pPr>
        <w:pStyle w:val="TextBody"/>
        <w:bidi w:val="0"/>
        <w:spacing w:lineRule="atLeast" w:line="427" w:before="0" w:after="0"/>
        <w:jc w:val="both"/>
        <w:rPr>
          <w:rFonts w:ascii="Times New Roman;serif" w:hAnsi="Times New Roman;serif"/>
          <w:b w:val="false"/>
          <w:color w:val="000000"/>
          <w:sz w:val="22"/>
        </w:rPr>
      </w:pPr>
      <w:r>
        <w:rPr>
          <w:rFonts w:ascii="Times New Roman;serif" w:hAnsi="Times New Roman;serif"/>
          <w:b w:val="false"/>
          <w:color w:val="000000"/>
          <w:sz w:val="22"/>
        </w:rPr>
        <w:t>SI-BONE (NASDAQ: SIBN) is a global leader in developing unique technologies for surgical treatment of sacropelvic disorders. Since pioneering minimally invasive SI joint surgery in 2009, SI-BONE has supported over 4,900 physicians in performing a total of over 135,000 procedures. A unique body of clinical evidence supports the use of SI-BONE’s technologies, including four randomized controlled trials and over 180 peer reviewed publications. SI-BONE has leveraged its leadership in minimally invasive SI joint fusion to commercialize novel solutions for adjacent markets, including adult deformity, sacropelvic fixation and pelvic trauma.</w:t>
      </w:r>
    </w:p>
    <w:p>
      <w:pPr>
        <w:pStyle w:val="TextBody"/>
        <w:bidi w:val="0"/>
        <w:spacing w:before="0" w:after="0"/>
        <w:jc w:val="both"/>
        <w:rPr/>
      </w:pPr>
      <w:r>
        <w:rPr/>
      </w:r>
    </w:p>
    <w:p>
      <w:pPr>
        <w:pStyle w:val="TextBody"/>
        <w:bidi w:val="0"/>
        <w:spacing w:lineRule="auto" w:line="540" w:before="0" w:after="0"/>
        <w:jc w:val="both"/>
        <w:rPr/>
      </w:pPr>
      <w:r>
        <w:rPr>
          <w:rFonts w:ascii="Times New Roman;serif" w:hAnsi="Times New Roman;serif"/>
          <w:b w:val="false"/>
          <w:color w:val="000000"/>
          <w:sz w:val="22"/>
        </w:rPr>
        <w:t xml:space="preserve">For additional information on the company or the products including risks and benefits, please visit </w:t>
      </w:r>
      <w:r>
        <w:rPr>
          <w:rFonts w:ascii="Times New Roman;serif" w:hAnsi="Times New Roman;serif"/>
          <w:b w:val="false"/>
          <w:color w:val="0E32E1"/>
          <w:sz w:val="22"/>
        </w:rPr>
        <w:t>www.si-bone.com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76"/>
        <w:jc w:val="left"/>
        <w:rPr/>
      </w:pPr>
      <w:r>
        <w:rPr>
          <w:rFonts w:ascii="Times New Roman;serif" w:hAnsi="Times New Roman;serif"/>
          <w:b w:val="false"/>
          <w:color w:val="000000"/>
          <w:sz w:val="22"/>
        </w:rPr>
        <w:t>SI-BONE</w:t>
      </w:r>
      <w:r>
        <w:rPr>
          <w:rFonts w:ascii="Times New Roman;serif" w:hAnsi="Times New Roman;serif"/>
          <w:b w:val="false"/>
          <w:i/>
          <w:color w:val="000000"/>
          <w:sz w:val="14"/>
          <w:u w:val="single"/>
        </w:rPr>
        <w:t>®</w:t>
      </w:r>
      <w:r>
        <w:rPr>
          <w:rFonts w:ascii="Times New Roman;serif" w:hAnsi="Times New Roman;serif"/>
          <w:b w:val="false"/>
          <w:color w:val="000000"/>
          <w:sz w:val="22"/>
        </w:rPr>
        <w:t xml:space="preserve">, </w:t>
      </w:r>
      <w:r>
        <w:rPr>
          <w:rFonts w:ascii="Times New Roman;serif" w:hAnsi="Times New Roman;serif"/>
          <w:b w:val="false"/>
          <w:i/>
          <w:color w:val="000000"/>
          <w:sz w:val="22"/>
        </w:rPr>
        <w:t>iFuse Implant System</w:t>
      </w:r>
      <w:r>
        <w:rPr>
          <w:rFonts w:ascii="Times New Roman;serif" w:hAnsi="Times New Roman;serif"/>
          <w:b w:val="false"/>
          <w:i/>
          <w:color w:val="000000"/>
          <w:sz w:val="14"/>
          <w:u w:val="single"/>
        </w:rPr>
        <w:t>®</w:t>
      </w:r>
      <w:r>
        <w:rPr>
          <w:rFonts w:ascii="Times New Roman;serif" w:hAnsi="Times New Roman;serif"/>
          <w:b w:val="false"/>
          <w:color w:val="000000"/>
          <w:sz w:val="22"/>
        </w:rPr>
        <w:t xml:space="preserve">, </w:t>
      </w:r>
      <w:r>
        <w:rPr>
          <w:rFonts w:ascii="Times New Roman;serif" w:hAnsi="Times New Roman;serif"/>
          <w:b w:val="false"/>
          <w:i/>
          <w:color w:val="000000"/>
          <w:sz w:val="22"/>
        </w:rPr>
        <w:t>iFuse TORQ</w:t>
      </w:r>
      <w:r>
        <w:rPr>
          <w:rFonts w:ascii="Times New Roman;serif" w:hAnsi="Times New Roman;serif"/>
          <w:b w:val="false"/>
          <w:i/>
          <w:color w:val="000000"/>
          <w:sz w:val="14"/>
          <w:u w:val="single"/>
        </w:rPr>
        <w:t>®</w:t>
      </w:r>
      <w:r>
        <w:rPr>
          <w:rFonts w:ascii="Times New Roman;serif" w:hAnsi="Times New Roman;serif"/>
          <w:b w:val="false"/>
          <w:i/>
          <w:color w:val="000000"/>
          <w:sz w:val="22"/>
        </w:rPr>
        <w:t>, and iFuse TORQ TNT</w:t>
      </w:r>
      <w:r>
        <w:rPr>
          <w:rFonts w:ascii="Times New Roman;serif" w:hAnsi="Times New Roman;serif"/>
          <w:b w:val="false"/>
          <w:i/>
          <w:color w:val="000000"/>
          <w:sz w:val="14"/>
          <w:u w:val="single"/>
        </w:rPr>
        <w:t>®</w:t>
      </w:r>
      <w:r>
        <w:rPr>
          <w:color w:val="000000"/>
        </w:rPr>
        <w:t xml:space="preserve"> </w:t>
      </w:r>
      <w:r>
        <w:rPr>
          <w:rFonts w:ascii="Times New Roman;serif" w:hAnsi="Times New Roman;serif"/>
          <w:b w:val="false"/>
          <w:color w:val="000000"/>
          <w:sz w:val="22"/>
        </w:rPr>
        <w:t xml:space="preserve">are registered trademarks of SI-BONE, Inc. ©2025 SI-BONE, Inc. All Rights Reserved.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The statements in this press release regarding expectations of future events or results, including SI-BONE’s expectations of continued revenue and procedure growth and financial outlook,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or deterioration in economic conditions as a result of tariffs and retaliation by U.S. trading partners on the ability and desire of patients to undergo elective procedures including those using SI-BONE’s products, the potential impact of a government shutdown on SI-BONE's ability to introduce and commercialize new products,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products. Actual results and the timing of events could differ materially from those anticipated in such forward-looking statements as a result of these and other risks and uncertainties, many of which are described in SI-BONE’s most recent filings on Form 10-K and Form 10-Q, and SI-BONE’s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before="0" w:after="0"/>
        <w:jc w:val="left"/>
        <w:rPr/>
      </w:pPr>
      <w:r>
        <w:rPr/>
      </w:r>
    </w:p>
    <w:p>
      <w:pPr>
        <w:pStyle w:val="TextBody"/>
        <w:bidi w:val="0"/>
        <w:spacing w:lineRule="auto" w:line="540"/>
        <w:jc w:val="both"/>
        <w:rPr>
          <w:rFonts w:ascii="Times New Roman;serif" w:hAnsi="Times New Roman;serif"/>
          <w:b w:val="false"/>
          <w:color w:val="000000"/>
          <w:sz w:val="22"/>
        </w:rPr>
      </w:pPr>
      <w:r>
        <w:rPr>
          <w:rFonts w:ascii="Times New Roman;serif" w:hAnsi="Times New Roman;serif"/>
          <w:b w:val="false"/>
          <w:color w:val="000000"/>
          <w:sz w:val="22"/>
        </w:rPr>
        <w:t xml:space="preserve">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pStyle w:val="TextBody"/>
        <w:bidi w:val="0"/>
        <w:spacing w:before="0" w:after="0"/>
        <w:jc w:val="left"/>
        <w:rPr/>
      </w:pPr>
      <w:r>
        <w:rPr/>
      </w:r>
    </w:p>
    <w:p>
      <w:pPr>
        <w:pStyle w:val="TextBody"/>
        <w:bidi w:val="0"/>
        <w:spacing w:lineRule="auto" w:line="448"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Saqib Iqbal</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VP, FP&amp;A, and Investor Relations</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investors@SI-BONE.com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4"/>
        <w:gridCol w:w="1182"/>
        <w:gridCol w:w="1110"/>
        <w:gridCol w:w="244"/>
        <w:gridCol w:w="837"/>
        <w:gridCol w:w="109"/>
        <w:gridCol w:w="109"/>
        <w:gridCol w:w="109"/>
        <w:gridCol w:w="109"/>
        <w:gridCol w:w="244"/>
        <w:gridCol w:w="837"/>
        <w:gridCol w:w="109"/>
        <w:gridCol w:w="109"/>
        <w:gridCol w:w="109"/>
        <w:gridCol w:w="109"/>
        <w:gridCol w:w="226"/>
        <w:gridCol w:w="866"/>
        <w:gridCol w:w="111"/>
        <w:gridCol w:w="111"/>
        <w:gridCol w:w="111"/>
        <w:gridCol w:w="111"/>
        <w:gridCol w:w="226"/>
        <w:gridCol w:w="866"/>
        <w:gridCol w:w="111"/>
        <w:gridCol w:w="109"/>
        <w:gridCol w:w="109"/>
        <w:gridCol w:w="109"/>
        <w:gridCol w:w="159"/>
      </w:tblGrid>
      <w:tr>
        <w:trPr/>
        <w:tc>
          <w:tcPr>
            <w:tcW w:w="165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43,188,524 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41,717,505 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42,775,206 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41,324,614 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8230" w:type="dxa"/>
        <w:jc w:val="left"/>
        <w:tblInd w:w="0" w:type="dxa"/>
        <w:tblLayout w:type="fixed"/>
        <w:tblCellMar>
          <w:top w:w="28" w:type="dxa"/>
          <w:left w:w="28" w:type="dxa"/>
          <w:bottom w:w="28" w:type="dxa"/>
          <w:right w:w="28" w:type="dxa"/>
        </w:tblCellMar>
      </w:tblPr>
      <w:tblGrid>
        <w:gridCol w:w="1705"/>
        <w:gridCol w:w="1499"/>
        <w:gridCol w:w="1506"/>
        <w:gridCol w:w="295"/>
        <w:gridCol w:w="1157"/>
        <w:gridCol w:w="152"/>
        <w:gridCol w:w="109"/>
        <w:gridCol w:w="109"/>
        <w:gridCol w:w="109"/>
        <w:gridCol w:w="281"/>
        <w:gridCol w:w="1103"/>
        <w:gridCol w:w="205"/>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210,784 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234,273 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AND STOCKHOLDERS’ EQUITY </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619,964 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172,126 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234,273 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RECONCILIATION OF NET LOSS TO NON-GAAP ADJUSTED EBITDA</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988" w:type="dxa"/>
        <w:jc w:val="left"/>
        <w:tblInd w:w="0" w:type="dxa"/>
        <w:tblLayout w:type="fixed"/>
        <w:tblCellMar>
          <w:top w:w="28" w:type="dxa"/>
          <w:left w:w="28" w:type="dxa"/>
          <w:bottom w:w="28" w:type="dxa"/>
          <w:right w:w="28" w:type="dxa"/>
        </w:tblCellMar>
      </w:tblPr>
      <w:tblGrid>
        <w:gridCol w:w="941"/>
        <w:gridCol w:w="821"/>
        <w:gridCol w:w="832"/>
        <w:gridCol w:w="109"/>
        <w:gridCol w:w="109"/>
        <w:gridCol w:w="109"/>
        <w:gridCol w:w="260"/>
        <w:gridCol w:w="851"/>
        <w:gridCol w:w="134"/>
        <w:gridCol w:w="134"/>
        <w:gridCol w:w="134"/>
        <w:gridCol w:w="134"/>
        <w:gridCol w:w="260"/>
        <w:gridCol w:w="851"/>
        <w:gridCol w:w="134"/>
        <w:gridCol w:w="109"/>
        <w:gridCol w:w="109"/>
        <w:gridCol w:w="109"/>
        <w:gridCol w:w="231"/>
        <w:gridCol w:w="871"/>
        <w:gridCol w:w="119"/>
        <w:gridCol w:w="119"/>
        <w:gridCol w:w="119"/>
        <w:gridCol w:w="119"/>
        <w:gridCol w:w="231"/>
        <w:gridCol w:w="871"/>
        <w:gridCol w:w="168"/>
      </w:tblGrid>
      <w:tr>
        <w:trPr/>
        <w:tc>
          <w:tcPr>
            <w:tcW w:w="9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2535</Words>
  <Characters>14815</Characters>
  <CharactersWithSpaces>17136</CharactersWithSpaces>
  <Paragraphs>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