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88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882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DUNN JEFFREY 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SI-BONE,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SIBN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40" w:type="dxa"/>
            <w:vAlign w:val="bottom"/>
            <w:tcBorders>
              <w:bottom w:val="single" w:sz="8" w:color="0000EE"/>
            </w:tcBorders>
          </w:tcPr>
          <w:p>
            <w:pPr>
              <w:spacing w:after="0"/>
              <w:rPr>
                <w:sz w:val="3"/>
                <w:szCs w:val="3"/>
                <w:color w:val="auto"/>
              </w:rPr>
            </w:pPr>
          </w:p>
        </w:tc>
        <w:tc>
          <w:tcPr>
            <w:tcW w:w="2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24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05/02/2024</w:t>
            </w:r>
          </w:p>
        </w:tc>
        <w:tc>
          <w:tcPr>
            <w:tcW w:w="2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24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05/02/2024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343</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14.5351</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jc w:val="center"/>
              <w:ind w:right="160"/>
              <w:spacing w:after="0"/>
              <w:rPr>
                <w:sz w:val="20"/>
                <w:szCs w:val="20"/>
                <w:color w:val="auto"/>
              </w:rPr>
            </w:pPr>
            <w:r>
              <w:rPr>
                <w:rFonts w:ascii="Times New Roman" w:cs="Times New Roman" w:eastAsia="Times New Roman" w:hAnsi="Times New Roman"/>
                <w:sz w:val="17"/>
                <w:szCs w:val="17"/>
                <w:color w:val="0000FF"/>
              </w:rPr>
              <w:t>23,566</w:t>
            </w:r>
            <w:r>
              <w:rPr>
                <w:rFonts w:ascii="Times New Roman" w:cs="Times New Roman" w:eastAsia="Times New Roman" w:hAnsi="Times New Roman"/>
                <w:sz w:val="22"/>
                <w:szCs w:val="22"/>
                <w:color w:val="008000"/>
                <w:vertAlign w:val="superscript"/>
              </w:rPr>
              <w:t>(3)(4)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7"/>
                <w:szCs w:val="17"/>
                <w:color w:val="0000FF"/>
              </w:rPr>
              <w:t>100,199</w:t>
            </w:r>
            <w:r>
              <w:rPr>
                <w:rFonts w:ascii="Times New Roman" w:cs="Times New Roman" w:eastAsia="Times New Roman" w:hAnsi="Times New Roman"/>
                <w:sz w:val="22"/>
                <w:szCs w:val="22"/>
                <w:color w:val="008000"/>
                <w:vertAlign w:val="superscript"/>
              </w:rPr>
              <w:t>(3)</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$14.45 USD to $14.64 USD; the price reported above reflects the weighted average sale price.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transfer of shares from the Reporting Person to The Jeffrey W. Dunn Living Trust Dated May 17, 2012.</w:t>
      </w:r>
    </w:p>
    <w:p>
      <w:pPr>
        <w:spacing w:after="0" w:line="50"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23,093 shares issuable on the settlement of restricted stock units granted to the Reporting Person. Each restricted stock unit represents a contingent right to receive one share of the Issuer's common stock.</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Jeffrey W. Dunn Living Trust Dated May 17, 2012.</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Jeffrey</w:t>
        <w:tab/>
        <w:t>05/03/2024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 Dunn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30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306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035986"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2024-05-02T15:39:35Z</dcterms:created>
  <dcterms:modified xsi:type="dcterms:W3CDTF">2024-05-02T15:39:35Z</dcterms:modified>
</cp:coreProperties>
</file>