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23"/>
          <w:szCs w:val="23"/>
          <w:b w:val="1"/>
          <w:bCs w:val="1"/>
          <w:color w:val="auto"/>
        </w:rPr>
        <w:t>SCHEDULE 13G</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(Rule 13d-102)</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INFORMATION TO BE INCLUDED IN STATEMENTS FILED PURSUANT TO RULES 13d-1 (b),</w:t>
      </w:r>
    </w:p>
    <w:p>
      <w:pPr>
        <w:spacing w:after="0" w:line="29" w:lineRule="exact"/>
        <w:rPr>
          <w:sz w:val="24"/>
          <w:szCs w:val="24"/>
          <w:color w:val="auto"/>
        </w:rPr>
      </w:pPr>
    </w:p>
    <w:p>
      <w:pPr>
        <w:ind w:left="5100" w:right="2600" w:hanging="2425"/>
        <w:spacing w:after="0" w:line="261" w:lineRule="auto"/>
        <w:tabs>
          <w:tab w:leader="none" w:pos="2930"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AND (d) AND AMENDMENTS THERETO FILED PURSUANT TO 13d-2 (b) (Amendment No. )*</w:t>
      </w:r>
    </w:p>
    <w:p>
      <w:pPr>
        <w:spacing w:after="0" w:line="165" w:lineRule="exact"/>
        <w:rPr>
          <w:sz w:val="24"/>
          <w:szCs w:val="24"/>
          <w:color w:val="auto"/>
        </w:rPr>
      </w:pPr>
    </w:p>
    <w:p>
      <w:pPr>
        <w:jc w:val="center"/>
        <w:ind w:right="-59"/>
        <w:spacing w:after="0"/>
        <w:rPr>
          <w:sz w:val="20"/>
          <w:szCs w:val="20"/>
          <w:color w:val="auto"/>
        </w:rPr>
      </w:pPr>
      <w:r>
        <w:rPr>
          <w:rFonts w:ascii="Arial" w:cs="Arial" w:eastAsia="Arial" w:hAnsi="Arial"/>
          <w:sz w:val="34"/>
          <w:szCs w:val="34"/>
          <w:b w:val="1"/>
          <w:bCs w:val="1"/>
          <w:color w:val="auto"/>
        </w:rPr>
        <w:t>SI-BONE,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625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(Name of Issuer)</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6250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(Title of Class of Securities)</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825704109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625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(CUSIP Number)</w:t>
      </w:r>
    </w:p>
    <w:p>
      <w:pPr>
        <w:spacing w:after="0" w:line="232"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625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19"/>
          <w:szCs w:val="19"/>
          <w:color w:val="auto"/>
        </w:rPr>
        <w:t>(Date of Event Which Requires Filing of this Statement)</w:t>
      </w:r>
    </w:p>
    <w:p>
      <w:pPr>
        <w:spacing w:after="0" w:line="238"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 Schedule is filed:</w:t>
      </w:r>
    </w:p>
    <w:p>
      <w:pPr>
        <w:spacing w:after="0" w:line="67" w:lineRule="exact"/>
        <w:rPr>
          <w:sz w:val="24"/>
          <w:szCs w:val="24"/>
          <w:color w:val="auto"/>
        </w:rPr>
      </w:pPr>
    </w:p>
    <w:p>
      <w:pPr>
        <w:ind w:left="1200" w:hanging="683"/>
        <w:spacing w:after="0"/>
        <w:tabs>
          <w:tab w:leader="none" w:pos="1200" w:val="left"/>
        </w:tabs>
        <w:numPr>
          <w:ilvl w:val="0"/>
          <w:numId w:val="2"/>
        </w:numPr>
        <w:rPr>
          <w:rFonts w:ascii="Arial" w:cs="Arial" w:eastAsia="Arial" w:hAnsi="Arial"/>
          <w:sz w:val="19"/>
          <w:szCs w:val="19"/>
          <w:color w:val="auto"/>
        </w:rPr>
      </w:pPr>
      <w:r>
        <w:rPr>
          <w:rFonts w:ascii="Arial" w:cs="Arial" w:eastAsia="Arial" w:hAnsi="Arial"/>
          <w:sz w:val="19"/>
          <w:szCs w:val="19"/>
          <w:color w:val="auto"/>
        </w:rPr>
        <w:t>Rule 13d-1(b)</w:t>
      </w:r>
    </w:p>
    <w:p>
      <w:pPr>
        <w:spacing w:after="0" w:line="123" w:lineRule="exact"/>
        <w:rPr>
          <w:rFonts w:ascii="Arial" w:cs="Arial" w:eastAsia="Arial" w:hAnsi="Arial"/>
          <w:sz w:val="19"/>
          <w:szCs w:val="19"/>
          <w:color w:val="auto"/>
        </w:rPr>
      </w:pPr>
    </w:p>
    <w:p>
      <w:pPr>
        <w:ind w:left="1200" w:hanging="683"/>
        <w:spacing w:after="0"/>
        <w:tabs>
          <w:tab w:leader="none" w:pos="1200" w:val="left"/>
        </w:tabs>
        <w:numPr>
          <w:ilvl w:val="0"/>
          <w:numId w:val="2"/>
        </w:numPr>
        <w:rPr>
          <w:rFonts w:ascii="Arial" w:cs="Arial" w:eastAsia="Arial" w:hAnsi="Arial"/>
          <w:sz w:val="19"/>
          <w:szCs w:val="19"/>
          <w:color w:val="auto"/>
        </w:rPr>
      </w:pPr>
      <w:r>
        <w:rPr>
          <w:rFonts w:ascii="Arial" w:cs="Arial" w:eastAsia="Arial" w:hAnsi="Arial"/>
          <w:sz w:val="19"/>
          <w:szCs w:val="19"/>
          <w:color w:val="auto"/>
        </w:rPr>
        <w:t>Rule 13d-1(c)</w:t>
      </w:r>
    </w:p>
    <w:p>
      <w:pPr>
        <w:spacing w:after="0" w:line="123" w:lineRule="exact"/>
        <w:rPr>
          <w:rFonts w:ascii="Arial" w:cs="Arial" w:eastAsia="Arial" w:hAnsi="Arial"/>
          <w:sz w:val="19"/>
          <w:szCs w:val="19"/>
          <w:color w:val="auto"/>
        </w:rPr>
      </w:pPr>
    </w:p>
    <w:p>
      <w:pPr>
        <w:ind w:left="520"/>
        <w:spacing w:after="0"/>
        <w:rPr>
          <w:rFonts w:ascii="Arial" w:cs="Arial" w:eastAsia="Arial" w:hAnsi="Arial"/>
          <w:sz w:val="19"/>
          <w:szCs w:val="19"/>
          <w:color w:val="auto"/>
        </w:rPr>
      </w:pPr>
      <w:r>
        <w:rPr>
          <w:rFonts w:ascii="Arial" w:cs="Arial" w:eastAsia="Arial" w:hAnsi="Arial"/>
          <w:sz w:val="19"/>
          <w:szCs w:val="19"/>
          <w:color w:val="auto"/>
        </w:rPr>
        <w:t>x</w:t>
      </w:r>
      <w:r>
        <w:rPr>
          <w:rFonts w:ascii="Arial" w:cs="Arial" w:eastAsia="Arial" w:hAnsi="Arial"/>
          <w:sz w:val="17"/>
          <w:szCs w:val="17"/>
          <w:color w:val="auto"/>
        </w:rPr>
        <w:t>Rule 13d-1(d)</w:t>
      </w:r>
    </w:p>
    <w:p>
      <w:pPr>
        <w:spacing w:after="0" w:line="295" w:lineRule="exact"/>
        <w:rPr>
          <w:sz w:val="24"/>
          <w:szCs w:val="24"/>
          <w:color w:val="auto"/>
        </w:rPr>
      </w:pPr>
    </w:p>
    <w:p>
      <w:pPr>
        <w:ind w:right="140"/>
        <w:spacing w:after="0" w:line="275" w:lineRule="auto"/>
        <w:rPr>
          <w:sz w:val="20"/>
          <w:szCs w:val="20"/>
          <w:color w:val="auto"/>
        </w:rPr>
      </w:pPr>
      <w:r>
        <w:rPr>
          <w:rFonts w:ascii="Arial" w:cs="Arial" w:eastAsia="Arial" w:hAnsi="Arial"/>
          <w:sz w:val="19"/>
          <w:szCs w:val="19"/>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spacing w:after="0" w:line="336" w:lineRule="auto"/>
        <w:rPr>
          <w:sz w:val="20"/>
          <w:szCs w:val="20"/>
          <w:color w:val="auto"/>
        </w:rPr>
      </w:pPr>
      <w:r>
        <w:rPr>
          <w:rFonts w:ascii="Arial" w:cs="Arial" w:eastAsia="Arial" w:hAnsi="Arial"/>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646670" cy="31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20"/>
          </w:cols>
          <w:pgMar w:left="120" w:top="312" w:right="200" w:bottom="1440" w:gutter="0" w:footer="0" w:header="0"/>
        </w:sectPr>
      </w:pPr>
    </w:p>
    <w:bookmarkStart w:id="1" w:name="page2"/>
    <w:bookmarkEnd w:id="1"/>
    <w:p>
      <w:pPr>
        <w:ind w:left="66"/>
        <w:spacing w:after="0"/>
        <w:rPr>
          <w:sz w:val="20"/>
          <w:szCs w:val="20"/>
          <w:color w:val="auto"/>
        </w:rPr>
      </w:pPr>
      <w:r>
        <w:rPr>
          <w:rFonts w:ascii="Arial" w:cs="Arial" w:eastAsia="Arial" w:hAnsi="Arial"/>
          <w:sz w:val="19"/>
          <w:szCs w:val="19"/>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right="8440" w:hanging="650"/>
        <w:spacing w:after="0" w:line="336" w:lineRule="auto"/>
        <w:tabs>
          <w:tab w:leader="none" w:pos="1106"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Persons Skyline Venture Partners V, L.P.</w:t>
      </w:r>
    </w:p>
    <w:p>
      <w:pPr>
        <w:spacing w:after="0" w:line="365" w:lineRule="exact"/>
        <w:rPr>
          <w:rFonts w:ascii="Arial" w:cs="Arial" w:eastAsia="Arial" w:hAnsi="Arial"/>
          <w:sz w:val="17"/>
          <w:szCs w:val="17"/>
          <w:color w:val="auto"/>
        </w:rPr>
      </w:pPr>
    </w:p>
    <w:p>
      <w:pPr>
        <w:ind w:left="1106" w:hanging="650"/>
        <w:spacing w:after="0"/>
        <w:tabs>
          <w:tab w:leader="none" w:pos="1106"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326" w:hanging="1214"/>
        <w:spacing w:after="0"/>
        <w:tabs>
          <w:tab w:leader="none" w:pos="2326" w:val="left"/>
        </w:tabs>
        <w:numPr>
          <w:ilvl w:val="1"/>
          <w:numId w:val="3"/>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326" w:hanging="1214"/>
        <w:spacing w:after="0"/>
        <w:tabs>
          <w:tab w:leader="none" w:pos="2326" w:val="left"/>
        </w:tabs>
        <w:numPr>
          <w:ilvl w:val="1"/>
          <w:numId w:val="3"/>
        </w:numPr>
        <w:rPr>
          <w:rFonts w:ascii="Arial" w:cs="Arial" w:eastAsia="Arial" w:hAnsi="Arial"/>
          <w:sz w:val="19"/>
          <w:szCs w:val="19"/>
          <w:color w:val="auto"/>
        </w:rPr>
      </w:pPr>
      <w:r>
        <w:rPr>
          <w:rFonts w:ascii="Arial" w:cs="Arial" w:eastAsia="Arial" w:hAnsi="Arial"/>
          <w:sz w:val="19"/>
          <w:szCs w:val="19"/>
          <w:color w:val="auto"/>
        </w:rPr>
        <w:t>x (1)</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3"/>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jc w:val="both"/>
        <w:ind w:left="1106" w:right="8100" w:hanging="650"/>
        <w:spacing w:after="0" w:line="336" w:lineRule="auto"/>
        <w:tabs>
          <w:tab w:leader="none" w:pos="1106"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-12065</wp:posOffset>
            </wp:positionV>
            <wp:extent cx="69551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-591185</wp:posOffset>
            </wp:positionV>
            <wp:extent cx="69551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-1026160</wp:posOffset>
            </wp:positionV>
            <wp:extent cx="61849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-1252220</wp:posOffset>
            </wp:positionV>
            <wp:extent cx="61849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-1904365</wp:posOffset>
            </wp:positionV>
            <wp:extent cx="69551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986"/>
          </w:cols>
          <w:pgMar w:left="114" w:top="270" w:right="140" w:bottom="739" w:gutter="0" w:footer="0" w:header="0"/>
        </w:sectPr>
      </w:pPr>
    </w:p>
    <w:p>
      <w:pPr>
        <w:spacing w:after="0" w:line="380"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4,419,985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4,419,985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66" w:space="720"/>
            <w:col w:w="9100"/>
          </w:cols>
          <w:pgMar w:left="114" w:top="270" w:right="140" w:bottom="739" w:gutter="0" w:footer="0" w:header="0"/>
          <w:type w:val="continuous"/>
        </w:sectPr>
      </w:pPr>
    </w:p>
    <w:p>
      <w:pPr>
        <w:spacing w:after="0" w:line="253" w:lineRule="exact"/>
        <w:rPr>
          <w:sz w:val="20"/>
          <w:szCs w:val="20"/>
          <w:color w:val="auto"/>
        </w:rPr>
      </w:pPr>
    </w:p>
    <w:p>
      <w:pPr>
        <w:ind w:left="1106" w:right="5800" w:hanging="650"/>
        <w:spacing w:after="0" w:line="275" w:lineRule="auto"/>
        <w:tabs>
          <w:tab w:leader="none" w:pos="1106" w:val="left"/>
        </w:tabs>
        <w:numPr>
          <w:ilvl w:val="1"/>
          <w:numId w:val="4"/>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4,419,985 (2)</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4"/>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4"/>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18.2% (3)</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4"/>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PN</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6" w:right="140" w:hanging="6"/>
        <w:spacing w:after="0" w:line="263" w:lineRule="auto"/>
        <w:tabs>
          <w:tab w:leader="none" w:pos="323" w:val="left"/>
        </w:tabs>
        <w:numPr>
          <w:ilvl w:val="0"/>
          <w:numId w:val="5"/>
        </w:numPr>
        <w:rPr>
          <w:rFonts w:ascii="Arial" w:cs="Arial" w:eastAsia="Arial" w:hAnsi="Arial"/>
          <w:sz w:val="19"/>
          <w:szCs w:val="19"/>
          <w:color w:val="auto"/>
        </w:rPr>
      </w:pPr>
      <w:r>
        <w:rPr>
          <w:rFonts w:ascii="Arial" w:cs="Arial" w:eastAsia="Arial" w:hAnsi="Arial"/>
          <w:sz w:val="19"/>
          <w:szCs w:val="19"/>
          <w:color w:val="auto"/>
        </w:rPr>
        <w:t>This Schedule 13G is filed by Skyline Venture Partners V, L.P. (“SVP V”), Skyline Venture Management V, LLC (“SVM V”) , John G. Freund (“Freund”) and Yasunori Kaneko (“Kaneko” and together with SVP V, SVM V and Freund the “Skyline Entities”). The Skyline Entities expressly disclaim status as a “group” for purposes of this Schedule 13G.</w:t>
      </w:r>
    </w:p>
    <w:p>
      <w:pPr>
        <w:spacing w:after="0" w:line="194" w:lineRule="exact"/>
        <w:rPr>
          <w:rFonts w:ascii="Arial" w:cs="Arial" w:eastAsia="Arial" w:hAnsi="Arial"/>
          <w:sz w:val="19"/>
          <w:szCs w:val="19"/>
          <w:color w:val="auto"/>
        </w:rPr>
      </w:pPr>
    </w:p>
    <w:p>
      <w:pPr>
        <w:ind w:left="6" w:hanging="6"/>
        <w:spacing w:after="0" w:line="275" w:lineRule="auto"/>
        <w:tabs>
          <w:tab w:leader="none" w:pos="323"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shares are held by SVP V. SVM V is the sole general partner of SVP V. Freund and Kaneko are managing directors of SVM V and share voting and dispositive power over the shares held by the SVP V.</w:t>
      </w:r>
    </w:p>
    <w:p>
      <w:pPr>
        <w:spacing w:after="0" w:line="183" w:lineRule="exact"/>
        <w:rPr>
          <w:rFonts w:ascii="Arial" w:cs="Arial" w:eastAsia="Arial" w:hAnsi="Arial"/>
          <w:sz w:val="19"/>
          <w:szCs w:val="19"/>
          <w:color w:val="auto"/>
        </w:rPr>
      </w:pPr>
    </w:p>
    <w:p>
      <w:pPr>
        <w:ind w:left="6" w:right="20" w:hanging="6"/>
        <w:spacing w:after="0" w:line="275" w:lineRule="auto"/>
        <w:tabs>
          <w:tab w:leader="none" w:pos="323" w:val="left"/>
        </w:tabs>
        <w:numPr>
          <w:ilvl w:val="0"/>
          <w:numId w:val="5"/>
        </w:numPr>
        <w:rPr>
          <w:rFonts w:ascii="Arial" w:cs="Arial" w:eastAsia="Arial" w:hAnsi="Arial"/>
          <w:sz w:val="19"/>
          <w:szCs w:val="19"/>
          <w:color w:val="auto"/>
        </w:rPr>
      </w:pPr>
      <w:r>
        <w:rPr>
          <w:rFonts w:ascii="Arial" w:cs="Arial" w:eastAsia="Arial" w:hAnsi="Arial"/>
          <w:sz w:val="19"/>
          <w:szCs w:val="19"/>
          <w:color w:val="auto"/>
        </w:rPr>
        <w:t>This percentage is calculated based upon 24,335,690 shares of the Issuer’s common stock outstanding as of November 28, 2018 as set forth in the Issuers most recent 10-Q, filed with the Securities and Exchange Commission on November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-1630680</wp:posOffset>
            </wp:positionV>
            <wp:extent cx="69551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-2209800</wp:posOffset>
            </wp:positionV>
            <wp:extent cx="69551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-2789555</wp:posOffset>
            </wp:positionV>
            <wp:extent cx="69551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-3224530</wp:posOffset>
            </wp:positionV>
            <wp:extent cx="69551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-1403985</wp:posOffset>
            </wp:positionV>
            <wp:extent cx="19291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4"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70" w:right="140" w:bottom="739" w:gutter="0" w:footer="0" w:header="0"/>
          <w:type w:val="continuous"/>
        </w:sectPr>
      </w:pPr>
    </w:p>
    <w:bookmarkStart w:id="2" w:name="page3"/>
    <w:bookmarkEnd w:id="2"/>
    <w:p>
      <w:pPr>
        <w:ind w:left="66"/>
        <w:spacing w:after="0"/>
        <w:rPr>
          <w:sz w:val="20"/>
          <w:szCs w:val="20"/>
          <w:color w:val="auto"/>
        </w:rPr>
      </w:pPr>
      <w:r>
        <w:rPr>
          <w:rFonts w:ascii="Arial" w:cs="Arial" w:eastAsia="Arial" w:hAnsi="Arial"/>
          <w:sz w:val="19"/>
          <w:szCs w:val="19"/>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hanging="650"/>
        <w:spacing w:after="0"/>
        <w:tabs>
          <w:tab w:leader="none" w:pos="1106" w:val="left"/>
        </w:tabs>
        <w:numPr>
          <w:ilvl w:val="0"/>
          <w:numId w:val="6"/>
        </w:numPr>
        <w:rPr>
          <w:rFonts w:ascii="Arial" w:cs="Arial" w:eastAsia="Arial" w:hAnsi="Arial"/>
          <w:sz w:val="19"/>
          <w:szCs w:val="19"/>
          <w:color w:val="auto"/>
        </w:rPr>
      </w:pPr>
      <w:r>
        <w:rPr>
          <w:rFonts w:ascii="Arial" w:cs="Arial" w:eastAsia="Arial" w:hAnsi="Arial"/>
          <w:sz w:val="19"/>
          <w:szCs w:val="19"/>
          <w:color w:val="auto"/>
        </w:rPr>
        <w:t>Name of Reporting Persons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Skyline Venture Management V, LLC</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0"/>
          <w:numId w:val="6"/>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326" w:hanging="1214"/>
        <w:spacing w:after="0"/>
        <w:tabs>
          <w:tab w:leader="none" w:pos="2326" w:val="left"/>
        </w:tabs>
        <w:numPr>
          <w:ilvl w:val="1"/>
          <w:numId w:val="6"/>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326" w:hanging="1214"/>
        <w:spacing w:after="0"/>
        <w:tabs>
          <w:tab w:leader="none" w:pos="2326" w:val="left"/>
        </w:tabs>
        <w:numPr>
          <w:ilvl w:val="1"/>
          <w:numId w:val="6"/>
        </w:numPr>
        <w:rPr>
          <w:rFonts w:ascii="Arial" w:cs="Arial" w:eastAsia="Arial" w:hAnsi="Arial"/>
          <w:sz w:val="19"/>
          <w:szCs w:val="19"/>
          <w:color w:val="auto"/>
        </w:rPr>
      </w:pPr>
      <w:r>
        <w:rPr>
          <w:rFonts w:ascii="Arial" w:cs="Arial" w:eastAsia="Arial" w:hAnsi="Arial"/>
          <w:sz w:val="19"/>
          <w:szCs w:val="19"/>
          <w:color w:val="auto"/>
        </w:rPr>
        <w:t>x (1)</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6"/>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jc w:val="both"/>
        <w:ind w:left="1106" w:right="8100" w:hanging="650"/>
        <w:spacing w:after="0" w:line="336" w:lineRule="auto"/>
        <w:tabs>
          <w:tab w:leader="none" w:pos="1106" w:val="left"/>
        </w:tabs>
        <w:numPr>
          <w:ilvl w:val="0"/>
          <w:numId w:val="6"/>
        </w:numPr>
        <w:rPr>
          <w:rFonts w:ascii="Arial" w:cs="Arial" w:eastAsia="Arial" w:hAnsi="Arial"/>
          <w:sz w:val="17"/>
          <w:szCs w:val="17"/>
          <w:color w:val="auto"/>
        </w:rPr>
      </w:pPr>
      <w:r>
        <w:rPr>
          <w:rFonts w:ascii="Arial" w:cs="Arial" w:eastAsia="Arial" w:hAnsi="Arial"/>
          <w:sz w:val="17"/>
          <w:szCs w:val="17"/>
          <w:color w:val="auto"/>
        </w:rPr>
        <w:t>Citizenship or Place of Organization Delaware,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-12065</wp:posOffset>
            </wp:positionV>
            <wp:extent cx="69551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-591185</wp:posOffset>
            </wp:positionV>
            <wp:extent cx="69551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-1026160</wp:posOffset>
            </wp:positionV>
            <wp:extent cx="61849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-1252220</wp:posOffset>
            </wp:positionV>
            <wp:extent cx="61849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-1904365</wp:posOffset>
            </wp:positionV>
            <wp:extent cx="695515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1986"/>
          </w:cols>
          <w:pgMar w:left="114" w:top="270" w:right="140" w:bottom="739" w:gutter="0" w:footer="0" w:header="0"/>
        </w:sectPr>
      </w:pPr>
    </w:p>
    <w:p>
      <w:pPr>
        <w:spacing w:after="0" w:line="380"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4,419,985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4,419,985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66" w:space="720"/>
            <w:col w:w="9100"/>
          </w:cols>
          <w:pgMar w:left="114" w:top="270" w:right="140" w:bottom="739" w:gutter="0" w:footer="0" w:header="0"/>
          <w:type w:val="continuous"/>
        </w:sectPr>
      </w:pPr>
    </w:p>
    <w:p>
      <w:pPr>
        <w:spacing w:after="0" w:line="253" w:lineRule="exact"/>
        <w:rPr>
          <w:sz w:val="20"/>
          <w:szCs w:val="20"/>
          <w:color w:val="auto"/>
        </w:rPr>
      </w:pPr>
    </w:p>
    <w:p>
      <w:pPr>
        <w:ind w:left="1106" w:right="5800" w:hanging="650"/>
        <w:spacing w:after="0" w:line="275" w:lineRule="auto"/>
        <w:tabs>
          <w:tab w:leader="none" w:pos="1106" w:val="left"/>
        </w:tabs>
        <w:numPr>
          <w:ilvl w:val="1"/>
          <w:numId w:val="7"/>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4,419,985 (2)</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7"/>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7"/>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18.2% (3)</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7"/>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OO</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6" w:right="140" w:hanging="6"/>
        <w:spacing w:after="0" w:line="263" w:lineRule="auto"/>
        <w:tabs>
          <w:tab w:leader="none" w:pos="323" w:val="left"/>
        </w:tabs>
        <w:numPr>
          <w:ilvl w:val="0"/>
          <w:numId w:val="8"/>
        </w:numPr>
        <w:rPr>
          <w:rFonts w:ascii="Arial" w:cs="Arial" w:eastAsia="Arial" w:hAnsi="Arial"/>
          <w:sz w:val="19"/>
          <w:szCs w:val="19"/>
          <w:color w:val="auto"/>
        </w:rPr>
      </w:pPr>
      <w:r>
        <w:rPr>
          <w:rFonts w:ascii="Arial" w:cs="Arial" w:eastAsia="Arial" w:hAnsi="Arial"/>
          <w:sz w:val="19"/>
          <w:szCs w:val="19"/>
          <w:color w:val="auto"/>
        </w:rPr>
        <w:t>This Schedule 13G is filed by Skyline Venture Partners V, L.P. (“SVP V”), Skyline Venture Management V, LLC (“SVM V”) , John G. Freund (“Freund”) and Yasunori Kaneko (“Kaneko” and together with SVP V, SVM V and Freund the “Skyline Entities”). The Skyline Entities expressly disclaim status as a “group” for purposes of this Schedule 13G.</w:t>
      </w:r>
    </w:p>
    <w:p>
      <w:pPr>
        <w:spacing w:after="0" w:line="194" w:lineRule="exact"/>
        <w:rPr>
          <w:rFonts w:ascii="Arial" w:cs="Arial" w:eastAsia="Arial" w:hAnsi="Arial"/>
          <w:sz w:val="19"/>
          <w:szCs w:val="19"/>
          <w:color w:val="auto"/>
        </w:rPr>
      </w:pPr>
    </w:p>
    <w:p>
      <w:pPr>
        <w:ind w:left="6" w:hanging="6"/>
        <w:spacing w:after="0" w:line="275" w:lineRule="auto"/>
        <w:tabs>
          <w:tab w:leader="none" w:pos="323"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 shares are held by SVP V. SVM V is the sole general partner of SVP V. Freund and Kaneko are managing directors of SVM V and share voting and dispositive power over the shares held by the SVP V.</w:t>
      </w:r>
    </w:p>
    <w:p>
      <w:pPr>
        <w:spacing w:after="0" w:line="183" w:lineRule="exact"/>
        <w:rPr>
          <w:rFonts w:ascii="Arial" w:cs="Arial" w:eastAsia="Arial" w:hAnsi="Arial"/>
          <w:sz w:val="19"/>
          <w:szCs w:val="19"/>
          <w:color w:val="auto"/>
        </w:rPr>
      </w:pPr>
    </w:p>
    <w:p>
      <w:pPr>
        <w:ind w:left="6" w:right="20" w:hanging="6"/>
        <w:spacing w:after="0" w:line="275" w:lineRule="auto"/>
        <w:tabs>
          <w:tab w:leader="none" w:pos="319" w:val="left"/>
        </w:tabs>
        <w:numPr>
          <w:ilvl w:val="0"/>
          <w:numId w:val="8"/>
        </w:numPr>
        <w:rPr>
          <w:rFonts w:ascii="Arial" w:cs="Arial" w:eastAsia="Arial" w:hAnsi="Arial"/>
          <w:sz w:val="19"/>
          <w:szCs w:val="19"/>
          <w:color w:val="auto"/>
        </w:rPr>
      </w:pPr>
      <w:r>
        <w:rPr>
          <w:rFonts w:ascii="Arial" w:cs="Arial" w:eastAsia="Arial" w:hAnsi="Arial"/>
          <w:sz w:val="19"/>
          <w:szCs w:val="19"/>
          <w:color w:val="auto"/>
        </w:rPr>
        <w:t>This percentage is calculated based upon 24,335,690 shares of the Issuer’s common stock outstanding as of November 28, 2018 as set forth in the Issuers most recent 10-Q, filed with the Securities and Exchange Commission on November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-1630680</wp:posOffset>
            </wp:positionV>
            <wp:extent cx="69551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-2209800</wp:posOffset>
            </wp:positionV>
            <wp:extent cx="69551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-2789555</wp:posOffset>
            </wp:positionV>
            <wp:extent cx="69551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-3224530</wp:posOffset>
            </wp:positionV>
            <wp:extent cx="695515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-1403985</wp:posOffset>
            </wp:positionV>
            <wp:extent cx="19291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4" w:lineRule="exact"/>
        <w:rPr>
          <w:sz w:val="20"/>
          <w:szCs w:val="20"/>
          <w:color w:val="auto"/>
        </w:rPr>
      </w:pPr>
    </w:p>
    <w:p>
      <w:pPr>
        <w:jc w:val="center"/>
        <w:ind w:right="-25"/>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70" w:right="140" w:bottom="739" w:gutter="0" w:footer="0" w:header="0"/>
          <w:type w:val="continuous"/>
        </w:sectPr>
      </w:pPr>
    </w:p>
    <w:bookmarkStart w:id="3" w:name="page4"/>
    <w:bookmarkEnd w:id="3"/>
    <w:p>
      <w:pPr>
        <w:ind w:left="66"/>
        <w:spacing w:after="0"/>
        <w:rPr>
          <w:sz w:val="20"/>
          <w:szCs w:val="20"/>
          <w:color w:val="auto"/>
        </w:rPr>
      </w:pPr>
      <w:r>
        <w:rPr>
          <w:rFonts w:ascii="Arial" w:cs="Arial" w:eastAsia="Arial" w:hAnsi="Arial"/>
          <w:sz w:val="19"/>
          <w:szCs w:val="19"/>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right="8780" w:hanging="650"/>
        <w:spacing w:after="0" w:line="304" w:lineRule="auto"/>
        <w:tabs>
          <w:tab w:leader="none" w:pos="1106"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 Yasunori Kaneko</w:t>
      </w:r>
    </w:p>
    <w:p>
      <w:pPr>
        <w:spacing w:after="0" w:line="388" w:lineRule="exact"/>
        <w:rPr>
          <w:rFonts w:ascii="Arial" w:cs="Arial" w:eastAsia="Arial" w:hAnsi="Arial"/>
          <w:sz w:val="18"/>
          <w:szCs w:val="18"/>
          <w:color w:val="auto"/>
        </w:rPr>
      </w:pPr>
    </w:p>
    <w:p>
      <w:pPr>
        <w:ind w:left="1106" w:hanging="650"/>
        <w:spacing w:after="0"/>
        <w:tabs>
          <w:tab w:leader="none" w:pos="1106" w:val="left"/>
        </w:tabs>
        <w:numPr>
          <w:ilvl w:val="0"/>
          <w:numId w:val="9"/>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326" w:hanging="1214"/>
        <w:spacing w:after="0"/>
        <w:tabs>
          <w:tab w:leader="none" w:pos="2326" w:val="left"/>
        </w:tabs>
        <w:numPr>
          <w:ilvl w:val="1"/>
          <w:numId w:val="9"/>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326" w:hanging="1214"/>
        <w:spacing w:after="0"/>
        <w:tabs>
          <w:tab w:leader="none" w:pos="2326" w:val="left"/>
        </w:tabs>
        <w:numPr>
          <w:ilvl w:val="1"/>
          <w:numId w:val="9"/>
        </w:numPr>
        <w:rPr>
          <w:rFonts w:ascii="Arial" w:cs="Arial" w:eastAsia="Arial" w:hAnsi="Arial"/>
          <w:sz w:val="19"/>
          <w:szCs w:val="19"/>
          <w:color w:val="auto"/>
        </w:rPr>
      </w:pPr>
      <w:r>
        <w:rPr>
          <w:rFonts w:ascii="Arial" w:cs="Arial" w:eastAsia="Arial" w:hAnsi="Arial"/>
          <w:sz w:val="19"/>
          <w:szCs w:val="19"/>
          <w:color w:val="auto"/>
        </w:rPr>
        <w:t>x (1)</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9"/>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jc w:val="both"/>
        <w:ind w:left="1106" w:right="8100" w:hanging="650"/>
        <w:spacing w:after="0" w:line="336" w:lineRule="auto"/>
        <w:tabs>
          <w:tab w:leader="none" w:pos="1106" w:val="left"/>
        </w:tabs>
        <w:numPr>
          <w:ilvl w:val="0"/>
          <w:numId w:val="9"/>
        </w:numPr>
        <w:rPr>
          <w:rFonts w:ascii="Arial" w:cs="Arial" w:eastAsia="Arial" w:hAnsi="Arial"/>
          <w:sz w:val="17"/>
          <w:szCs w:val="17"/>
          <w:color w:val="auto"/>
        </w:rPr>
      </w:pPr>
      <w:r>
        <w:rPr>
          <w:rFonts w:ascii="Arial" w:cs="Arial" w:eastAsia="Arial" w:hAnsi="Arial"/>
          <w:sz w:val="17"/>
          <w:szCs w:val="17"/>
          <w:color w:val="auto"/>
        </w:rPr>
        <w:t>Citizenship or Place of Organization California,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-12065</wp:posOffset>
            </wp:positionV>
            <wp:extent cx="69551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-591185</wp:posOffset>
            </wp:positionV>
            <wp:extent cx="695515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-1026160</wp:posOffset>
            </wp:positionV>
            <wp:extent cx="61849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-1252220</wp:posOffset>
            </wp:positionV>
            <wp:extent cx="61849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-1904365</wp:posOffset>
            </wp:positionV>
            <wp:extent cx="69551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2006"/>
          </w:cols>
          <w:pgMar w:left="114" w:top="270" w:right="120" w:bottom="739" w:gutter="0" w:footer="0" w:header="0"/>
        </w:sectPr>
      </w:pPr>
    </w:p>
    <w:p>
      <w:pPr>
        <w:spacing w:after="0" w:line="380"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4,419,985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4,419,985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66" w:space="720"/>
            <w:col w:w="9120"/>
          </w:cols>
          <w:pgMar w:left="114" w:top="270" w:right="120" w:bottom="739" w:gutter="0" w:footer="0" w:header="0"/>
          <w:type w:val="continuous"/>
        </w:sectPr>
      </w:pPr>
    </w:p>
    <w:p>
      <w:pPr>
        <w:spacing w:after="0" w:line="253" w:lineRule="exact"/>
        <w:rPr>
          <w:sz w:val="20"/>
          <w:szCs w:val="20"/>
          <w:color w:val="auto"/>
        </w:rPr>
      </w:pPr>
    </w:p>
    <w:p>
      <w:pPr>
        <w:ind w:left="1106" w:right="5820" w:hanging="650"/>
        <w:spacing w:after="0" w:line="275" w:lineRule="auto"/>
        <w:tabs>
          <w:tab w:leader="none" w:pos="1106" w:val="left"/>
        </w:tabs>
        <w:numPr>
          <w:ilvl w:val="1"/>
          <w:numId w:val="10"/>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4,419,985 (2)</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10"/>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10"/>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18.2% (3)</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10"/>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IN</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6" w:hanging="6"/>
        <w:spacing w:after="0" w:line="263" w:lineRule="auto"/>
        <w:tabs>
          <w:tab w:leader="none" w:pos="275"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This Schedule 13G is filed by Skyline Venture Partners V, L.P. (“SVP V”), Skyline Venture Management V, LLC (“SVM V”) , John G. Freund (“Freund”) and Yasunori Kaneko (“Kaneko” and together with SVP V, SVM V and Freund the “Skyline Entities”). The Skyline Entities expressly disclaim status as a “group” for purposes of this Schedule 13G.</w:t>
      </w:r>
    </w:p>
    <w:p>
      <w:pPr>
        <w:spacing w:after="0" w:line="194" w:lineRule="exact"/>
        <w:rPr>
          <w:rFonts w:ascii="Arial" w:cs="Arial" w:eastAsia="Arial" w:hAnsi="Arial"/>
          <w:sz w:val="19"/>
          <w:szCs w:val="19"/>
          <w:color w:val="auto"/>
        </w:rPr>
      </w:pPr>
    </w:p>
    <w:p>
      <w:pPr>
        <w:ind w:left="6" w:right="20" w:hanging="6"/>
        <w:spacing w:after="0" w:line="275" w:lineRule="auto"/>
        <w:tabs>
          <w:tab w:leader="none" w:pos="323"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The shares are held by SVP V. SVM V is the sole general partner of SVP V. Freund and Kaneko are managing directors of SVM V and share voting and dispositive power over the shares held by the SVP V.</w:t>
      </w:r>
    </w:p>
    <w:p>
      <w:pPr>
        <w:spacing w:after="0" w:line="183" w:lineRule="exact"/>
        <w:rPr>
          <w:rFonts w:ascii="Arial" w:cs="Arial" w:eastAsia="Arial" w:hAnsi="Arial"/>
          <w:sz w:val="19"/>
          <w:szCs w:val="19"/>
          <w:color w:val="auto"/>
        </w:rPr>
      </w:pPr>
    </w:p>
    <w:p>
      <w:pPr>
        <w:ind w:left="6" w:right="40" w:hanging="6"/>
        <w:spacing w:after="0" w:line="275" w:lineRule="auto"/>
        <w:tabs>
          <w:tab w:leader="none" w:pos="323" w:val="left"/>
        </w:tabs>
        <w:numPr>
          <w:ilvl w:val="0"/>
          <w:numId w:val="11"/>
        </w:numPr>
        <w:rPr>
          <w:rFonts w:ascii="Arial" w:cs="Arial" w:eastAsia="Arial" w:hAnsi="Arial"/>
          <w:sz w:val="19"/>
          <w:szCs w:val="19"/>
          <w:color w:val="auto"/>
        </w:rPr>
      </w:pPr>
      <w:r>
        <w:rPr>
          <w:rFonts w:ascii="Arial" w:cs="Arial" w:eastAsia="Arial" w:hAnsi="Arial"/>
          <w:sz w:val="19"/>
          <w:szCs w:val="19"/>
          <w:color w:val="auto"/>
        </w:rPr>
        <w:t>This percentage is calculated based upon 24,335,690 shares of the Issuer’s common stock outstanding as of November 28, 2018 as set forth in the Issuers most recent 10-Q, filed with the Securities and Exchange Commission on November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-1630680</wp:posOffset>
            </wp:positionV>
            <wp:extent cx="695515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-2209800</wp:posOffset>
            </wp:positionV>
            <wp:extent cx="69551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-2789555</wp:posOffset>
            </wp:positionV>
            <wp:extent cx="695515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-3224530</wp:posOffset>
            </wp:positionV>
            <wp:extent cx="69551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-1403985</wp:posOffset>
            </wp:positionV>
            <wp:extent cx="19291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4"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70" w:right="120" w:bottom="739" w:gutter="0" w:footer="0" w:header="0"/>
          <w:type w:val="continuous"/>
        </w:sectPr>
      </w:pPr>
    </w:p>
    <w:bookmarkStart w:id="4" w:name="page5"/>
    <w:bookmarkEnd w:id="4"/>
    <w:p>
      <w:pPr>
        <w:ind w:left="66"/>
        <w:spacing w:after="0"/>
        <w:rPr>
          <w:sz w:val="20"/>
          <w:szCs w:val="20"/>
          <w:color w:val="auto"/>
        </w:rPr>
      </w:pPr>
      <w:r>
        <w:rPr>
          <w:rFonts w:ascii="Arial" w:cs="Arial" w:eastAsia="Arial" w:hAnsi="Arial"/>
          <w:sz w:val="19"/>
          <w:szCs w:val="19"/>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1106" w:right="8780" w:hanging="650"/>
        <w:spacing w:after="0" w:line="275" w:lineRule="auto"/>
        <w:tabs>
          <w:tab w:leader="none" w:pos="1106" w:val="left"/>
        </w:tabs>
        <w:numPr>
          <w:ilvl w:val="0"/>
          <w:numId w:val="12"/>
        </w:numPr>
        <w:rPr>
          <w:rFonts w:ascii="Arial" w:cs="Arial" w:eastAsia="Arial" w:hAnsi="Arial"/>
          <w:sz w:val="19"/>
          <w:szCs w:val="19"/>
          <w:color w:val="auto"/>
        </w:rPr>
      </w:pPr>
      <w:r>
        <w:rPr>
          <w:rFonts w:ascii="Arial" w:cs="Arial" w:eastAsia="Arial" w:hAnsi="Arial"/>
          <w:sz w:val="19"/>
          <w:szCs w:val="19"/>
          <w:color w:val="auto"/>
        </w:rPr>
        <w:t>Name of Reporting Persons John G. Freund</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Check the Appropriate Box if a Member of a Group (See Instructions)</w:t>
      </w:r>
    </w:p>
    <w:p>
      <w:pPr>
        <w:spacing w:after="0" w:line="146" w:lineRule="exact"/>
        <w:rPr>
          <w:rFonts w:ascii="Arial" w:cs="Arial" w:eastAsia="Arial" w:hAnsi="Arial"/>
          <w:sz w:val="17"/>
          <w:szCs w:val="17"/>
          <w:color w:val="auto"/>
        </w:rPr>
      </w:pPr>
    </w:p>
    <w:p>
      <w:pPr>
        <w:ind w:left="2326" w:hanging="1214"/>
        <w:spacing w:after="0"/>
        <w:tabs>
          <w:tab w:leader="none" w:pos="2326" w:val="left"/>
        </w:tabs>
        <w:numPr>
          <w:ilvl w:val="1"/>
          <w:numId w:val="12"/>
        </w:numPr>
        <w:rPr>
          <w:rFonts w:ascii="Arial" w:cs="Arial" w:eastAsia="Arial" w:hAnsi="Arial"/>
          <w:sz w:val="19"/>
          <w:szCs w:val="19"/>
          <w:color w:val="auto"/>
        </w:rPr>
      </w:pPr>
      <w:r>
        <w:rPr>
          <w:rFonts w:ascii="Arial" w:cs="Arial" w:eastAsia="Arial" w:hAnsi="Arial"/>
          <w:sz w:val="19"/>
          <w:szCs w:val="19"/>
          <w:color w:val="auto"/>
        </w:rPr>
        <w:t>o</w:t>
      </w:r>
    </w:p>
    <w:p>
      <w:pPr>
        <w:spacing w:after="0" w:line="138" w:lineRule="exact"/>
        <w:rPr>
          <w:rFonts w:ascii="Arial" w:cs="Arial" w:eastAsia="Arial" w:hAnsi="Arial"/>
          <w:sz w:val="19"/>
          <w:szCs w:val="19"/>
          <w:color w:val="auto"/>
        </w:rPr>
      </w:pPr>
    </w:p>
    <w:p>
      <w:pPr>
        <w:ind w:left="2326" w:hanging="1214"/>
        <w:spacing w:after="0"/>
        <w:tabs>
          <w:tab w:leader="none" w:pos="2326" w:val="left"/>
        </w:tabs>
        <w:numPr>
          <w:ilvl w:val="1"/>
          <w:numId w:val="12"/>
        </w:numPr>
        <w:rPr>
          <w:rFonts w:ascii="Arial" w:cs="Arial" w:eastAsia="Arial" w:hAnsi="Arial"/>
          <w:sz w:val="19"/>
          <w:szCs w:val="19"/>
          <w:color w:val="auto"/>
        </w:rPr>
      </w:pPr>
      <w:r>
        <w:rPr>
          <w:rFonts w:ascii="Arial" w:cs="Arial" w:eastAsia="Arial" w:hAnsi="Arial"/>
          <w:sz w:val="19"/>
          <w:szCs w:val="19"/>
          <w:color w:val="auto"/>
        </w:rPr>
        <w:t>x (1)</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0"/>
          <w:numId w:val="12"/>
        </w:numPr>
        <w:rPr>
          <w:rFonts w:ascii="Arial" w:cs="Arial" w:eastAsia="Arial" w:hAnsi="Arial"/>
          <w:sz w:val="19"/>
          <w:szCs w:val="19"/>
          <w:color w:val="auto"/>
        </w:rPr>
      </w:pPr>
      <w:r>
        <w:rPr>
          <w:rFonts w:ascii="Arial" w:cs="Arial" w:eastAsia="Arial" w:hAnsi="Arial"/>
          <w:sz w:val="19"/>
          <w:szCs w:val="19"/>
          <w:color w:val="auto"/>
        </w:rPr>
        <w:t>SEC Use Only</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jc w:val="both"/>
        <w:ind w:left="1106" w:right="8100" w:hanging="650"/>
        <w:spacing w:after="0" w:line="336" w:lineRule="auto"/>
        <w:tabs>
          <w:tab w:leader="none" w:pos="1106" w:val="left"/>
        </w:tabs>
        <w:numPr>
          <w:ilvl w:val="0"/>
          <w:numId w:val="12"/>
        </w:numPr>
        <w:rPr>
          <w:rFonts w:ascii="Arial" w:cs="Arial" w:eastAsia="Arial" w:hAnsi="Arial"/>
          <w:sz w:val="17"/>
          <w:szCs w:val="17"/>
          <w:color w:val="auto"/>
        </w:rPr>
      </w:pPr>
      <w:r>
        <w:rPr>
          <w:rFonts w:ascii="Arial" w:cs="Arial" w:eastAsia="Arial" w:hAnsi="Arial"/>
          <w:sz w:val="17"/>
          <w:szCs w:val="17"/>
          <w:color w:val="auto"/>
        </w:rPr>
        <w:t>Citizenship or Place of Organization California,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-12065</wp:posOffset>
            </wp:positionV>
            <wp:extent cx="69551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-591185</wp:posOffset>
            </wp:positionV>
            <wp:extent cx="695515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-1026160</wp:posOffset>
            </wp:positionV>
            <wp:extent cx="61849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1440180</wp:posOffset>
            </wp:positionH>
            <wp:positionV relativeFrom="paragraph">
              <wp:posOffset>-1252220</wp:posOffset>
            </wp:positionV>
            <wp:extent cx="61849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84900"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-1904365</wp:posOffset>
            </wp:positionV>
            <wp:extent cx="69551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55155" cy="8890"/>
                    </a:xfrm>
                    <a:prstGeom prst="rect">
                      <a:avLst/>
                    </a:prstGeom>
                    <a:noFill/>
                  </pic:spPr>
                </pic:pic>
              </a:graphicData>
            </a:graphic>
          </wp:anchor>
        </w:drawing>
      </w:r>
    </w:p>
    <w:p>
      <w:pPr>
        <w:sectPr>
          <w:pgSz w:w="12240" w:h="15840" w:orient="portrait"/>
          <w:cols w:equalWidth="0" w:num="1">
            <w:col w:w="12006"/>
          </w:cols>
          <w:pgMar w:left="114" w:top="270" w:right="120" w:bottom="739" w:gutter="0" w:footer="0" w:header="0"/>
        </w:sectPr>
      </w:pPr>
    </w:p>
    <w:p>
      <w:pPr>
        <w:spacing w:after="0" w:line="380" w:lineRule="exact"/>
        <w:rPr>
          <w:sz w:val="20"/>
          <w:szCs w:val="20"/>
          <w:color w:val="auto"/>
        </w:rPr>
      </w:pPr>
    </w:p>
    <w:tbl>
      <w:tblPr>
        <w:tblLayout w:type="fixed"/>
        <w:tblInd w:w="66" w:type="dxa"/>
        <w:tblCellMar>
          <w:top w:w="0" w:type="dxa"/>
          <w:left w:w="0" w:type="dxa"/>
          <w:bottom w:w="0" w:type="dxa"/>
          <w:right w:w="0" w:type="dxa"/>
        </w:tblCellMar>
      </w:tblPr>
      <w:tr>
        <w:trPr>
          <w:trHeight w:val="241"/>
        </w:trPr>
        <w:tc>
          <w:tcPr>
            <w:tcW w:w="13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5.</w:t>
            </w:r>
          </w:p>
        </w:tc>
        <w:tc>
          <w:tcPr>
            <w:tcW w:w="0" w:type="dxa"/>
            <w:vAlign w:val="bottom"/>
          </w:tcPr>
          <w:p>
            <w:pPr>
              <w:spacing w:after="0"/>
              <w:rPr>
                <w:sz w:val="1"/>
                <w:szCs w:val="1"/>
                <w:color w:val="auto"/>
              </w:rPr>
            </w:pPr>
          </w:p>
        </w:tc>
      </w:tr>
      <w:tr>
        <w:trPr>
          <w:trHeight w:val="785"/>
        </w:trPr>
        <w:tc>
          <w:tcPr>
            <w:tcW w:w="1320" w:type="dxa"/>
            <w:vAlign w:val="bottom"/>
          </w:tcPr>
          <w:p>
            <w:pPr>
              <w:spacing w:after="0"/>
              <w:rPr>
                <w:sz w:val="20"/>
                <w:szCs w:val="20"/>
                <w:color w:val="auto"/>
              </w:rPr>
            </w:pPr>
            <w:r>
              <w:rPr>
                <w:rFonts w:ascii="Arial" w:cs="Arial" w:eastAsia="Arial" w:hAnsi="Arial"/>
                <w:sz w:val="19"/>
                <w:szCs w:val="19"/>
                <w:color w:val="auto"/>
              </w:rPr>
              <w:t>Number of</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6.</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Shares</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Beneficially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Owned by</w:t>
            </w: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320" w:type="dxa"/>
            <w:vAlign w:val="bottom"/>
          </w:tcPr>
          <w:p>
            <w:pPr>
              <w:spacing w:after="0"/>
              <w:rPr>
                <w:sz w:val="20"/>
                <w:szCs w:val="20"/>
                <w:color w:val="auto"/>
              </w:rPr>
            </w:pPr>
            <w:r>
              <w:rPr>
                <w:rFonts w:ascii="Arial" w:cs="Arial" w:eastAsia="Arial" w:hAnsi="Arial"/>
                <w:sz w:val="19"/>
                <w:szCs w:val="19"/>
                <w:color w:val="auto"/>
              </w:rPr>
              <w:t>Each</w:t>
            </w:r>
          </w:p>
        </w:tc>
        <w:tc>
          <w:tcPr>
            <w:tcW w:w="500" w:type="dxa"/>
            <w:vAlign w:val="bottom"/>
            <w:vMerge w:val="restart"/>
          </w:tcPr>
          <w:p>
            <w:pPr>
              <w:jc w:val="right"/>
              <w:spacing w:after="0"/>
              <w:rPr>
                <w:sz w:val="20"/>
                <w:szCs w:val="20"/>
                <w:color w:val="auto"/>
              </w:rPr>
            </w:pPr>
            <w:r>
              <w:rPr>
                <w:rFonts w:ascii="Arial" w:cs="Arial" w:eastAsia="Arial" w:hAnsi="Arial"/>
                <w:sz w:val="19"/>
                <w:szCs w:val="19"/>
                <w:color w:val="auto"/>
              </w:rPr>
              <w:t>7.</w:t>
            </w:r>
          </w:p>
        </w:tc>
        <w:tc>
          <w:tcPr>
            <w:tcW w:w="0" w:type="dxa"/>
            <w:vAlign w:val="bottom"/>
          </w:tcPr>
          <w:p>
            <w:pPr>
              <w:spacing w:after="0"/>
              <w:rPr>
                <w:sz w:val="1"/>
                <w:szCs w:val="1"/>
                <w:color w:val="auto"/>
              </w:rPr>
            </w:pPr>
          </w:p>
        </w:tc>
      </w:tr>
      <w:tr>
        <w:trPr>
          <w:trHeight w:val="127"/>
        </w:trPr>
        <w:tc>
          <w:tcPr>
            <w:tcW w:w="1320" w:type="dxa"/>
            <w:vAlign w:val="bottom"/>
            <w:vMerge w:val="restart"/>
          </w:tcPr>
          <w:p>
            <w:pPr>
              <w:spacing w:after="0"/>
              <w:rPr>
                <w:sz w:val="20"/>
                <w:szCs w:val="20"/>
                <w:color w:val="auto"/>
              </w:rPr>
            </w:pPr>
            <w:r>
              <w:rPr>
                <w:rFonts w:ascii="Arial" w:cs="Arial" w:eastAsia="Arial" w:hAnsi="Arial"/>
                <w:sz w:val="19"/>
                <w:szCs w:val="19"/>
                <w:color w:val="auto"/>
              </w:rPr>
              <w:t>Reporting</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32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1"/>
        </w:trPr>
        <w:tc>
          <w:tcPr>
            <w:tcW w:w="1320" w:type="dxa"/>
            <w:vAlign w:val="bottom"/>
          </w:tcPr>
          <w:p>
            <w:pPr>
              <w:spacing w:after="0"/>
              <w:rPr>
                <w:sz w:val="20"/>
                <w:szCs w:val="20"/>
                <w:color w:val="auto"/>
              </w:rPr>
            </w:pPr>
            <w:r>
              <w:rPr>
                <w:rFonts w:ascii="Arial" w:cs="Arial" w:eastAsia="Arial" w:hAnsi="Arial"/>
                <w:sz w:val="19"/>
                <w:szCs w:val="19"/>
                <w:color w:val="auto"/>
              </w:rPr>
              <w:t>Person With:</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0"/>
        </w:trPr>
        <w:tc>
          <w:tcPr>
            <w:tcW w:w="13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9"/>
                <w:szCs w:val="19"/>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60" w:lineRule="exact"/>
        <w:rPr>
          <w:sz w:val="20"/>
          <w:szCs w:val="20"/>
          <w:color w:val="auto"/>
        </w:rPr>
      </w:pPr>
    </w:p>
    <w:p>
      <w:pPr>
        <w:spacing w:after="0"/>
        <w:rPr>
          <w:sz w:val="20"/>
          <w:szCs w:val="20"/>
          <w:color w:val="auto"/>
        </w:rPr>
      </w:pPr>
      <w:r>
        <w:rPr>
          <w:rFonts w:ascii="Arial" w:cs="Arial" w:eastAsia="Arial" w:hAnsi="Arial"/>
          <w:sz w:val="19"/>
          <w:szCs w:val="19"/>
          <w:color w:val="auto"/>
        </w:rPr>
        <w:t>Sole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Shared Voting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4,419,985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Sole Dispositive Power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Shared Dispositive Power</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4,419,985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43180</wp:posOffset>
            </wp:positionV>
            <wp:extent cx="58229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2295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2166" w:space="720"/>
            <w:col w:w="9120"/>
          </w:cols>
          <w:pgMar w:left="114" w:top="270" w:right="120" w:bottom="739" w:gutter="0" w:footer="0" w:header="0"/>
          <w:type w:val="continuous"/>
        </w:sectPr>
      </w:pPr>
    </w:p>
    <w:p>
      <w:pPr>
        <w:spacing w:after="0" w:line="253" w:lineRule="exact"/>
        <w:rPr>
          <w:sz w:val="20"/>
          <w:szCs w:val="20"/>
          <w:color w:val="auto"/>
        </w:rPr>
      </w:pPr>
    </w:p>
    <w:p>
      <w:pPr>
        <w:ind w:left="1106" w:right="5820" w:hanging="650"/>
        <w:spacing w:after="0" w:line="275" w:lineRule="auto"/>
        <w:tabs>
          <w:tab w:leader="none" w:pos="1106" w:val="left"/>
        </w:tabs>
        <w:numPr>
          <w:ilvl w:val="1"/>
          <w:numId w:val="13"/>
        </w:numPr>
        <w:rPr>
          <w:rFonts w:ascii="Arial" w:cs="Arial" w:eastAsia="Arial" w:hAnsi="Arial"/>
          <w:sz w:val="19"/>
          <w:szCs w:val="19"/>
          <w:color w:val="auto"/>
        </w:rPr>
      </w:pPr>
      <w:r>
        <w:rPr>
          <w:rFonts w:ascii="Arial" w:cs="Arial" w:eastAsia="Arial" w:hAnsi="Arial"/>
          <w:sz w:val="19"/>
          <w:szCs w:val="19"/>
          <w:color w:val="auto"/>
        </w:rPr>
        <w:t>Aggregate Amount Beneficially Owned by Each Reporting Person 4,419,985 (2)</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106" w:hanging="650"/>
        <w:spacing w:after="0"/>
        <w:tabs>
          <w:tab w:leader="none" w:pos="1106" w:val="left"/>
        </w:tabs>
        <w:numPr>
          <w:ilvl w:val="1"/>
          <w:numId w:val="13"/>
        </w:numPr>
        <w:rPr>
          <w:rFonts w:ascii="Arial" w:cs="Arial" w:eastAsia="Arial" w:hAnsi="Arial"/>
          <w:sz w:val="19"/>
          <w:szCs w:val="19"/>
          <w:color w:val="auto"/>
        </w:rPr>
      </w:pPr>
      <w:r>
        <w:rPr>
          <w:rFonts w:ascii="Arial" w:cs="Arial" w:eastAsia="Arial" w:hAnsi="Arial"/>
          <w:sz w:val="19"/>
          <w:szCs w:val="19"/>
          <w:color w:val="auto"/>
        </w:rPr>
        <w:t>Check if the Aggregate Amount in Row (9) Excludes Certain Shares (See Instructions)</w:t>
      </w:r>
    </w:p>
    <w:p>
      <w:pPr>
        <w:spacing w:after="0" w:line="200" w:lineRule="exact"/>
        <w:rPr>
          <w:rFonts w:ascii="Arial" w:cs="Arial" w:eastAsia="Arial" w:hAnsi="Arial"/>
          <w:sz w:val="19"/>
          <w:szCs w:val="19"/>
          <w:color w:val="auto"/>
        </w:rPr>
      </w:pPr>
    </w:p>
    <w:p>
      <w:pPr>
        <w:spacing w:after="0" w:line="266" w:lineRule="exact"/>
        <w:rPr>
          <w:rFonts w:ascii="Arial" w:cs="Arial" w:eastAsia="Arial" w:hAnsi="Arial"/>
          <w:sz w:val="19"/>
          <w:szCs w:val="19"/>
          <w:color w:val="auto"/>
        </w:rPr>
      </w:pPr>
    </w:p>
    <w:p>
      <w:pPr>
        <w:ind w:left="1106" w:hanging="650"/>
        <w:spacing w:after="0"/>
        <w:tabs>
          <w:tab w:leader="none" w:pos="1106" w:val="left"/>
        </w:tabs>
        <w:numPr>
          <w:ilvl w:val="1"/>
          <w:numId w:val="13"/>
        </w:numPr>
        <w:rPr>
          <w:rFonts w:ascii="Arial" w:cs="Arial" w:eastAsia="Arial" w:hAnsi="Arial"/>
          <w:sz w:val="19"/>
          <w:szCs w:val="19"/>
          <w:color w:val="auto"/>
        </w:rPr>
      </w:pPr>
      <w:r>
        <w:rPr>
          <w:rFonts w:ascii="Arial" w:cs="Arial" w:eastAsia="Arial" w:hAnsi="Arial"/>
          <w:sz w:val="19"/>
          <w:szCs w:val="19"/>
          <w:color w:val="auto"/>
        </w:rPr>
        <w:t>Percent of Class Represented by Amount in Row (9)</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18.2% (3)</w:t>
      </w:r>
    </w:p>
    <w:p>
      <w:pPr>
        <w:spacing w:after="0" w:line="200" w:lineRule="exact"/>
        <w:rPr>
          <w:rFonts w:ascii="Arial" w:cs="Arial" w:eastAsia="Arial" w:hAnsi="Arial"/>
          <w:sz w:val="19"/>
          <w:szCs w:val="19"/>
          <w:color w:val="auto"/>
        </w:rPr>
      </w:pPr>
    </w:p>
    <w:p>
      <w:pPr>
        <w:spacing w:after="0" w:line="252" w:lineRule="exact"/>
        <w:rPr>
          <w:rFonts w:ascii="Arial" w:cs="Arial" w:eastAsia="Arial" w:hAnsi="Arial"/>
          <w:sz w:val="19"/>
          <w:szCs w:val="19"/>
          <w:color w:val="auto"/>
        </w:rPr>
      </w:pPr>
    </w:p>
    <w:p>
      <w:pPr>
        <w:ind w:left="1106" w:hanging="650"/>
        <w:spacing w:after="0"/>
        <w:tabs>
          <w:tab w:leader="none" w:pos="1106" w:val="left"/>
        </w:tabs>
        <w:numPr>
          <w:ilvl w:val="1"/>
          <w:numId w:val="13"/>
        </w:numPr>
        <w:rPr>
          <w:rFonts w:ascii="Arial" w:cs="Arial" w:eastAsia="Arial" w:hAnsi="Arial"/>
          <w:sz w:val="19"/>
          <w:szCs w:val="19"/>
          <w:color w:val="auto"/>
        </w:rPr>
      </w:pPr>
      <w:r>
        <w:rPr>
          <w:rFonts w:ascii="Arial" w:cs="Arial" w:eastAsia="Arial" w:hAnsi="Arial"/>
          <w:sz w:val="19"/>
          <w:szCs w:val="19"/>
          <w:color w:val="auto"/>
        </w:rPr>
        <w:t>Type of Reporting Person (See Instructions)</w:t>
      </w:r>
    </w:p>
    <w:p>
      <w:pPr>
        <w:spacing w:after="0" w:line="22" w:lineRule="exact"/>
        <w:rPr>
          <w:rFonts w:ascii="Arial" w:cs="Arial" w:eastAsia="Arial" w:hAnsi="Arial"/>
          <w:sz w:val="19"/>
          <w:szCs w:val="19"/>
          <w:color w:val="auto"/>
        </w:rPr>
      </w:pPr>
    </w:p>
    <w:p>
      <w:pPr>
        <w:ind w:left="1106"/>
        <w:spacing w:after="0"/>
        <w:rPr>
          <w:rFonts w:ascii="Arial" w:cs="Arial" w:eastAsia="Arial" w:hAnsi="Arial"/>
          <w:sz w:val="19"/>
          <w:szCs w:val="19"/>
          <w:color w:val="auto"/>
        </w:rPr>
      </w:pPr>
      <w:r>
        <w:rPr>
          <w:rFonts w:ascii="Arial" w:cs="Arial" w:eastAsia="Arial" w:hAnsi="Arial"/>
          <w:sz w:val="19"/>
          <w:szCs w:val="19"/>
          <w:color w:val="auto"/>
        </w:rPr>
        <w:t>IN</w:t>
      </w:r>
    </w:p>
    <w:p>
      <w:pPr>
        <w:spacing w:after="0" w:line="200" w:lineRule="exact"/>
        <w:rPr>
          <w:rFonts w:ascii="Arial" w:cs="Arial" w:eastAsia="Arial" w:hAnsi="Arial"/>
          <w:sz w:val="19"/>
          <w:szCs w:val="19"/>
          <w:color w:val="auto"/>
        </w:rPr>
      </w:pPr>
    </w:p>
    <w:p>
      <w:pPr>
        <w:spacing w:after="0" w:line="338" w:lineRule="exact"/>
        <w:rPr>
          <w:rFonts w:ascii="Arial" w:cs="Arial" w:eastAsia="Arial" w:hAnsi="Arial"/>
          <w:sz w:val="19"/>
          <w:szCs w:val="19"/>
          <w:color w:val="auto"/>
        </w:rPr>
      </w:pPr>
    </w:p>
    <w:p>
      <w:pPr>
        <w:ind w:left="6" w:hanging="6"/>
        <w:spacing w:after="0" w:line="263" w:lineRule="auto"/>
        <w:tabs>
          <w:tab w:leader="none" w:pos="275"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This Schedule 13G is filed by Skyline Venture Partners V, L.P. (“SVP V”), Skyline Venture Management V, LLC (“SVM V”) , John G. Freund (“Freund”) and Yasunori Kaneko (“Kaneko” and together with SVP V, SVM V and Freund the “Skyline Entities”). The Skyline Entities expressly disclaim status as a “group” for purposes of this Schedule 13G.</w:t>
      </w:r>
    </w:p>
    <w:p>
      <w:pPr>
        <w:spacing w:after="0" w:line="194" w:lineRule="exact"/>
        <w:rPr>
          <w:rFonts w:ascii="Arial" w:cs="Arial" w:eastAsia="Arial" w:hAnsi="Arial"/>
          <w:sz w:val="19"/>
          <w:szCs w:val="19"/>
          <w:color w:val="auto"/>
        </w:rPr>
      </w:pPr>
    </w:p>
    <w:p>
      <w:pPr>
        <w:ind w:left="6" w:right="20" w:hanging="6"/>
        <w:spacing w:after="0" w:line="275" w:lineRule="auto"/>
        <w:tabs>
          <w:tab w:leader="none" w:pos="323"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shares are held by SVP V. SVM V is the sole general partner of SVP V. Freund and Kaneko are managing directors of SVM V and share voting and dispositive power over the shares held by the SVP V.</w:t>
      </w:r>
    </w:p>
    <w:p>
      <w:pPr>
        <w:spacing w:after="0" w:line="183" w:lineRule="exact"/>
        <w:rPr>
          <w:rFonts w:ascii="Arial" w:cs="Arial" w:eastAsia="Arial" w:hAnsi="Arial"/>
          <w:sz w:val="19"/>
          <w:szCs w:val="19"/>
          <w:color w:val="auto"/>
        </w:rPr>
      </w:pPr>
    </w:p>
    <w:p>
      <w:pPr>
        <w:ind w:left="6" w:right="40" w:hanging="6"/>
        <w:spacing w:after="0" w:line="275" w:lineRule="auto"/>
        <w:tabs>
          <w:tab w:leader="none" w:pos="323"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This percentage is calculated based upon 24,335,690 shares of the Issuer’s common stock outstanding as of November 28, 2018 as set forth in the Issuers most recent 10-Q, filed with the Securities and Exchange Commission on November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669925</wp:posOffset>
            </wp:positionH>
            <wp:positionV relativeFrom="paragraph">
              <wp:posOffset>-1630680</wp:posOffset>
            </wp:positionV>
            <wp:extent cx="69551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-2209800</wp:posOffset>
            </wp:positionV>
            <wp:extent cx="69551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-2789555</wp:posOffset>
            </wp:positionV>
            <wp:extent cx="69551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669925</wp:posOffset>
            </wp:positionH>
            <wp:positionV relativeFrom="paragraph">
              <wp:posOffset>-3224530</wp:posOffset>
            </wp:positionV>
            <wp:extent cx="695515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-1403985</wp:posOffset>
            </wp:positionV>
            <wp:extent cx="192913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164"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70" w:right="120" w:bottom="739"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9"/>
          <w:szCs w:val="19"/>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6250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89" w:lineRule="exact"/>
        <w:rPr>
          <w:sz w:val="20"/>
          <w:szCs w:val="20"/>
          <w:color w:val="auto"/>
        </w:rPr>
      </w:pPr>
    </w:p>
    <w:p>
      <w:pPr>
        <w:ind w:firstLine="274"/>
        <w:spacing w:after="0" w:line="259" w:lineRule="auto"/>
        <w:rPr>
          <w:sz w:val="20"/>
          <w:szCs w:val="20"/>
          <w:color w:val="auto"/>
        </w:rPr>
      </w:pPr>
      <w:r>
        <w:rPr>
          <w:rFonts w:ascii="Arial" w:cs="Arial" w:eastAsia="Arial" w:hAnsi="Arial"/>
          <w:sz w:val="19"/>
          <w:szCs w:val="19"/>
          <w:color w:val="auto"/>
        </w:rPr>
        <w:t>Introductory Note: This Statement on Schedule 13G is filed on behalf of Skyline Venture Partners V, L.P., a limited partnership organized under the laws of the State of Delaware (“SVP V”), Skyline Venture Management V, LLC, a limited liability company organized under the laws of the State of Delaware (“SVP V”), John G. Freund (“Freund”) and Yasunori Kaneko (“Kaneko”, and together with SVP V, SVM V and Freund, the “Skyline Entities”) in respect of shares of Common Stock of SI-BONE, Inc.</w:t>
      </w:r>
    </w:p>
    <w:p>
      <w:pPr>
        <w:sectPr>
          <w:pgSz w:w="12240" w:h="15840" w:orient="portrait"/>
          <w:cols w:equalWidth="0" w:num="1">
            <w:col w:w="11960"/>
          </w:cols>
          <w:pgMar w:left="120" w:top="270" w:right="160" w:bottom="1440" w:gutter="0" w:footer="0" w:header="0"/>
        </w:sectPr>
      </w:pPr>
    </w:p>
    <w:p>
      <w:pPr>
        <w:spacing w:after="0" w:line="24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1(a)</w:t>
      </w:r>
    </w:p>
    <w:p>
      <w:pPr>
        <w:spacing w:after="0" w:line="37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1(b</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2(b)</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2(c)</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2(d)</w:t>
      </w:r>
    </w:p>
    <w:p>
      <w:pPr>
        <w:spacing w:after="0" w:line="38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Name of Issuer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SI-BONE,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66471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4718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Address of Issuer’s Principal Executive Offices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471 El Camino Real, Suite 101</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Santa Clara, CA 95050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66471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47180" cy="88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Name of Person Filing</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Skyline Venture Partners V, L.P.</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Skyline Venture Management V, LLC</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John G. Freund</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Yasunori Kaneko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66471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64718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Address of Principal Business Office or, if none, Residence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525 University Avenue, Suite 1350</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Palo Alto, CA 94301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66471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4718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Citizenship</w:t>
      </w:r>
    </w:p>
    <w:p>
      <w:pPr>
        <w:spacing w:after="0" w:line="23" w:lineRule="exact"/>
        <w:rPr>
          <w:sz w:val="20"/>
          <w:szCs w:val="20"/>
          <w:color w:val="auto"/>
        </w:rPr>
      </w:pPr>
    </w:p>
    <w:p>
      <w:pPr>
        <w:ind w:right="440"/>
        <w:spacing w:after="0" w:line="261" w:lineRule="auto"/>
        <w:rPr>
          <w:sz w:val="20"/>
          <w:szCs w:val="20"/>
          <w:color w:val="auto"/>
        </w:rPr>
      </w:pPr>
      <w:r>
        <w:rPr>
          <w:rFonts w:ascii="Arial" w:cs="Arial" w:eastAsia="Arial" w:hAnsi="Arial"/>
          <w:sz w:val="19"/>
          <w:szCs w:val="19"/>
          <w:color w:val="auto"/>
        </w:rPr>
        <w:t>SVP V is a limited partnership organized in the State of Delaware. SVM V is a limited liability company organized in the State of Delaware. Freund and Kaneko are individuals residing in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24765</wp:posOffset>
            </wp:positionV>
            <wp:extent cx="66471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647180" cy="8890"/>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9"/>
          <w:szCs w:val="19"/>
          <w:color w:val="auto"/>
        </w:rPr>
        <w:t>Title of Class of Securities</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66471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647180" cy="8890"/>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9"/>
          <w:szCs w:val="19"/>
          <w:color w:val="auto"/>
        </w:rPr>
        <w:t>CUSIP Number</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43180</wp:posOffset>
            </wp:positionV>
            <wp:extent cx="66471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647180" cy="8890"/>
                    </a:xfrm>
                    <a:prstGeom prst="rect">
                      <a:avLst/>
                    </a:prstGeom>
                    <a:noFill/>
                  </pic:spPr>
                </pic:pic>
              </a:graphicData>
            </a:graphic>
          </wp:anchor>
        </w:drawing>
      </w:r>
    </w:p>
    <w:p>
      <w:pPr>
        <w:spacing w:after="0" w:line="200" w:lineRule="exact"/>
        <w:rPr>
          <w:sz w:val="20"/>
          <w:szCs w:val="20"/>
          <w:color w:val="auto"/>
        </w:rPr>
      </w:pPr>
    </w:p>
    <w:p>
      <w:pPr>
        <w:sectPr>
          <w:pgSz w:w="12240" w:h="15840" w:orient="portrait"/>
          <w:cols w:equalWidth="0" w:num="2">
            <w:col w:w="880" w:space="720"/>
            <w:col w:w="10360"/>
          </w:cols>
          <w:pgMar w:left="120" w:top="270" w:right="160" w:bottom="1440" w:gutter="0" w:footer="0" w:header="0"/>
          <w:type w:val="continuous"/>
        </w:sectPr>
      </w:pPr>
    </w:p>
    <w:p>
      <w:pPr>
        <w:spacing w:after="0" w:line="247" w:lineRule="exact"/>
        <w:rPr>
          <w:sz w:val="20"/>
          <w:szCs w:val="20"/>
          <w:color w:val="auto"/>
        </w:rPr>
      </w:pPr>
    </w:p>
    <w:p>
      <w:pPr>
        <w:ind w:left="60"/>
        <w:spacing w:after="0"/>
        <w:tabs>
          <w:tab w:leader="none" w:pos="1580" w:val="left"/>
        </w:tabs>
        <w:rPr>
          <w:sz w:val="20"/>
          <w:szCs w:val="20"/>
          <w:color w:val="auto"/>
        </w:rPr>
      </w:pPr>
      <w:r>
        <w:rPr>
          <w:rFonts w:ascii="Arial" w:cs="Arial" w:eastAsia="Arial" w:hAnsi="Arial"/>
          <w:sz w:val="19"/>
          <w:szCs w:val="19"/>
          <w:b w:val="1"/>
          <w:bCs w:val="1"/>
          <w:color w:val="auto"/>
        </w:rPr>
        <w:t>Item 3</w:t>
      </w:r>
      <w:r>
        <w:rPr>
          <w:sz w:val="20"/>
          <w:szCs w:val="20"/>
          <w:color w:val="auto"/>
        </w:rPr>
        <w:tab/>
      </w:r>
      <w:r>
        <w:rPr>
          <w:rFonts w:ascii="Arial" w:cs="Arial" w:eastAsia="Arial" w:hAnsi="Arial"/>
          <w:sz w:val="17"/>
          <w:szCs w:val="17"/>
          <w:color w:val="auto"/>
        </w:rPr>
        <w:t>Not applicable.</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646670" cy="311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60"/>
          </w:cols>
          <w:pgMar w:left="120" w:top="270" w:right="160" w:bottom="1440" w:gutter="0" w:footer="0" w:header="0"/>
          <w:type w:val="continuous"/>
        </w:sectPr>
      </w:pPr>
    </w:p>
    <w:bookmarkStart w:id="6" w:name="page7"/>
    <w:bookmarkEnd w:id="6"/>
    <w:p>
      <w:pPr>
        <w:ind w:left="66"/>
        <w:spacing w:after="0"/>
        <w:rPr>
          <w:sz w:val="20"/>
          <w:szCs w:val="20"/>
          <w:color w:val="auto"/>
        </w:rPr>
      </w:pPr>
      <w:r>
        <w:rPr>
          <w:rFonts w:ascii="Arial" w:cs="Arial" w:eastAsia="Arial" w:hAnsi="Arial"/>
          <w:sz w:val="19"/>
          <w:szCs w:val="19"/>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76250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40" w:lineRule="exact"/>
        <w:rPr>
          <w:sz w:val="20"/>
          <w:szCs w:val="20"/>
          <w:color w:val="auto"/>
        </w:rPr>
      </w:pPr>
    </w:p>
    <w:tbl>
      <w:tblPr>
        <w:tblLayout w:type="fixed"/>
        <w:tblInd w:w="6" w:type="dxa"/>
        <w:tblCellMar>
          <w:top w:w="0" w:type="dxa"/>
          <w:left w:w="0" w:type="dxa"/>
          <w:bottom w:w="0" w:type="dxa"/>
          <w:right w:w="0" w:type="dxa"/>
        </w:tblCellMar>
      </w:tblPr>
      <w:tr>
        <w:trPr>
          <w:trHeight w:val="247"/>
        </w:trPr>
        <w:tc>
          <w:tcPr>
            <w:tcW w:w="1500" w:type="dxa"/>
            <w:vAlign w:val="bottom"/>
          </w:tcPr>
          <w:p>
            <w:pPr>
              <w:ind w:left="60"/>
              <w:spacing w:after="0"/>
              <w:rPr>
                <w:sz w:val="20"/>
                <w:szCs w:val="20"/>
                <w:color w:val="auto"/>
              </w:rPr>
            </w:pPr>
            <w:r>
              <w:rPr>
                <w:rFonts w:ascii="Arial" w:cs="Arial" w:eastAsia="Arial" w:hAnsi="Arial"/>
                <w:sz w:val="19"/>
                <w:szCs w:val="19"/>
                <w:b w:val="1"/>
                <w:bCs w:val="1"/>
                <w:color w:val="auto"/>
              </w:rPr>
              <w:t>Item 4</w:t>
            </w:r>
          </w:p>
        </w:tc>
        <w:tc>
          <w:tcPr>
            <w:tcW w:w="1500" w:type="dxa"/>
            <w:vAlign w:val="bottom"/>
            <w:gridSpan w:val="2"/>
          </w:tcPr>
          <w:p>
            <w:pPr>
              <w:ind w:left="80"/>
              <w:spacing w:after="0"/>
              <w:rPr>
                <w:sz w:val="20"/>
                <w:szCs w:val="20"/>
                <w:color w:val="auto"/>
              </w:rPr>
            </w:pPr>
            <w:r>
              <w:rPr>
                <w:rFonts w:ascii="Arial" w:cs="Arial" w:eastAsia="Arial" w:hAnsi="Arial"/>
                <w:sz w:val="19"/>
                <w:szCs w:val="19"/>
                <w:b w:val="1"/>
                <w:bCs w:val="1"/>
                <w:color w:val="auto"/>
              </w:rPr>
              <w:t>Ownership</w:t>
            </w:r>
          </w:p>
        </w:tc>
        <w:tc>
          <w:tcPr>
            <w:tcW w:w="1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420"/>
        </w:trPr>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center"/>
              <w:ind w:left="64"/>
              <w:spacing w:after="0"/>
              <w:rPr>
                <w:sz w:val="20"/>
                <w:szCs w:val="20"/>
                <w:color w:val="auto"/>
              </w:rPr>
            </w:pPr>
            <w:r>
              <w:rPr>
                <w:rFonts w:ascii="Arial" w:cs="Arial" w:eastAsia="Arial" w:hAnsi="Arial"/>
                <w:sz w:val="15"/>
                <w:szCs w:val="15"/>
                <w:b w:val="1"/>
                <w:bCs w:val="1"/>
                <w:color w:val="auto"/>
                <w:w w:val="88"/>
              </w:rPr>
              <w:t>Sole</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0"/>
              </w:rPr>
              <w:t>Shared</w:t>
            </w:r>
          </w:p>
        </w:tc>
        <w:tc>
          <w:tcPr>
            <w:tcW w:w="122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81"/>
              </w:rPr>
              <w:t>Sole</w:t>
            </w:r>
          </w:p>
        </w:tc>
        <w:tc>
          <w:tcPr>
            <w:tcW w:w="1300" w:type="dxa"/>
            <w:vAlign w:val="bottom"/>
            <w:gridSpan w:val="2"/>
          </w:tcPr>
          <w:p>
            <w:pPr>
              <w:ind w:left="280"/>
              <w:spacing w:after="0"/>
              <w:rPr>
                <w:sz w:val="20"/>
                <w:szCs w:val="20"/>
                <w:color w:val="auto"/>
              </w:rPr>
            </w:pPr>
            <w:r>
              <w:rPr>
                <w:rFonts w:ascii="Arial" w:cs="Arial" w:eastAsia="Arial" w:hAnsi="Arial"/>
                <w:sz w:val="15"/>
                <w:szCs w:val="15"/>
                <w:b w:val="1"/>
                <w:bCs w:val="1"/>
                <w:color w:val="auto"/>
              </w:rPr>
              <w:t>Shared</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57"/>
        </w:trPr>
        <w:tc>
          <w:tcPr>
            <w:tcW w:w="15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60" w:type="dxa"/>
            <w:vAlign w:val="bottom"/>
            <w:gridSpan w:val="2"/>
          </w:tcPr>
          <w:p>
            <w:pPr>
              <w:ind w:left="220"/>
              <w:spacing w:after="0" w:line="157" w:lineRule="exact"/>
              <w:rPr>
                <w:sz w:val="20"/>
                <w:szCs w:val="20"/>
                <w:color w:val="auto"/>
              </w:rPr>
            </w:pPr>
            <w:r>
              <w:rPr>
                <w:rFonts w:ascii="Arial" w:cs="Arial" w:eastAsia="Arial" w:hAnsi="Arial"/>
                <w:sz w:val="15"/>
                <w:szCs w:val="15"/>
                <w:b w:val="1"/>
                <w:bCs w:val="1"/>
                <w:color w:val="auto"/>
              </w:rPr>
              <w:t>Shares Held</w:t>
            </w:r>
          </w:p>
        </w:tc>
        <w:tc>
          <w:tcPr>
            <w:tcW w:w="780" w:type="dxa"/>
            <w:vAlign w:val="bottom"/>
          </w:tcPr>
          <w:p>
            <w:pPr>
              <w:jc w:val="center"/>
              <w:ind w:left="84"/>
              <w:spacing w:after="0" w:line="157" w:lineRule="exact"/>
              <w:rPr>
                <w:sz w:val="20"/>
                <w:szCs w:val="20"/>
                <w:color w:val="auto"/>
              </w:rPr>
            </w:pPr>
            <w:r>
              <w:rPr>
                <w:rFonts w:ascii="Arial" w:cs="Arial" w:eastAsia="Arial" w:hAnsi="Arial"/>
                <w:sz w:val="15"/>
                <w:szCs w:val="15"/>
                <w:b w:val="1"/>
                <w:bCs w:val="1"/>
                <w:color w:val="auto"/>
                <w:w w:val="89"/>
              </w:rPr>
              <w:t>Voting</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gridSpan w:val="2"/>
          </w:tcPr>
          <w:p>
            <w:pPr>
              <w:jc w:val="center"/>
              <w:ind w:right="280"/>
              <w:spacing w:after="0" w:line="157" w:lineRule="exact"/>
              <w:rPr>
                <w:sz w:val="20"/>
                <w:szCs w:val="20"/>
                <w:color w:val="auto"/>
              </w:rPr>
            </w:pPr>
            <w:r>
              <w:rPr>
                <w:rFonts w:ascii="Arial" w:cs="Arial" w:eastAsia="Arial" w:hAnsi="Arial"/>
                <w:sz w:val="15"/>
                <w:szCs w:val="15"/>
                <w:b w:val="1"/>
                <w:bCs w:val="1"/>
                <w:color w:val="auto"/>
                <w:w w:val="89"/>
              </w:rPr>
              <w:t>Voting</w:t>
            </w:r>
          </w:p>
        </w:tc>
        <w:tc>
          <w:tcPr>
            <w:tcW w:w="1220" w:type="dxa"/>
            <w:vAlign w:val="bottom"/>
            <w:gridSpan w:val="2"/>
          </w:tcPr>
          <w:p>
            <w:pPr>
              <w:jc w:val="center"/>
              <w:ind w:right="280"/>
              <w:spacing w:after="0" w:line="157" w:lineRule="exact"/>
              <w:rPr>
                <w:sz w:val="20"/>
                <w:szCs w:val="20"/>
                <w:color w:val="auto"/>
              </w:rPr>
            </w:pPr>
            <w:r>
              <w:rPr>
                <w:rFonts w:ascii="Arial" w:cs="Arial" w:eastAsia="Arial" w:hAnsi="Arial"/>
                <w:sz w:val="15"/>
                <w:szCs w:val="15"/>
                <w:b w:val="1"/>
                <w:bCs w:val="1"/>
                <w:color w:val="auto"/>
                <w:w w:val="87"/>
              </w:rPr>
              <w:t>Dispositive</w:t>
            </w:r>
          </w:p>
        </w:tc>
        <w:tc>
          <w:tcPr>
            <w:tcW w:w="1300" w:type="dxa"/>
            <w:vAlign w:val="bottom"/>
            <w:gridSpan w:val="2"/>
          </w:tcPr>
          <w:p>
            <w:pPr>
              <w:ind w:left="160"/>
              <w:spacing w:after="0" w:line="157" w:lineRule="exact"/>
              <w:rPr>
                <w:sz w:val="20"/>
                <w:szCs w:val="20"/>
                <w:color w:val="auto"/>
              </w:rPr>
            </w:pPr>
            <w:r>
              <w:rPr>
                <w:rFonts w:ascii="Arial" w:cs="Arial" w:eastAsia="Arial" w:hAnsi="Arial"/>
                <w:sz w:val="15"/>
                <w:szCs w:val="15"/>
                <w:b w:val="1"/>
                <w:bCs w:val="1"/>
                <w:color w:val="auto"/>
              </w:rPr>
              <w:t>Dispositive</w:t>
            </w:r>
          </w:p>
        </w:tc>
        <w:tc>
          <w:tcPr>
            <w:tcW w:w="1420" w:type="dxa"/>
            <w:vAlign w:val="bottom"/>
            <w:gridSpan w:val="2"/>
          </w:tcPr>
          <w:p>
            <w:pPr>
              <w:ind w:left="260"/>
              <w:spacing w:after="0" w:line="157" w:lineRule="exact"/>
              <w:rPr>
                <w:sz w:val="20"/>
                <w:szCs w:val="20"/>
                <w:color w:val="auto"/>
              </w:rPr>
            </w:pPr>
            <w:r>
              <w:rPr>
                <w:rFonts w:ascii="Arial" w:cs="Arial" w:eastAsia="Arial" w:hAnsi="Arial"/>
                <w:sz w:val="15"/>
                <w:szCs w:val="15"/>
                <w:b w:val="1"/>
                <w:bCs w:val="1"/>
                <w:color w:val="auto"/>
              </w:rPr>
              <w:t>Beneficial</w:t>
            </w:r>
          </w:p>
        </w:tc>
        <w:tc>
          <w:tcPr>
            <w:tcW w:w="1180" w:type="dxa"/>
            <w:vAlign w:val="bottom"/>
            <w:gridSpan w:val="2"/>
          </w:tcPr>
          <w:p>
            <w:pPr>
              <w:ind w:left="100"/>
              <w:spacing w:after="0" w:line="157" w:lineRule="exact"/>
              <w:rPr>
                <w:sz w:val="20"/>
                <w:szCs w:val="20"/>
                <w:color w:val="auto"/>
              </w:rPr>
            </w:pPr>
            <w:r>
              <w:rPr>
                <w:rFonts w:ascii="Arial" w:cs="Arial" w:eastAsia="Arial" w:hAnsi="Arial"/>
                <w:sz w:val="15"/>
                <w:szCs w:val="15"/>
                <w:b w:val="1"/>
                <w:bCs w:val="1"/>
                <w:color w:val="auto"/>
              </w:rPr>
              <w:t>Percentage</w:t>
            </w:r>
          </w:p>
        </w:tc>
      </w:tr>
      <w:tr>
        <w:trPr>
          <w:trHeight w:val="180"/>
        </w:trPr>
        <w:tc>
          <w:tcPr>
            <w:tcW w:w="15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Skyline Entity</w:t>
            </w:r>
          </w:p>
        </w:tc>
        <w:tc>
          <w:tcPr>
            <w:tcW w:w="126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271"/>
              <w:spacing w:after="0"/>
              <w:rPr>
                <w:sz w:val="20"/>
                <w:szCs w:val="20"/>
                <w:color w:val="auto"/>
              </w:rPr>
            </w:pPr>
            <w:r>
              <w:rPr>
                <w:rFonts w:ascii="Arial" w:cs="Arial" w:eastAsia="Arial" w:hAnsi="Arial"/>
                <w:sz w:val="15"/>
                <w:szCs w:val="15"/>
                <w:b w:val="1"/>
                <w:bCs w:val="1"/>
                <w:color w:val="auto"/>
              </w:rPr>
              <w:t>Directly</w:t>
            </w:r>
          </w:p>
        </w:tc>
        <w:tc>
          <w:tcPr>
            <w:tcW w:w="2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ind w:left="104"/>
              <w:spacing w:after="0"/>
              <w:rPr>
                <w:sz w:val="20"/>
                <w:szCs w:val="20"/>
                <w:color w:val="auto"/>
              </w:rPr>
            </w:pPr>
            <w:r>
              <w:rPr>
                <w:rFonts w:ascii="Arial" w:cs="Arial" w:eastAsia="Arial" w:hAnsi="Arial"/>
                <w:sz w:val="15"/>
                <w:szCs w:val="15"/>
                <w:b w:val="1"/>
                <w:bCs w:val="1"/>
                <w:color w:val="auto"/>
                <w:w w:val="88"/>
              </w:rPr>
              <w:t>Power</w:t>
            </w:r>
          </w:p>
        </w:tc>
        <w:tc>
          <w:tcPr>
            <w:tcW w:w="180" w:type="dxa"/>
            <w:vAlign w:val="bottom"/>
            <w:tcBorders>
              <w:bottom w:val="single" w:sz="8" w:color="auto"/>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Power</w:t>
            </w:r>
          </w:p>
        </w:tc>
        <w:tc>
          <w:tcPr>
            <w:tcW w:w="2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Power</w:t>
            </w:r>
          </w:p>
        </w:tc>
        <w:tc>
          <w:tcPr>
            <w:tcW w:w="24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Power</w:t>
            </w:r>
          </w:p>
        </w:tc>
        <w:tc>
          <w:tcPr>
            <w:tcW w:w="2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5"/>
                <w:szCs w:val="15"/>
                <w:b w:val="1"/>
                <w:bCs w:val="1"/>
                <w:color w:val="auto"/>
              </w:rPr>
              <w:t>Ownership</w:t>
            </w:r>
          </w:p>
        </w:tc>
        <w:tc>
          <w:tcPr>
            <w:tcW w:w="22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ind w:left="120"/>
              <w:spacing w:after="0"/>
              <w:rPr>
                <w:sz w:val="20"/>
                <w:szCs w:val="20"/>
                <w:color w:val="auto"/>
              </w:rPr>
            </w:pPr>
            <w:r>
              <w:rPr>
                <w:rFonts w:ascii="Arial" w:cs="Arial" w:eastAsia="Arial" w:hAnsi="Arial"/>
                <w:sz w:val="15"/>
                <w:szCs w:val="15"/>
                <w:b w:val="1"/>
                <w:bCs w:val="1"/>
                <w:color w:val="auto"/>
              </w:rPr>
              <w:t>of Class (2)</w:t>
            </w:r>
          </w:p>
        </w:tc>
        <w:tc>
          <w:tcPr>
            <w:tcW w:w="220" w:type="dxa"/>
            <w:vAlign w:val="bottom"/>
            <w:tcBorders>
              <w:bottom w:val="single" w:sz="8" w:color="CCEEFF"/>
            </w:tcBorders>
          </w:tcPr>
          <w:p>
            <w:pPr>
              <w:spacing w:after="0"/>
              <w:rPr>
                <w:sz w:val="15"/>
                <w:szCs w:val="15"/>
                <w:color w:val="auto"/>
              </w:rPr>
            </w:pPr>
          </w:p>
        </w:tc>
      </w:tr>
      <w:tr>
        <w:trPr>
          <w:trHeight w:val="222"/>
        </w:trPr>
        <w:tc>
          <w:tcPr>
            <w:tcW w:w="2760" w:type="dxa"/>
            <w:vAlign w:val="bottom"/>
            <w:gridSpan w:val="2"/>
            <w:shd w:val="clear" w:color="auto" w:fill="CCEEFF"/>
          </w:tcPr>
          <w:p>
            <w:pPr>
              <w:spacing w:after="0"/>
              <w:rPr>
                <w:sz w:val="20"/>
                <w:szCs w:val="20"/>
                <w:color w:val="auto"/>
              </w:rPr>
            </w:pPr>
            <w:r>
              <w:rPr>
                <w:rFonts w:ascii="Arial" w:cs="Arial" w:eastAsia="Arial" w:hAnsi="Arial"/>
                <w:sz w:val="19"/>
                <w:szCs w:val="19"/>
                <w:color w:val="auto"/>
                <w:w w:val="91"/>
              </w:rPr>
              <w:t>Skyline Venture Partners V, L.P. (1)</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4,419,985</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ind w:left="100"/>
              <w:spacing w:after="0"/>
              <w:rPr>
                <w:sz w:val="20"/>
                <w:szCs w:val="20"/>
                <w:color w:val="auto"/>
              </w:rPr>
            </w:pPr>
            <w:r>
              <w:rPr>
                <w:rFonts w:ascii="Arial" w:cs="Arial" w:eastAsia="Arial" w:hAnsi="Arial"/>
                <w:sz w:val="15"/>
                <w:szCs w:val="15"/>
                <w:color w:val="auto"/>
                <w:w w:val="71"/>
              </w:rPr>
              <w:t>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4,419,985</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9"/>
                <w:szCs w:val="19"/>
                <w:color w:val="auto"/>
              </w:rPr>
              <w:t>0</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ind w:left="300"/>
              <w:spacing w:after="0"/>
              <w:rPr>
                <w:sz w:val="20"/>
                <w:szCs w:val="20"/>
                <w:color w:val="auto"/>
              </w:rPr>
            </w:pPr>
            <w:r>
              <w:rPr>
                <w:rFonts w:ascii="Arial" w:cs="Arial" w:eastAsia="Arial" w:hAnsi="Arial"/>
                <w:sz w:val="19"/>
                <w:szCs w:val="19"/>
                <w:color w:val="auto"/>
                <w:w w:val="87"/>
              </w:rPr>
              <w:t>4,419,985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4,419,985</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18.2%</w:t>
            </w:r>
          </w:p>
        </w:tc>
      </w:tr>
      <w:tr>
        <w:trPr>
          <w:trHeight w:val="214"/>
        </w:trPr>
        <w:tc>
          <w:tcPr>
            <w:tcW w:w="3000" w:type="dxa"/>
            <w:vAlign w:val="bottom"/>
            <w:gridSpan w:val="3"/>
          </w:tcPr>
          <w:p>
            <w:pPr>
              <w:spacing w:after="0" w:line="214" w:lineRule="exact"/>
              <w:rPr>
                <w:sz w:val="20"/>
                <w:szCs w:val="20"/>
                <w:color w:val="auto"/>
              </w:rPr>
            </w:pPr>
            <w:r>
              <w:rPr>
                <w:rFonts w:ascii="Arial" w:cs="Arial" w:eastAsia="Arial" w:hAnsi="Arial"/>
                <w:sz w:val="19"/>
                <w:szCs w:val="19"/>
                <w:color w:val="auto"/>
              </w:rPr>
              <w:t>Skyline Venture Management V,</w:t>
            </w: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1"/>
        </w:trPr>
        <w:tc>
          <w:tcPr>
            <w:tcW w:w="1500" w:type="dxa"/>
            <w:vAlign w:val="bottom"/>
          </w:tcPr>
          <w:p>
            <w:pPr>
              <w:ind w:left="180"/>
              <w:spacing w:after="0"/>
              <w:rPr>
                <w:sz w:val="20"/>
                <w:szCs w:val="20"/>
                <w:color w:val="auto"/>
              </w:rPr>
            </w:pPr>
            <w:r>
              <w:rPr>
                <w:rFonts w:ascii="Arial" w:cs="Arial" w:eastAsia="Arial" w:hAnsi="Arial"/>
                <w:sz w:val="19"/>
                <w:szCs w:val="19"/>
                <w:color w:val="auto"/>
              </w:rPr>
              <w:t>LLC (1)</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9"/>
                <w:szCs w:val="19"/>
                <w:color w:val="auto"/>
              </w:rPr>
              <w:t>0</w:t>
            </w:r>
          </w:p>
        </w:tc>
        <w:tc>
          <w:tcPr>
            <w:tcW w:w="78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Arial" w:cs="Arial" w:eastAsia="Arial" w:hAnsi="Arial"/>
                <w:sz w:val="19"/>
                <w:szCs w:val="19"/>
                <w:color w:val="auto"/>
              </w:rPr>
              <w:t>0</w:t>
            </w:r>
          </w:p>
        </w:tc>
        <w:tc>
          <w:tcPr>
            <w:tcW w:w="1220" w:type="dxa"/>
            <w:vAlign w:val="bottom"/>
            <w:gridSpan w:val="2"/>
          </w:tcPr>
          <w:p>
            <w:pPr>
              <w:jc w:val="right"/>
              <w:ind w:right="240"/>
              <w:spacing w:after="0"/>
              <w:rPr>
                <w:sz w:val="20"/>
                <w:szCs w:val="20"/>
                <w:color w:val="auto"/>
              </w:rPr>
            </w:pPr>
            <w:r>
              <w:rPr>
                <w:rFonts w:ascii="Arial" w:cs="Arial" w:eastAsia="Arial" w:hAnsi="Arial"/>
                <w:sz w:val="19"/>
                <w:szCs w:val="19"/>
                <w:color w:val="auto"/>
              </w:rPr>
              <w:t>4,419,985</w:t>
            </w:r>
          </w:p>
        </w:tc>
        <w:tc>
          <w:tcPr>
            <w:tcW w:w="1220" w:type="dxa"/>
            <w:vAlign w:val="bottom"/>
            <w:gridSpan w:val="2"/>
          </w:tcPr>
          <w:p>
            <w:pPr>
              <w:jc w:val="right"/>
              <w:ind w:right="240"/>
              <w:spacing w:after="0"/>
              <w:rPr>
                <w:sz w:val="20"/>
                <w:szCs w:val="20"/>
                <w:color w:val="auto"/>
              </w:rPr>
            </w:pPr>
            <w:r>
              <w:rPr>
                <w:rFonts w:ascii="Arial" w:cs="Arial" w:eastAsia="Arial" w:hAnsi="Arial"/>
                <w:sz w:val="19"/>
                <w:szCs w:val="19"/>
                <w:color w:val="auto"/>
              </w:rPr>
              <w:t>0</w:t>
            </w:r>
          </w:p>
        </w:tc>
        <w:tc>
          <w:tcPr>
            <w:tcW w:w="1300" w:type="dxa"/>
            <w:vAlign w:val="bottom"/>
            <w:gridSpan w:val="2"/>
          </w:tcPr>
          <w:p>
            <w:pPr>
              <w:ind w:left="300"/>
              <w:spacing w:after="0"/>
              <w:rPr>
                <w:sz w:val="20"/>
                <w:szCs w:val="20"/>
                <w:color w:val="auto"/>
              </w:rPr>
            </w:pPr>
            <w:r>
              <w:rPr>
                <w:rFonts w:ascii="Arial" w:cs="Arial" w:eastAsia="Arial" w:hAnsi="Arial"/>
                <w:sz w:val="19"/>
                <w:szCs w:val="19"/>
                <w:color w:val="auto"/>
              </w:rPr>
              <w:t>4,419,985</w:t>
            </w:r>
          </w:p>
        </w:tc>
        <w:tc>
          <w:tcPr>
            <w:tcW w:w="1200" w:type="dxa"/>
            <w:vAlign w:val="bottom"/>
          </w:tcPr>
          <w:p>
            <w:pPr>
              <w:jc w:val="right"/>
              <w:spacing w:after="0"/>
              <w:rPr>
                <w:sz w:val="20"/>
                <w:szCs w:val="20"/>
                <w:color w:val="auto"/>
              </w:rPr>
            </w:pPr>
            <w:r>
              <w:rPr>
                <w:rFonts w:ascii="Arial" w:cs="Arial" w:eastAsia="Arial" w:hAnsi="Arial"/>
                <w:sz w:val="19"/>
                <w:szCs w:val="19"/>
                <w:color w:val="auto"/>
              </w:rPr>
              <w:t>4,419,985</w:t>
            </w:r>
          </w:p>
        </w:tc>
        <w:tc>
          <w:tcPr>
            <w:tcW w:w="2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9"/>
                <w:szCs w:val="19"/>
                <w:color w:val="auto"/>
              </w:rPr>
              <w:t>18.2%</w:t>
            </w:r>
          </w:p>
        </w:tc>
      </w:tr>
      <w:tr>
        <w:trPr>
          <w:trHeight w:val="229"/>
        </w:trPr>
        <w:tc>
          <w:tcPr>
            <w:tcW w:w="3000" w:type="dxa"/>
            <w:vAlign w:val="bottom"/>
            <w:gridSpan w:val="3"/>
            <w:shd w:val="clear" w:color="auto" w:fill="CCEEFF"/>
          </w:tcPr>
          <w:p>
            <w:pPr>
              <w:spacing w:after="0"/>
              <w:rPr>
                <w:sz w:val="20"/>
                <w:szCs w:val="20"/>
                <w:color w:val="auto"/>
              </w:rPr>
            </w:pPr>
            <w:r>
              <w:rPr>
                <w:rFonts w:ascii="Arial" w:cs="Arial" w:eastAsia="Arial" w:hAnsi="Arial"/>
                <w:sz w:val="19"/>
                <w:szCs w:val="19"/>
                <w:color w:val="auto"/>
              </w:rPr>
              <w:t>Yasunori Kaneko (1)</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0</w:t>
            </w:r>
          </w:p>
        </w:tc>
        <w:tc>
          <w:tcPr>
            <w:tcW w:w="7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9"/>
                <w:szCs w:val="19"/>
                <w:color w:val="auto"/>
              </w:rPr>
              <w:t>0</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4,419,985</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9"/>
                <w:szCs w:val="19"/>
                <w:color w:val="auto"/>
              </w:rPr>
              <w:t>0</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9"/>
                <w:szCs w:val="19"/>
                <w:color w:val="auto"/>
              </w:rPr>
              <w:t>4,419,985</w:t>
            </w:r>
          </w:p>
        </w:tc>
        <w:tc>
          <w:tcPr>
            <w:tcW w:w="1200" w:type="dxa"/>
            <w:vAlign w:val="bottom"/>
            <w:shd w:val="clear" w:color="auto" w:fill="CCEEFF"/>
          </w:tcPr>
          <w:p>
            <w:pPr>
              <w:jc w:val="right"/>
              <w:spacing w:after="0"/>
              <w:rPr>
                <w:sz w:val="20"/>
                <w:szCs w:val="20"/>
                <w:color w:val="auto"/>
              </w:rPr>
            </w:pPr>
            <w:r>
              <w:rPr>
                <w:rFonts w:ascii="Arial" w:cs="Arial" w:eastAsia="Arial" w:hAnsi="Arial"/>
                <w:sz w:val="19"/>
                <w:szCs w:val="19"/>
                <w:color w:val="auto"/>
              </w:rPr>
              <w:t>4,419,985</w:t>
            </w:r>
          </w:p>
        </w:tc>
        <w:tc>
          <w:tcPr>
            <w:tcW w:w="2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9"/>
                <w:szCs w:val="19"/>
                <w:color w:val="auto"/>
              </w:rPr>
              <w:t>18.2%</w:t>
            </w:r>
          </w:p>
        </w:tc>
      </w:tr>
      <w:tr>
        <w:trPr>
          <w:trHeight w:val="241"/>
        </w:trPr>
        <w:tc>
          <w:tcPr>
            <w:tcW w:w="1500" w:type="dxa"/>
            <w:vAlign w:val="bottom"/>
          </w:tcPr>
          <w:p>
            <w:pPr>
              <w:spacing w:after="0"/>
              <w:rPr>
                <w:sz w:val="20"/>
                <w:szCs w:val="20"/>
                <w:color w:val="auto"/>
              </w:rPr>
            </w:pPr>
            <w:r>
              <w:rPr>
                <w:rFonts w:ascii="Arial" w:cs="Arial" w:eastAsia="Arial" w:hAnsi="Arial"/>
                <w:sz w:val="19"/>
                <w:szCs w:val="19"/>
                <w:color w:val="auto"/>
                <w:w w:val="92"/>
              </w:rPr>
              <w:t>John G. Freund (1)</w:t>
            </w: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9"/>
                <w:szCs w:val="19"/>
                <w:color w:val="auto"/>
              </w:rPr>
              <w:t>0</w:t>
            </w:r>
          </w:p>
        </w:tc>
        <w:tc>
          <w:tcPr>
            <w:tcW w:w="780" w:type="dxa"/>
            <w:vAlign w:val="bottom"/>
          </w:tcPr>
          <w:p>
            <w:pPr>
              <w:spacing w:after="0"/>
              <w:rPr>
                <w:sz w:val="20"/>
                <w:szCs w:val="20"/>
                <w:color w:val="auto"/>
              </w:rPr>
            </w:pPr>
          </w:p>
        </w:tc>
        <w:tc>
          <w:tcPr>
            <w:tcW w:w="420" w:type="dxa"/>
            <w:vAlign w:val="bottom"/>
            <w:gridSpan w:val="2"/>
          </w:tcPr>
          <w:p>
            <w:pPr>
              <w:ind w:left="100"/>
              <w:spacing w:after="0"/>
              <w:rPr>
                <w:sz w:val="20"/>
                <w:szCs w:val="20"/>
                <w:color w:val="auto"/>
              </w:rPr>
            </w:pPr>
            <w:r>
              <w:rPr>
                <w:rFonts w:ascii="Arial" w:cs="Arial" w:eastAsia="Arial" w:hAnsi="Arial"/>
                <w:sz w:val="19"/>
                <w:szCs w:val="19"/>
                <w:color w:val="auto"/>
              </w:rPr>
              <w:t>0</w:t>
            </w:r>
          </w:p>
        </w:tc>
        <w:tc>
          <w:tcPr>
            <w:tcW w:w="1220" w:type="dxa"/>
            <w:vAlign w:val="bottom"/>
            <w:gridSpan w:val="2"/>
          </w:tcPr>
          <w:p>
            <w:pPr>
              <w:jc w:val="right"/>
              <w:ind w:right="240"/>
              <w:spacing w:after="0"/>
              <w:rPr>
                <w:sz w:val="20"/>
                <w:szCs w:val="20"/>
                <w:color w:val="auto"/>
              </w:rPr>
            </w:pPr>
            <w:r>
              <w:rPr>
                <w:rFonts w:ascii="Arial" w:cs="Arial" w:eastAsia="Arial" w:hAnsi="Arial"/>
                <w:sz w:val="19"/>
                <w:szCs w:val="19"/>
                <w:color w:val="auto"/>
              </w:rPr>
              <w:t>4,419,985</w:t>
            </w:r>
          </w:p>
        </w:tc>
        <w:tc>
          <w:tcPr>
            <w:tcW w:w="1220" w:type="dxa"/>
            <w:vAlign w:val="bottom"/>
            <w:gridSpan w:val="2"/>
          </w:tcPr>
          <w:p>
            <w:pPr>
              <w:jc w:val="right"/>
              <w:ind w:right="240"/>
              <w:spacing w:after="0"/>
              <w:rPr>
                <w:sz w:val="20"/>
                <w:szCs w:val="20"/>
                <w:color w:val="auto"/>
              </w:rPr>
            </w:pPr>
            <w:r>
              <w:rPr>
                <w:rFonts w:ascii="Arial" w:cs="Arial" w:eastAsia="Arial" w:hAnsi="Arial"/>
                <w:sz w:val="19"/>
                <w:szCs w:val="19"/>
                <w:color w:val="auto"/>
              </w:rPr>
              <w:t>0</w:t>
            </w:r>
          </w:p>
        </w:tc>
        <w:tc>
          <w:tcPr>
            <w:tcW w:w="1300" w:type="dxa"/>
            <w:vAlign w:val="bottom"/>
            <w:gridSpan w:val="2"/>
          </w:tcPr>
          <w:p>
            <w:pPr>
              <w:ind w:left="300"/>
              <w:spacing w:after="0"/>
              <w:rPr>
                <w:sz w:val="20"/>
                <w:szCs w:val="20"/>
                <w:color w:val="auto"/>
              </w:rPr>
            </w:pPr>
            <w:r>
              <w:rPr>
                <w:rFonts w:ascii="Arial" w:cs="Arial" w:eastAsia="Arial" w:hAnsi="Arial"/>
                <w:sz w:val="19"/>
                <w:szCs w:val="19"/>
                <w:color w:val="auto"/>
              </w:rPr>
              <w:t>4,419,985</w:t>
            </w:r>
          </w:p>
        </w:tc>
        <w:tc>
          <w:tcPr>
            <w:tcW w:w="1200" w:type="dxa"/>
            <w:vAlign w:val="bottom"/>
          </w:tcPr>
          <w:p>
            <w:pPr>
              <w:jc w:val="right"/>
              <w:spacing w:after="0"/>
              <w:rPr>
                <w:sz w:val="20"/>
                <w:szCs w:val="20"/>
                <w:color w:val="auto"/>
              </w:rPr>
            </w:pPr>
            <w:r>
              <w:rPr>
                <w:rFonts w:ascii="Arial" w:cs="Arial" w:eastAsia="Arial" w:hAnsi="Arial"/>
                <w:sz w:val="19"/>
                <w:szCs w:val="19"/>
                <w:color w:val="auto"/>
              </w:rPr>
              <w:t>4,419,985</w:t>
            </w:r>
          </w:p>
        </w:tc>
        <w:tc>
          <w:tcPr>
            <w:tcW w:w="22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9"/>
                <w:szCs w:val="19"/>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208915</wp:posOffset>
            </wp:positionV>
            <wp:extent cx="192913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6" w:right="60" w:hanging="6"/>
        <w:spacing w:after="0" w:line="275" w:lineRule="auto"/>
        <w:tabs>
          <w:tab w:leader="none" w:pos="323"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shares are held by SVP V. SVM V is the sole general partner of SVP V. Freund and Kaneko are managing directors of SVM V and share voting and dispositive power over the shares held by the SVP V.</w:t>
      </w:r>
    </w:p>
    <w:p>
      <w:pPr>
        <w:spacing w:after="0" w:line="183" w:lineRule="exact"/>
        <w:rPr>
          <w:rFonts w:ascii="Arial" w:cs="Arial" w:eastAsia="Arial" w:hAnsi="Arial"/>
          <w:sz w:val="19"/>
          <w:szCs w:val="19"/>
          <w:color w:val="auto"/>
        </w:rPr>
      </w:pPr>
    </w:p>
    <w:p>
      <w:pPr>
        <w:ind w:left="6" w:right="80" w:hanging="6"/>
        <w:spacing w:after="0" w:line="275" w:lineRule="auto"/>
        <w:tabs>
          <w:tab w:leader="none" w:pos="323"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This percentage is calculated based upon 24,335,690 shares of the Issuer’s common stock outstanding as of November 28, 2018 as set forth in the Issuers most recent 10-Q, filed with the Securities and Exchange Commission on November 29, 2018.</w:t>
      </w:r>
    </w:p>
    <w:p>
      <w:pPr>
        <w:spacing w:after="0" w:line="235" w:lineRule="exact"/>
        <w:rPr>
          <w:sz w:val="20"/>
          <w:szCs w:val="20"/>
          <w:color w:val="auto"/>
        </w:rPr>
      </w:pPr>
    </w:p>
    <w:p>
      <w:pPr>
        <w:ind w:left="66"/>
        <w:spacing w:after="0"/>
        <w:tabs>
          <w:tab w:leader="none" w:pos="1566" w:val="left"/>
        </w:tabs>
        <w:rPr>
          <w:sz w:val="20"/>
          <w:szCs w:val="20"/>
          <w:color w:val="auto"/>
        </w:rPr>
      </w:pPr>
      <w:r>
        <w:rPr>
          <w:rFonts w:ascii="Arial" w:cs="Arial" w:eastAsia="Arial" w:hAnsi="Arial"/>
          <w:sz w:val="19"/>
          <w:szCs w:val="19"/>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30" w:lineRule="exact"/>
        <w:rPr>
          <w:sz w:val="20"/>
          <w:szCs w:val="20"/>
          <w:color w:val="auto"/>
        </w:rPr>
      </w:pPr>
    </w:p>
    <w:p>
      <w:pPr>
        <w:ind w:left="66" w:right="680"/>
        <w:spacing w:after="0" w:line="275" w:lineRule="auto"/>
        <w:rPr>
          <w:sz w:val="20"/>
          <w:szCs w:val="20"/>
          <w:color w:val="auto"/>
        </w:rPr>
      </w:pPr>
      <w:r>
        <w:rPr>
          <w:rFonts w:ascii="Arial" w:cs="Arial" w:eastAsia="Arial" w:hAnsi="Arial"/>
          <w:sz w:val="19"/>
          <w:szCs w:val="19"/>
          <w:color w:val="auto"/>
        </w:rPr>
        <w:t>If this statement is being filed to report the fact that as of the date hereof the reporting person has ceased to be the beneficial owner of more than five percent of the class of securities, check the following o.</w:t>
      </w:r>
    </w:p>
    <w:p>
      <w:pPr>
        <w:spacing w:after="0" w:line="200" w:lineRule="exact"/>
        <w:rPr>
          <w:sz w:val="20"/>
          <w:szCs w:val="20"/>
          <w:color w:val="auto"/>
        </w:rPr>
      </w:pPr>
    </w:p>
    <w:p>
      <w:pPr>
        <w:spacing w:after="0" w:line="206" w:lineRule="exact"/>
        <w:rPr>
          <w:sz w:val="20"/>
          <w:szCs w:val="20"/>
          <w:color w:val="auto"/>
        </w:rPr>
      </w:pPr>
    </w:p>
    <w:tbl>
      <w:tblPr>
        <w:tblLayout w:type="fixed"/>
        <w:tblInd w:w="6" w:type="dxa"/>
        <w:tblCellMar>
          <w:top w:w="0" w:type="dxa"/>
          <w:left w:w="0" w:type="dxa"/>
          <w:bottom w:w="0" w:type="dxa"/>
          <w:right w:w="0" w:type="dxa"/>
        </w:tblCellMar>
      </w:tblPr>
      <w:tr>
        <w:trPr>
          <w:trHeight w:val="247"/>
        </w:trPr>
        <w:tc>
          <w:tcPr>
            <w:tcW w:w="1400" w:type="dxa"/>
            <w:vAlign w:val="bottom"/>
          </w:tcPr>
          <w:p>
            <w:pPr>
              <w:ind w:left="60"/>
              <w:spacing w:after="0"/>
              <w:rPr>
                <w:sz w:val="20"/>
                <w:szCs w:val="20"/>
                <w:color w:val="auto"/>
              </w:rPr>
            </w:pPr>
            <w:r>
              <w:rPr>
                <w:rFonts w:ascii="Arial" w:cs="Arial" w:eastAsia="Arial" w:hAnsi="Arial"/>
                <w:sz w:val="19"/>
                <w:szCs w:val="19"/>
                <w:b w:val="1"/>
                <w:bCs w:val="1"/>
                <w:color w:val="auto"/>
              </w:rPr>
              <w:t>Item 6</w:t>
            </w:r>
          </w:p>
        </w:tc>
        <w:tc>
          <w:tcPr>
            <w:tcW w:w="10640" w:type="dxa"/>
            <w:vAlign w:val="bottom"/>
          </w:tcPr>
          <w:p>
            <w:pPr>
              <w:ind w:left="180"/>
              <w:spacing w:after="0"/>
              <w:rPr>
                <w:sz w:val="20"/>
                <w:szCs w:val="20"/>
                <w:color w:val="auto"/>
              </w:rPr>
            </w:pPr>
            <w:r>
              <w:rPr>
                <w:rFonts w:ascii="Arial" w:cs="Arial" w:eastAsia="Arial" w:hAnsi="Arial"/>
                <w:sz w:val="19"/>
                <w:szCs w:val="19"/>
                <w:b w:val="1"/>
                <w:bCs w:val="1"/>
                <w:color w:val="auto"/>
              </w:rPr>
              <w:t>Ownership of More than Five Percent of Another Person</w:t>
            </w:r>
          </w:p>
        </w:tc>
      </w:tr>
      <w:tr>
        <w:trPr>
          <w:trHeight w:val="342"/>
        </w:trPr>
        <w:tc>
          <w:tcPr>
            <w:tcW w:w="1400" w:type="dxa"/>
            <w:vAlign w:val="bottom"/>
          </w:tcPr>
          <w:p>
            <w:pPr>
              <w:ind w:left="60"/>
              <w:spacing w:after="0"/>
              <w:rPr>
                <w:sz w:val="20"/>
                <w:szCs w:val="20"/>
                <w:color w:val="auto"/>
              </w:rPr>
            </w:pPr>
            <w:r>
              <w:rPr>
                <w:rFonts w:ascii="Arial" w:cs="Arial" w:eastAsia="Arial" w:hAnsi="Arial"/>
                <w:sz w:val="19"/>
                <w:szCs w:val="19"/>
                <w:color w:val="auto"/>
              </w:rPr>
              <w:t>Not applicable.</w:t>
            </w:r>
          </w:p>
        </w:tc>
        <w:tc>
          <w:tcPr>
            <w:tcW w:w="10640" w:type="dxa"/>
            <w:vAlign w:val="bottom"/>
          </w:tcPr>
          <w:p>
            <w:pPr>
              <w:spacing w:after="0"/>
              <w:rPr>
                <w:sz w:val="24"/>
                <w:szCs w:val="24"/>
                <w:color w:val="auto"/>
              </w:rPr>
            </w:pPr>
          </w:p>
        </w:tc>
      </w:tr>
      <w:tr>
        <w:trPr>
          <w:trHeight w:val="665"/>
        </w:trPr>
        <w:tc>
          <w:tcPr>
            <w:tcW w:w="1400" w:type="dxa"/>
            <w:vAlign w:val="bottom"/>
          </w:tcPr>
          <w:p>
            <w:pPr>
              <w:ind w:left="60"/>
              <w:spacing w:after="0"/>
              <w:rPr>
                <w:sz w:val="20"/>
                <w:szCs w:val="20"/>
                <w:color w:val="auto"/>
              </w:rPr>
            </w:pPr>
            <w:r>
              <w:rPr>
                <w:rFonts w:ascii="Arial" w:cs="Arial" w:eastAsia="Arial" w:hAnsi="Arial"/>
                <w:sz w:val="19"/>
                <w:szCs w:val="19"/>
                <w:b w:val="1"/>
                <w:bCs w:val="1"/>
                <w:color w:val="auto"/>
              </w:rPr>
              <w:t>Item 7</w:t>
            </w:r>
          </w:p>
        </w:tc>
        <w:tc>
          <w:tcPr>
            <w:tcW w:w="10640" w:type="dxa"/>
            <w:vAlign w:val="bottom"/>
          </w:tcPr>
          <w:p>
            <w:pPr>
              <w:ind w:left="180"/>
              <w:spacing w:after="0"/>
              <w:rPr>
                <w:sz w:val="20"/>
                <w:szCs w:val="20"/>
                <w:color w:val="auto"/>
              </w:rPr>
            </w:pPr>
            <w:r>
              <w:rPr>
                <w:rFonts w:ascii="Arial" w:cs="Arial" w:eastAsia="Arial" w:hAnsi="Arial"/>
                <w:sz w:val="19"/>
                <w:szCs w:val="19"/>
                <w:b w:val="1"/>
                <w:bCs w:val="1"/>
                <w:color w:val="auto"/>
                <w:w w:val="95"/>
              </w:rPr>
              <w:t>Identification and Classification of the Subsidiary Which Acquired the Security Being Reported on By the Parent Holding</w:t>
            </w:r>
          </w:p>
        </w:tc>
      </w:tr>
      <w:tr>
        <w:trPr>
          <w:trHeight w:val="247"/>
        </w:trPr>
        <w:tc>
          <w:tcPr>
            <w:tcW w:w="1400" w:type="dxa"/>
            <w:vAlign w:val="bottom"/>
          </w:tcPr>
          <w:p>
            <w:pPr>
              <w:spacing w:after="0"/>
              <w:rPr>
                <w:sz w:val="21"/>
                <w:szCs w:val="21"/>
                <w:color w:val="auto"/>
              </w:rPr>
            </w:pPr>
          </w:p>
        </w:tc>
        <w:tc>
          <w:tcPr>
            <w:tcW w:w="10640" w:type="dxa"/>
            <w:vAlign w:val="bottom"/>
          </w:tcPr>
          <w:p>
            <w:pPr>
              <w:ind w:left="180"/>
              <w:spacing w:after="0"/>
              <w:rPr>
                <w:sz w:val="20"/>
                <w:szCs w:val="20"/>
                <w:color w:val="auto"/>
              </w:rPr>
            </w:pPr>
            <w:r>
              <w:rPr>
                <w:rFonts w:ascii="Arial" w:cs="Arial" w:eastAsia="Arial" w:hAnsi="Arial"/>
                <w:sz w:val="19"/>
                <w:szCs w:val="19"/>
                <w:b w:val="1"/>
                <w:bCs w:val="1"/>
                <w:color w:val="auto"/>
              </w:rPr>
              <w:t>Company</w:t>
            </w:r>
          </w:p>
        </w:tc>
      </w:tr>
      <w:tr>
        <w:trPr>
          <w:trHeight w:val="342"/>
        </w:trPr>
        <w:tc>
          <w:tcPr>
            <w:tcW w:w="1400" w:type="dxa"/>
            <w:vAlign w:val="bottom"/>
          </w:tcPr>
          <w:p>
            <w:pPr>
              <w:ind w:left="60"/>
              <w:spacing w:after="0"/>
              <w:rPr>
                <w:sz w:val="20"/>
                <w:szCs w:val="20"/>
                <w:color w:val="auto"/>
              </w:rPr>
            </w:pPr>
            <w:r>
              <w:rPr>
                <w:rFonts w:ascii="Arial" w:cs="Arial" w:eastAsia="Arial" w:hAnsi="Arial"/>
                <w:sz w:val="19"/>
                <w:szCs w:val="19"/>
                <w:color w:val="auto"/>
              </w:rPr>
              <w:t>Not applicable.</w:t>
            </w:r>
          </w:p>
        </w:tc>
        <w:tc>
          <w:tcPr>
            <w:tcW w:w="10640" w:type="dxa"/>
            <w:vAlign w:val="bottom"/>
          </w:tcPr>
          <w:p>
            <w:pPr>
              <w:spacing w:after="0"/>
              <w:rPr>
                <w:sz w:val="24"/>
                <w:szCs w:val="24"/>
                <w:color w:val="auto"/>
              </w:rPr>
            </w:pPr>
          </w:p>
        </w:tc>
      </w:tr>
      <w:tr>
        <w:trPr>
          <w:trHeight w:val="685"/>
        </w:trPr>
        <w:tc>
          <w:tcPr>
            <w:tcW w:w="1400" w:type="dxa"/>
            <w:vAlign w:val="bottom"/>
          </w:tcPr>
          <w:p>
            <w:pPr>
              <w:ind w:left="60"/>
              <w:spacing w:after="0"/>
              <w:rPr>
                <w:sz w:val="20"/>
                <w:szCs w:val="20"/>
                <w:color w:val="auto"/>
              </w:rPr>
            </w:pPr>
            <w:r>
              <w:rPr>
                <w:rFonts w:ascii="Arial" w:cs="Arial" w:eastAsia="Arial" w:hAnsi="Arial"/>
                <w:sz w:val="19"/>
                <w:szCs w:val="19"/>
                <w:b w:val="1"/>
                <w:bCs w:val="1"/>
                <w:color w:val="auto"/>
              </w:rPr>
              <w:t>Item 8</w:t>
            </w:r>
          </w:p>
        </w:tc>
        <w:tc>
          <w:tcPr>
            <w:tcW w:w="10640" w:type="dxa"/>
            <w:vAlign w:val="bottom"/>
          </w:tcPr>
          <w:p>
            <w:pPr>
              <w:ind w:left="180"/>
              <w:spacing w:after="0"/>
              <w:rPr>
                <w:sz w:val="20"/>
                <w:szCs w:val="20"/>
                <w:color w:val="auto"/>
              </w:rPr>
            </w:pPr>
            <w:r>
              <w:rPr>
                <w:rFonts w:ascii="Arial" w:cs="Arial" w:eastAsia="Arial" w:hAnsi="Arial"/>
                <w:sz w:val="19"/>
                <w:szCs w:val="19"/>
                <w:b w:val="1"/>
                <w:bCs w:val="1"/>
                <w:color w:val="auto"/>
              </w:rPr>
              <w:t>Identification and Classification of Members of the Group</w:t>
            </w:r>
          </w:p>
        </w:tc>
      </w:tr>
      <w:tr>
        <w:trPr>
          <w:trHeight w:val="342"/>
        </w:trPr>
        <w:tc>
          <w:tcPr>
            <w:tcW w:w="1400" w:type="dxa"/>
            <w:vAlign w:val="bottom"/>
          </w:tcPr>
          <w:p>
            <w:pPr>
              <w:ind w:left="60"/>
              <w:spacing w:after="0"/>
              <w:rPr>
                <w:sz w:val="20"/>
                <w:szCs w:val="20"/>
                <w:color w:val="auto"/>
              </w:rPr>
            </w:pPr>
            <w:r>
              <w:rPr>
                <w:rFonts w:ascii="Arial" w:cs="Arial" w:eastAsia="Arial" w:hAnsi="Arial"/>
                <w:sz w:val="19"/>
                <w:szCs w:val="19"/>
                <w:color w:val="auto"/>
              </w:rPr>
              <w:t>Not applicable.</w:t>
            </w:r>
          </w:p>
        </w:tc>
        <w:tc>
          <w:tcPr>
            <w:tcW w:w="10640" w:type="dxa"/>
            <w:vAlign w:val="bottom"/>
          </w:tcPr>
          <w:p>
            <w:pPr>
              <w:spacing w:after="0"/>
              <w:rPr>
                <w:sz w:val="24"/>
                <w:szCs w:val="24"/>
                <w:color w:val="auto"/>
              </w:rPr>
            </w:pPr>
          </w:p>
        </w:tc>
      </w:tr>
      <w:tr>
        <w:trPr>
          <w:trHeight w:val="685"/>
        </w:trPr>
        <w:tc>
          <w:tcPr>
            <w:tcW w:w="1400" w:type="dxa"/>
            <w:vAlign w:val="bottom"/>
          </w:tcPr>
          <w:p>
            <w:pPr>
              <w:ind w:left="60"/>
              <w:spacing w:after="0"/>
              <w:rPr>
                <w:sz w:val="20"/>
                <w:szCs w:val="20"/>
                <w:color w:val="auto"/>
              </w:rPr>
            </w:pPr>
            <w:r>
              <w:rPr>
                <w:rFonts w:ascii="Arial" w:cs="Arial" w:eastAsia="Arial" w:hAnsi="Arial"/>
                <w:sz w:val="19"/>
                <w:szCs w:val="19"/>
                <w:b w:val="1"/>
                <w:bCs w:val="1"/>
                <w:color w:val="auto"/>
              </w:rPr>
              <w:t>Item 9</w:t>
            </w:r>
          </w:p>
        </w:tc>
        <w:tc>
          <w:tcPr>
            <w:tcW w:w="10640" w:type="dxa"/>
            <w:vAlign w:val="bottom"/>
          </w:tcPr>
          <w:p>
            <w:pPr>
              <w:ind w:left="180"/>
              <w:spacing w:after="0"/>
              <w:rPr>
                <w:sz w:val="20"/>
                <w:szCs w:val="20"/>
                <w:color w:val="auto"/>
              </w:rPr>
            </w:pPr>
            <w:r>
              <w:rPr>
                <w:rFonts w:ascii="Arial" w:cs="Arial" w:eastAsia="Arial" w:hAnsi="Arial"/>
                <w:sz w:val="19"/>
                <w:szCs w:val="19"/>
                <w:b w:val="1"/>
                <w:bCs w:val="1"/>
                <w:color w:val="auto"/>
              </w:rPr>
              <w:t>Notice of Dissolution of Group</w:t>
            </w:r>
          </w:p>
        </w:tc>
      </w:tr>
      <w:tr>
        <w:trPr>
          <w:trHeight w:val="342"/>
        </w:trPr>
        <w:tc>
          <w:tcPr>
            <w:tcW w:w="1400" w:type="dxa"/>
            <w:vAlign w:val="bottom"/>
          </w:tcPr>
          <w:p>
            <w:pPr>
              <w:ind w:left="60"/>
              <w:spacing w:after="0"/>
              <w:rPr>
                <w:sz w:val="20"/>
                <w:szCs w:val="20"/>
                <w:color w:val="auto"/>
              </w:rPr>
            </w:pPr>
            <w:r>
              <w:rPr>
                <w:rFonts w:ascii="Arial" w:cs="Arial" w:eastAsia="Arial" w:hAnsi="Arial"/>
                <w:sz w:val="19"/>
                <w:szCs w:val="19"/>
                <w:color w:val="auto"/>
              </w:rPr>
              <w:t>Not applicable.</w:t>
            </w:r>
          </w:p>
        </w:tc>
        <w:tc>
          <w:tcPr>
            <w:tcW w:w="10640" w:type="dxa"/>
            <w:vAlign w:val="bottom"/>
          </w:tcPr>
          <w:p>
            <w:pPr>
              <w:spacing w:after="0"/>
              <w:rPr>
                <w:sz w:val="24"/>
                <w:szCs w:val="24"/>
                <w:color w:val="auto"/>
              </w:rPr>
            </w:pPr>
          </w:p>
        </w:tc>
      </w:tr>
      <w:tr>
        <w:trPr>
          <w:trHeight w:val="513"/>
        </w:trPr>
        <w:tc>
          <w:tcPr>
            <w:tcW w:w="1400" w:type="dxa"/>
            <w:vAlign w:val="bottom"/>
          </w:tcPr>
          <w:p>
            <w:pPr>
              <w:spacing w:after="0"/>
              <w:rPr>
                <w:sz w:val="24"/>
                <w:szCs w:val="24"/>
                <w:color w:val="auto"/>
              </w:rPr>
            </w:pPr>
          </w:p>
        </w:tc>
        <w:tc>
          <w:tcPr>
            <w:tcW w:w="10640" w:type="dxa"/>
            <w:vAlign w:val="bottom"/>
          </w:tcPr>
          <w:p>
            <w:pPr>
              <w:ind w:left="4560"/>
              <w:spacing w:after="0"/>
              <w:rPr>
                <w:sz w:val="20"/>
                <w:szCs w:val="20"/>
                <w:color w:val="auto"/>
              </w:rPr>
            </w:pPr>
            <w:r>
              <w:rPr>
                <w:rFonts w:ascii="Arial" w:cs="Arial" w:eastAsia="Arial" w:hAnsi="Arial"/>
                <w:sz w:val="19"/>
                <w:szCs w:val="19"/>
                <w:color w:val="auto"/>
              </w:rPr>
              <w:t>7</w:t>
            </w:r>
          </w:p>
        </w:tc>
      </w:tr>
      <w:tr>
        <w:trPr>
          <w:trHeight w:val="141"/>
        </w:trPr>
        <w:tc>
          <w:tcPr>
            <w:tcW w:w="1400" w:type="dxa"/>
            <w:vAlign w:val="bottom"/>
            <w:tcBorders>
              <w:bottom w:val="single" w:sz="8" w:color="808080"/>
            </w:tcBorders>
          </w:tcPr>
          <w:p>
            <w:pPr>
              <w:spacing w:after="0"/>
              <w:rPr>
                <w:sz w:val="12"/>
                <w:szCs w:val="12"/>
                <w:color w:val="auto"/>
              </w:rPr>
            </w:pPr>
          </w:p>
        </w:tc>
        <w:tc>
          <w:tcPr>
            <w:tcW w:w="106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7632065</wp:posOffset>
            </wp:positionH>
            <wp:positionV relativeFrom="paragraph">
              <wp:posOffset>-30480</wp:posOffset>
            </wp:positionV>
            <wp:extent cx="12700" cy="311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-30480</wp:posOffset>
            </wp:positionV>
            <wp:extent cx="12700" cy="311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6"/>
          </w:cols>
          <w:pgMar w:left="114" w:top="270" w:right="80" w:bottom="1440" w:gutter="0" w:footer="0" w:header="0"/>
        </w:sectPr>
      </w:pPr>
    </w:p>
    <w:bookmarkStart w:id="7" w:name="page8"/>
    <w:bookmarkEnd w:id="7"/>
    <w:p>
      <w:pPr>
        <w:ind w:left="60"/>
        <w:spacing w:after="0"/>
        <w:rPr>
          <w:sz w:val="20"/>
          <w:szCs w:val="20"/>
          <w:color w:val="auto"/>
        </w:rPr>
      </w:pPr>
      <w:r>
        <w:rPr>
          <w:rFonts w:ascii="Arial" w:cs="Arial" w:eastAsia="Arial" w:hAnsi="Arial"/>
          <w:sz w:val="19"/>
          <w:szCs w:val="19"/>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6250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340" w:lineRule="exact"/>
        <w:rPr>
          <w:sz w:val="20"/>
          <w:szCs w:val="20"/>
          <w:color w:val="auto"/>
        </w:rPr>
      </w:pPr>
    </w:p>
    <w:p>
      <w:pPr>
        <w:ind w:left="60"/>
        <w:spacing w:after="0"/>
        <w:tabs>
          <w:tab w:leader="none" w:pos="156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9"/>
          <w:szCs w:val="19"/>
          <w:color w:val="auto"/>
        </w:rPr>
        <w:t>Not applicable.</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w:t>
      </w:r>
    </w:p>
    <w:p>
      <w:pPr>
        <w:spacing w:after="0" w:line="238" w:lineRule="exact"/>
        <w:rPr>
          <w:sz w:val="20"/>
          <w:szCs w:val="20"/>
          <w:color w:val="auto"/>
        </w:rPr>
      </w:pPr>
    </w:p>
    <w:p>
      <w:pPr>
        <w:ind w:left="680"/>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correct.</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3540" w:type="dxa"/>
            <w:vAlign w:val="bottom"/>
          </w:tcPr>
          <w:p>
            <w:pPr>
              <w:spacing w:after="0"/>
              <w:rPr>
                <w:sz w:val="20"/>
                <w:szCs w:val="20"/>
                <w:color w:val="auto"/>
              </w:rPr>
            </w:pPr>
            <w:r>
              <w:rPr>
                <w:rFonts w:ascii="Arial" w:cs="Arial" w:eastAsia="Arial" w:hAnsi="Arial"/>
                <w:sz w:val="19"/>
                <w:szCs w:val="19"/>
                <w:color w:val="auto"/>
              </w:rPr>
              <w:t>February 14, 2019</w:t>
            </w:r>
          </w:p>
        </w:tc>
        <w:tc>
          <w:tcPr>
            <w:tcW w:w="8120" w:type="dxa"/>
            <w:vAlign w:val="bottom"/>
            <w:gridSpan w:val="2"/>
          </w:tcPr>
          <w:p>
            <w:pPr>
              <w:ind w:left="2140"/>
              <w:spacing w:after="0"/>
              <w:rPr>
                <w:sz w:val="20"/>
                <w:szCs w:val="20"/>
                <w:color w:val="auto"/>
              </w:rPr>
            </w:pPr>
            <w:r>
              <w:rPr>
                <w:rFonts w:ascii="Arial" w:cs="Arial" w:eastAsia="Arial" w:hAnsi="Arial"/>
                <w:sz w:val="19"/>
                <w:szCs w:val="19"/>
                <w:color w:val="auto"/>
              </w:rPr>
              <w:t>SKYLINE VENTURE PARTNERS V, L.P.</w:t>
            </w:r>
          </w:p>
        </w:tc>
      </w:tr>
      <w:tr>
        <w:trPr>
          <w:trHeight w:val="443"/>
        </w:trPr>
        <w:tc>
          <w:tcPr>
            <w:tcW w:w="3540" w:type="dxa"/>
            <w:vAlign w:val="bottom"/>
          </w:tcPr>
          <w:p>
            <w:pPr>
              <w:spacing w:after="0"/>
              <w:rPr>
                <w:sz w:val="24"/>
                <w:szCs w:val="24"/>
                <w:color w:val="auto"/>
              </w:rPr>
            </w:pPr>
          </w:p>
        </w:tc>
        <w:tc>
          <w:tcPr>
            <w:tcW w:w="3060" w:type="dxa"/>
            <w:vAlign w:val="bottom"/>
          </w:tcPr>
          <w:p>
            <w:pPr>
              <w:ind w:left="2140"/>
              <w:spacing w:after="0"/>
              <w:rPr>
                <w:sz w:val="20"/>
                <w:szCs w:val="20"/>
                <w:color w:val="auto"/>
              </w:rPr>
            </w:pPr>
            <w:r>
              <w:rPr>
                <w:rFonts w:ascii="Arial" w:cs="Arial" w:eastAsia="Arial" w:hAnsi="Arial"/>
                <w:sz w:val="19"/>
                <w:szCs w:val="19"/>
                <w:color w:val="auto"/>
              </w:rPr>
              <w:t>BY:</w:t>
            </w:r>
          </w:p>
        </w:tc>
        <w:tc>
          <w:tcPr>
            <w:tcW w:w="5060" w:type="dxa"/>
            <w:vAlign w:val="bottom"/>
          </w:tcPr>
          <w:p>
            <w:pPr>
              <w:spacing w:after="0"/>
              <w:rPr>
                <w:sz w:val="20"/>
                <w:szCs w:val="20"/>
                <w:color w:val="auto"/>
              </w:rPr>
            </w:pPr>
            <w:r>
              <w:rPr>
                <w:rFonts w:ascii="Arial" w:cs="Arial" w:eastAsia="Arial" w:hAnsi="Arial"/>
                <w:sz w:val="19"/>
                <w:szCs w:val="19"/>
                <w:color w:val="auto"/>
              </w:rPr>
              <w:t>SKYLINE VENTURE MANAGEMENT V, LLC</w:t>
            </w:r>
          </w:p>
        </w:tc>
      </w:tr>
      <w:tr>
        <w:trPr>
          <w:trHeight w:val="241"/>
        </w:trPr>
        <w:tc>
          <w:tcPr>
            <w:tcW w:w="3540" w:type="dxa"/>
            <w:vAlign w:val="bottom"/>
          </w:tcPr>
          <w:p>
            <w:pPr>
              <w:spacing w:after="0"/>
              <w:rPr>
                <w:sz w:val="20"/>
                <w:szCs w:val="20"/>
                <w:color w:val="auto"/>
              </w:rPr>
            </w:pPr>
          </w:p>
        </w:tc>
        <w:tc>
          <w:tcPr>
            <w:tcW w:w="3060" w:type="dxa"/>
            <w:vAlign w:val="bottom"/>
          </w:tcPr>
          <w:p>
            <w:pPr>
              <w:ind w:left="2140"/>
              <w:spacing w:after="0"/>
              <w:rPr>
                <w:sz w:val="20"/>
                <w:szCs w:val="20"/>
                <w:color w:val="auto"/>
              </w:rPr>
            </w:pPr>
            <w:r>
              <w:rPr>
                <w:rFonts w:ascii="Arial" w:cs="Arial" w:eastAsia="Arial" w:hAnsi="Arial"/>
                <w:sz w:val="19"/>
                <w:szCs w:val="19"/>
                <w:color w:val="auto"/>
              </w:rPr>
              <w:t>ITS:</w:t>
            </w:r>
          </w:p>
        </w:tc>
        <w:tc>
          <w:tcPr>
            <w:tcW w:w="5060" w:type="dxa"/>
            <w:vAlign w:val="bottom"/>
          </w:tcPr>
          <w:p>
            <w:pPr>
              <w:spacing w:after="0"/>
              <w:rPr>
                <w:sz w:val="20"/>
                <w:szCs w:val="20"/>
                <w:color w:val="auto"/>
              </w:rPr>
            </w:pPr>
            <w:r>
              <w:rPr>
                <w:rFonts w:ascii="Arial" w:cs="Arial" w:eastAsia="Arial" w:hAnsi="Arial"/>
                <w:sz w:val="19"/>
                <w:szCs w:val="19"/>
                <w:color w:val="auto"/>
              </w:rPr>
              <w:t>GENERAL PARTNER</w:t>
            </w:r>
          </w:p>
        </w:tc>
      </w:tr>
      <w:tr>
        <w:trPr>
          <w:trHeight w:val="457"/>
        </w:trPr>
        <w:tc>
          <w:tcPr>
            <w:tcW w:w="3540" w:type="dxa"/>
            <w:vAlign w:val="bottom"/>
          </w:tcPr>
          <w:p>
            <w:pPr>
              <w:spacing w:after="0"/>
              <w:rPr>
                <w:sz w:val="24"/>
                <w:szCs w:val="24"/>
                <w:color w:val="auto"/>
              </w:rPr>
            </w:pPr>
          </w:p>
        </w:tc>
        <w:tc>
          <w:tcPr>
            <w:tcW w:w="3060" w:type="dxa"/>
            <w:vAlign w:val="bottom"/>
          </w:tcPr>
          <w:p>
            <w:pPr>
              <w:ind w:left="2140"/>
              <w:spacing w:after="0"/>
              <w:rPr>
                <w:sz w:val="20"/>
                <w:szCs w:val="20"/>
                <w:color w:val="auto"/>
              </w:rPr>
            </w:pPr>
            <w:r>
              <w:rPr>
                <w:rFonts w:ascii="Arial" w:cs="Arial" w:eastAsia="Arial" w:hAnsi="Arial"/>
                <w:sz w:val="19"/>
                <w:szCs w:val="19"/>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Kerensa Kenny as attorney-in-fact</w:t>
            </w:r>
          </w:p>
        </w:tc>
      </w:tr>
      <w:tr>
        <w:trPr>
          <w:trHeight w:val="209"/>
        </w:trPr>
        <w:tc>
          <w:tcPr>
            <w:tcW w:w="35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060" w:type="dxa"/>
            <w:vAlign w:val="bottom"/>
          </w:tcPr>
          <w:p>
            <w:pPr>
              <w:spacing w:after="0" w:line="209" w:lineRule="exact"/>
              <w:rPr>
                <w:sz w:val="20"/>
                <w:szCs w:val="20"/>
                <w:color w:val="auto"/>
              </w:rPr>
            </w:pPr>
            <w:r>
              <w:rPr>
                <w:rFonts w:ascii="Arial" w:cs="Arial" w:eastAsia="Arial" w:hAnsi="Arial"/>
                <w:sz w:val="19"/>
                <w:szCs w:val="19"/>
                <w:color w:val="auto"/>
              </w:rPr>
              <w:t>John G. Freund</w:t>
            </w:r>
          </w:p>
        </w:tc>
      </w:tr>
      <w:tr>
        <w:trPr>
          <w:trHeight w:val="241"/>
        </w:trPr>
        <w:tc>
          <w:tcPr>
            <w:tcW w:w="3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9"/>
                <w:szCs w:val="19"/>
                <w:color w:val="auto"/>
              </w:rPr>
              <w:t>Managing Director</w:t>
            </w:r>
          </w:p>
        </w:tc>
      </w:tr>
      <w:tr>
        <w:trPr>
          <w:trHeight w:val="456"/>
        </w:trPr>
        <w:tc>
          <w:tcPr>
            <w:tcW w:w="3540" w:type="dxa"/>
            <w:vAlign w:val="bottom"/>
          </w:tcPr>
          <w:p>
            <w:pPr>
              <w:spacing w:after="0"/>
              <w:rPr>
                <w:sz w:val="24"/>
                <w:szCs w:val="24"/>
                <w:color w:val="auto"/>
              </w:rPr>
            </w:pPr>
          </w:p>
        </w:tc>
        <w:tc>
          <w:tcPr>
            <w:tcW w:w="8120" w:type="dxa"/>
            <w:vAlign w:val="bottom"/>
            <w:gridSpan w:val="2"/>
          </w:tcPr>
          <w:p>
            <w:pPr>
              <w:ind w:left="2140"/>
              <w:spacing w:after="0"/>
              <w:rPr>
                <w:sz w:val="20"/>
                <w:szCs w:val="20"/>
                <w:color w:val="auto"/>
              </w:rPr>
            </w:pPr>
            <w:r>
              <w:rPr>
                <w:rFonts w:ascii="Arial" w:cs="Arial" w:eastAsia="Arial" w:hAnsi="Arial"/>
                <w:sz w:val="19"/>
                <w:szCs w:val="19"/>
                <w:color w:val="auto"/>
              </w:rPr>
              <w:t>SKYLINE VENTURE MANAGEMENT V, LLC</w:t>
            </w:r>
          </w:p>
        </w:tc>
      </w:tr>
      <w:tr>
        <w:trPr>
          <w:trHeight w:val="457"/>
        </w:trPr>
        <w:tc>
          <w:tcPr>
            <w:tcW w:w="3540" w:type="dxa"/>
            <w:vAlign w:val="bottom"/>
          </w:tcPr>
          <w:p>
            <w:pPr>
              <w:spacing w:after="0"/>
              <w:rPr>
                <w:sz w:val="24"/>
                <w:szCs w:val="24"/>
                <w:color w:val="auto"/>
              </w:rPr>
            </w:pPr>
          </w:p>
        </w:tc>
        <w:tc>
          <w:tcPr>
            <w:tcW w:w="3060" w:type="dxa"/>
            <w:vAlign w:val="bottom"/>
          </w:tcPr>
          <w:p>
            <w:pPr>
              <w:ind w:left="2140"/>
              <w:spacing w:after="0"/>
              <w:rPr>
                <w:sz w:val="20"/>
                <w:szCs w:val="20"/>
                <w:color w:val="auto"/>
              </w:rPr>
            </w:pPr>
            <w:r>
              <w:rPr>
                <w:rFonts w:ascii="Arial" w:cs="Arial" w:eastAsia="Arial" w:hAnsi="Arial"/>
                <w:sz w:val="19"/>
                <w:szCs w:val="19"/>
                <w:color w:val="auto"/>
              </w:rPr>
              <w:t>By:</w:t>
            </w:r>
          </w:p>
        </w:tc>
        <w:tc>
          <w:tcPr>
            <w:tcW w:w="50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Kerensa Kenny as attorney-in-fact</w:t>
            </w:r>
          </w:p>
        </w:tc>
      </w:tr>
      <w:tr>
        <w:trPr>
          <w:trHeight w:val="209"/>
        </w:trPr>
        <w:tc>
          <w:tcPr>
            <w:tcW w:w="354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5060" w:type="dxa"/>
            <w:vAlign w:val="bottom"/>
          </w:tcPr>
          <w:p>
            <w:pPr>
              <w:spacing w:after="0" w:line="209" w:lineRule="exact"/>
              <w:rPr>
                <w:sz w:val="20"/>
                <w:szCs w:val="20"/>
                <w:color w:val="auto"/>
              </w:rPr>
            </w:pPr>
            <w:r>
              <w:rPr>
                <w:rFonts w:ascii="Arial" w:cs="Arial" w:eastAsia="Arial" w:hAnsi="Arial"/>
                <w:sz w:val="19"/>
                <w:szCs w:val="19"/>
                <w:color w:val="auto"/>
              </w:rPr>
              <w:t>John G. Freund</w:t>
            </w:r>
          </w:p>
        </w:tc>
      </w:tr>
      <w:tr>
        <w:trPr>
          <w:trHeight w:val="241"/>
        </w:trPr>
        <w:tc>
          <w:tcPr>
            <w:tcW w:w="354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Arial" w:cs="Arial" w:eastAsia="Arial" w:hAnsi="Arial"/>
                <w:sz w:val="19"/>
                <w:szCs w:val="19"/>
                <w:color w:val="auto"/>
              </w:rPr>
              <w:t>Managing Member</w:t>
            </w:r>
          </w:p>
        </w:tc>
      </w:tr>
    </w:tbl>
    <w:p>
      <w:pPr>
        <w:spacing w:after="0" w:line="215" w:lineRule="exact"/>
        <w:rPr>
          <w:sz w:val="20"/>
          <w:szCs w:val="20"/>
          <w:color w:val="auto"/>
        </w:rPr>
      </w:pPr>
    </w:p>
    <w:p>
      <w:pPr>
        <w:ind w:left="6940"/>
        <w:spacing w:after="0"/>
        <w:rPr>
          <w:sz w:val="20"/>
          <w:szCs w:val="20"/>
          <w:color w:val="auto"/>
        </w:rPr>
      </w:pPr>
      <w:r>
        <w:rPr>
          <w:rFonts w:ascii="Arial" w:cs="Arial" w:eastAsia="Arial" w:hAnsi="Arial"/>
          <w:sz w:val="19"/>
          <w:szCs w:val="19"/>
          <w:color w:val="auto"/>
        </w:rPr>
        <w:t>/s/ Kerensa Kenny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15240</wp:posOffset>
            </wp:positionV>
            <wp:extent cx="321500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4" w:lineRule="exact"/>
        <w:rPr>
          <w:sz w:val="20"/>
          <w:szCs w:val="20"/>
          <w:color w:val="auto"/>
        </w:rPr>
      </w:pPr>
    </w:p>
    <w:p>
      <w:pPr>
        <w:ind w:left="6940"/>
        <w:spacing w:after="0"/>
        <w:rPr>
          <w:sz w:val="20"/>
          <w:szCs w:val="20"/>
          <w:color w:val="auto"/>
        </w:rPr>
      </w:pPr>
      <w:r>
        <w:rPr>
          <w:rFonts w:ascii="Arial" w:cs="Arial" w:eastAsia="Arial" w:hAnsi="Arial"/>
          <w:sz w:val="19"/>
          <w:szCs w:val="19"/>
          <w:color w:val="auto"/>
        </w:rPr>
        <w:t>YASUNORI KANEKO</w:t>
      </w:r>
    </w:p>
    <w:p>
      <w:pPr>
        <w:spacing w:after="0" w:line="238" w:lineRule="exact"/>
        <w:rPr>
          <w:sz w:val="20"/>
          <w:szCs w:val="20"/>
          <w:color w:val="auto"/>
        </w:rPr>
      </w:pPr>
    </w:p>
    <w:p>
      <w:pPr>
        <w:ind w:left="6940"/>
        <w:spacing w:after="0"/>
        <w:rPr>
          <w:sz w:val="20"/>
          <w:szCs w:val="20"/>
          <w:color w:val="auto"/>
        </w:rPr>
      </w:pPr>
      <w:r>
        <w:rPr>
          <w:rFonts w:ascii="Arial" w:cs="Arial" w:eastAsia="Arial" w:hAnsi="Arial"/>
          <w:sz w:val="19"/>
          <w:szCs w:val="19"/>
          <w:color w:val="auto"/>
        </w:rPr>
        <w:t>/s/ Kerensa Kenny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4406265</wp:posOffset>
            </wp:positionH>
            <wp:positionV relativeFrom="paragraph">
              <wp:posOffset>15240</wp:posOffset>
            </wp:positionV>
            <wp:extent cx="32150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4" w:lineRule="exact"/>
        <w:rPr>
          <w:sz w:val="20"/>
          <w:szCs w:val="20"/>
          <w:color w:val="auto"/>
        </w:rPr>
      </w:pPr>
    </w:p>
    <w:p>
      <w:pPr>
        <w:ind w:left="6940"/>
        <w:spacing w:after="0"/>
        <w:rPr>
          <w:sz w:val="20"/>
          <w:szCs w:val="20"/>
          <w:color w:val="auto"/>
        </w:rPr>
      </w:pPr>
      <w:r>
        <w:rPr>
          <w:rFonts w:ascii="Arial" w:cs="Arial" w:eastAsia="Arial" w:hAnsi="Arial"/>
          <w:sz w:val="19"/>
          <w:szCs w:val="19"/>
          <w:color w:val="auto"/>
        </w:rPr>
        <w:t>JOHN G. FREUND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70" w:right="120" w:bottom="1440" w:gutter="0" w:footer="0" w:header="0"/>
        </w:sectPr>
      </w:pPr>
    </w:p>
    <w:bookmarkStart w:id="8" w:name="page9"/>
    <w:bookmarkEnd w:id="8"/>
    <w:p>
      <w:pPr>
        <w:ind w:left="60"/>
        <w:spacing w:after="0"/>
        <w:rPr>
          <w:sz w:val="20"/>
          <w:szCs w:val="20"/>
          <w:color w:val="auto"/>
        </w:rPr>
      </w:pPr>
      <w:r>
        <w:rPr>
          <w:rFonts w:ascii="Arial" w:cs="Arial" w:eastAsia="Arial" w:hAnsi="Arial"/>
          <w:sz w:val="19"/>
          <w:szCs w:val="19"/>
          <w:color w:val="auto"/>
        </w:rPr>
        <w:t>CUSIP No. 825704109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76250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200" w:type="dxa"/>
            <w:vAlign w:val="bottom"/>
          </w:tcPr>
          <w:p>
            <w:pPr>
              <w:spacing w:after="0"/>
              <w:rPr>
                <w:sz w:val="21"/>
                <w:szCs w:val="21"/>
                <w:color w:val="auto"/>
              </w:rPr>
            </w:pPr>
          </w:p>
        </w:tc>
        <w:tc>
          <w:tcPr>
            <w:tcW w:w="10840" w:type="dxa"/>
            <w:vAlign w:val="bottom"/>
          </w:tcPr>
          <w:p>
            <w:pPr>
              <w:jc w:val="center"/>
              <w:ind w:right="1145"/>
              <w:spacing w:after="0"/>
              <w:rPr>
                <w:sz w:val="20"/>
                <w:szCs w:val="20"/>
                <w:color w:val="auto"/>
              </w:rPr>
            </w:pPr>
            <w:r>
              <w:rPr>
                <w:rFonts w:ascii="Arial" w:cs="Arial" w:eastAsia="Arial" w:hAnsi="Arial"/>
                <w:sz w:val="19"/>
                <w:szCs w:val="19"/>
                <w:b w:val="1"/>
                <w:bCs w:val="1"/>
                <w:color w:val="auto"/>
              </w:rPr>
              <w:t>EXHIBIT INDEX</w:t>
            </w:r>
          </w:p>
        </w:tc>
      </w:tr>
      <w:tr>
        <w:trPr>
          <w:trHeight w:val="386"/>
        </w:trPr>
        <w:tc>
          <w:tcPr>
            <w:tcW w:w="12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Exhibit No.</w:t>
            </w:r>
          </w:p>
        </w:tc>
        <w:tc>
          <w:tcPr>
            <w:tcW w:w="10840" w:type="dxa"/>
            <w:vAlign w:val="bottom"/>
          </w:tcPr>
          <w:p>
            <w:pPr>
              <w:spacing w:after="0"/>
              <w:rPr>
                <w:sz w:val="24"/>
                <w:szCs w:val="24"/>
                <w:color w:val="auto"/>
              </w:rPr>
            </w:pPr>
          </w:p>
        </w:tc>
      </w:tr>
      <w:tr>
        <w:trPr>
          <w:trHeight w:val="465"/>
        </w:trPr>
        <w:tc>
          <w:tcPr>
            <w:tcW w:w="1200" w:type="dxa"/>
            <w:vAlign w:val="bottom"/>
          </w:tcPr>
          <w:p>
            <w:pPr>
              <w:spacing w:after="0"/>
              <w:rPr>
                <w:sz w:val="20"/>
                <w:szCs w:val="20"/>
                <w:color w:val="auto"/>
              </w:rPr>
            </w:pPr>
            <w:r>
              <w:rPr>
                <w:rFonts w:ascii="Arial" w:cs="Arial" w:eastAsia="Arial" w:hAnsi="Arial"/>
                <w:sz w:val="19"/>
                <w:szCs w:val="19"/>
                <w:color w:val="auto"/>
              </w:rPr>
              <w:t>99.1</w:t>
            </w:r>
          </w:p>
        </w:tc>
        <w:tc>
          <w:tcPr>
            <w:tcW w:w="10840" w:type="dxa"/>
            <w:vAlign w:val="bottom"/>
          </w:tcPr>
          <w:p>
            <w:pPr>
              <w:ind w:left="360"/>
              <w:spacing w:after="0"/>
              <w:rPr>
                <w:sz w:val="20"/>
                <w:szCs w:val="20"/>
                <w:color w:val="auto"/>
              </w:rPr>
            </w:pPr>
            <w:r>
              <w:rPr>
                <w:rFonts w:ascii="Arial" w:cs="Arial" w:eastAsia="Arial" w:hAnsi="Arial"/>
                <w:sz w:val="19"/>
                <w:szCs w:val="19"/>
                <w:color w:val="auto"/>
                <w:w w:val="92"/>
              </w:rPr>
              <w:t>Agreement pursuant to 13d-1(k)(1) among Skyline Venture Partners V, L.P., Skyline Venture Management V, LLC John G. Freund and</w:t>
            </w:r>
          </w:p>
        </w:tc>
      </w:tr>
      <w:tr>
        <w:trPr>
          <w:trHeight w:val="241"/>
        </w:trPr>
        <w:tc>
          <w:tcPr>
            <w:tcW w:w="1200" w:type="dxa"/>
            <w:vAlign w:val="bottom"/>
          </w:tcPr>
          <w:p>
            <w:pPr>
              <w:spacing w:after="0"/>
              <w:rPr>
                <w:sz w:val="20"/>
                <w:szCs w:val="20"/>
                <w:color w:val="auto"/>
              </w:rPr>
            </w:pPr>
          </w:p>
        </w:tc>
        <w:tc>
          <w:tcPr>
            <w:tcW w:w="10840" w:type="dxa"/>
            <w:vAlign w:val="bottom"/>
          </w:tcPr>
          <w:p>
            <w:pPr>
              <w:ind w:left="360"/>
              <w:spacing w:after="0"/>
              <w:rPr>
                <w:sz w:val="20"/>
                <w:szCs w:val="20"/>
                <w:color w:val="auto"/>
              </w:rPr>
            </w:pPr>
            <w:r>
              <w:rPr>
                <w:rFonts w:ascii="Arial" w:cs="Arial" w:eastAsia="Arial" w:hAnsi="Arial"/>
                <w:sz w:val="19"/>
                <w:szCs w:val="19"/>
                <w:color w:val="auto"/>
              </w:rPr>
              <w:t>Yasunori Kaneko.</w:t>
            </w:r>
          </w:p>
        </w:tc>
      </w:tr>
      <w:tr>
        <w:trPr>
          <w:trHeight w:val="456"/>
        </w:trPr>
        <w:tc>
          <w:tcPr>
            <w:tcW w:w="1200" w:type="dxa"/>
            <w:vAlign w:val="bottom"/>
          </w:tcPr>
          <w:p>
            <w:pPr>
              <w:spacing w:after="0"/>
              <w:rPr>
                <w:sz w:val="24"/>
                <w:szCs w:val="24"/>
                <w:color w:val="auto"/>
              </w:rPr>
            </w:pPr>
          </w:p>
        </w:tc>
        <w:tc>
          <w:tcPr>
            <w:tcW w:w="10840" w:type="dxa"/>
            <w:vAlign w:val="bottom"/>
          </w:tcPr>
          <w:p>
            <w:pPr>
              <w:jc w:val="right"/>
              <w:ind w:right="5905"/>
              <w:spacing w:after="0"/>
              <w:rPr>
                <w:sz w:val="20"/>
                <w:szCs w:val="20"/>
                <w:color w:val="auto"/>
              </w:rPr>
            </w:pPr>
            <w:r>
              <w:rPr>
                <w:rFonts w:ascii="Arial" w:cs="Arial" w:eastAsia="Arial" w:hAnsi="Arial"/>
                <w:sz w:val="19"/>
                <w:szCs w:val="19"/>
                <w:color w:val="auto"/>
              </w:rPr>
              <w:t>9</w:t>
            </w:r>
          </w:p>
        </w:tc>
      </w:tr>
      <w:tr>
        <w:trPr>
          <w:trHeight w:val="141"/>
        </w:trPr>
        <w:tc>
          <w:tcPr>
            <w:tcW w:w="1200" w:type="dxa"/>
            <w:vAlign w:val="bottom"/>
            <w:tcBorders>
              <w:bottom w:val="single" w:sz="8" w:color="808080"/>
            </w:tcBorders>
          </w:tcPr>
          <w:p>
            <w:pPr>
              <w:spacing w:after="0"/>
              <w:rPr>
                <w:sz w:val="12"/>
                <w:szCs w:val="12"/>
                <w:color w:val="auto"/>
              </w:rPr>
            </w:pPr>
          </w:p>
        </w:tc>
        <w:tc>
          <w:tcPr>
            <w:tcW w:w="108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-30480</wp:posOffset>
            </wp:positionV>
            <wp:extent cx="12700" cy="311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-30480</wp:posOffset>
            </wp:positionV>
            <wp:extent cx="12700" cy="311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ectPr>
          <w:pgSz w:w="12240" w:h="15840" w:orient="portrait"/>
          <w:cols w:equalWidth="0" w:num="1">
            <w:col w:w="12040"/>
          </w:cols>
          <w:pgMar w:left="120" w:top="270" w:right="80" w:bottom="1440" w:gutter="0" w:footer="0" w:header="0"/>
        </w:sectPr>
      </w:pPr>
    </w:p>
    <w:bookmarkStart w:id="9" w:name="page10"/>
    <w:bookmarkEnd w:id="9"/>
    <w:p>
      <w:pPr>
        <w:jc w:val="right"/>
        <w:spacing w:after="0"/>
        <w:rPr>
          <w:sz w:val="20"/>
          <w:szCs w:val="20"/>
          <w:color w:val="auto"/>
        </w:rPr>
      </w:pPr>
      <w:r>
        <w:rPr>
          <w:rFonts w:ascii="Arial" w:cs="Arial" w:eastAsia="Arial" w:hAnsi="Arial"/>
          <w:sz w:val="19"/>
          <w:szCs w:val="19"/>
          <w:b w:val="1"/>
          <w:bCs w:val="1"/>
          <w:color w:val="auto"/>
        </w:rPr>
        <w:t>Exhibit 99.1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AGREEMENT</w:t>
      </w:r>
    </w:p>
    <w:p>
      <w:pPr>
        <w:spacing w:after="0" w:line="225" w:lineRule="exact"/>
        <w:rPr>
          <w:sz w:val="20"/>
          <w:szCs w:val="20"/>
          <w:color w:val="auto"/>
        </w:rPr>
      </w:pPr>
    </w:p>
    <w:p>
      <w:pPr>
        <w:ind w:right="720" w:firstLine="342"/>
        <w:spacing w:after="0" w:line="275" w:lineRule="auto"/>
        <w:rPr>
          <w:sz w:val="20"/>
          <w:szCs w:val="20"/>
          <w:color w:val="auto"/>
        </w:rPr>
      </w:pPr>
      <w:r>
        <w:rPr>
          <w:rFonts w:ascii="Arial" w:cs="Arial" w:eastAsia="Arial" w:hAnsi="Arial"/>
          <w:sz w:val="19"/>
          <w:szCs w:val="19"/>
          <w:color w:val="auto"/>
        </w:rPr>
        <w:t>Pursuant to Rule 13d-1(k)(l) promulgated pursuant to the Securities Exchange Act of 1934, as amended, the undersigned agree that the attached Schedule 13G is being filed on behalf of each of the undersigned.</w:t>
      </w:r>
    </w:p>
    <w:p>
      <w:pPr>
        <w:spacing w:after="0" w:line="184"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3540" w:type="dxa"/>
            <w:vAlign w:val="bottom"/>
          </w:tcPr>
          <w:p>
            <w:pPr>
              <w:spacing w:after="0"/>
              <w:rPr>
                <w:sz w:val="20"/>
                <w:szCs w:val="20"/>
                <w:color w:val="auto"/>
              </w:rPr>
            </w:pPr>
            <w:r>
              <w:rPr>
                <w:rFonts w:ascii="Arial" w:cs="Arial" w:eastAsia="Arial" w:hAnsi="Arial"/>
                <w:sz w:val="19"/>
                <w:szCs w:val="19"/>
                <w:color w:val="auto"/>
              </w:rPr>
              <w:t>February 14, 2019</w:t>
            </w:r>
          </w:p>
        </w:tc>
        <w:tc>
          <w:tcPr>
            <w:tcW w:w="8120" w:type="dxa"/>
            <w:vAlign w:val="bottom"/>
            <w:gridSpan w:val="2"/>
          </w:tcPr>
          <w:p>
            <w:pPr>
              <w:ind w:left="2140"/>
              <w:spacing w:after="0"/>
              <w:rPr>
                <w:sz w:val="20"/>
                <w:szCs w:val="20"/>
                <w:color w:val="auto"/>
              </w:rPr>
            </w:pPr>
            <w:r>
              <w:rPr>
                <w:rFonts w:ascii="Arial" w:cs="Arial" w:eastAsia="Arial" w:hAnsi="Arial"/>
                <w:sz w:val="19"/>
                <w:szCs w:val="19"/>
                <w:color w:val="auto"/>
              </w:rPr>
              <w:t>SKYLINE VENTURE PARTNERS V, L.P.</w:t>
            </w:r>
          </w:p>
        </w:tc>
      </w:tr>
      <w:tr>
        <w:trPr>
          <w:trHeight w:val="443"/>
        </w:trPr>
        <w:tc>
          <w:tcPr>
            <w:tcW w:w="3540" w:type="dxa"/>
            <w:vAlign w:val="bottom"/>
          </w:tcPr>
          <w:p>
            <w:pPr>
              <w:spacing w:after="0"/>
              <w:rPr>
                <w:sz w:val="24"/>
                <w:szCs w:val="24"/>
                <w:color w:val="auto"/>
              </w:rPr>
            </w:pPr>
          </w:p>
        </w:tc>
        <w:tc>
          <w:tcPr>
            <w:tcW w:w="3040" w:type="dxa"/>
            <w:vAlign w:val="bottom"/>
          </w:tcPr>
          <w:p>
            <w:pPr>
              <w:ind w:left="2140"/>
              <w:spacing w:after="0"/>
              <w:rPr>
                <w:sz w:val="20"/>
                <w:szCs w:val="20"/>
                <w:color w:val="auto"/>
              </w:rPr>
            </w:pPr>
            <w:r>
              <w:rPr>
                <w:rFonts w:ascii="Arial" w:cs="Arial" w:eastAsia="Arial" w:hAnsi="Arial"/>
                <w:sz w:val="19"/>
                <w:szCs w:val="19"/>
                <w:color w:val="auto"/>
              </w:rPr>
              <w:t>BY:</w:t>
            </w:r>
          </w:p>
        </w:tc>
        <w:tc>
          <w:tcPr>
            <w:tcW w:w="5080" w:type="dxa"/>
            <w:vAlign w:val="bottom"/>
          </w:tcPr>
          <w:p>
            <w:pPr>
              <w:spacing w:after="0"/>
              <w:rPr>
                <w:sz w:val="20"/>
                <w:szCs w:val="20"/>
                <w:color w:val="auto"/>
              </w:rPr>
            </w:pPr>
            <w:r>
              <w:rPr>
                <w:rFonts w:ascii="Arial" w:cs="Arial" w:eastAsia="Arial" w:hAnsi="Arial"/>
                <w:sz w:val="19"/>
                <w:szCs w:val="19"/>
                <w:color w:val="auto"/>
              </w:rPr>
              <w:t>SKYLINE VENTURE MANAGEMENT V, LLC</w:t>
            </w:r>
          </w:p>
        </w:tc>
      </w:tr>
      <w:tr>
        <w:trPr>
          <w:trHeight w:val="241"/>
        </w:trPr>
        <w:tc>
          <w:tcPr>
            <w:tcW w:w="3540" w:type="dxa"/>
            <w:vAlign w:val="bottom"/>
          </w:tcPr>
          <w:p>
            <w:pPr>
              <w:spacing w:after="0"/>
              <w:rPr>
                <w:sz w:val="20"/>
                <w:szCs w:val="20"/>
                <w:color w:val="auto"/>
              </w:rPr>
            </w:pPr>
          </w:p>
        </w:tc>
        <w:tc>
          <w:tcPr>
            <w:tcW w:w="3040" w:type="dxa"/>
            <w:vAlign w:val="bottom"/>
          </w:tcPr>
          <w:p>
            <w:pPr>
              <w:ind w:left="2140"/>
              <w:spacing w:after="0"/>
              <w:rPr>
                <w:sz w:val="20"/>
                <w:szCs w:val="20"/>
                <w:color w:val="auto"/>
              </w:rPr>
            </w:pPr>
            <w:r>
              <w:rPr>
                <w:rFonts w:ascii="Arial" w:cs="Arial" w:eastAsia="Arial" w:hAnsi="Arial"/>
                <w:sz w:val="19"/>
                <w:szCs w:val="19"/>
                <w:color w:val="auto"/>
              </w:rPr>
              <w:t>ITS:</w:t>
            </w:r>
          </w:p>
        </w:tc>
        <w:tc>
          <w:tcPr>
            <w:tcW w:w="5080" w:type="dxa"/>
            <w:vAlign w:val="bottom"/>
          </w:tcPr>
          <w:p>
            <w:pPr>
              <w:spacing w:after="0"/>
              <w:rPr>
                <w:sz w:val="20"/>
                <w:szCs w:val="20"/>
                <w:color w:val="auto"/>
              </w:rPr>
            </w:pPr>
            <w:r>
              <w:rPr>
                <w:rFonts w:ascii="Arial" w:cs="Arial" w:eastAsia="Arial" w:hAnsi="Arial"/>
                <w:sz w:val="19"/>
                <w:szCs w:val="19"/>
                <w:color w:val="auto"/>
              </w:rPr>
              <w:t>GENERAL PARTNER</w:t>
            </w:r>
          </w:p>
        </w:tc>
      </w:tr>
      <w:tr>
        <w:trPr>
          <w:trHeight w:val="457"/>
        </w:trPr>
        <w:tc>
          <w:tcPr>
            <w:tcW w:w="3540" w:type="dxa"/>
            <w:vAlign w:val="bottom"/>
          </w:tcPr>
          <w:p>
            <w:pPr>
              <w:spacing w:after="0"/>
              <w:rPr>
                <w:sz w:val="24"/>
                <w:szCs w:val="24"/>
                <w:color w:val="auto"/>
              </w:rPr>
            </w:pPr>
          </w:p>
        </w:tc>
        <w:tc>
          <w:tcPr>
            <w:tcW w:w="3040" w:type="dxa"/>
            <w:vAlign w:val="bottom"/>
          </w:tcPr>
          <w:p>
            <w:pPr>
              <w:ind w:left="2140"/>
              <w:spacing w:after="0"/>
              <w:rPr>
                <w:sz w:val="20"/>
                <w:szCs w:val="20"/>
                <w:color w:val="auto"/>
              </w:rPr>
            </w:pPr>
            <w:r>
              <w:rPr>
                <w:rFonts w:ascii="Arial" w:cs="Arial" w:eastAsia="Arial" w:hAnsi="Arial"/>
                <w:sz w:val="19"/>
                <w:szCs w:val="19"/>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Kerensa Kenny as attorney-in-fact</w:t>
            </w:r>
          </w:p>
        </w:tc>
      </w:tr>
      <w:tr>
        <w:trPr>
          <w:trHeight w:val="209"/>
        </w:trPr>
        <w:tc>
          <w:tcPr>
            <w:tcW w:w="35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080" w:type="dxa"/>
            <w:vAlign w:val="bottom"/>
          </w:tcPr>
          <w:p>
            <w:pPr>
              <w:spacing w:after="0" w:line="209" w:lineRule="exact"/>
              <w:rPr>
                <w:sz w:val="20"/>
                <w:szCs w:val="20"/>
                <w:color w:val="auto"/>
              </w:rPr>
            </w:pPr>
            <w:r>
              <w:rPr>
                <w:rFonts w:ascii="Arial" w:cs="Arial" w:eastAsia="Arial" w:hAnsi="Arial"/>
                <w:sz w:val="19"/>
                <w:szCs w:val="19"/>
                <w:color w:val="auto"/>
              </w:rPr>
              <w:t>John G. Freund</w:t>
            </w:r>
          </w:p>
        </w:tc>
      </w:tr>
      <w:tr>
        <w:trPr>
          <w:trHeight w:val="241"/>
        </w:trPr>
        <w:tc>
          <w:tcPr>
            <w:tcW w:w="35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9"/>
                <w:szCs w:val="19"/>
                <w:color w:val="auto"/>
              </w:rPr>
              <w:t>Managing Director</w:t>
            </w:r>
          </w:p>
        </w:tc>
      </w:tr>
      <w:tr>
        <w:trPr>
          <w:trHeight w:val="456"/>
        </w:trPr>
        <w:tc>
          <w:tcPr>
            <w:tcW w:w="3540" w:type="dxa"/>
            <w:vAlign w:val="bottom"/>
          </w:tcPr>
          <w:p>
            <w:pPr>
              <w:spacing w:after="0"/>
              <w:rPr>
                <w:sz w:val="24"/>
                <w:szCs w:val="24"/>
                <w:color w:val="auto"/>
              </w:rPr>
            </w:pPr>
          </w:p>
        </w:tc>
        <w:tc>
          <w:tcPr>
            <w:tcW w:w="8120" w:type="dxa"/>
            <w:vAlign w:val="bottom"/>
            <w:gridSpan w:val="2"/>
          </w:tcPr>
          <w:p>
            <w:pPr>
              <w:ind w:left="2140"/>
              <w:spacing w:after="0"/>
              <w:rPr>
                <w:sz w:val="20"/>
                <w:szCs w:val="20"/>
                <w:color w:val="auto"/>
              </w:rPr>
            </w:pPr>
            <w:r>
              <w:rPr>
                <w:rFonts w:ascii="Arial" w:cs="Arial" w:eastAsia="Arial" w:hAnsi="Arial"/>
                <w:sz w:val="19"/>
                <w:szCs w:val="19"/>
                <w:color w:val="auto"/>
              </w:rPr>
              <w:t>SKYLINE VENTURE MANAGEMENT V, LLC</w:t>
            </w:r>
          </w:p>
        </w:tc>
      </w:tr>
      <w:tr>
        <w:trPr>
          <w:trHeight w:val="457"/>
        </w:trPr>
        <w:tc>
          <w:tcPr>
            <w:tcW w:w="3540" w:type="dxa"/>
            <w:vAlign w:val="bottom"/>
          </w:tcPr>
          <w:p>
            <w:pPr>
              <w:spacing w:after="0"/>
              <w:rPr>
                <w:sz w:val="24"/>
                <w:szCs w:val="24"/>
                <w:color w:val="auto"/>
              </w:rPr>
            </w:pPr>
          </w:p>
        </w:tc>
        <w:tc>
          <w:tcPr>
            <w:tcW w:w="3040" w:type="dxa"/>
            <w:vAlign w:val="bottom"/>
          </w:tcPr>
          <w:p>
            <w:pPr>
              <w:ind w:left="2140"/>
              <w:spacing w:after="0"/>
              <w:rPr>
                <w:sz w:val="20"/>
                <w:szCs w:val="20"/>
                <w:color w:val="auto"/>
              </w:rPr>
            </w:pPr>
            <w:r>
              <w:rPr>
                <w:rFonts w:ascii="Arial" w:cs="Arial" w:eastAsia="Arial" w:hAnsi="Arial"/>
                <w:sz w:val="19"/>
                <w:szCs w:val="19"/>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Kerensa Kenny as attorney-in-fact</w:t>
            </w:r>
          </w:p>
        </w:tc>
      </w:tr>
      <w:tr>
        <w:trPr>
          <w:trHeight w:val="209"/>
        </w:trPr>
        <w:tc>
          <w:tcPr>
            <w:tcW w:w="35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5080" w:type="dxa"/>
            <w:vAlign w:val="bottom"/>
          </w:tcPr>
          <w:p>
            <w:pPr>
              <w:spacing w:after="0" w:line="209" w:lineRule="exact"/>
              <w:rPr>
                <w:sz w:val="20"/>
                <w:szCs w:val="20"/>
                <w:color w:val="auto"/>
              </w:rPr>
            </w:pPr>
            <w:r>
              <w:rPr>
                <w:rFonts w:ascii="Arial" w:cs="Arial" w:eastAsia="Arial" w:hAnsi="Arial"/>
                <w:sz w:val="19"/>
                <w:szCs w:val="19"/>
                <w:color w:val="auto"/>
              </w:rPr>
              <w:t>John G. Freund</w:t>
            </w:r>
          </w:p>
        </w:tc>
      </w:tr>
      <w:tr>
        <w:trPr>
          <w:trHeight w:val="241"/>
        </w:trPr>
        <w:tc>
          <w:tcPr>
            <w:tcW w:w="35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9"/>
                <w:szCs w:val="19"/>
                <w:color w:val="auto"/>
              </w:rPr>
              <w:t>Managing Member</w:t>
            </w:r>
          </w:p>
        </w:tc>
      </w:tr>
    </w:tbl>
    <w:p>
      <w:pPr>
        <w:spacing w:after="0" w:line="215" w:lineRule="exact"/>
        <w:rPr>
          <w:sz w:val="20"/>
          <w:szCs w:val="20"/>
          <w:color w:val="auto"/>
        </w:rPr>
      </w:pPr>
    </w:p>
    <w:p>
      <w:pPr>
        <w:ind w:left="6920"/>
        <w:spacing w:after="0"/>
        <w:rPr>
          <w:sz w:val="20"/>
          <w:szCs w:val="20"/>
          <w:color w:val="auto"/>
        </w:rPr>
      </w:pPr>
      <w:r>
        <w:rPr>
          <w:rFonts w:ascii="Arial" w:cs="Arial" w:eastAsia="Arial" w:hAnsi="Arial"/>
          <w:sz w:val="19"/>
          <w:szCs w:val="19"/>
          <w:color w:val="auto"/>
        </w:rPr>
        <w:t>/s/ Kerensa Kenny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15240</wp:posOffset>
            </wp:positionV>
            <wp:extent cx="32327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4" w:lineRule="exact"/>
        <w:rPr>
          <w:sz w:val="20"/>
          <w:szCs w:val="20"/>
          <w:color w:val="auto"/>
        </w:rPr>
      </w:pPr>
    </w:p>
    <w:p>
      <w:pPr>
        <w:ind w:left="6920"/>
        <w:spacing w:after="0"/>
        <w:rPr>
          <w:sz w:val="20"/>
          <w:szCs w:val="20"/>
          <w:color w:val="auto"/>
        </w:rPr>
      </w:pPr>
      <w:r>
        <w:rPr>
          <w:rFonts w:ascii="Arial" w:cs="Arial" w:eastAsia="Arial" w:hAnsi="Arial"/>
          <w:sz w:val="19"/>
          <w:szCs w:val="19"/>
          <w:color w:val="auto"/>
        </w:rPr>
        <w:t>YASUNORI KANEKO</w:t>
      </w:r>
    </w:p>
    <w:p>
      <w:pPr>
        <w:spacing w:after="0" w:line="238" w:lineRule="exact"/>
        <w:rPr>
          <w:sz w:val="20"/>
          <w:szCs w:val="20"/>
          <w:color w:val="auto"/>
        </w:rPr>
      </w:pPr>
    </w:p>
    <w:p>
      <w:pPr>
        <w:ind w:left="6920"/>
        <w:spacing w:after="0"/>
        <w:rPr>
          <w:sz w:val="20"/>
          <w:szCs w:val="20"/>
          <w:color w:val="auto"/>
        </w:rPr>
      </w:pPr>
      <w:r>
        <w:rPr>
          <w:rFonts w:ascii="Arial" w:cs="Arial" w:eastAsia="Arial" w:hAnsi="Arial"/>
          <w:sz w:val="19"/>
          <w:szCs w:val="19"/>
          <w:color w:val="auto"/>
        </w:rPr>
        <w:t>/s/ Kerensa Kenny as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15240</wp:posOffset>
            </wp:positionV>
            <wp:extent cx="323278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4" w:lineRule="exact"/>
        <w:rPr>
          <w:sz w:val="20"/>
          <w:szCs w:val="20"/>
          <w:color w:val="auto"/>
        </w:rPr>
      </w:pPr>
    </w:p>
    <w:p>
      <w:pPr>
        <w:ind w:left="6920"/>
        <w:spacing w:after="0"/>
        <w:rPr>
          <w:sz w:val="20"/>
          <w:szCs w:val="20"/>
          <w:color w:val="auto"/>
        </w:rPr>
      </w:pPr>
      <w:r>
        <w:rPr>
          <w:rFonts w:ascii="Arial" w:cs="Arial" w:eastAsia="Arial" w:hAnsi="Arial"/>
          <w:sz w:val="19"/>
          <w:szCs w:val="19"/>
          <w:color w:val="auto"/>
        </w:rPr>
        <w:t>JOHN G. FREUND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2000"/>
      </w:cols>
      <w:pgMar w:left="120" w:top="0"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lowerLetter"/>
      <w:start w:val="3"/>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lvl w:ilvl="1">
      <w:lvlJc w:val="left"/>
      <w:lvlText w:val="(%2)"/>
      <w:numFmt w:val="lowerLetter"/>
      <w:start w:val="1"/>
    </w:lvl>
  </w:abstractNum>
  <w:abstractNum w:abstractNumId="3">
    <w:nsid w:val="12200854"/>
    <w:multiLevelType w:val="hybridMultilevel"/>
    <w:lvl w:ilvl="0">
      <w:lvlJc w:val="left"/>
      <w:lvlText w:val="%1"/>
      <w:numFmt w:val="decimal"/>
      <w:start w:val="1"/>
    </w:lvl>
    <w:lvl w:ilvl="1">
      <w:lvlJc w:val="left"/>
      <w:lvlText w:val="%2."/>
      <w:numFmt w:val="decimal"/>
      <w:start w:val="9"/>
    </w:lvl>
  </w:abstractNum>
  <w:abstractNum w:abstractNumId="4">
    <w:nsid w:val="4DB127F8"/>
    <w:multiLevelType w:val="hybridMultilevel"/>
    <w:lvl w:ilvl="0">
      <w:lvlJc w:val="left"/>
      <w:lvlText w:val="(%1)"/>
      <w:numFmt w:val="decimal"/>
      <w:start w:val="1"/>
    </w:lvl>
    <w:lvl w:ilvl="1">
      <w:lvlJc w:val="left"/>
      <w:lvlText w:val="%2"/>
      <w:numFmt w:val="decimal"/>
      <w:start w:val="1"/>
    </w:lvl>
  </w:abstractNum>
  <w:abstractNum w:abstractNumId="5">
    <w:nsid w:val="216231B"/>
    <w:multiLevelType w:val="hybridMultilevel"/>
    <w:lvl w:ilvl="0">
      <w:lvlJc w:val="left"/>
      <w:lvlText w:val="%1."/>
      <w:numFmt w:val="decimal"/>
      <w:start w:val="1"/>
    </w:lvl>
    <w:lvl w:ilvl="1">
      <w:lvlJc w:val="left"/>
      <w:lvlText w:val="(%2)"/>
      <w:numFmt w:val="lowerLetter"/>
      <w:start w:val="1"/>
    </w:lvl>
  </w:abstractNum>
  <w:abstractNum w:abstractNumId="6">
    <w:nsid w:val="1F16E9E8"/>
    <w:multiLevelType w:val="hybridMultilevel"/>
    <w:lvl w:ilvl="0">
      <w:lvlJc w:val="left"/>
      <w:lvlText w:val="%1"/>
      <w:numFmt w:val="decimal"/>
      <w:start w:val="1"/>
    </w:lvl>
    <w:lvl w:ilvl="1">
      <w:lvlJc w:val="left"/>
      <w:lvlText w:val="%2."/>
      <w:numFmt w:val="decimal"/>
      <w:start w:val="9"/>
    </w:lvl>
  </w:abstractNum>
  <w:abstractNum w:abstractNumId="7">
    <w:nsid w:val="1190CDE7"/>
    <w:multiLevelType w:val="hybridMultilevel"/>
    <w:lvl w:ilvl="0">
      <w:lvlJc w:val="left"/>
      <w:lvlText w:val="(%1)"/>
      <w:numFmt w:val="decimal"/>
      <w:start w:val="1"/>
    </w:lvl>
    <w:lvl w:ilvl="1">
      <w:lvlJc w:val="left"/>
      <w:lvlText w:val="%2"/>
      <w:numFmt w:val="decimal"/>
      <w:start w:val="1"/>
    </w:lvl>
  </w:abstractNum>
  <w:abstractNum w:abstractNumId="8">
    <w:nsid w:val="66EF438D"/>
    <w:multiLevelType w:val="hybridMultilevel"/>
    <w:lvl w:ilvl="0">
      <w:lvlJc w:val="left"/>
      <w:lvlText w:val="%1."/>
      <w:numFmt w:val="decimal"/>
      <w:start w:val="1"/>
    </w:lvl>
    <w:lvl w:ilvl="1">
      <w:lvlJc w:val="left"/>
      <w:lvlText w:val="(%2)"/>
      <w:numFmt w:val="lowerLetter"/>
      <w:start w:val="1"/>
    </w:lvl>
  </w:abstractNum>
  <w:abstractNum w:abstractNumId="9">
    <w:nsid w:val="140E0F76"/>
    <w:multiLevelType w:val="hybridMultilevel"/>
    <w:lvl w:ilvl="0">
      <w:lvlJc w:val="left"/>
      <w:lvlText w:val="%1"/>
      <w:numFmt w:val="decimal"/>
      <w:start w:val="1"/>
    </w:lvl>
    <w:lvl w:ilvl="1">
      <w:lvlJc w:val="left"/>
      <w:lvlText w:val="%2."/>
      <w:numFmt w:val="decimal"/>
      <w:start w:val="9"/>
    </w:lvl>
  </w:abstractNum>
  <w:abstractNum w:abstractNumId="10">
    <w:nsid w:val="3352255A"/>
    <w:multiLevelType w:val="hybridMultilevel"/>
    <w:lvl w:ilvl="0">
      <w:lvlJc w:val="left"/>
      <w:lvlText w:val="(%1)"/>
      <w:numFmt w:val="decimal"/>
      <w:start w:val="1"/>
    </w:lvl>
    <w:lvl w:ilvl="1">
      <w:lvlJc w:val="left"/>
      <w:lvlText w:val="%2"/>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decimal"/>
      <w:start w:val="9"/>
    </w:lvl>
  </w:abstractNum>
  <w:abstractNum w:abstractNumId="13">
    <w:nsid w:val="7FDCC233"/>
    <w:multiLevelType w:val="hybridMultilevel"/>
    <w:lvl w:ilvl="0">
      <w:lvlJc w:val="left"/>
      <w:lvlText w:val="(%1)"/>
      <w:numFmt w:val="decimal"/>
      <w:start w:val="1"/>
    </w:lvl>
    <w:lvl w:ilvl="1">
      <w:lvlJc w:val="left"/>
      <w:lvlText w:val="%2"/>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2019-11-24T21:45:14Z</dcterms:created>
  <dcterms:modified xsi:type="dcterms:W3CDTF">2019-11-24T21:45:14Z</dcterms:modified>
</cp:coreProperties>
</file>