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08/10/2020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40" w:type="dxa"/>
            <w:vAlign w:val="bottom"/>
            <w:gridSpan w:val="3"/>
          </w:tcPr>
          <w:p>
            <w:pPr>
              <w:ind w:left="860"/>
              <w:spacing w:after="0"/>
              <w:rPr>
                <w:sz w:val="20"/>
                <w:szCs w:val="20"/>
                <w:color w:val="auto"/>
              </w:rPr>
            </w:pPr>
            <w:r>
              <w:rPr>
                <w:rFonts w:ascii="Arial" w:cs="Arial" w:eastAsia="Arial" w:hAnsi="Arial"/>
                <w:sz w:val="17"/>
                <w:szCs w:val="17"/>
                <w:color w:val="0000FF"/>
              </w:rPr>
              <w:t>08/10/2020</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4,029</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4.32</w:t>
            </w:r>
          </w:p>
        </w:tc>
        <w:tc>
          <w:tcPr>
            <w:tcW w:w="1300" w:type="dxa"/>
            <w:vAlign w:val="bottom"/>
            <w:gridSpan w:val="3"/>
          </w:tcPr>
          <w:p>
            <w:pPr>
              <w:jc w:val="right"/>
              <w:ind w:right="281"/>
              <w:spacing w:after="0"/>
              <w:rPr>
                <w:sz w:val="20"/>
                <w:szCs w:val="20"/>
                <w:color w:val="auto"/>
              </w:rPr>
            </w:pPr>
            <w:r>
              <w:rPr>
                <w:rFonts w:ascii="Arial" w:cs="Arial" w:eastAsia="Arial" w:hAnsi="Arial"/>
                <w:sz w:val="17"/>
                <w:szCs w:val="17"/>
                <w:color w:val="0000FF"/>
              </w:rPr>
              <w:t>142,319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08/10/2020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4,029</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1"/>
              <w:spacing w:after="0"/>
              <w:rPr>
                <w:sz w:val="20"/>
                <w:szCs w:val="20"/>
                <w:color w:val="auto"/>
              </w:rPr>
            </w:pPr>
            <w:r>
              <w:rPr>
                <w:rFonts w:ascii="Arial" w:cs="Arial" w:eastAsia="Arial" w:hAnsi="Arial"/>
                <w:sz w:val="17"/>
                <w:szCs w:val="17"/>
                <w:color w:val="0000FF"/>
              </w:rPr>
              <w:t>138,290</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08/10/2020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ind w:left="480"/>
              <w:spacing w:after="0"/>
              <w:rPr>
                <w:sz w:val="20"/>
                <w:szCs w:val="20"/>
                <w:color w:val="auto"/>
              </w:rPr>
            </w:pPr>
            <w:r>
              <w:rPr>
                <w:rFonts w:ascii="Arial" w:cs="Arial" w:eastAsia="Arial" w:hAnsi="Arial"/>
                <w:sz w:val="13"/>
                <w:szCs w:val="13"/>
                <w:color w:val="0000FF"/>
              </w:rPr>
              <w:t>4,029</w:t>
            </w: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05/25/2025</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2"/>
              <w:spacing w:after="0"/>
              <w:rPr>
                <w:sz w:val="20"/>
                <w:szCs w:val="20"/>
                <w:color w:val="auto"/>
              </w:rPr>
            </w:pPr>
            <w:r>
              <w:rPr>
                <w:rFonts w:ascii="Arial" w:cs="Arial" w:eastAsia="Arial" w:hAnsi="Arial"/>
                <w:sz w:val="17"/>
                <w:szCs w:val="17"/>
                <w:color w:val="0000FF"/>
                <w:w w:val="93"/>
              </w:rPr>
              <w:t>4,029</w:t>
            </w:r>
          </w:p>
        </w:tc>
        <w:tc>
          <w:tcPr>
            <w:tcW w:w="40" w:type="dxa"/>
            <w:vAlign w:val="bottom"/>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140,521</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86,134 shares issuable on the settlement of restricted stock units granted to the Reporting Person. Each restricted stock unit represents a contingent right to receive one shares of the Issuer's common stock.</w:t>
      </w:r>
    </w:p>
    <w:p>
      <w:pPr>
        <w:spacing w:after="0" w:line="23" w:lineRule="exact"/>
        <w:rPr>
          <w:rFonts w:ascii="Arial" w:cs="Arial" w:eastAsia="Arial" w:hAnsi="Arial"/>
          <w:sz w:val="13"/>
          <w:szCs w:val="13"/>
          <w:color w:val="008000"/>
        </w:rPr>
      </w:pPr>
    </w:p>
    <w:p>
      <w:pPr>
        <w:ind w:left="40" w:right="4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May 26, 2015, subject to Reporting Person's continued service through each relevant vesting date. The shares subject to this option may be exercised prior to vesting, subject to Issuer's right to repurchase.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08/12/2020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15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2020-08-12T16:24:28Z</dcterms:created>
  <dcterms:modified xsi:type="dcterms:W3CDTF">2020-08-12T16:24:28Z</dcterms:modified>
</cp:coreProperties>
</file>