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158750</wp:posOffset>
            </wp:positionV>
            <wp:extent cx="20237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278130</wp:posOffset>
            </wp:positionV>
            <wp:extent cx="20237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(Mark one)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b w:val="1"/>
          <w:bCs w:val="1"/>
          <w:color w:val="auto"/>
        </w:rPr>
        <w:t>QUARTERLY REPORT PURSUANT TO SECTION 13 OR 15(d) OF THE SECURITIES EXCHANGE ACT OF 1934</w:t>
      </w:r>
    </w:p>
    <w:p>
      <w:pPr>
        <w:spacing w:after="0" w:line="174"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For the quarterly period ended June 30, 2019</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6"/>
          <w:szCs w:val="16"/>
          <w:b w:val="1"/>
          <w:bCs w:val="1"/>
          <w:color w:val="auto"/>
        </w:rPr>
        <w:t>TRANSITION REPORT PURSUANT TO SECTION 13 OR 15(d) OF THE SECURITIES EXCHANGE ACT OF 1934</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14"/>
          <w:szCs w:val="14"/>
          <w:b w:val="1"/>
          <w:bCs w:val="1"/>
          <w:color w:val="auto"/>
        </w:rPr>
        <w:t>For the transition period from __________ to __________</w:t>
      </w:r>
    </w:p>
    <w:p>
      <w:pPr>
        <w:spacing w:after="0" w:line="14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001-38701</w:t>
      </w: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SI-BONE, INC.</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190500</wp:posOffset>
            </wp:positionV>
            <wp:extent cx="20237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53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1"/>
              </w:rPr>
              <w:t>Delaware</w:t>
            </w: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760" w:type="dxa"/>
            <w:vAlign w:val="bottom"/>
            <w:gridSpan w:val="2"/>
          </w:tcPr>
          <w:p>
            <w:pPr>
              <w:ind w:left="1440"/>
              <w:spacing w:after="0"/>
              <w:rPr>
                <w:sz w:val="20"/>
                <w:szCs w:val="20"/>
                <w:color w:val="auto"/>
              </w:rPr>
            </w:pPr>
            <w:r>
              <w:rPr>
                <w:rFonts w:ascii="Arial" w:cs="Arial" w:eastAsia="Arial" w:hAnsi="Arial"/>
                <w:sz w:val="16"/>
                <w:szCs w:val="16"/>
                <w:b w:val="1"/>
                <w:bCs w:val="1"/>
                <w:color w:val="auto"/>
              </w:rPr>
              <w:t>26-2216351</w:t>
            </w:r>
          </w:p>
        </w:tc>
      </w:tr>
      <w:tr>
        <w:trPr>
          <w:trHeight w:val="186"/>
        </w:trPr>
        <w:tc>
          <w:tcPr>
            <w:tcW w:w="53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(State or Other Jurisdiction of</w:t>
            </w: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jc w:val="center"/>
              <w:ind w:left="84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3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Incorporation or Organization)</w:t>
            </w: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jc w:val="center"/>
              <w:ind w:left="868"/>
              <w:spacing w:after="0"/>
              <w:rPr>
                <w:sz w:val="20"/>
                <w:szCs w:val="20"/>
                <w:color w:val="auto"/>
              </w:rPr>
            </w:pPr>
            <w:r>
              <w:rPr>
                <w:rFonts w:ascii="Arial" w:cs="Arial" w:eastAsia="Arial" w:hAnsi="Arial"/>
                <w:sz w:val="14"/>
                <w:szCs w:val="14"/>
                <w:b w:val="1"/>
                <w:bCs w:val="1"/>
                <w:color w:val="auto"/>
                <w:w w:val="95"/>
              </w:rPr>
              <w:t>Identification Number)</w:t>
            </w:r>
          </w:p>
        </w:tc>
      </w:tr>
      <w:tr>
        <w:trPr>
          <w:trHeight w:val="614"/>
        </w:trPr>
        <w:tc>
          <w:tcPr>
            <w:tcW w:w="534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3"/>
              </w:rPr>
              <w:t>471 El Camino Real, Suite 101, Santa Clara, California</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60" w:type="dxa"/>
            <w:vAlign w:val="bottom"/>
            <w:gridSpan w:val="2"/>
          </w:tcPr>
          <w:p>
            <w:pPr>
              <w:jc w:val="right"/>
              <w:ind w:right="688"/>
              <w:spacing w:after="0"/>
              <w:rPr>
                <w:sz w:val="20"/>
                <w:szCs w:val="20"/>
                <w:color w:val="auto"/>
              </w:rPr>
            </w:pPr>
            <w:r>
              <w:rPr>
                <w:rFonts w:ascii="Arial" w:cs="Arial" w:eastAsia="Arial" w:hAnsi="Arial"/>
                <w:sz w:val="16"/>
                <w:szCs w:val="16"/>
                <w:b w:val="1"/>
                <w:bCs w:val="1"/>
                <w:color w:val="auto"/>
              </w:rPr>
              <w:t>95050</w:t>
            </w:r>
          </w:p>
        </w:tc>
      </w:tr>
      <w:tr>
        <w:trPr>
          <w:trHeight w:val="291"/>
        </w:trPr>
        <w:tc>
          <w:tcPr>
            <w:tcW w:w="53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ind w:left="1380"/>
              <w:spacing w:after="0"/>
              <w:rPr>
                <w:sz w:val="20"/>
                <w:szCs w:val="20"/>
                <w:color w:val="auto"/>
              </w:rPr>
            </w:pPr>
            <w:r>
              <w:rPr>
                <w:rFonts w:ascii="Arial" w:cs="Arial" w:eastAsia="Arial" w:hAnsi="Arial"/>
                <w:sz w:val="14"/>
                <w:szCs w:val="14"/>
                <w:b w:val="1"/>
                <w:bCs w:val="1"/>
                <w:color w:val="auto"/>
              </w:rPr>
              <w:t>(Zip Code)</w:t>
            </w:r>
          </w:p>
        </w:tc>
      </w:tr>
      <w:tr>
        <w:trPr>
          <w:trHeight w:val="216"/>
        </w:trPr>
        <w:tc>
          <w:tcPr>
            <w:tcW w:w="2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20" w:type="dxa"/>
            <w:vAlign w:val="bottom"/>
            <w:gridSpan w:val="6"/>
          </w:tcPr>
          <w:p>
            <w:pPr>
              <w:jc w:val="right"/>
              <w:ind w:right="2208"/>
              <w:spacing w:after="0"/>
              <w:rPr>
                <w:sz w:val="20"/>
                <w:szCs w:val="20"/>
                <w:color w:val="auto"/>
              </w:rPr>
            </w:pPr>
            <w:r>
              <w:rPr>
                <w:rFonts w:ascii="Arial" w:cs="Arial" w:eastAsia="Arial" w:hAnsi="Arial"/>
                <w:sz w:val="14"/>
                <w:szCs w:val="14"/>
                <w:b w:val="1"/>
                <w:bCs w:val="1"/>
                <w:color w:val="auto"/>
                <w:w w:val="96"/>
              </w:rPr>
              <w:t>Registrant's telephone number, including area code</w:t>
            </w:r>
            <w:r>
              <w:rPr>
                <w:rFonts w:ascii="Arial" w:cs="Arial" w:eastAsia="Arial" w:hAnsi="Arial"/>
                <w:sz w:val="14"/>
                <w:szCs w:val="14"/>
                <w:color w:val="auto"/>
                <w:w w:val="96"/>
              </w:rPr>
              <w:t>:</w:t>
            </w:r>
            <w:r>
              <w:rPr>
                <w:rFonts w:ascii="Arial" w:cs="Arial" w:eastAsia="Arial" w:hAnsi="Arial"/>
                <w:sz w:val="14"/>
                <w:szCs w:val="14"/>
                <w:b w:val="1"/>
                <w:bCs w:val="1"/>
                <w:color w:val="auto"/>
                <w:w w:val="96"/>
              </w:rPr>
              <w:t xml:space="preserve"> (408) 207-0700</w:t>
            </w:r>
          </w:p>
        </w:tc>
      </w:tr>
      <w:tr>
        <w:trPr>
          <w:trHeight w:val="262"/>
        </w:trPr>
        <w:tc>
          <w:tcPr>
            <w:tcW w:w="2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80" w:type="dxa"/>
            <w:vAlign w:val="bottom"/>
          </w:tcPr>
          <w:p>
            <w:pPr>
              <w:spacing w:after="0"/>
              <w:rPr>
                <w:sz w:val="22"/>
                <w:szCs w:val="22"/>
                <w:color w:val="auto"/>
              </w:rPr>
            </w:pPr>
          </w:p>
        </w:tc>
      </w:tr>
      <w:tr>
        <w:trPr>
          <w:trHeight w:val="272"/>
        </w:trPr>
        <w:tc>
          <w:tcPr>
            <w:tcW w:w="534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96"/>
        </w:trPr>
        <w:tc>
          <w:tcPr>
            <w:tcW w:w="23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900" w:type="dxa"/>
            <w:vAlign w:val="bottom"/>
            <w:gridSpan w:val="2"/>
          </w:tcPr>
          <w:p>
            <w:pPr>
              <w:spacing w:after="0"/>
              <w:rPr>
                <w:sz w:val="24"/>
                <w:szCs w:val="24"/>
                <w:color w:val="auto"/>
              </w:rPr>
            </w:pPr>
          </w:p>
        </w:tc>
        <w:tc>
          <w:tcPr>
            <w:tcW w:w="19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Trading Symbol(s)</w:t>
            </w:r>
          </w:p>
        </w:tc>
        <w:tc>
          <w:tcPr>
            <w:tcW w:w="276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2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11"/>
        </w:trPr>
        <w:tc>
          <w:tcPr>
            <w:tcW w:w="5340" w:type="dxa"/>
            <w:vAlign w:val="bottom"/>
            <w:gridSpan w:val="4"/>
          </w:tcPr>
          <w:p>
            <w:pPr>
              <w:jc w:val="center"/>
              <w:ind w:left="385"/>
              <w:spacing w:after="0"/>
              <w:rPr>
                <w:sz w:val="20"/>
                <w:szCs w:val="20"/>
                <w:color w:val="auto"/>
              </w:rPr>
            </w:pPr>
            <w:r>
              <w:rPr>
                <w:rFonts w:ascii="Arial" w:cs="Arial" w:eastAsia="Arial" w:hAnsi="Arial"/>
                <w:sz w:val="14"/>
                <w:szCs w:val="14"/>
                <w:color w:val="auto"/>
                <w:w w:val="91"/>
              </w:rPr>
              <w:t>Common Stock, par value $0.0001 per share</w:t>
            </w:r>
          </w:p>
        </w:tc>
        <w:tc>
          <w:tcPr>
            <w:tcW w:w="1960" w:type="dxa"/>
            <w:vAlign w:val="bottom"/>
            <w:gridSpan w:val="2"/>
          </w:tcPr>
          <w:p>
            <w:pPr>
              <w:jc w:val="center"/>
              <w:ind w:right="820"/>
              <w:spacing w:after="0"/>
              <w:rPr>
                <w:sz w:val="20"/>
                <w:szCs w:val="20"/>
                <w:color w:val="auto"/>
              </w:rPr>
            </w:pPr>
            <w:r>
              <w:rPr>
                <w:rFonts w:ascii="Arial" w:cs="Arial" w:eastAsia="Arial" w:hAnsi="Arial"/>
                <w:sz w:val="14"/>
                <w:szCs w:val="14"/>
                <w:color w:val="auto"/>
              </w:rPr>
              <w:t>SIBN</w:t>
            </w:r>
          </w:p>
        </w:tc>
        <w:tc>
          <w:tcPr>
            <w:tcW w:w="8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317" w:lineRule="exact"/>
        <w:rPr>
          <w:sz w:val="24"/>
          <w:szCs w:val="24"/>
          <w:color w:val="auto"/>
        </w:rPr>
      </w:pPr>
    </w:p>
    <w:p>
      <w:pPr>
        <w:jc w:val="center"/>
        <w:ind w:left="30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4" w:lineRule="exact"/>
        <w:rPr>
          <w:sz w:val="24"/>
          <w:szCs w:val="24"/>
          <w:color w:val="auto"/>
        </w:rPr>
      </w:pPr>
    </w:p>
    <w:p>
      <w:pPr>
        <w:jc w:val="center"/>
        <w:ind w:left="280" w:right="100"/>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74" w:lineRule="exact"/>
        <w:rPr>
          <w:sz w:val="24"/>
          <w:szCs w:val="24"/>
          <w:color w:val="auto"/>
        </w:rPr>
      </w:pPr>
    </w:p>
    <w:p>
      <w:pPr>
        <w:jc w:val="center"/>
        <w:ind w:left="280" w:right="28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8" w:lineRule="exact"/>
        <w:rPr>
          <w:sz w:val="24"/>
          <w:szCs w:val="24"/>
          <w:color w:val="auto"/>
        </w:rPr>
      </w:pPr>
    </w:p>
    <w:tbl>
      <w:tblPr>
        <w:tblLayout w:type="fixed"/>
        <w:tblInd w:w="1200" w:type="dxa"/>
        <w:tblCellMar>
          <w:top w:w="0" w:type="dxa"/>
          <w:left w:w="0" w:type="dxa"/>
          <w:bottom w:w="0" w:type="dxa"/>
          <w:right w:w="0" w:type="dxa"/>
        </w:tblCellMar>
      </w:tblPr>
      <w:tr>
        <w:trPr>
          <w:trHeight w:val="182"/>
        </w:trPr>
        <w:tc>
          <w:tcPr>
            <w:tcW w:w="1620" w:type="dxa"/>
            <w:vAlign w:val="bottom"/>
          </w:tcPr>
          <w:p>
            <w:pPr>
              <w:jc w:val="right"/>
              <w:spacing w:after="0"/>
              <w:rPr>
                <w:sz w:val="20"/>
                <w:szCs w:val="20"/>
                <w:color w:val="auto"/>
              </w:rPr>
            </w:pPr>
            <w:r>
              <w:rPr>
                <w:rFonts w:ascii="Arial" w:cs="Arial" w:eastAsia="Arial" w:hAnsi="Arial"/>
                <w:sz w:val="14"/>
                <w:szCs w:val="14"/>
                <w:color w:val="auto"/>
              </w:rPr>
              <w:t>Large accelerated filer o</w:t>
            </w:r>
          </w:p>
        </w:tc>
        <w:tc>
          <w:tcPr>
            <w:tcW w:w="1120" w:type="dxa"/>
            <w:vAlign w:val="bottom"/>
          </w:tcPr>
          <w:p>
            <w:pPr>
              <w:spacing w:after="0"/>
              <w:rPr>
                <w:sz w:val="15"/>
                <w:szCs w:val="15"/>
                <w:color w:val="auto"/>
              </w:rPr>
            </w:pPr>
          </w:p>
        </w:tc>
        <w:tc>
          <w:tcPr>
            <w:tcW w:w="3740" w:type="dxa"/>
            <w:vAlign w:val="bottom"/>
          </w:tcPr>
          <w:p>
            <w:pPr>
              <w:jc w:val="center"/>
              <w:spacing w:after="0"/>
              <w:rPr>
                <w:sz w:val="20"/>
                <w:szCs w:val="20"/>
                <w:color w:val="auto"/>
              </w:rPr>
            </w:pPr>
            <w:r>
              <w:rPr>
                <w:rFonts w:ascii="Arial" w:cs="Arial" w:eastAsia="Arial" w:hAnsi="Arial"/>
                <w:sz w:val="14"/>
                <w:szCs w:val="14"/>
                <w:color w:val="auto"/>
                <w:w w:val="99"/>
              </w:rPr>
              <w:t>Accelerated filer o</w:t>
            </w:r>
          </w:p>
        </w:tc>
        <w:tc>
          <w:tcPr>
            <w:tcW w:w="2440" w:type="dxa"/>
            <w:vAlign w:val="bottom"/>
          </w:tcPr>
          <w:p>
            <w:pPr>
              <w:ind w:left="1080"/>
              <w:spacing w:after="0"/>
              <w:rPr>
                <w:sz w:val="20"/>
                <w:szCs w:val="20"/>
                <w:color w:val="auto"/>
              </w:rPr>
            </w:pPr>
            <w:r>
              <w:rPr>
                <w:rFonts w:ascii="Arial" w:cs="Arial" w:eastAsia="Arial" w:hAnsi="Arial"/>
                <w:sz w:val="14"/>
                <w:szCs w:val="14"/>
                <w:color w:val="auto"/>
                <w:w w:val="95"/>
              </w:rPr>
              <w:t>Non-accelerated filer x</w:t>
            </w:r>
          </w:p>
        </w:tc>
        <w:tc>
          <w:tcPr>
            <w:tcW w:w="0" w:type="dxa"/>
            <w:vAlign w:val="bottom"/>
          </w:tcPr>
          <w:p>
            <w:pPr>
              <w:spacing w:after="0"/>
              <w:rPr>
                <w:sz w:val="1"/>
                <w:szCs w:val="1"/>
                <w:color w:val="auto"/>
              </w:rPr>
            </w:pPr>
          </w:p>
        </w:tc>
      </w:tr>
      <w:tr>
        <w:trPr>
          <w:trHeight w:val="203"/>
        </w:trPr>
        <w:tc>
          <w:tcPr>
            <w:tcW w:w="1620" w:type="dxa"/>
            <w:vAlign w:val="bottom"/>
          </w:tcPr>
          <w:p>
            <w:pPr>
              <w:jc w:val="right"/>
              <w:spacing w:after="0"/>
              <w:rPr>
                <w:sz w:val="20"/>
                <w:szCs w:val="20"/>
                <w:color w:val="auto"/>
              </w:rPr>
            </w:pPr>
            <w:r>
              <w:rPr>
                <w:rFonts w:ascii="Arial" w:cs="Arial" w:eastAsia="Arial" w:hAnsi="Arial"/>
                <w:sz w:val="14"/>
                <w:szCs w:val="14"/>
                <w:color w:val="auto"/>
                <w:w w:val="93"/>
              </w:rPr>
              <w:t>Smaller reporting company</w:t>
            </w:r>
          </w:p>
        </w:tc>
        <w:tc>
          <w:tcPr>
            <w:tcW w:w="1120" w:type="dxa"/>
            <w:vAlign w:val="bottom"/>
          </w:tcPr>
          <w:p>
            <w:pPr>
              <w:ind w:left="20"/>
              <w:spacing w:after="0"/>
              <w:rPr>
                <w:sz w:val="20"/>
                <w:szCs w:val="20"/>
                <w:color w:val="auto"/>
              </w:rPr>
            </w:pPr>
            <w:r>
              <w:rPr>
                <w:rFonts w:ascii="Arial" w:cs="Arial" w:eastAsia="Arial" w:hAnsi="Arial"/>
                <w:sz w:val="14"/>
                <w:szCs w:val="14"/>
                <w:color w:val="auto"/>
              </w:rPr>
              <w:t>x</w:t>
            </w:r>
          </w:p>
        </w:tc>
        <w:tc>
          <w:tcPr>
            <w:tcW w:w="3740" w:type="dxa"/>
            <w:vAlign w:val="bottom"/>
            <w:vMerge w:val="restart"/>
          </w:tcPr>
          <w:p>
            <w:pPr>
              <w:jc w:val="center"/>
              <w:spacing w:after="0"/>
              <w:rPr>
                <w:sz w:val="20"/>
                <w:szCs w:val="20"/>
                <w:color w:val="auto"/>
              </w:rPr>
            </w:pPr>
            <w:r>
              <w:rPr>
                <w:rFonts w:ascii="Arial" w:cs="Arial" w:eastAsia="Arial" w:hAnsi="Arial"/>
                <w:sz w:val="14"/>
                <w:szCs w:val="14"/>
                <w:color w:val="auto"/>
                <w:w w:val="94"/>
              </w:rPr>
              <w:t>Emerging growth company x</w:t>
            </w: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740" w:type="dxa"/>
            <w:vAlign w:val="bottom"/>
            <w:vMerge w:val="continue"/>
          </w:tcPr>
          <w:p>
            <w:pPr>
              <w:spacing w:after="0"/>
              <w:rPr>
                <w:sz w:val="4"/>
                <w:szCs w:val="4"/>
                <w:color w:val="auto"/>
              </w:rPr>
            </w:pPr>
          </w:p>
        </w:tc>
        <w:tc>
          <w:tcPr>
            <w:tcW w:w="24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15" w:lineRule="exact"/>
        <w:rPr>
          <w:sz w:val="24"/>
          <w:szCs w:val="24"/>
          <w:color w:val="auto"/>
        </w:rPr>
      </w:pPr>
    </w:p>
    <w:p>
      <w:pPr>
        <w:jc w:val="center"/>
        <w:ind w:left="300" w:right="4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7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x</w:t>
      </w: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The number of shares outstanding of the registrant’s Common Stock, par value $.0001 per share, was 24,801,172 as of August 5, 2019.</w:t>
      </w:r>
    </w:p>
    <w:p>
      <w:pPr>
        <w:sectPr>
          <w:pgSz w:w="11900" w:h="16838" w:orient="portrait"/>
          <w:cols w:equalWidth="0" w:num="1">
            <w:col w:w="11380"/>
          </w:cols>
          <w:pgMar w:left="240" w:top="625"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243"/>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20" w:type="dxa"/>
            <w:vAlign w:val="bottom"/>
            <w:gridSpan w:val="7"/>
          </w:tcPr>
          <w:p>
            <w:pPr>
              <w:jc w:val="center"/>
              <w:ind w:right="2980"/>
              <w:spacing w:after="0"/>
              <w:rPr>
                <w:sz w:val="20"/>
                <w:szCs w:val="20"/>
                <w:color w:val="auto"/>
              </w:rPr>
            </w:pPr>
            <w:r>
              <w:rPr>
                <w:rFonts w:ascii="Arial" w:cs="Arial" w:eastAsia="Arial" w:hAnsi="Arial"/>
                <w:sz w:val="18"/>
                <w:szCs w:val="18"/>
                <w:b w:val="1"/>
                <w:bCs w:val="1"/>
                <w:color w:val="auto"/>
              </w:rPr>
              <w:t>PART I-FINANCIAL INFORMATION</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1260" w:type="dxa"/>
            <w:vAlign w:val="bottom"/>
            <w:gridSpan w:val="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956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Balance Sheets</w:t>
              </w:r>
            </w:hyperlink>
          </w:p>
        </w:tc>
        <w:tc>
          <w:tcPr>
            <w:tcW w:w="6620" w:type="dxa"/>
            <w:vAlign w:val="bottom"/>
            <w:gridSpan w:val="7"/>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6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and Comprehensive Loss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60" w:type="dxa"/>
            <w:vAlign w:val="bottom"/>
            <w:gridSpan w:val="14"/>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Statements of Changes in Redeemable Convertible Preferred Stock and Stockholders' Equity (Deficit)</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Condensed Consolidated Statements of Cash Flows</w:t>
              </w:r>
            </w:hyperlink>
          </w:p>
        </w:tc>
        <w:tc>
          <w:tcPr>
            <w:tcW w:w="5460" w:type="dxa"/>
            <w:vAlign w:val="bottom"/>
            <w:tcBorders>
              <w:top w:val="single" w:sz="8" w:color="0000EE"/>
            </w:tcBorders>
            <w:gridSpan w:val="5"/>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Condensed Consolidated Financial Statements</w:t>
              </w:r>
            </w:hyperlink>
          </w:p>
        </w:tc>
        <w:tc>
          <w:tcPr>
            <w:tcW w:w="5560" w:type="dxa"/>
            <w:vAlign w:val="bottom"/>
            <w:gridSpan w:val="5"/>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9</w:t>
              </w:r>
            </w:hyperlink>
          </w:p>
        </w:tc>
        <w:tc>
          <w:tcPr>
            <w:tcW w:w="20" w:type="dxa"/>
            <w:vAlign w:val="bottom"/>
          </w:tcPr>
          <w:p>
            <w:pPr>
              <w:spacing w:after="0"/>
              <w:rPr>
                <w:sz w:val="21"/>
                <w:szCs w:val="21"/>
                <w:color w:val="auto"/>
              </w:rPr>
            </w:pPr>
          </w:p>
        </w:tc>
      </w:tr>
      <w:tr>
        <w:trPr>
          <w:trHeight w:val="250"/>
        </w:trPr>
        <w:tc>
          <w:tcPr>
            <w:tcW w:w="1260" w:type="dxa"/>
            <w:vAlign w:val="bottom"/>
            <w:gridSpan w:val="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9560" w:type="dxa"/>
            <w:vAlign w:val="bottom"/>
            <w:gridSpan w:val="1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w:t>
              </w:r>
            </w:hyperlink>
          </w:p>
        </w:tc>
        <w:tc>
          <w:tcPr>
            <w:tcW w:w="9560" w:type="dxa"/>
            <w:vAlign w:val="bottom"/>
            <w:gridSpan w:val="1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5200" w:type="dxa"/>
            <w:vAlign w:val="bottom"/>
            <w:tcBorders>
              <w:left w:val="single" w:sz="8" w:color="0000EE"/>
            </w:tcBorders>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9560" w:type="dxa"/>
            <w:vAlign w:val="bottom"/>
            <w:gridSpan w:val="1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561"/>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20" w:type="dxa"/>
            <w:vAlign w:val="bottom"/>
            <w:gridSpan w:val="7"/>
          </w:tcPr>
          <w:p>
            <w:pPr>
              <w:jc w:val="center"/>
              <w:ind w:right="2960"/>
              <w:spacing w:after="0"/>
              <w:rPr>
                <w:sz w:val="20"/>
                <w:szCs w:val="20"/>
                <w:color w:val="auto"/>
              </w:rPr>
            </w:pPr>
            <w:r>
              <w:rPr>
                <w:rFonts w:ascii="Arial" w:cs="Arial" w:eastAsia="Arial" w:hAnsi="Arial"/>
                <w:sz w:val="18"/>
                <w:szCs w:val="18"/>
                <w:b w:val="1"/>
                <w:bCs w:val="1"/>
                <w:color w:val="auto"/>
              </w:rPr>
              <w:t>PART II-OTHER INFORMATION</w:t>
            </w: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6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w:t>
              </w:r>
            </w:hyperlink>
          </w:p>
        </w:tc>
        <w:tc>
          <w:tcPr>
            <w:tcW w:w="9560" w:type="dxa"/>
            <w:vAlign w:val="bottom"/>
            <w:gridSpan w:val="1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Item 1A.</w:t>
              </w:r>
            </w:hyperlink>
          </w:p>
        </w:tc>
        <w:tc>
          <w:tcPr>
            <w:tcW w:w="620" w:type="dxa"/>
            <w:vAlign w:val="bottom"/>
            <w:gridSpan w:val="2"/>
          </w:tcPr>
          <w:p>
            <w:pPr>
              <w:spacing w:after="0"/>
              <w:rPr>
                <w:sz w:val="21"/>
                <w:szCs w:val="21"/>
                <w:color w:val="auto"/>
              </w:rPr>
            </w:pPr>
          </w:p>
        </w:tc>
        <w:tc>
          <w:tcPr>
            <w:tcW w:w="9560" w:type="dxa"/>
            <w:vAlign w:val="bottom"/>
            <w:gridSpan w:val="1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2.</w:t>
              </w:r>
            </w:hyperlink>
          </w:p>
        </w:tc>
        <w:tc>
          <w:tcPr>
            <w:tcW w:w="620" w:type="dxa"/>
            <w:vAlign w:val="bottom"/>
            <w:gridSpan w:val="2"/>
          </w:tcPr>
          <w:p>
            <w:pPr>
              <w:spacing w:after="0"/>
              <w:rPr>
                <w:sz w:val="21"/>
                <w:szCs w:val="21"/>
                <w:color w:val="auto"/>
              </w:rPr>
            </w:pPr>
          </w:p>
        </w:tc>
        <w:tc>
          <w:tcPr>
            <w:tcW w:w="9560" w:type="dxa"/>
            <w:vAlign w:val="bottom"/>
            <w:gridSpan w:val="1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3.</w:t>
              </w:r>
            </w:hyperlink>
          </w:p>
        </w:tc>
        <w:tc>
          <w:tcPr>
            <w:tcW w:w="9560" w:type="dxa"/>
            <w:vAlign w:val="bottom"/>
            <w:gridSpan w:val="1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724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4.</w:t>
              </w:r>
            </w:hyperlink>
          </w:p>
        </w:tc>
        <w:tc>
          <w:tcPr>
            <w:tcW w:w="9560" w:type="dxa"/>
            <w:vAlign w:val="bottom"/>
            <w:gridSpan w:val="1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78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5.</w:t>
              </w:r>
            </w:hyperlink>
          </w:p>
        </w:tc>
        <w:tc>
          <w:tcPr>
            <w:tcW w:w="9560" w:type="dxa"/>
            <w:vAlign w:val="bottom"/>
            <w:gridSpan w:val="1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4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6.</w:t>
              </w:r>
            </w:hyperlink>
          </w:p>
        </w:tc>
        <w:tc>
          <w:tcPr>
            <w:tcW w:w="9560" w:type="dxa"/>
            <w:vAlign w:val="bottom"/>
            <w:gridSpan w:val="1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Exhibits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100" w:type="dxa"/>
            <w:vAlign w:val="bottom"/>
            <w:gridSpan w:val="3"/>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SIGNATURES</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Quarterly Report on Form 10-Q, “we,” “our,” “us,” “SI-BONE,” and “the Company” refer to SI-BONE, Inc. The SI-BONE logo and other trade names, trademarks or service marks of SI-BONE are the property of SI-BONE,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904" w:right="2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their expected properties, performance and impact on healthcare costs, the timing of, and potential results from, clinical and other trials, marketing authorization from the U.S. Food and Drug Administration, or FDA, or regulatory authorities in other jurisdictions, coverage and reimbursement for procedures using our products, research and development costs, timing of regulatory filings and feedback, timing and likelihood of success, plans and objectives of management for future operations and future results of anticipated products, are forward-looking statements.</w:t>
      </w:r>
    </w:p>
    <w:p>
      <w:pPr>
        <w:spacing w:after="0" w:line="178"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4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entitled “Risk Factors” and “Management’s Discussion and Analysis of Financial Condition and Results of Operations.” These forward-looking statements include, but are not limited to, statements about the following:</w:t>
      </w:r>
    </w:p>
    <w:p>
      <w:pPr>
        <w:spacing w:after="0" w:line="19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expectation that, for the foreseeable future, a significant portion of our revenues will be derived from sales of the iFuse Implant System, or iFuse;</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expand our sales and marketing capabilities to increase demand for iFuse, expand geographically, and obtain favorable coverage and reimbursement determinations from third-party payors;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iFuse;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iFuse;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reliance on a limited number of suppliers, including sole source suppliers, which may impact the availability of replacement instruments and materials;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factors we believe drive demand for iFuse and our ability to sustain or increase such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the benefits of the scope of protection we establish and maintain for intellectual property rights covering iFuse and any other device we may develop;</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international expansion;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 and expand our sales 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7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w:t>
            </w:r>
          </w:p>
        </w:tc>
      </w:tr>
      <w:tr>
        <w:trPr>
          <w:trHeight w:val="270"/>
        </w:trPr>
        <w:tc>
          <w:tcPr>
            <w:tcW w:w="7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33"/>
        </w:trPr>
        <w:tc>
          <w:tcPr>
            <w:tcW w:w="7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60"/>
        </w:trPr>
        <w:tc>
          <w:tcPr>
            <w:tcW w:w="74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r>
      <w:tr>
        <w:trPr>
          <w:trHeight w:val="224"/>
        </w:trPr>
        <w:tc>
          <w:tcPr>
            <w:tcW w:w="74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7"/>
        </w:trPr>
        <w:tc>
          <w:tcPr>
            <w:tcW w:w="7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25,120</w:t>
            </w:r>
          </w:p>
        </w:tc>
      </w:tr>
      <w:tr>
        <w:trPr>
          <w:trHeight w:val="237"/>
        </w:trPr>
        <w:tc>
          <w:tcPr>
            <w:tcW w:w="7460" w:type="dxa"/>
            <w:vAlign w:val="bottom"/>
          </w:tcPr>
          <w:p>
            <w:pPr>
              <w:ind w:left="38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91,780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97,103</w:t>
            </w:r>
          </w:p>
        </w:tc>
      </w:tr>
      <w:tr>
        <w:trPr>
          <w:trHeight w:val="33"/>
        </w:trPr>
        <w:tc>
          <w:tcPr>
            <w:tcW w:w="7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 of allowance for doubtful accounts of $288 and $263,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8,486</w:t>
            </w:r>
          </w:p>
        </w:tc>
      </w:tr>
      <w:tr>
        <w:trPr>
          <w:trHeight w:val="237"/>
        </w:trPr>
        <w:tc>
          <w:tcPr>
            <w:tcW w:w="7460" w:type="dxa"/>
            <w:vAlign w:val="bottom"/>
          </w:tcPr>
          <w:p>
            <w:pPr>
              <w:ind w:left="380"/>
              <w:spacing w:after="0"/>
              <w:rPr>
                <w:sz w:val="20"/>
                <w:szCs w:val="20"/>
                <w:color w:val="auto"/>
              </w:rPr>
            </w:pPr>
            <w:r>
              <w:rPr>
                <w:rFonts w:ascii="Arial" w:cs="Arial" w:eastAsia="Arial" w:hAnsi="Arial"/>
                <w:sz w:val="16"/>
                <w:szCs w:val="16"/>
                <w:color w:val="auto"/>
              </w:rPr>
              <w:t>Inventory</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4,436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3,343</w:t>
            </w:r>
          </w:p>
        </w:tc>
      </w:tr>
      <w:tr>
        <w:trPr>
          <w:trHeight w:val="33"/>
        </w:trPr>
        <w:tc>
          <w:tcPr>
            <w:tcW w:w="7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1,990</w:t>
            </w:r>
          </w:p>
        </w:tc>
      </w:tr>
      <w:tr>
        <w:trPr>
          <w:trHeight w:val="217"/>
        </w:trPr>
        <w:tc>
          <w:tcPr>
            <w:tcW w:w="746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119,018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136,042</w:t>
            </w:r>
          </w:p>
        </w:tc>
      </w:tr>
      <w:tr>
        <w:trPr>
          <w:trHeight w:val="33"/>
        </w:trPr>
        <w:tc>
          <w:tcPr>
            <w:tcW w:w="7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2,154</w:t>
            </w:r>
          </w:p>
        </w:tc>
      </w:tr>
      <w:tr>
        <w:trPr>
          <w:trHeight w:val="33"/>
        </w:trPr>
        <w:tc>
          <w:tcPr>
            <w:tcW w:w="7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r>
      <w:tr>
        <w:trPr>
          <w:trHeight w:val="217"/>
        </w:trPr>
        <w:tc>
          <w:tcPr>
            <w:tcW w:w="7460" w:type="dxa"/>
            <w:vAlign w:val="bottom"/>
          </w:tcPr>
          <w:p>
            <w:pPr>
              <w:ind w:left="70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127,122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138,521</w:t>
            </w:r>
          </w:p>
        </w:tc>
      </w:tr>
      <w:tr>
        <w:trPr>
          <w:trHeight w:val="73"/>
        </w:trPr>
        <w:tc>
          <w:tcPr>
            <w:tcW w:w="746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78"/>
        </w:trPr>
        <w:tc>
          <w:tcPr>
            <w:tcW w:w="7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4"/>
        </w:trPr>
        <w:tc>
          <w:tcPr>
            <w:tcW w:w="7460" w:type="dxa"/>
            <w:vAlign w:val="bottom"/>
          </w:tcPr>
          <w:p>
            <w:pPr>
              <w:ind w:left="20"/>
              <w:spacing w:after="0"/>
              <w:rPr>
                <w:sz w:val="20"/>
                <w:szCs w:val="20"/>
                <w:color w:val="auto"/>
              </w:rPr>
            </w:pPr>
            <w:r>
              <w:rPr>
                <w:rFonts w:ascii="Arial" w:cs="Arial" w:eastAsia="Arial" w:hAnsi="Arial"/>
                <w:sz w:val="16"/>
                <w:szCs w:val="16"/>
                <w:color w:val="auto"/>
              </w:rPr>
              <w:t>LIABILITIES AND STOCKHOLDERS’ EQUITY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7"/>
        </w:trPr>
        <w:tc>
          <w:tcPr>
            <w:tcW w:w="7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74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2,146</w:t>
            </w:r>
          </w:p>
        </w:tc>
      </w:tr>
      <w:tr>
        <w:trPr>
          <w:trHeight w:val="33"/>
        </w:trPr>
        <w:tc>
          <w:tcPr>
            <w:tcW w:w="7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liabilities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6,860</w:t>
            </w:r>
          </w:p>
        </w:tc>
      </w:tr>
      <w:tr>
        <w:trPr>
          <w:trHeight w:val="217"/>
        </w:trPr>
        <w:tc>
          <w:tcPr>
            <w:tcW w:w="746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9,919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9,006</w:t>
            </w:r>
          </w:p>
        </w:tc>
      </w:tr>
      <w:tr>
        <w:trPr>
          <w:trHeight w:val="33"/>
        </w:trPr>
        <w:tc>
          <w:tcPr>
            <w:tcW w:w="7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38,963</w:t>
            </w:r>
          </w:p>
        </w:tc>
      </w:tr>
      <w:tr>
        <w:trPr>
          <w:trHeight w:val="237"/>
        </w:trPr>
        <w:tc>
          <w:tcPr>
            <w:tcW w:w="746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360</w:t>
            </w:r>
          </w:p>
        </w:tc>
      </w:tr>
      <w:tr>
        <w:trPr>
          <w:trHeight w:val="33"/>
        </w:trPr>
        <w:tc>
          <w:tcPr>
            <w:tcW w:w="7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74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48,329</w:t>
            </w:r>
          </w:p>
        </w:tc>
      </w:tr>
      <w:tr>
        <w:trPr>
          <w:trHeight w:val="20"/>
        </w:trPr>
        <w:tc>
          <w:tcPr>
            <w:tcW w:w="7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188595</wp:posOffset>
            </wp:positionV>
            <wp:extent cx="646620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66205" cy="171450"/>
                    </a:xfrm>
                    <a:prstGeom prst="rect">
                      <a:avLst/>
                    </a:prstGeom>
                    <a:noFill/>
                  </pic:spPr>
                </pic:pic>
              </a:graphicData>
            </a:graphic>
          </wp:anchor>
        </w:drawing>
      </w:r>
    </w:p>
    <w:p>
      <w:pPr>
        <w:spacing w:after="0" w:line="29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Commitments and contingencies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224155</wp:posOffset>
            </wp:positionV>
            <wp:extent cx="646620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6205" cy="171450"/>
                    </a:xfrm>
                    <a:prstGeom prst="rect">
                      <a:avLst/>
                    </a:prstGeom>
                    <a:noFill/>
                  </pic:spPr>
                </pic:pic>
              </a:graphicData>
            </a:graphic>
          </wp:anchor>
        </w:drawing>
      </w:r>
    </w:p>
    <w:p>
      <w:pPr>
        <w:sectPr>
          <w:pgSz w:w="11900" w:h="16838" w:orient="portrait"/>
          <w:cols w:equalWidth="0" w:num="1">
            <w:col w:w="10820"/>
          </w:cols>
          <w:pgMar w:left="240" w:top="796" w:right="839" w:bottom="1440" w:gutter="0" w:footer="0" w:header="0"/>
        </w:sectPr>
      </w:pPr>
    </w:p>
    <w:p>
      <w:pPr>
        <w:spacing w:after="0" w:line="3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STOCKHOLDERS’ EQUITY</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Preferred stock, $0.0001 par value; 5,000,000 shares authorized; no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43815</wp:posOffset>
            </wp:positionV>
            <wp:extent cx="6466205"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6205" cy="291465"/>
                    </a:xfrm>
                    <a:prstGeom prst="rect">
                      <a:avLst/>
                    </a:prstGeom>
                    <a:noFill/>
                  </pic:spPr>
                </pic:pic>
              </a:graphicData>
            </a:graphic>
          </wp:anchor>
        </w:drawing>
      </w:r>
    </w:p>
    <w:p>
      <w:pPr>
        <w:spacing w:after="0" w:line="66" w:lineRule="exact"/>
        <w:rPr>
          <w:sz w:val="20"/>
          <w:szCs w:val="20"/>
          <w:color w:val="auto"/>
        </w:rPr>
      </w:pPr>
    </w:p>
    <w:p>
      <w:pPr>
        <w:ind w:left="980" w:right="200" w:hanging="323"/>
        <w:spacing w:after="0" w:line="293" w:lineRule="auto"/>
        <w:rPr>
          <w:sz w:val="20"/>
          <w:szCs w:val="20"/>
          <w:color w:val="auto"/>
        </w:rPr>
      </w:pPr>
      <w:r>
        <w:rPr>
          <w:rFonts w:ascii="Arial" w:cs="Arial" w:eastAsia="Arial" w:hAnsi="Arial"/>
          <w:sz w:val="16"/>
          <w:szCs w:val="16"/>
          <w:color w:val="auto"/>
        </w:rPr>
        <w:t>Common stock, $0.0001 par value; 100,000,000 shares authorized; 24,761,157 and 24,450,757 shares issued and outstanding, respectively</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43815</wp:posOffset>
            </wp:positionV>
            <wp:extent cx="646620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6205" cy="171450"/>
                    </a:xfrm>
                    <a:prstGeom prst="rect">
                      <a:avLst/>
                    </a:prstGeom>
                    <a:noFill/>
                  </pic:spPr>
                </pic:pic>
              </a:graphicData>
            </a:graphic>
          </wp:anchor>
        </w:drawing>
      </w:r>
    </w:p>
    <w:p>
      <w:pPr>
        <w:spacing w:after="0" w:line="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Accumulated other comprehensive income</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43815</wp:posOffset>
            </wp:positionV>
            <wp:extent cx="646620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6205" cy="171450"/>
                    </a:xfrm>
                    <a:prstGeom prst="rect">
                      <a:avLst/>
                    </a:prstGeom>
                    <a:noFill/>
                  </pic:spPr>
                </pic:pic>
              </a:graphicData>
            </a:graphic>
          </wp:anchor>
        </w:drawing>
      </w:r>
    </w:p>
    <w:p>
      <w:pPr>
        <w:spacing w:after="0" w:line="6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TOTAL STOCKHOLDERS’ EQUITY</w:t>
      </w:r>
    </w:p>
    <w:p>
      <w:pPr>
        <w:spacing w:after="0" w:line="86" w:lineRule="exact"/>
        <w:rPr>
          <w:sz w:val="20"/>
          <w:szCs w:val="20"/>
          <w:color w:val="auto"/>
        </w:rPr>
      </w:pPr>
    </w:p>
    <w:p>
      <w:pPr>
        <w:ind w:left="1320"/>
        <w:spacing w:after="0"/>
        <w:tabs>
          <w:tab w:leader="none" w:pos="8080" w:val="left"/>
        </w:tabs>
        <w:rPr>
          <w:sz w:val="20"/>
          <w:szCs w:val="20"/>
          <w:color w:val="auto"/>
        </w:rPr>
      </w:pPr>
      <w:r>
        <w:rPr>
          <w:rFonts w:ascii="Arial" w:cs="Arial" w:eastAsia="Arial" w:hAnsi="Arial"/>
          <w:sz w:val="16"/>
          <w:szCs w:val="16"/>
          <w:color w:val="auto"/>
        </w:rPr>
        <w:t>TOTAL LIABILITIES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0"/>
        <w:spacing w:after="0"/>
        <w:tabs>
          <w:tab w:leader="none" w:pos="18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75" w:lineRule="exact"/>
        <w:rPr>
          <w:sz w:val="20"/>
          <w:szCs w:val="20"/>
          <w:color w:val="auto"/>
        </w:rPr>
      </w:pPr>
    </w:p>
    <w:p>
      <w:pPr>
        <w:ind w:left="500"/>
        <w:spacing w:after="0"/>
        <w:tabs>
          <w:tab w:leader="none" w:pos="190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6"/>
          <w:szCs w:val="16"/>
          <w:color w:val="auto"/>
        </w:rPr>
        <w:t>3</w:t>
      </w:r>
    </w:p>
    <w:p>
      <w:pPr>
        <w:spacing w:after="0" w:line="86"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16"/>
          <w:szCs w:val="16"/>
          <w:color w:val="auto"/>
        </w:rPr>
        <w:t>252,404</w:t>
      </w:r>
      <w:r>
        <w:rPr>
          <w:sz w:val="20"/>
          <w:szCs w:val="20"/>
          <w:color w:val="auto"/>
        </w:rPr>
        <w:tab/>
      </w:r>
      <w:r>
        <w:rPr>
          <w:rFonts w:ascii="Arial" w:cs="Arial" w:eastAsia="Arial" w:hAnsi="Arial"/>
          <w:sz w:val="16"/>
          <w:szCs w:val="16"/>
          <w:color w:val="auto"/>
        </w:rPr>
        <w:t>246,927</w:t>
      </w:r>
    </w:p>
    <w:p>
      <w:pPr>
        <w:spacing w:after="0" w:line="86" w:lineRule="exact"/>
        <w:rPr>
          <w:sz w:val="20"/>
          <w:szCs w:val="20"/>
          <w:color w:val="auto"/>
        </w:rPr>
      </w:pPr>
    </w:p>
    <w:p>
      <w:pPr>
        <w:ind w:left="1740" w:hanging="1410"/>
        <w:spacing w:after="0"/>
        <w:tabs>
          <w:tab w:leader="none" w:pos="1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439</w:t>
      </w:r>
    </w:p>
    <w:p>
      <w:pPr>
        <w:spacing w:after="0" w:line="8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(175,176)</w:t>
      </w:r>
      <w:r>
        <w:rPr>
          <w:rFonts w:ascii="Arial" w:cs="Arial" w:eastAsia="Arial" w:hAnsi="Arial"/>
          <w:sz w:val="14"/>
          <w:szCs w:val="14"/>
          <w:color w:val="auto"/>
        </w:rPr>
        <w:t>(157,177)</w:t>
      </w:r>
    </w:p>
    <w:p>
      <w:pPr>
        <w:spacing w:after="0" w:line="8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6"/>
          <w:szCs w:val="16"/>
          <w:color w:val="auto"/>
        </w:rPr>
        <w:t>77,747</w:t>
      </w:r>
      <w:r>
        <w:rPr>
          <w:rFonts w:ascii="Arial" w:cs="Arial" w:eastAsia="Arial" w:hAnsi="Arial"/>
          <w:sz w:val="15"/>
          <w:szCs w:val="15"/>
          <w:color w:val="auto"/>
        </w:rPr>
        <w:t>90,192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34925</wp:posOffset>
            </wp:positionV>
            <wp:extent cx="1741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80" w:val="left"/>
          <w:tab w:leader="none" w:pos="1440" w:val="left"/>
        </w:tabs>
        <w:rPr>
          <w:sz w:val="20"/>
          <w:szCs w:val="20"/>
          <w:color w:val="auto"/>
        </w:rPr>
      </w:pPr>
      <w:r>
        <w:rPr>
          <w:rFonts w:ascii="Arial" w:cs="Arial" w:eastAsia="Arial" w:hAnsi="Arial"/>
          <w:sz w:val="16"/>
          <w:szCs w:val="16"/>
          <w:color w:val="auto"/>
        </w:rPr>
        <w:t>127,122</w:t>
        <w:tab/>
        <w:t>$</w:t>
      </w:r>
      <w:r>
        <w:rPr>
          <w:sz w:val="20"/>
          <w:szCs w:val="20"/>
          <w:color w:val="auto"/>
        </w:rPr>
        <w:tab/>
      </w:r>
      <w:r>
        <w:rPr>
          <w:rFonts w:ascii="Arial" w:cs="Arial" w:eastAsia="Arial" w:hAnsi="Arial"/>
          <w:sz w:val="14"/>
          <w:szCs w:val="14"/>
          <w:color w:val="auto"/>
        </w:rPr>
        <w:t>138,521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34925</wp:posOffset>
            </wp:positionV>
            <wp:extent cx="17411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117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80" w:space="540"/>
            <w:col w:w="2100"/>
          </w:cols>
          <w:pgMar w:left="240" w:top="796" w:right="839" w:bottom="1440" w:gutter="0" w:footer="0" w:header="0"/>
          <w:type w:val="continuous"/>
        </w:sectPr>
      </w:pPr>
    </w:p>
    <w:p>
      <w:pPr>
        <w:spacing w:after="0" w:line="98"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38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0"/>
          </w:cols>
          <w:pgMar w:left="240" w:top="796" w:right="83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46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16,317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13,663</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31,308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26,375</w:t>
            </w: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1,182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2,230</w:t>
            </w:r>
          </w:p>
        </w:tc>
        <w:tc>
          <w:tcPr>
            <w:tcW w:w="0" w:type="dxa"/>
            <w:vAlign w:val="bottom"/>
          </w:tcPr>
          <w:p>
            <w:pPr>
              <w:spacing w:after="0"/>
              <w:rPr>
                <w:sz w:val="1"/>
                <w:szCs w:val="1"/>
                <w:color w:val="auto"/>
              </w:rPr>
            </w:pPr>
          </w:p>
        </w:tc>
      </w:tr>
      <w:tr>
        <w:trPr>
          <w:trHeight w:val="33"/>
        </w:trPr>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12,481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24,145</w:t>
            </w:r>
          </w:p>
        </w:tc>
        <w:tc>
          <w:tcPr>
            <w:tcW w:w="0" w:type="dxa"/>
            <w:vAlign w:val="bottom"/>
          </w:tcPr>
          <w:p>
            <w:pPr>
              <w:spacing w:after="0"/>
              <w:rPr>
                <w:sz w:val="1"/>
                <w:szCs w:val="1"/>
                <w:color w:val="auto"/>
              </w:rPr>
            </w:pPr>
          </w:p>
        </w:tc>
      </w:tr>
      <w:tr>
        <w:trPr>
          <w:trHeight w:val="204"/>
        </w:trPr>
        <w:tc>
          <w:tcPr>
            <w:tcW w:w="5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21,285</w:t>
            </w:r>
          </w:p>
        </w:tc>
        <w:tc>
          <w:tcPr>
            <w:tcW w:w="0" w:type="dxa"/>
            <w:vAlign w:val="bottom"/>
          </w:tcPr>
          <w:p>
            <w:pPr>
              <w:spacing w:after="0"/>
              <w:rPr>
                <w:sz w:val="1"/>
                <w:szCs w:val="1"/>
                <w:color w:val="auto"/>
              </w:rPr>
            </w:pPr>
          </w:p>
        </w:tc>
      </w:tr>
      <w:tr>
        <w:trPr>
          <w:trHeight w:val="237"/>
        </w:trPr>
        <w:tc>
          <w:tcPr>
            <w:tcW w:w="5340" w:type="dxa"/>
            <w:vAlign w:val="bottom"/>
          </w:tcPr>
          <w:p>
            <w:pPr>
              <w:ind w:left="48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1,946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1,296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3,629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2,502</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2,564</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8,960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4,972</w:t>
            </w:r>
          </w:p>
        </w:tc>
        <w:tc>
          <w:tcPr>
            <w:tcW w:w="0" w:type="dxa"/>
            <w:vAlign w:val="bottom"/>
          </w:tcPr>
          <w:p>
            <w:pPr>
              <w:spacing w:after="0"/>
              <w:rPr>
                <w:sz w:val="1"/>
                <w:szCs w:val="1"/>
                <w:color w:val="auto"/>
              </w:rPr>
            </w:pPr>
          </w:p>
        </w:tc>
      </w:tr>
      <w:tr>
        <w:trPr>
          <w:trHeight w:val="217"/>
        </w:trPr>
        <w:tc>
          <w:tcPr>
            <w:tcW w:w="534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22,867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14,178</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45,131</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28,759</w:t>
            </w:r>
          </w:p>
        </w:tc>
        <w:tc>
          <w:tcPr>
            <w:tcW w:w="0" w:type="dxa"/>
            <w:vAlign w:val="bottom"/>
          </w:tcPr>
          <w:p>
            <w:pPr>
              <w:spacing w:after="0"/>
              <w:rPr>
                <w:sz w:val="1"/>
                <w:szCs w:val="1"/>
                <w:color w:val="auto"/>
              </w:rPr>
            </w:pPr>
          </w:p>
        </w:tc>
      </w:tr>
      <w:tr>
        <w:trPr>
          <w:trHeight w:val="33"/>
        </w:trPr>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(1,697)</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(4,614)</w:t>
            </w:r>
          </w:p>
        </w:tc>
        <w:tc>
          <w:tcPr>
            <w:tcW w:w="0" w:type="dxa"/>
            <w:vAlign w:val="bottom"/>
          </w:tcPr>
          <w:p>
            <w:pPr>
              <w:spacing w:after="0"/>
              <w:rPr>
                <w:sz w:val="1"/>
                <w:szCs w:val="1"/>
                <w:color w:val="auto"/>
              </w:rPr>
            </w:pPr>
          </w:p>
        </w:tc>
      </w:tr>
      <w:tr>
        <w:trPr>
          <w:trHeight w:val="224"/>
        </w:trPr>
        <w:tc>
          <w:tcPr>
            <w:tcW w:w="5340" w:type="dxa"/>
            <w:vAlign w:val="bottom"/>
          </w:tcPr>
          <w:p>
            <w:pPr>
              <w:ind w:left="20"/>
              <w:spacing w:after="0"/>
              <w:rPr>
                <w:sz w:val="20"/>
                <w:szCs w:val="20"/>
                <w:color w:val="auto"/>
              </w:rPr>
            </w:pPr>
            <w:r>
              <w:rPr>
                <w:rFonts w:ascii="Arial" w:cs="Arial" w:eastAsia="Arial" w:hAnsi="Arial"/>
                <w:sz w:val="16"/>
                <w:szCs w:val="16"/>
                <w:color w:val="auto"/>
              </w:rPr>
              <w:t>Interest and other income (expense), net: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37"/>
        </w:trPr>
        <w:tc>
          <w:tcPr>
            <w:tcW w:w="5340" w:type="dxa"/>
            <w:vAlign w:val="bottom"/>
          </w:tcPr>
          <w:p>
            <w:pPr>
              <w:ind w:left="48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(2,463)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(2,544)</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Other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7"/>
        </w:trPr>
        <w:tc>
          <w:tcPr>
            <w:tcW w:w="53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(8,654)</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(3,147)</w:t>
            </w:r>
          </w:p>
        </w:tc>
        <w:tc>
          <w:tcPr>
            <w:tcW w:w="2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(17,999)</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(7,348)</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480"/>
              <w:spacing w:after="0"/>
              <w:rPr>
                <w:sz w:val="20"/>
                <w:szCs w:val="20"/>
                <w:color w:val="auto"/>
              </w:rPr>
            </w:pPr>
            <w:r>
              <w:rPr>
                <w:rFonts w:ascii="Arial" w:cs="Arial" w:eastAsia="Arial" w:hAnsi="Arial"/>
                <w:sz w:val="16"/>
                <w:szCs w:val="16"/>
                <w:color w:val="auto"/>
              </w:rPr>
              <w:t>Changes in foreign currency translation</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Unrealized gain on marketable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34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(8,583)</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(3,093)</w:t>
            </w:r>
          </w:p>
        </w:tc>
        <w:tc>
          <w:tcPr>
            <w:tcW w:w="2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(17,922)</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(7,315)</w:t>
            </w:r>
          </w:p>
        </w:tc>
        <w:tc>
          <w:tcPr>
            <w:tcW w:w="0" w:type="dxa"/>
            <w:vAlign w:val="bottom"/>
          </w:tcPr>
          <w:p>
            <w:pPr>
              <w:spacing w:after="0"/>
              <w:rPr>
                <w:sz w:val="1"/>
                <w:szCs w:val="1"/>
                <w:color w:val="auto"/>
              </w:rPr>
            </w:pPr>
          </w:p>
        </w:tc>
      </w:tr>
      <w:tr>
        <w:trPr>
          <w:trHeight w:val="73"/>
        </w:trPr>
        <w:tc>
          <w:tcPr>
            <w:tcW w:w="53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5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340" w:type="dxa"/>
            <w:vAlign w:val="bottom"/>
          </w:tcPr>
          <w:p>
            <w:pPr>
              <w:ind w:left="20"/>
              <w:spacing w:after="0"/>
              <w:rPr>
                <w:sz w:val="20"/>
                <w:szCs w:val="20"/>
                <w:color w:val="auto"/>
              </w:rPr>
            </w:pPr>
            <w:r>
              <w:rPr>
                <w:rFonts w:ascii="Arial" w:cs="Arial" w:eastAsia="Arial" w:hAnsi="Arial"/>
                <w:sz w:val="16"/>
                <w:szCs w:val="16"/>
                <w:color w:val="auto"/>
              </w:rPr>
              <w:t>Net loss per share, basic and 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(0.87)</w:t>
            </w:r>
          </w:p>
        </w:tc>
        <w:tc>
          <w:tcPr>
            <w:tcW w:w="2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73"/>
        </w:trPr>
        <w:tc>
          <w:tcPr>
            <w:tcW w:w="53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5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340" w:type="dxa"/>
            <w:vAlign w:val="bottom"/>
          </w:tcPr>
          <w:p>
            <w:pPr>
              <w:ind w:left="20"/>
              <w:spacing w:after="0"/>
              <w:rPr>
                <w:sz w:val="20"/>
                <w:szCs w:val="20"/>
                <w:color w:val="auto"/>
              </w:rPr>
            </w:pPr>
            <w:r>
              <w:rPr>
                <w:rFonts w:ascii="Arial" w:cs="Arial" w:eastAsia="Arial" w:hAnsi="Arial"/>
                <w:sz w:val="16"/>
                <w:szCs w:val="16"/>
                <w:color w:val="auto"/>
                <w:w w:val="92"/>
              </w:rPr>
              <w:t>Weighted-average number of common shares used to compute basic and diluted</w:t>
            </w:r>
          </w:p>
        </w:tc>
        <w:tc>
          <w:tcPr>
            <w:tcW w:w="320" w:type="dxa"/>
            <w:vAlign w:val="bottom"/>
          </w:tcPr>
          <w:p>
            <w:pPr>
              <w:spacing w:after="0"/>
              <w:rPr>
                <w:sz w:val="19"/>
                <w:szCs w:val="19"/>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color w:val="auto"/>
              </w:rPr>
              <w:t>24,577,938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3,608,283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24,484,608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color w:val="auto"/>
              </w:rPr>
              <w:t>3,603,308</w:t>
            </w:r>
          </w:p>
        </w:tc>
        <w:tc>
          <w:tcPr>
            <w:tcW w:w="0" w:type="dxa"/>
            <w:vAlign w:val="bottom"/>
          </w:tcPr>
          <w:p>
            <w:pPr>
              <w:spacing w:after="0"/>
              <w:rPr>
                <w:sz w:val="1"/>
                <w:szCs w:val="1"/>
                <w:color w:val="auto"/>
              </w:rPr>
            </w:pPr>
          </w:p>
        </w:tc>
      </w:tr>
      <w:tr>
        <w:trPr>
          <w:trHeight w:val="219"/>
        </w:trPr>
        <w:tc>
          <w:tcPr>
            <w:tcW w:w="5340" w:type="dxa"/>
            <w:vAlign w:val="bottom"/>
          </w:tcPr>
          <w:p>
            <w:pPr>
              <w:ind w:left="240"/>
              <w:spacing w:after="0"/>
              <w:rPr>
                <w:sz w:val="20"/>
                <w:szCs w:val="20"/>
                <w:color w:val="auto"/>
              </w:rPr>
            </w:pPr>
            <w:r>
              <w:rPr>
                <w:rFonts w:ascii="Arial" w:cs="Arial" w:eastAsia="Arial" w:hAnsi="Arial"/>
                <w:sz w:val="16"/>
                <w:szCs w:val="16"/>
                <w:color w:val="auto"/>
              </w:rPr>
              <w:t>net loss per share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400" w:top="580" w:right="379" w:bottom="1440" w:gutter="0" w:footer="0" w:header="0"/>
        </w:sectPr>
      </w:pPr>
    </w:p>
    <w:bookmarkStart w:id="6" w:name="page7"/>
    <w:bookmarkEnd w:id="6"/>
    <w:p>
      <w:pPr>
        <w:ind w:left="4500"/>
        <w:spacing w:after="0"/>
        <w:rPr>
          <w:sz w:val="20"/>
          <w:szCs w:val="20"/>
          <w:color w:val="auto"/>
        </w:rPr>
      </w:pPr>
      <w:r>
        <w:rPr>
          <w:rFonts w:ascii="Arial" w:cs="Arial" w:eastAsia="Arial" w:hAnsi="Arial"/>
          <w:sz w:val="18"/>
          <w:szCs w:val="18"/>
          <w:b w:val="1"/>
          <w:bCs w:val="1"/>
          <w:color w:val="auto"/>
        </w:rPr>
        <w:t>SI-BONE, INC.</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w:t>
      </w:r>
    </w:p>
    <w:p>
      <w:pPr>
        <w:spacing w:after="0" w:line="104"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AND STOCKHOLDERS' EQUITY (DEFICIT)</w:t>
      </w:r>
    </w:p>
    <w:p>
      <w:pPr>
        <w:spacing w:after="0" w:line="10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 thousands, except share amounts)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640" w:type="dxa"/>
            <w:vAlign w:val="bottom"/>
          </w:tcPr>
          <w:p>
            <w:pPr>
              <w:spacing w:after="0"/>
              <w:rPr>
                <w:sz w:val="24"/>
                <w:szCs w:val="24"/>
                <w:color w:val="auto"/>
              </w:rPr>
            </w:pPr>
          </w:p>
        </w:tc>
        <w:tc>
          <w:tcPr>
            <w:tcW w:w="1160" w:type="dxa"/>
            <w:vAlign w:val="bottom"/>
            <w:gridSpan w:val="3"/>
          </w:tcPr>
          <w:p>
            <w:pPr>
              <w:jc w:val="center"/>
              <w:ind w:left="199"/>
              <w:spacing w:after="0"/>
              <w:rPr>
                <w:sz w:val="20"/>
                <w:szCs w:val="20"/>
                <w:color w:val="auto"/>
              </w:rPr>
            </w:pPr>
            <w:r>
              <w:rPr>
                <w:rFonts w:ascii="Arial" w:cs="Arial" w:eastAsia="Arial" w:hAnsi="Arial"/>
                <w:sz w:val="16"/>
                <w:szCs w:val="16"/>
                <w:b w:val="1"/>
                <w:bCs w:val="1"/>
                <w:color w:val="auto"/>
                <w:w w:val="89"/>
              </w:rPr>
              <w:t>Redeemable</w:t>
            </w:r>
          </w:p>
        </w:tc>
        <w:tc>
          <w:tcPr>
            <w:tcW w:w="2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2"/>
                <w:szCs w:val="22"/>
                <w:color w:val="auto"/>
              </w:rPr>
            </w:pPr>
          </w:p>
        </w:tc>
        <w:tc>
          <w:tcPr>
            <w:tcW w:w="1160" w:type="dxa"/>
            <w:vAlign w:val="bottom"/>
            <w:gridSpan w:val="3"/>
          </w:tcPr>
          <w:p>
            <w:pPr>
              <w:jc w:val="center"/>
              <w:ind w:left="219"/>
              <w:spacing w:after="0"/>
              <w:rPr>
                <w:sz w:val="20"/>
                <w:szCs w:val="20"/>
                <w:color w:val="auto"/>
              </w:rPr>
            </w:pPr>
            <w:r>
              <w:rPr>
                <w:rFonts w:ascii="Arial" w:cs="Arial" w:eastAsia="Arial" w:hAnsi="Arial"/>
                <w:sz w:val="16"/>
                <w:szCs w:val="16"/>
                <w:b w:val="1"/>
                <w:bCs w:val="1"/>
                <w:color w:val="auto"/>
                <w:w w:val="93"/>
              </w:rPr>
              <w:t>Convertible</w:t>
            </w:r>
          </w:p>
        </w:tc>
        <w:tc>
          <w:tcPr>
            <w:tcW w:w="2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3"/>
          </w:tcPr>
          <w:p>
            <w:pPr>
              <w:ind w:left="40"/>
              <w:spacing w:after="0"/>
              <w:rPr>
                <w:sz w:val="20"/>
                <w:szCs w:val="20"/>
                <w:color w:val="auto"/>
              </w:rPr>
            </w:pPr>
            <w:r>
              <w:rPr>
                <w:rFonts w:ascii="Arial" w:cs="Arial" w:eastAsia="Arial" w:hAnsi="Arial"/>
                <w:sz w:val="16"/>
                <w:szCs w:val="16"/>
                <w:b w:val="1"/>
                <w:bCs w:val="1"/>
                <w:color w:val="auto"/>
              </w:rPr>
              <w:t>Additional</w:t>
            </w:r>
          </w:p>
        </w:tc>
        <w:tc>
          <w:tcPr>
            <w:tcW w:w="240" w:type="dxa"/>
            <w:vAlign w:val="bottom"/>
          </w:tcPr>
          <w:p>
            <w:pPr>
              <w:spacing w:after="0"/>
              <w:rPr>
                <w:sz w:val="22"/>
                <w:szCs w:val="22"/>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142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w w:val="92"/>
              </w:rPr>
              <w:t>Preferred Stock</w:t>
            </w:r>
          </w:p>
        </w:tc>
        <w:tc>
          <w:tcPr>
            <w:tcW w:w="120" w:type="dxa"/>
            <w:vAlign w:val="bottom"/>
            <w:tcBorders>
              <w:right w:val="single" w:sz="8" w:color="auto"/>
            </w:tcBorders>
            <w:vMerge w:val="restart"/>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gridSpan w:val="4"/>
            <w:vMerge w:val="restart"/>
          </w:tcPr>
          <w:p>
            <w:pPr>
              <w:jc w:val="right"/>
              <w:ind w:right="15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Paid-in</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8"/>
              </w:rPr>
              <w:t>Comprehensive</w:t>
            </w:r>
          </w:p>
        </w:tc>
        <w:tc>
          <w:tcPr>
            <w:tcW w:w="10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640" w:type="dxa"/>
            <w:vAlign w:val="bottom"/>
          </w:tcPr>
          <w:p>
            <w:pPr>
              <w:spacing w:after="0"/>
              <w:rPr>
                <w:sz w:val="20"/>
                <w:szCs w:val="20"/>
                <w:color w:val="auto"/>
              </w:rPr>
            </w:pPr>
          </w:p>
        </w:tc>
        <w:tc>
          <w:tcPr>
            <w:tcW w:w="1420" w:type="dxa"/>
            <w:vAlign w:val="bottom"/>
            <w:tcBorders>
              <w:bottom w:val="single" w:sz="8" w:color="auto"/>
            </w:tcBorders>
            <w:gridSpan w:val="4"/>
            <w:vMerge w:val="continue"/>
          </w:tcPr>
          <w:p>
            <w:pPr>
              <w:spacing w:after="0"/>
              <w:rPr>
                <w:sz w:val="20"/>
                <w:szCs w:val="20"/>
                <w:color w:val="auto"/>
              </w:rPr>
            </w:pPr>
          </w:p>
        </w:tc>
        <w:tc>
          <w:tcPr>
            <w:tcW w:w="1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bottom w:val="single" w:sz="8" w:color="auto"/>
            </w:tcBorders>
            <w:gridSpan w:val="4"/>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240" w:type="dxa"/>
            <w:vAlign w:val="bottom"/>
            <w:gridSpan w:val="3"/>
            <w:vMerge w:val="continue"/>
          </w:tcPr>
          <w:p>
            <w:pPr>
              <w:spacing w:after="0"/>
              <w:rPr>
                <w:sz w:val="20"/>
                <w:szCs w:val="20"/>
                <w:color w:val="auto"/>
              </w:rPr>
            </w:pPr>
          </w:p>
        </w:tc>
        <w:tc>
          <w:tcPr>
            <w:tcW w:w="1080" w:type="dxa"/>
            <w:vAlign w:val="bottom"/>
            <w:gridSpan w:val="3"/>
            <w:vMerge w:val="continue"/>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31"/>
        </w:trPr>
        <w:tc>
          <w:tcPr>
            <w:tcW w:w="2640" w:type="dxa"/>
            <w:vAlign w:val="bottom"/>
          </w:tcPr>
          <w:p>
            <w:pPr>
              <w:spacing w:after="0"/>
              <w:rPr>
                <w:sz w:val="20"/>
                <w:szCs w:val="20"/>
                <w:color w:val="auto"/>
              </w:rPr>
            </w:pPr>
          </w:p>
        </w:tc>
        <w:tc>
          <w:tcPr>
            <w:tcW w:w="800" w:type="dxa"/>
            <w:vAlign w:val="bottom"/>
            <w:gridSpan w:val="2"/>
          </w:tcPr>
          <w:p>
            <w:pPr>
              <w:ind w:left="120"/>
              <w:spacing w:after="0"/>
              <w:rPr>
                <w:sz w:val="20"/>
                <w:szCs w:val="20"/>
                <w:color w:val="auto"/>
              </w:rPr>
            </w:pPr>
            <w:r>
              <w:rPr>
                <w:rFonts w:ascii="Arial" w:cs="Arial" w:eastAsia="Arial" w:hAnsi="Arial"/>
                <w:sz w:val="16"/>
                <w:szCs w:val="16"/>
                <w:b w:val="1"/>
                <w:bCs w:val="1"/>
                <w:color w:val="auto"/>
              </w:rPr>
              <w:t>Shares</w:t>
            </w:r>
          </w:p>
        </w:tc>
        <w:tc>
          <w:tcPr>
            <w:tcW w:w="74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72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Income (Loss)</w:t>
            </w:r>
          </w:p>
        </w:tc>
        <w:tc>
          <w:tcPr>
            <w:tcW w:w="18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20"/>
                <w:szCs w:val="20"/>
                <w:color w:val="auto"/>
              </w:rPr>
            </w:pPr>
          </w:p>
        </w:tc>
        <w:tc>
          <w:tcPr>
            <w:tcW w:w="820" w:type="dxa"/>
            <w:vAlign w:val="bottom"/>
          </w:tcPr>
          <w:p>
            <w:pPr>
              <w:jc w:val="right"/>
              <w:ind w:right="19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2018</w:t>
            </w:r>
          </w:p>
        </w:tc>
        <w:tc>
          <w:tcPr>
            <w:tcW w:w="8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24,450,757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246,927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(157,177)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90,192</w:t>
            </w:r>
          </w:p>
        </w:tc>
        <w:tc>
          <w:tcPr>
            <w:tcW w:w="0" w:type="dxa"/>
            <w:vAlign w:val="bottom"/>
          </w:tcPr>
          <w:p>
            <w:pPr>
              <w:spacing w:after="0"/>
              <w:rPr>
                <w:sz w:val="1"/>
                <w:szCs w:val="1"/>
                <w:color w:val="auto"/>
              </w:rPr>
            </w:pPr>
          </w:p>
        </w:tc>
      </w:tr>
      <w:tr>
        <w:trPr>
          <w:trHeight w:val="220"/>
        </w:trPr>
        <w:tc>
          <w:tcPr>
            <w:tcW w:w="2640" w:type="dxa"/>
            <w:vAlign w:val="bottom"/>
          </w:tcPr>
          <w:p>
            <w:pPr>
              <w:ind w:left="20"/>
              <w:spacing w:after="0"/>
              <w:rPr>
                <w:sz w:val="20"/>
                <w:szCs w:val="20"/>
                <w:color w:val="auto"/>
              </w:rPr>
            </w:pPr>
            <w:r>
              <w:rPr>
                <w:rFonts w:ascii="Arial" w:cs="Arial" w:eastAsia="Arial" w:hAnsi="Arial"/>
                <w:sz w:val="16"/>
                <w:szCs w:val="16"/>
                <w:color w:val="auto"/>
              </w:rPr>
              <w:t>Issuance of common stock upon</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Arial" w:cs="Arial" w:eastAsia="Arial" w:hAnsi="Arial"/>
                <w:sz w:val="16"/>
                <w:szCs w:val="16"/>
                <w:color w:val="auto"/>
                <w:w w:val="93"/>
              </w:rPr>
              <w:t>exercise of stock options, net of shares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20"/>
              <w:spacing w:after="0"/>
              <w:rPr>
                <w:sz w:val="20"/>
                <w:szCs w:val="20"/>
                <w:color w:val="auto"/>
              </w:rPr>
            </w:pPr>
            <w:r>
              <w:rPr>
                <w:rFonts w:ascii="Arial" w:cs="Arial" w:eastAsia="Arial" w:hAnsi="Arial"/>
                <w:sz w:val="16"/>
                <w:szCs w:val="16"/>
                <w:color w:val="auto"/>
              </w:rPr>
              <w:t>withheld</w:t>
            </w: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46,809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8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1,871</w:t>
            </w: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Arial" w:cs="Arial" w:eastAsia="Arial" w:hAnsi="Arial"/>
                <w:sz w:val="16"/>
                <w:szCs w:val="16"/>
                <w:color w:val="auto"/>
                <w:w w:val="92"/>
              </w:rPr>
              <w:t>Vesting of early exercised stock options</w:t>
            </w: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Additional accrual of IPO related cost</w:t>
            </w:r>
          </w:p>
        </w:tc>
        <w:tc>
          <w:tcPr>
            <w:tcW w:w="8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Arial" w:cs="Arial" w:eastAsia="Arial" w:hAnsi="Arial"/>
                <w:sz w:val="16"/>
                <w:szCs w:val="16"/>
                <w:color w:val="auto"/>
              </w:rPr>
              <w:t>Foreign currency translation</w:t>
            </w: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marketable</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securities</w:t>
            </w:r>
          </w:p>
        </w:tc>
        <w:tc>
          <w:tcPr>
            <w:tcW w:w="8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Arial" w:cs="Arial" w:eastAsia="Arial" w:hAnsi="Arial"/>
                <w:sz w:val="16"/>
                <w:szCs w:val="16"/>
                <w:color w:val="auto"/>
              </w:rPr>
              <w:t>Net loss</w:t>
            </w: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(9,345)</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2019</w:t>
            </w:r>
          </w:p>
        </w:tc>
        <w:tc>
          <w:tcPr>
            <w:tcW w:w="8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24,497,566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248,829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(166,522)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82,755</w:t>
            </w:r>
          </w:p>
        </w:tc>
        <w:tc>
          <w:tcPr>
            <w:tcW w:w="0" w:type="dxa"/>
            <w:vAlign w:val="bottom"/>
          </w:tcPr>
          <w:p>
            <w:pPr>
              <w:spacing w:after="0"/>
              <w:rPr>
                <w:sz w:val="1"/>
                <w:szCs w:val="1"/>
                <w:color w:val="auto"/>
              </w:rPr>
            </w:pPr>
          </w:p>
        </w:tc>
      </w:tr>
      <w:tr>
        <w:trPr>
          <w:trHeight w:val="220"/>
        </w:trPr>
        <w:tc>
          <w:tcPr>
            <w:tcW w:w="2640" w:type="dxa"/>
            <w:vAlign w:val="bottom"/>
          </w:tcPr>
          <w:p>
            <w:pPr>
              <w:ind w:left="20"/>
              <w:spacing w:after="0"/>
              <w:rPr>
                <w:sz w:val="20"/>
                <w:szCs w:val="20"/>
                <w:color w:val="auto"/>
              </w:rPr>
            </w:pPr>
            <w:r>
              <w:rPr>
                <w:rFonts w:ascii="Arial" w:cs="Arial" w:eastAsia="Arial" w:hAnsi="Arial"/>
                <w:sz w:val="16"/>
                <w:szCs w:val="16"/>
                <w:color w:val="auto"/>
              </w:rPr>
              <w:t>Issuance of common stock upon</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137,185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Issuance of common stock related to</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8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99,086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20"/>
        </w:trPr>
        <w:tc>
          <w:tcPr>
            <w:tcW w:w="2640" w:type="dxa"/>
            <w:vAlign w:val="bottom"/>
          </w:tcPr>
          <w:p>
            <w:pPr>
              <w:ind w:left="20"/>
              <w:spacing w:after="0"/>
              <w:rPr>
                <w:sz w:val="20"/>
                <w:szCs w:val="20"/>
                <w:color w:val="auto"/>
              </w:rPr>
            </w:pPr>
            <w:r>
              <w:rPr>
                <w:rFonts w:ascii="Arial" w:cs="Arial" w:eastAsia="Arial" w:hAnsi="Arial"/>
                <w:sz w:val="16"/>
                <w:szCs w:val="16"/>
                <w:color w:val="auto"/>
              </w:rPr>
              <w:t>Issuance of common stock upon</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27,320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8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Arial" w:cs="Arial" w:eastAsia="Arial" w:hAnsi="Arial"/>
                <w:sz w:val="16"/>
                <w:szCs w:val="16"/>
                <w:color w:val="auto"/>
                <w:w w:val="92"/>
              </w:rPr>
              <w:t>Vesting of early exercised stock options</w:t>
            </w: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w:t>
            </w:r>
          </w:p>
        </w:tc>
        <w:tc>
          <w:tcPr>
            <w:tcW w:w="8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0"/>
        </w:trPr>
        <w:tc>
          <w:tcPr>
            <w:tcW w:w="2640" w:type="dxa"/>
            <w:vAlign w:val="bottom"/>
          </w:tcPr>
          <w:p>
            <w:pPr>
              <w:ind w:left="20"/>
              <w:spacing w:after="0"/>
              <w:rPr>
                <w:sz w:val="20"/>
                <w:szCs w:val="20"/>
                <w:color w:val="auto"/>
              </w:rPr>
            </w:pPr>
            <w:r>
              <w:rPr>
                <w:rFonts w:ascii="Arial" w:cs="Arial" w:eastAsia="Arial" w:hAnsi="Arial"/>
                <w:sz w:val="16"/>
                <w:szCs w:val="16"/>
                <w:color w:val="auto"/>
              </w:rPr>
              <w:t>Unrealized gain on marketable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20"/>
              <w:spacing w:after="0"/>
              <w:rPr>
                <w:sz w:val="20"/>
                <w:szCs w:val="20"/>
                <w:color w:val="auto"/>
              </w:rPr>
            </w:pPr>
            <w:r>
              <w:rPr>
                <w:rFonts w:ascii="Arial" w:cs="Arial" w:eastAsia="Arial" w:hAnsi="Arial"/>
                <w:sz w:val="16"/>
                <w:szCs w:val="16"/>
                <w:color w:val="auto"/>
              </w:rPr>
              <w:t>securities</w:t>
            </w: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8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(8,654)</w:t>
            </w:r>
          </w:p>
        </w:tc>
        <w:tc>
          <w:tcPr>
            <w:tcW w:w="0" w:type="dxa"/>
            <w:vAlign w:val="bottom"/>
          </w:tcPr>
          <w:p>
            <w:pPr>
              <w:spacing w:after="0"/>
              <w:rPr>
                <w:sz w:val="1"/>
                <w:szCs w:val="1"/>
                <w:color w:val="auto"/>
              </w:rPr>
            </w:pPr>
          </w:p>
        </w:tc>
      </w:tr>
      <w:tr>
        <w:trPr>
          <w:trHeight w:val="244"/>
        </w:trPr>
        <w:tc>
          <w:tcPr>
            <w:tcW w:w="264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2019</w:t>
            </w: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24,761,157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6"/>
              </w:rPr>
              <w:t>252,404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(175,176)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77,747</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00"/>
          </w:cols>
          <w:pgMar w:left="860" w:top="634" w:right="839" w:bottom="1440" w:gutter="0" w:footer="0" w:header="0"/>
        </w:sectPr>
      </w:pPr>
    </w:p>
    <w:bookmarkStart w:id="7" w:name="page8"/>
    <w:bookmarkEnd w:id="7"/>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80" w:type="dxa"/>
            <w:vAlign w:val="bottom"/>
          </w:tcPr>
          <w:p>
            <w:pPr>
              <w:spacing w:after="0"/>
              <w:rPr>
                <w:sz w:val="21"/>
                <w:szCs w:val="21"/>
                <w:color w:val="auto"/>
              </w:rPr>
            </w:pPr>
          </w:p>
        </w:tc>
        <w:tc>
          <w:tcPr>
            <w:tcW w:w="178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w w:val="89"/>
              </w:rPr>
              <w:t>Redeemable</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2480" w:type="dxa"/>
            <w:vAlign w:val="bottom"/>
          </w:tcPr>
          <w:p>
            <w:pPr>
              <w:spacing w:after="0"/>
              <w:rPr>
                <w:sz w:val="7"/>
                <w:szCs w:val="7"/>
                <w:color w:val="auto"/>
              </w:rPr>
            </w:pPr>
          </w:p>
        </w:tc>
        <w:tc>
          <w:tcPr>
            <w:tcW w:w="1780" w:type="dxa"/>
            <w:vAlign w:val="bottom"/>
            <w:tcBorders>
              <w:right w:val="single" w:sz="8" w:color="auto"/>
            </w:tcBorders>
            <w:gridSpan w:val="4"/>
            <w:vMerge w:val="restart"/>
          </w:tcPr>
          <w:p>
            <w:pPr>
              <w:jc w:val="center"/>
              <w:ind w:right="160"/>
              <w:spacing w:after="0"/>
              <w:rPr>
                <w:sz w:val="20"/>
                <w:szCs w:val="20"/>
                <w:color w:val="auto"/>
              </w:rPr>
            </w:pPr>
            <w:r>
              <w:rPr>
                <w:rFonts w:ascii="Arial" w:cs="Arial" w:eastAsia="Arial" w:hAnsi="Arial"/>
                <w:sz w:val="16"/>
                <w:szCs w:val="16"/>
                <w:b w:val="1"/>
                <w:bCs w:val="1"/>
                <w:color w:val="auto"/>
                <w:w w:val="93"/>
              </w:rPr>
              <w:t>Convertible</w:t>
            </w: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780" w:type="dxa"/>
            <w:vAlign w:val="bottom"/>
            <w:tcBorders>
              <w:right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Additional</w:t>
            </w:r>
          </w:p>
        </w:tc>
        <w:tc>
          <w:tcPr>
            <w:tcW w:w="220" w:type="dxa"/>
            <w:vAlign w:val="bottom"/>
          </w:tcPr>
          <w:p>
            <w:pPr>
              <w:spacing w:after="0"/>
              <w:rPr>
                <w:sz w:val="10"/>
                <w:szCs w:val="10"/>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81"/>
        </w:trPr>
        <w:tc>
          <w:tcPr>
            <w:tcW w:w="2480" w:type="dxa"/>
            <w:vAlign w:val="bottom"/>
          </w:tcPr>
          <w:p>
            <w:pPr>
              <w:spacing w:after="0"/>
              <w:rPr>
                <w:sz w:val="7"/>
                <w:szCs w:val="7"/>
                <w:color w:val="auto"/>
              </w:rPr>
            </w:pPr>
          </w:p>
        </w:tc>
        <w:tc>
          <w:tcPr>
            <w:tcW w:w="166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2"/>
              </w:rPr>
              <w:t>Preferred Stock</w:t>
            </w:r>
          </w:p>
        </w:tc>
        <w:tc>
          <w:tcPr>
            <w:tcW w:w="120" w:type="dxa"/>
            <w:vAlign w:val="bottom"/>
            <w:tcBorders>
              <w:right w:val="single" w:sz="8" w:color="auto"/>
            </w:tcBorders>
            <w:vMerge w:val="restart"/>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4"/>
            <w:vMerge w:val="restart"/>
          </w:tcPr>
          <w:p>
            <w:pPr>
              <w:jc w:val="right"/>
              <w:ind w:right="13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vMerge w:val="restart"/>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480" w:type="dxa"/>
            <w:vAlign w:val="bottom"/>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120" w:type="dxa"/>
            <w:vAlign w:val="bottom"/>
            <w:tcBorders>
              <w:right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6"/>
                <w:szCs w:val="16"/>
                <w:b w:val="1"/>
                <w:bCs w:val="1"/>
                <w:color w:val="auto"/>
              </w:rPr>
              <w:t>Paid-in</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Comprehensive</w:t>
            </w: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31"/>
        </w:trPr>
        <w:tc>
          <w:tcPr>
            <w:tcW w:w="248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8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74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w:t>
            </w: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Income (Loss)</w:t>
            </w:r>
          </w:p>
        </w:tc>
        <w:tc>
          <w:tcPr>
            <w:tcW w:w="16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20"/>
                <w:szCs w:val="20"/>
                <w:color w:val="auto"/>
              </w:rPr>
            </w:pPr>
          </w:p>
        </w:tc>
        <w:tc>
          <w:tcPr>
            <w:tcW w:w="820" w:type="dxa"/>
            <w:vAlign w:val="bottom"/>
          </w:tcPr>
          <w:p>
            <w:pPr>
              <w:jc w:val="right"/>
              <w:ind w:right="199"/>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33"/>
        </w:trPr>
        <w:tc>
          <w:tcPr>
            <w:tcW w:w="24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6"/>
              </w:rPr>
              <w:t>Balance as of December 31, 2017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11,871,578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$118,548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3,603,140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(139,724)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(129,378)</w:t>
            </w:r>
          </w:p>
        </w:tc>
        <w:tc>
          <w:tcPr>
            <w:tcW w:w="0" w:type="dxa"/>
            <w:vAlign w:val="bottom"/>
          </w:tcPr>
          <w:p>
            <w:pPr>
              <w:spacing w:after="0"/>
              <w:rPr>
                <w:sz w:val="1"/>
                <w:szCs w:val="1"/>
                <w:color w:val="auto"/>
              </w:rPr>
            </w:pPr>
          </w:p>
        </w:tc>
      </w:tr>
      <w:tr>
        <w:trPr>
          <w:trHeight w:val="220"/>
        </w:trPr>
        <w:tc>
          <w:tcPr>
            <w:tcW w:w="2480" w:type="dxa"/>
            <w:vAlign w:val="bottom"/>
          </w:tcPr>
          <w:p>
            <w:pPr>
              <w:ind w:left="20"/>
              <w:spacing w:after="0"/>
              <w:rPr>
                <w:sz w:val="20"/>
                <w:szCs w:val="20"/>
                <w:color w:val="auto"/>
              </w:rPr>
            </w:pPr>
            <w:r>
              <w:rPr>
                <w:rFonts w:ascii="Arial" w:cs="Arial" w:eastAsia="Arial" w:hAnsi="Arial"/>
                <w:sz w:val="16"/>
                <w:szCs w:val="16"/>
                <w:color w:val="auto"/>
              </w:rPr>
              <w:t>Issuance of common stock upon</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4,207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20"/>
        </w:trPr>
        <w:tc>
          <w:tcPr>
            <w:tcW w:w="2480" w:type="dxa"/>
            <w:vAlign w:val="bottom"/>
          </w:tcPr>
          <w:p>
            <w:pPr>
              <w:ind w:left="20"/>
              <w:spacing w:after="0"/>
              <w:rPr>
                <w:sz w:val="20"/>
                <w:szCs w:val="20"/>
                <w:color w:val="auto"/>
              </w:rPr>
            </w:pPr>
            <w:r>
              <w:rPr>
                <w:rFonts w:ascii="Arial" w:cs="Arial" w:eastAsia="Arial" w:hAnsi="Arial"/>
                <w:sz w:val="16"/>
                <w:szCs w:val="16"/>
                <w:color w:val="auto"/>
              </w:rPr>
              <w:t>Vesting of early exercised stock</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80" w:type="dxa"/>
            <w:vAlign w:val="bottom"/>
          </w:tcPr>
          <w:p>
            <w:pPr>
              <w:ind w:left="20"/>
              <w:spacing w:after="0"/>
              <w:rPr>
                <w:sz w:val="20"/>
                <w:szCs w:val="20"/>
                <w:color w:val="auto"/>
              </w:rPr>
            </w:pPr>
            <w:r>
              <w:rPr>
                <w:rFonts w:ascii="Arial" w:cs="Arial" w:eastAsia="Arial" w:hAnsi="Arial"/>
                <w:sz w:val="16"/>
                <w:szCs w:val="16"/>
                <w:color w:val="auto"/>
              </w:rPr>
              <w:t>options</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2480" w:type="dxa"/>
            <w:vAlign w:val="bottom"/>
          </w:tcPr>
          <w:p>
            <w:pPr>
              <w:ind w:left="20"/>
              <w:spacing w:after="0"/>
              <w:rPr>
                <w:sz w:val="20"/>
                <w:szCs w:val="20"/>
                <w:color w:val="auto"/>
              </w:rPr>
            </w:pPr>
            <w:r>
              <w:rPr>
                <w:rFonts w:ascii="Arial" w:cs="Arial" w:eastAsia="Arial" w:hAnsi="Arial"/>
                <w:sz w:val="16"/>
                <w:szCs w:val="16"/>
                <w:color w:val="auto"/>
              </w:rPr>
              <w:t>Net loss</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(4,201)</w:t>
            </w:r>
          </w:p>
        </w:tc>
        <w:tc>
          <w:tcPr>
            <w:tcW w:w="0" w:type="dxa"/>
            <w:vAlign w:val="bottom"/>
          </w:tcPr>
          <w:p>
            <w:pPr>
              <w:spacing w:after="0"/>
              <w:rPr>
                <w:sz w:val="1"/>
                <w:szCs w:val="1"/>
                <w:color w:val="auto"/>
              </w:rPr>
            </w:pPr>
          </w:p>
        </w:tc>
      </w:tr>
      <w:tr>
        <w:trPr>
          <w:trHeight w:val="33"/>
        </w:trPr>
        <w:tc>
          <w:tcPr>
            <w:tcW w:w="24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2018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11,871,578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118,548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3,607,347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(143,925)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(133,171)</w:t>
            </w:r>
          </w:p>
        </w:tc>
        <w:tc>
          <w:tcPr>
            <w:tcW w:w="0" w:type="dxa"/>
            <w:vAlign w:val="bottom"/>
          </w:tcPr>
          <w:p>
            <w:pPr>
              <w:spacing w:after="0"/>
              <w:rPr>
                <w:sz w:val="1"/>
                <w:szCs w:val="1"/>
                <w:color w:val="auto"/>
              </w:rPr>
            </w:pPr>
          </w:p>
        </w:tc>
      </w:tr>
      <w:tr>
        <w:trPr>
          <w:trHeight w:val="220"/>
        </w:trPr>
        <w:tc>
          <w:tcPr>
            <w:tcW w:w="2480" w:type="dxa"/>
            <w:vAlign w:val="bottom"/>
          </w:tcPr>
          <w:p>
            <w:pPr>
              <w:ind w:left="20"/>
              <w:spacing w:after="0"/>
              <w:rPr>
                <w:sz w:val="20"/>
                <w:szCs w:val="20"/>
                <w:color w:val="auto"/>
              </w:rPr>
            </w:pPr>
            <w:r>
              <w:rPr>
                <w:rFonts w:ascii="Arial" w:cs="Arial" w:eastAsia="Arial" w:hAnsi="Arial"/>
                <w:sz w:val="16"/>
                <w:szCs w:val="16"/>
                <w:color w:val="auto"/>
              </w:rPr>
              <w:t>Issuance of common stock upon</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44,195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upon</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exercises of unvested stock options</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55,726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4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early exercised stock</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2480" w:type="dxa"/>
            <w:vAlign w:val="bottom"/>
          </w:tcPr>
          <w:p>
            <w:pPr>
              <w:ind w:left="20"/>
              <w:spacing w:after="0"/>
              <w:rPr>
                <w:sz w:val="20"/>
                <w:szCs w:val="20"/>
                <w:color w:val="auto"/>
              </w:rPr>
            </w:pPr>
            <w:r>
              <w:rPr>
                <w:rFonts w:ascii="Arial" w:cs="Arial" w:eastAsia="Arial" w:hAnsi="Arial"/>
                <w:sz w:val="16"/>
                <w:szCs w:val="16"/>
                <w:color w:val="auto"/>
              </w:rPr>
              <w:t>Foreign currency translation</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(3,147)</w:t>
            </w:r>
          </w:p>
        </w:tc>
        <w:tc>
          <w:tcPr>
            <w:tcW w:w="0" w:type="dxa"/>
            <w:vAlign w:val="bottom"/>
          </w:tcPr>
          <w:p>
            <w:pPr>
              <w:spacing w:after="0"/>
              <w:rPr>
                <w:sz w:val="1"/>
                <w:szCs w:val="1"/>
                <w:color w:val="auto"/>
              </w:rPr>
            </w:pPr>
          </w:p>
        </w:tc>
      </w:tr>
      <w:tr>
        <w:trPr>
          <w:trHeight w:val="244"/>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2018</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11,871,578</w:t>
            </w:r>
          </w:p>
        </w:tc>
        <w:tc>
          <w:tcPr>
            <w:tcW w:w="10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$118,548</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2"/>
              </w:rPr>
              <w:t>3,707,268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10,933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(147,072)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(135,703)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00"/>
          </w:cols>
          <w:pgMar w:left="860" w:top="1440" w:right="8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jc w:val="center"/>
        <w:ind w:left="762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76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33020</wp:posOffset>
            </wp:positionV>
            <wp:extent cx="17411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r>
      <w:tr>
        <w:trPr>
          <w:trHeight w:val="33"/>
        </w:trPr>
        <w:tc>
          <w:tcPr>
            <w:tcW w:w="7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74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(17,999)</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(7,348)</w:t>
            </w:r>
          </w:p>
        </w:tc>
      </w:tr>
      <w:tr>
        <w:trPr>
          <w:trHeight w:val="33"/>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46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3,685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754</w:t>
            </w:r>
          </w:p>
        </w:tc>
      </w:tr>
      <w:tr>
        <w:trPr>
          <w:trHeight w:val="33"/>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w:t>
            </w:r>
          </w:p>
        </w:tc>
      </w:tr>
      <w:tr>
        <w:trPr>
          <w:trHeight w:val="237"/>
        </w:trPr>
        <w:tc>
          <w:tcPr>
            <w:tcW w:w="7460" w:type="dxa"/>
            <w:vAlign w:val="bottom"/>
          </w:tcPr>
          <w:p>
            <w:pPr>
              <w:ind w:left="380"/>
              <w:spacing w:after="0"/>
              <w:rPr>
                <w:sz w:val="20"/>
                <w:szCs w:val="20"/>
                <w:color w:val="auto"/>
              </w:rPr>
            </w:pPr>
            <w:r>
              <w:rPr>
                <w:rFonts w:ascii="Arial" w:cs="Arial" w:eastAsia="Arial" w:hAnsi="Arial"/>
                <w:sz w:val="16"/>
                <w:szCs w:val="16"/>
                <w:color w:val="auto"/>
              </w:rPr>
              <w:t>Accretion on marketable securities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debt discount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37"/>
        </w:trPr>
        <w:tc>
          <w:tcPr>
            <w:tcW w:w="7460" w:type="dxa"/>
            <w:vAlign w:val="bottom"/>
          </w:tcPr>
          <w:p>
            <w:pPr>
              <w:ind w:left="380"/>
              <w:spacing w:after="0"/>
              <w:rPr>
                <w:sz w:val="20"/>
                <w:szCs w:val="20"/>
                <w:color w:val="auto"/>
              </w:rPr>
            </w:pPr>
            <w:r>
              <w:rPr>
                <w:rFonts w:ascii="Arial" w:cs="Arial" w:eastAsia="Arial" w:hAnsi="Arial"/>
                <w:sz w:val="16"/>
                <w:szCs w:val="16"/>
                <w:color w:val="auto"/>
              </w:rPr>
              <w:t>Change in fair value of redeemable convertible preferred stock warrants</w:t>
            </w:r>
          </w:p>
        </w:tc>
        <w:tc>
          <w:tcPr>
            <w:tcW w:w="3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224</w:t>
            </w:r>
          </w:p>
        </w:tc>
      </w:tr>
      <w:tr>
        <w:trPr>
          <w:trHeight w:val="33"/>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sale and disposal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r>
      <w:tr>
        <w:trPr>
          <w:trHeight w:val="224"/>
        </w:trPr>
        <w:tc>
          <w:tcPr>
            <w:tcW w:w="7460" w:type="dxa"/>
            <w:vAlign w:val="bottom"/>
          </w:tcPr>
          <w:p>
            <w:pPr>
              <w:ind w:left="16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7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r>
      <w:tr>
        <w:trPr>
          <w:trHeight w:val="237"/>
        </w:trPr>
        <w:tc>
          <w:tcPr>
            <w:tcW w:w="7460" w:type="dxa"/>
            <w:vAlign w:val="bottom"/>
          </w:tcPr>
          <w:p>
            <w:pPr>
              <w:ind w:left="38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33"/>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w:t>
            </w:r>
          </w:p>
        </w:tc>
      </w:tr>
      <w:tr>
        <w:trPr>
          <w:trHeight w:val="237"/>
        </w:trPr>
        <w:tc>
          <w:tcPr>
            <w:tcW w:w="74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(462)</w:t>
            </w:r>
          </w:p>
        </w:tc>
      </w:tr>
      <w:tr>
        <w:trPr>
          <w:trHeight w:val="33"/>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liabilities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w:t>
            </w:r>
          </w:p>
        </w:tc>
      </w:tr>
      <w:tr>
        <w:trPr>
          <w:trHeight w:val="217"/>
        </w:trPr>
        <w:tc>
          <w:tcPr>
            <w:tcW w:w="7460" w:type="dxa"/>
            <w:vAlign w:val="bottom"/>
          </w:tcPr>
          <w:p>
            <w:pPr>
              <w:ind w:left="70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(15,474)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(5,673)</w:t>
            </w:r>
          </w:p>
        </w:tc>
      </w:tr>
      <w:tr>
        <w:trPr>
          <w:trHeight w:val="33"/>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6"/>
                <w:szCs w:val="16"/>
                <w:color w:val="auto"/>
              </w:rPr>
              <w:t>Maturities of marketable securities</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83,600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6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(715)</w:t>
            </w:r>
          </w:p>
        </w:tc>
      </w:tr>
      <w:tr>
        <w:trPr>
          <w:trHeight w:val="33"/>
        </w:trPr>
        <w:tc>
          <w:tcPr>
            <w:tcW w:w="7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w:t>
            </w:r>
          </w:p>
        </w:tc>
      </w:tr>
      <w:tr>
        <w:trPr>
          <w:trHeight w:val="204"/>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60"/>
        </w:trPr>
        <w:tc>
          <w:tcPr>
            <w:tcW w:w="7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the exercise of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r>
      <w:tr>
        <w:trPr>
          <w:trHeight w:val="237"/>
        </w:trPr>
        <w:tc>
          <w:tcPr>
            <w:tcW w:w="7460" w:type="dxa"/>
            <w:vAlign w:val="bottom"/>
          </w:tcPr>
          <w:p>
            <w:pPr>
              <w:ind w:left="2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Payments of public offering costs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460" w:type="dxa"/>
            <w:vAlign w:val="bottom"/>
          </w:tcPr>
          <w:p>
            <w:pPr>
              <w:ind w:left="70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w:t>
            </w:r>
          </w:p>
        </w:tc>
      </w:tr>
      <w:tr>
        <w:trPr>
          <w:trHeight w:val="33"/>
        </w:trPr>
        <w:tc>
          <w:tcPr>
            <w:tcW w:w="7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17"/>
        </w:trPr>
        <w:tc>
          <w:tcPr>
            <w:tcW w:w="7460" w:type="dxa"/>
            <w:vAlign w:val="bottom"/>
          </w:tcPr>
          <w:p>
            <w:pPr>
              <w:ind w:left="700"/>
              <w:spacing w:after="0"/>
              <w:rPr>
                <w:sz w:val="20"/>
                <w:szCs w:val="20"/>
                <w:color w:val="auto"/>
              </w:rPr>
            </w:pPr>
            <w:r>
              <w:rPr>
                <w:rFonts w:ascii="Arial" w:cs="Arial" w:eastAsia="Arial" w:hAnsi="Arial"/>
                <w:sz w:val="16"/>
                <w:szCs w:val="16"/>
                <w:color w:val="auto"/>
              </w:rPr>
              <w:t>Net decrease in cash and cash equivalents</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(13,624)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(6,175)</w:t>
            </w:r>
          </w:p>
        </w:tc>
      </w:tr>
      <w:tr>
        <w:trPr>
          <w:trHeight w:val="33"/>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6"/>
                <w:szCs w:val="16"/>
                <w:color w:val="auto"/>
              </w:rPr>
              <w:t>Beginning of period</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25,120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22,408</w:t>
            </w:r>
          </w:p>
        </w:tc>
      </w:tr>
      <w:tr>
        <w:trPr>
          <w:trHeight w:val="33"/>
        </w:trPr>
        <w:tc>
          <w:tcPr>
            <w:tcW w:w="7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 of period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16,233</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18"/>
        </w:trPr>
        <w:tc>
          <w:tcPr>
            <w:tcW w:w="7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6"/>
                <w:szCs w:val="16"/>
                <w:color w:val="auto"/>
              </w:rPr>
              <w:t>Vesting of early exercised stock options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33"/>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included in accounts payable and accrued liabilities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r>
      <w:tr>
        <w:trPr>
          <w:trHeight w:val="33"/>
        </w:trPr>
        <w:tc>
          <w:tcPr>
            <w:tcW w:w="7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00"/>
          </w:cols>
          <w:pgMar w:left="860" w:top="1026" w:right="8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Business</w:t>
      </w:r>
    </w:p>
    <w:p>
      <w:pPr>
        <w:spacing w:after="0" w:line="121"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iFuse Implant System, or iFuse, in 2009 in the United States, in 2010 in certain countries in the European Union, and in 2015 in certain countries in the rest of the world.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In October 2018, the Company's board of directors and stockholders approved a 1-for-18 reverse stock split of the Company's common stock and redeemable convertible preferred stock, which was effected on October 4, 2018. The par value of the common stock and redeemable convertible preferred stock was not adjusted as a result of the reverse split. All issued and outstanding share and per share amounts of common stock, redeemable convertible preferred stock, stock options, and warrants included in the accompanying consolidated financial statements have been adjusted to reflect this reverse stock split for all periods presented.</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On October 16, 2018, the Company’s Registration Statement on Form S-1 (File No. 333-227445) relating to the initial public offering (IPO) of its common stock was declared effective by the Securities and Exchange Commission (SEC). Pursuant to such Registration Statement, the Company sold 8,280,000 shares at an initial public offering price of $15.00 per share for net proceeds of $113.4 million to the Company, net of underwriting discounts and commissions and offering costs. Upon the closing of the IPO, the Company's outstanding shares of redeemable convertible preferred stock were automatically converted into an aggregate of 12,066,654 shares of common stock and the Company's outstanding warrants to purchase 156,550 shares of redeemable convertible preferred stock were automatically converted into warrants to purchase an aggregate of 160,657 shares of common stock, resulting in reclassification of the related redeemable convertible preferred stock warrant liability of $1.2 million in additional paid-in-capital.</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2018 has been derived from the audited consolidated financial statements at that date but does not include all of the information required by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and six months ended June 30, 2019 are not necessarily indicative of the results to be expected for the year ending December 31, 2019 or for any other interim period or for any other future year.</w:t>
      </w:r>
    </w:p>
    <w:p>
      <w:pPr>
        <w:spacing w:after="0" w:line="209"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The accompanying condensed consolidated financial statements should be read in conjunction with the audited financial statements and related notes thereto for the year ended December 31, 2018 contained in the Company’s Annual Report on Form 10-K filed with the SEC on March 14, 2019.</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include: fair value of assets and liabilities; analysis of the allowance for doubtful accounts; inventory valuation; valuation of deferred tax assets, including related valuation allowances; fair value of common stock and redeemable convertible preferred stock warrants; stock-based compensation; and useful lives of long lived assets. Estimates are based on historical experience, where applicable and other assumptions believed to be reasonable by the management. Actual results could differ from those estimates.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Company’s significant accounting policies are disclosed in the Company’s Annual Report on Form 10-K for the year ended December 31,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these accounting policies.</w:t>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7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As an emerging growth company under the Jumpstart Our Business Startups Act of 2012, or the JOBS Act, the Company is eligible to take advantage of certain exemptions from various reporting requirements that are applicable to other public companies that are not emerging growth companies. The Company has elected to take advantage of the extended transition period for adopting new or revised accounting standards that have different effective dates for public and private companies. Those standards apply to companies until the earlier of the date that it is (i)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 The Company continues to be an emerging growth company for five years following the completion of the IPO, unless one of the following occurs: (i) if the Company's total annual gross revenues are $1.07 billion or more; or (ii) the Company has issued more than $1.0 billion in non-convertible debt in the past three years; or (iii) the Company becomes a "large accelerated filer," as defined in Rule 12b-2 of the Exchange Act.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Segments</w:t>
      </w:r>
    </w:p>
    <w:p>
      <w:pPr>
        <w:spacing w:after="0" w:line="17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chief operating decision makers for the Company are the Chief Executive Officer ("CEO") and Chief Financial Officer ("CFO"). The CEO and the CFO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w:t>
      </w:r>
    </w:p>
    <w:p>
      <w:pPr>
        <w:spacing w:after="0" w:line="134"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The Company derives substantially all of its revenue from sales to customers in the United States. Revenue by geography is based on billing address of the customer. No single country outside the United States accounts for more than 10% of the total revenue during the periods presented. Long-lived assets held outside the United States are immaterial. The table below summarizes the Company's revenue by geography (in thousands):</w:t>
      </w:r>
    </w:p>
    <w:p>
      <w:pPr>
        <w:spacing w:after="0" w:line="270"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300" w:type="dxa"/>
            <w:vAlign w:val="bottom"/>
            <w:gridSpan w:val="7"/>
          </w:tcPr>
          <w:p>
            <w:pPr>
              <w:ind w:left="80"/>
              <w:spacing w:after="0"/>
              <w:rPr>
                <w:sz w:val="20"/>
                <w:szCs w:val="20"/>
                <w:color w:val="auto"/>
              </w:rPr>
            </w:pPr>
            <w:r>
              <w:rPr>
                <w:rFonts w:ascii="Arial" w:cs="Arial" w:eastAsia="Arial" w:hAnsi="Arial"/>
                <w:sz w:val="18"/>
                <w:szCs w:val="18"/>
                <w:b w:val="1"/>
                <w:bCs w:val="1"/>
                <w:color w:val="auto"/>
                <w:w w:val="97"/>
              </w:rPr>
              <w:t>Three Months Ended June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15,019</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23,456</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2,919</w:t>
            </w: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16,317</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26,375</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66"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The Company’s cash and cash equivalents are deposited with financial institutions in the United States and in Europe; the majority of the Company’s cash and cash equivalents are deposited with a single financial institution in the United States. Deposits in this institution exceed the amount of insurance provided on such deposits. The Company has not experienced any losses on its deposits of cash and cash equivalents.</w:t>
      </w:r>
    </w:p>
    <w:p>
      <w:pPr>
        <w:spacing w:after="0" w:line="17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Company’s revenue and accounts receivable are spread across a large number of customers, primarily in the United States, and no one customer accounts for more than 10% of total revenue or gross accounts receivable in any period presented.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Risks and Uncertainties</w:t>
      </w:r>
    </w:p>
    <w:p>
      <w:pPr>
        <w:spacing w:after="0" w:line="266"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The Company is subject to risks common to medical device companies including, but not limited to, new technological innovations, dependence on key personnel, protection of proprietary technology, compliance with government regulations, product liability, the ability to obtain adequate coverage and reimbursement from third-party payors, uncertainty of market acceptance of products, and the need to obtain additional financing.</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Company is dependent on third-party manufacturers and suppliers, in some cases single source suppliers. The Company currently has limited long term contracts with its key suppliers and is subject to risks such as manufacturing failures, non-compliance with regulatory requirements, price fluctuations, inability to properly meet demand and third-party supplier discontinuation of operations.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Standards Not Yet Effective</w:t>
      </w:r>
    </w:p>
    <w:p>
      <w:pPr>
        <w:spacing w:after="0" w:line="26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which requires an entity to recognize the amount of revenue to which it expects to be entitled for the transfer of promised goods or services to customers. The new standard is effective for fiscal years beginning after December 15, 2017 for public companies, and for fiscal years beginning after December 15, 2018, and interim periods beginning after December 15, 2019, for private companies. Early application is permitted. The standard permits the use of either the retrospective or cumulative effect transition method. In March 2016, the FASB issued ASU 2016-08, which clarifies the implementation guidance on principal versus agent considerations. In April 2016, the FASB issued ASU 2016-10, which clarifies certain aspects of identifying performance obligations and licensing implementation guidance. In May 2016, the FASB issued ASU 2016-12, which relates to disclosures of remaining performance obligations, as well as other amendments to guidance on collectability, non-cash consideration and the presentation of sales and other similar taxes collected from customers. In November 2018, the FASB issued ASU 2018-18</w:t>
      </w:r>
      <w:r>
        <w:rPr>
          <w:rFonts w:ascii="Arial" w:cs="Arial" w:eastAsia="Arial" w:hAnsi="Arial"/>
          <w:sz w:val="17"/>
          <w:szCs w:val="17"/>
          <w:i w:val="1"/>
          <w:iCs w:val="1"/>
          <w:color w:val="auto"/>
        </w:rPr>
        <w:t>,</w:t>
      </w:r>
      <w:r>
        <w:rPr>
          <w:rFonts w:ascii="Arial" w:cs="Arial" w:eastAsia="Arial" w:hAnsi="Arial"/>
          <w:sz w:val="17"/>
          <w:szCs w:val="17"/>
          <w:color w:val="auto"/>
        </w:rPr>
        <w:t xml:space="preserve"> which clarifies when transactions between participants in a collaborative arrangement are within the scope of the FASB’s revenue standard, Topic 606.</w:t>
      </w:r>
    </w:p>
    <w:p>
      <w:pPr>
        <w:spacing w:after="0" w:line="17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Company will adopt this standard using the modified retrospective method effective for the year ending December 31, 2019, which will be first presented on the Company's Annual Report on Form 10-K for the year ended December 31, 2019. As an emerging growth company that elected to take advantage of the JOBS Act accounting election, the Company is not required to adopt the new revenue standard in the interim reporting periods for the year ending December 31, 2019, but rather for the fiscal year ending December 31, 2019 and then in the interim periods following the year of adoption. The Company also is not required, and intends not, to revise its 2019 interim periods which were and will be reported under ASC 605 in its fiscal year 2020 interim financial reporting. The Company continues to evaluate the impact of adoption of the new standard on its accounting policies, processes, and system requirements and has assigned internal resources, in addition to the engagement of third party service providers to assist in the evaluation. At this time, as it relates to product sales where the Company's sales representative delivers the product at the point of implantation at hospital or other medical facilities, which represents majority of the Company's revenue, the Company expects to continue to recognize the revenue upon completion of the procedure and authorization by the customer. As it relates to sale of products through distributors and hospitals where product is ordered in advance of the procedure, the Company expects to continue to recognize the revenue upon shipments to the customers. Additionally, the new standard requires the capitalization of costs to obtain a contract, primarily sales commissions, and amortization of these costs over the contract period or estimated customer life. The Company expects to continue expensing all sales commissions as incurred.</w:t>
      </w:r>
    </w:p>
    <w:p>
      <w:pPr>
        <w:spacing w:after="0" w:line="18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February 2016, the FASB issued ASU 2016-02, Leases (Topic 842), which requires that lessee's recognize a right-of-use asset and a lease liability for all leases with lease terms greater than twelve months in the balance sheet. A lease liability is a lessee's obligation to make lease payments arising from a lease, measured on a discounted basis; and a right-of-use asset is an asset that represents the lessee’s right to use, or control use of, a specified asset for the lease term for all leases (with the exception of short-term leases) at the adoption date. In July 2018, the FASB issued ASU 2018-10 and ASU 2018-11, which provides clarification on the narrow aspects of the guidance and provide an additional transition method to adopt the new leases standard. The new transition method allows an entity to recognize a cumulative-effect adjustment to the opening balance of retained earnings in the period of adoption. In March 2019, the FASB issued ASU 2019-01, which provides clarification on implementation issues associated with adopting ASU 2016-02. The new guidance is effective for fiscal years, and for interim periods within those fiscal years, beginning after December 15, 2018 for public companies and beginning after December 15, 2019 for private companies. Early adoption is permitted for any interim or annual financial statements not yet issued. The new leases standard must be adopted using a modified retrospective transition method and allows for the application of the new guidance at the beginning of the earliest comparative period presented or at the adoption date. The Company is currently evaluating the impact of this standard on its consolidated financial statements and anticipates adopting the standard for the fiscal year ending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In June 2018, the FASB issued ASU 2018-07, Improvements to Non-employee Share-Based Payment Accounting. ASU 2018-07 expands the scope of Topic 718, Compensation-Stock Compensation, to include share-based payments issued to non-employees for goods or services. Consequently, the accounting for share-based payments to non-employees and employees will be substantially aligned. ASU 2018-07 supersedes Subtopic 505-50, Equity-Equity-Based Payments to Non-Employees. For public business entities, the amendments are effective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 company’s adoption date of ASC</w:t>
      </w:r>
    </w:p>
    <w:p>
      <w:pPr>
        <w:spacing w:after="0" w:line="5" w:lineRule="exact"/>
        <w:rPr>
          <w:sz w:val="20"/>
          <w:szCs w:val="20"/>
          <w:color w:val="auto"/>
        </w:rPr>
      </w:pPr>
    </w:p>
    <w:p>
      <w:pPr>
        <w:ind w:firstLine="8"/>
        <w:spacing w:after="0" w:line="261" w:lineRule="auto"/>
        <w:tabs>
          <w:tab w:leader="none" w:pos="37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currently evaluating the impact that the adoption of this standard will have on the consolidated financial statements, and anticipates adopting the standard for the fiscal year ending December 31, 2020.</w:t>
      </w:r>
    </w:p>
    <w:p>
      <w:pPr>
        <w:spacing w:after="0" w:line="18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August 2018, the FASB issued ASU 2018-13, Fair Value Measurements, which eliminates, adds or modifies certain disclosure requirements for fair value measurements.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This ASU is effective for fiscal years beginning after December 15, 2019, including interim periods within that fiscal year, with early adoption permitted to adopt either the entire standard or only the provisions that eliminate or modify the requirements. The Company is currently evaluating the impact that the adoption of this standard will have on the consolidated financial statements, and anticipates adopting the standard for the fiscal year ending December 31, 2020.</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6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August 2016, the FASB issued ASU 2016-15, Statement of Cash Flows (Topic 230), which provides guidance on the following eight specific cash flow classification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Current GAAP does not include specific guidance on these eight cash flow classification issues. This update is effective for reporting periods beginning after December 15, 2017 for public companies, and fiscal years beginning after December 15, 2018 and interim periods within fiscal years beginning after December 15, 2019 for private companies, with early adoption permitted. The Company has adopted this standard effective January 1, 2019, and the adoption did not have any material impact on the Company’s consolidated financial statements.</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February 2018, the FASB issued ASU 2018-02, Income Statement-Reporting Comprehensive Income (Topic 220). This update provides companies with the option to reclassify stranded tax effects caused by the 2017 Tax Cuts and Jobs Act (the 2017 Tax Act) from accumulated other comprehensive income to retained earnings. This standard is effective for all entities for fiscal years, and interim periods within those fiscal years, beginning after December 15, 2018. Early adoption is permitted. The Company has adopted this standard effective January 1, 2019, and the adoption did not have any material impact on the Company’s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jc w:val="center"/>
        <w:ind w:right="-1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All of the Company's marketable securities were available-for-sale and were classified based on their maturities. Short term investments are securities that original maturity or remaining maturity is greater than three months and not more than twelve months. The maturities of the long-term investments outstanding as of June 30, 2019 range from 15 to 17 months. The table below summarizes the marketable securities as of June 30, 2019 and December 31, 2018 (in thousands). Unrealized gains and losses on marketable securities are recorded in accumulated other comprehensive loss.</w:t>
      </w:r>
    </w:p>
    <w:p>
      <w:pPr>
        <w:spacing w:after="0" w:line="96"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20" w:type="dxa"/>
            <w:vAlign w:val="bottom"/>
            <w:gridSpan w:val="5"/>
          </w:tcPr>
          <w:p>
            <w:pPr>
              <w:ind w:left="480"/>
              <w:spacing w:after="0"/>
              <w:rPr>
                <w:sz w:val="20"/>
                <w:szCs w:val="20"/>
                <w:color w:val="auto"/>
              </w:rPr>
            </w:pPr>
            <w:r>
              <w:rPr>
                <w:rFonts w:ascii="Arial" w:cs="Arial" w:eastAsia="Arial" w:hAnsi="Arial"/>
                <w:sz w:val="18"/>
                <w:szCs w:val="18"/>
                <w:b w:val="1"/>
                <w:bCs w:val="1"/>
                <w:color w:val="auto"/>
              </w:rPr>
              <w:t>June 30, 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r>
      <w:tr>
        <w:trPr>
          <w:trHeight w:val="218"/>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2"/>
              </w:rPr>
              <w:t>Aggregate Fair</w:t>
            </w:r>
          </w:p>
        </w:tc>
      </w:tr>
      <w:tr>
        <w:trPr>
          <w:trHeight w:val="234"/>
        </w:trPr>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4"/>
          </w:tcPr>
          <w:p>
            <w:pPr>
              <w:ind w:left="40"/>
              <w:spacing w:after="0"/>
              <w:rPr>
                <w:sz w:val="20"/>
                <w:szCs w:val="20"/>
                <w:color w:val="auto"/>
              </w:rPr>
            </w:pPr>
            <w:r>
              <w:rPr>
                <w:rFonts w:ascii="Arial" w:cs="Arial" w:eastAsia="Arial" w:hAnsi="Arial"/>
                <w:sz w:val="18"/>
                <w:szCs w:val="18"/>
                <w:b w:val="1"/>
                <w:bCs w:val="1"/>
                <w:color w:val="auto"/>
              </w:rPr>
              <w:t>Amortized Cost</w:t>
            </w:r>
          </w:p>
        </w:tc>
        <w:tc>
          <w:tcPr>
            <w:tcW w:w="1600" w:type="dxa"/>
            <w:vAlign w:val="bottom"/>
            <w:gridSpan w:val="5"/>
          </w:tcPr>
          <w:p>
            <w:pPr>
              <w:ind w:left="60"/>
              <w:spacing w:after="0"/>
              <w:rPr>
                <w:sz w:val="20"/>
                <w:szCs w:val="20"/>
                <w:color w:val="auto"/>
              </w:rPr>
            </w:pPr>
            <w:r>
              <w:rPr>
                <w:rFonts w:ascii="Arial" w:cs="Arial" w:eastAsia="Arial" w:hAnsi="Arial"/>
                <w:sz w:val="18"/>
                <w:szCs w:val="18"/>
                <w:b w:val="1"/>
                <w:bCs w:val="1"/>
                <w:color w:val="auto"/>
              </w:rPr>
              <w:t>Unrealized Gains</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88"/>
              </w:rPr>
              <w:t>Unrealized Losses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Value</w:t>
            </w:r>
          </w:p>
        </w:tc>
      </w:tr>
      <w:tr>
        <w:trPr>
          <w:trHeight w:val="27"/>
        </w:trPr>
        <w:tc>
          <w:tcPr>
            <w:tcW w:w="3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6,294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6,294</w:t>
            </w:r>
          </w:p>
        </w:tc>
      </w:tr>
      <w:tr>
        <w:trPr>
          <w:trHeight w:val="237"/>
        </w:trPr>
        <w:tc>
          <w:tcPr>
            <w:tcW w:w="358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6,294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6,294</w:t>
            </w:r>
          </w:p>
        </w:tc>
      </w:tr>
      <w:tr>
        <w:trPr>
          <w:trHeight w:val="27"/>
        </w:trPr>
        <w:tc>
          <w:tcPr>
            <w:tcW w:w="3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77,591</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14,168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14,189</w:t>
            </w:r>
          </w:p>
        </w:tc>
      </w:tr>
      <w:tr>
        <w:trPr>
          <w:trHeight w:val="27"/>
        </w:trPr>
        <w:tc>
          <w:tcPr>
            <w:tcW w:w="3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Short-term investments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91,694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91,780</w:t>
            </w:r>
          </w:p>
        </w:tc>
      </w:tr>
      <w:tr>
        <w:trPr>
          <w:trHeight w:val="534"/>
        </w:trPr>
        <w:tc>
          <w:tcPr>
            <w:tcW w:w="358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5,254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5,262</w:t>
            </w:r>
          </w:p>
        </w:tc>
      </w:tr>
      <w:tr>
        <w:trPr>
          <w:trHeight w:val="27"/>
        </w:trPr>
        <w:tc>
          <w:tcPr>
            <w:tcW w:w="3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Long-term investments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5,254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5,262</w:t>
            </w:r>
          </w:p>
        </w:tc>
      </w:tr>
      <w:tr>
        <w:trPr>
          <w:trHeight w:val="257"/>
        </w:trPr>
        <w:tc>
          <w:tcPr>
            <w:tcW w:w="3580" w:type="dxa"/>
            <w:vAlign w:val="bottom"/>
          </w:tcPr>
          <w:p>
            <w:pPr>
              <w:ind w:left="20"/>
              <w:spacing w:after="0"/>
              <w:rPr>
                <w:sz w:val="20"/>
                <w:szCs w:val="20"/>
                <w:color w:val="auto"/>
              </w:rPr>
            </w:pPr>
            <w:r>
              <w:rPr>
                <w:rFonts w:ascii="Arial" w:cs="Arial" w:eastAsia="Arial" w:hAnsi="Arial"/>
                <w:sz w:val="18"/>
                <w:szCs w:val="18"/>
                <w:color w:val="auto"/>
              </w:rPr>
              <w:t>Total marketable securities</w:t>
            </w: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103,242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Borders>
              <w:top w:val="single" w:sz="8" w:color="auto"/>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Borders>
              <w:top w:val="single" w:sz="8" w:color="auto"/>
              <w:bottom w:val="single" w:sz="8" w:color="auto"/>
            </w:tcBorders>
            <w:gridSpan w:val="2"/>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103,336</w:t>
            </w:r>
          </w:p>
        </w:tc>
      </w:tr>
      <w:tr>
        <w:trPr>
          <w:trHeight w:val="20"/>
        </w:trPr>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87"/>
        </w:trPr>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gridSpan w:val="5"/>
          </w:tcPr>
          <w:p>
            <w:pPr>
              <w:ind w:left="320"/>
              <w:spacing w:after="0"/>
              <w:rPr>
                <w:sz w:val="20"/>
                <w:szCs w:val="20"/>
                <w:color w:val="auto"/>
              </w:rPr>
            </w:pPr>
            <w:r>
              <w:rPr>
                <w:rFonts w:ascii="Arial" w:cs="Arial" w:eastAsia="Arial" w:hAnsi="Arial"/>
                <w:sz w:val="18"/>
                <w:szCs w:val="18"/>
                <w:b w:val="1"/>
                <w:bCs w:val="1"/>
                <w:color w:val="auto"/>
              </w:rPr>
              <w:t>December 31, 2018</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Aggregate Fair</w:t>
            </w:r>
          </w:p>
        </w:tc>
      </w:tr>
      <w:tr>
        <w:trPr>
          <w:trHeight w:val="234"/>
        </w:trPr>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00" w:type="dxa"/>
            <w:vAlign w:val="bottom"/>
          </w:tcPr>
          <w:p>
            <w:pPr>
              <w:spacing w:after="0"/>
              <w:rPr>
                <w:sz w:val="20"/>
                <w:szCs w:val="20"/>
                <w:color w:val="auto"/>
              </w:rPr>
            </w:pPr>
          </w:p>
        </w:tc>
        <w:tc>
          <w:tcPr>
            <w:tcW w:w="1500" w:type="dxa"/>
            <w:vAlign w:val="bottom"/>
            <w:gridSpan w:val="4"/>
          </w:tcPr>
          <w:p>
            <w:pPr>
              <w:ind w:left="60"/>
              <w:spacing w:after="0"/>
              <w:rPr>
                <w:sz w:val="20"/>
                <w:szCs w:val="20"/>
                <w:color w:val="auto"/>
              </w:rPr>
            </w:pPr>
            <w:r>
              <w:rPr>
                <w:rFonts w:ascii="Arial" w:cs="Arial" w:eastAsia="Arial" w:hAnsi="Arial"/>
                <w:sz w:val="18"/>
                <w:szCs w:val="18"/>
                <w:b w:val="1"/>
                <w:bCs w:val="1"/>
                <w:color w:val="auto"/>
                <w:w w:val="97"/>
              </w:rPr>
              <w:t>Unrealized Gains</w:t>
            </w:r>
          </w:p>
        </w:tc>
        <w:tc>
          <w:tcPr>
            <w:tcW w:w="80" w:type="dxa"/>
            <w:vAlign w:val="bottom"/>
          </w:tcPr>
          <w:p>
            <w:pPr>
              <w:spacing w:after="0"/>
              <w:rPr>
                <w:sz w:val="20"/>
                <w:szCs w:val="20"/>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9"/>
              </w:rPr>
              <w:t>Unrealized Losses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Value</w:t>
            </w:r>
          </w:p>
        </w:tc>
      </w:tr>
      <w:tr>
        <w:trPr>
          <w:trHeight w:val="27"/>
        </w:trPr>
        <w:tc>
          <w:tcPr>
            <w:tcW w:w="3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6,635</w:t>
            </w:r>
          </w:p>
        </w:tc>
      </w:tr>
      <w:tr>
        <w:trPr>
          <w:trHeight w:val="27"/>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87"/>
              </w:rPr>
              <w:t>15,223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15,223</w:t>
            </w:r>
          </w:p>
        </w:tc>
      </w:tr>
      <w:tr>
        <w:trPr>
          <w:trHeight w:val="237"/>
        </w:trPr>
        <w:tc>
          <w:tcPr>
            <w:tcW w:w="358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7"/>
              </w:rPr>
              <w:t>22,858</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22,858</w:t>
            </w:r>
          </w:p>
        </w:tc>
      </w:tr>
      <w:tr>
        <w:trPr>
          <w:trHeight w:val="27"/>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87"/>
              </w:rPr>
              <w:t>65,491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65,489</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ind w:left="760"/>
              <w:spacing w:after="0"/>
              <w:rPr>
                <w:sz w:val="20"/>
                <w:szCs w:val="20"/>
                <w:color w:val="auto"/>
              </w:rPr>
            </w:pPr>
            <w:r>
              <w:rPr>
                <w:rFonts w:ascii="Arial" w:cs="Arial" w:eastAsia="Arial" w:hAnsi="Arial"/>
                <w:sz w:val="18"/>
                <w:szCs w:val="18"/>
                <w:color w:val="auto"/>
                <w:w w:val="87"/>
              </w:rPr>
              <w:t>19,708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79"/>
              </w:rPr>
              <w:t>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19,720</w:t>
            </w:r>
          </w:p>
        </w:tc>
      </w:tr>
      <w:tr>
        <w:trPr>
          <w:trHeight w:val="27"/>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w w:val="83"/>
              </w:rPr>
              <w:t>11,894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11,894</w:t>
            </w:r>
          </w:p>
        </w:tc>
      </w:tr>
      <w:tr>
        <w:trPr>
          <w:trHeight w:val="237"/>
        </w:trPr>
        <w:tc>
          <w:tcPr>
            <w:tcW w:w="358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7"/>
              </w:rPr>
              <w:t>97,093</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79"/>
              </w:rPr>
              <w:t>17</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97,103</w:t>
            </w:r>
          </w:p>
        </w:tc>
      </w:tr>
      <w:tr>
        <w:trPr>
          <w:trHeight w:val="27"/>
        </w:trPr>
        <w:tc>
          <w:tcPr>
            <w:tcW w:w="3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79"/>
              </w:rPr>
              <w:t>17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119,961</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676"/>
        </w:trPr>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ind w:left="10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80"/>
          </w:cols>
          <w:pgMar w:left="240" w:top="121" w:right="3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229"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w:t>
      </w:r>
    </w:p>
    <w:p>
      <w:pPr>
        <w:spacing w:after="0" w:line="14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table below summarizes the fair value of the Company’s marketable securities measured at fair value on a recurring basis based on the three-tier fair value hierarchy (in thousands). There were no other financial assets and liabilities other than discussed above that requires fair value hierarchy measurements and disclosures for the periods presented.</w:t>
      </w:r>
    </w:p>
    <w:p>
      <w:pPr>
        <w:spacing w:after="0" w:line="123"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5"/>
          </w:tcPr>
          <w:p>
            <w:pPr>
              <w:ind w:left="400"/>
              <w:spacing w:after="0"/>
              <w:rPr>
                <w:sz w:val="20"/>
                <w:szCs w:val="20"/>
                <w:color w:val="auto"/>
              </w:rPr>
            </w:pPr>
            <w:r>
              <w:rPr>
                <w:rFonts w:ascii="Arial" w:cs="Arial" w:eastAsia="Arial" w:hAnsi="Arial"/>
                <w:sz w:val="18"/>
                <w:szCs w:val="18"/>
                <w:b w:val="1"/>
                <w:bCs w:val="1"/>
                <w:color w:val="auto"/>
              </w:rPr>
              <w:t>June 30, 2019</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5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70"/>
        </w:trPr>
        <w:tc>
          <w:tcPr>
            <w:tcW w:w="5800" w:type="dxa"/>
            <w:vAlign w:val="bottom"/>
          </w:tcPr>
          <w:p>
            <w:pPr>
              <w:ind w:left="160"/>
              <w:spacing w:after="0" w:line="27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6,294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6,294</w:t>
            </w:r>
          </w:p>
        </w:tc>
      </w:tr>
      <w:tr>
        <w:trPr>
          <w:trHeight w:val="250"/>
        </w:trPr>
        <w:tc>
          <w:tcPr>
            <w:tcW w:w="5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77,591</w:t>
            </w:r>
          </w:p>
        </w:tc>
      </w:tr>
      <w:tr>
        <w:trPr>
          <w:trHeight w:val="243"/>
        </w:trPr>
        <w:tc>
          <w:tcPr>
            <w:tcW w:w="580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19,451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19,451</w:t>
            </w:r>
          </w:p>
        </w:tc>
      </w:tr>
      <w:tr>
        <w:trPr>
          <w:trHeight w:val="27"/>
        </w:trPr>
        <w:tc>
          <w:tcPr>
            <w:tcW w:w="5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5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marketable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83,885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103,336</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6"/>
          </w:tcPr>
          <w:p>
            <w:pPr>
              <w:jc w:val="right"/>
              <w:spacing w:after="0"/>
              <w:rPr>
                <w:sz w:val="20"/>
                <w:szCs w:val="20"/>
                <w:color w:val="auto"/>
              </w:rPr>
            </w:pPr>
            <w:r>
              <w:rPr>
                <w:rFonts w:ascii="Arial" w:cs="Arial" w:eastAsia="Arial" w:hAnsi="Arial"/>
                <w:sz w:val="18"/>
                <w:szCs w:val="18"/>
                <w:b w:val="1"/>
                <w:bCs w:val="1"/>
                <w:color w:val="auto"/>
              </w:rPr>
              <w:t>December 31, 2018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Level 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Level 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4"/>
          </w:tcPr>
          <w:p>
            <w:pPr>
              <w:ind w:left="2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0" w:type="dxa"/>
            <w:vAlign w:val="bottom"/>
          </w:tcPr>
          <w:p>
            <w:pPr>
              <w:spacing w:after="0"/>
              <w:rPr>
                <w:sz w:val="21"/>
                <w:szCs w:val="21"/>
                <w:color w:val="auto"/>
              </w:rPr>
            </w:pPr>
          </w:p>
        </w:tc>
        <w:tc>
          <w:tcPr>
            <w:tcW w:w="5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 w:type="dxa"/>
            <w:vAlign w:val="bottom"/>
          </w:tcPr>
          <w:p>
            <w:pPr>
              <w:spacing w:after="0"/>
              <w:rPr>
                <w:sz w:val="23"/>
                <w:szCs w:val="23"/>
                <w:color w:val="auto"/>
              </w:rPr>
            </w:pPr>
          </w:p>
        </w:tc>
        <w:tc>
          <w:tcPr>
            <w:tcW w:w="5800" w:type="dxa"/>
            <w:vAlign w:val="bottom"/>
            <w:gridSpan w:val="3"/>
          </w:tcPr>
          <w:p>
            <w:pPr>
              <w:ind w:left="160"/>
              <w:spacing w:after="0" w:line="27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15,223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15,223</w:t>
            </w:r>
          </w:p>
        </w:tc>
        <w:tc>
          <w:tcPr>
            <w:tcW w:w="0" w:type="dxa"/>
            <w:vAlign w:val="bottom"/>
          </w:tcPr>
          <w:p>
            <w:pPr>
              <w:spacing w:after="0"/>
              <w:rPr>
                <w:sz w:val="1"/>
                <w:szCs w:val="1"/>
                <w:color w:val="auto"/>
              </w:rPr>
            </w:pPr>
          </w:p>
        </w:tc>
      </w:tr>
      <w:tr>
        <w:trPr>
          <w:trHeight w:val="250"/>
        </w:trPr>
        <w:tc>
          <w:tcPr>
            <w:tcW w:w="600" w:type="dxa"/>
            <w:vAlign w:val="bottom"/>
          </w:tcPr>
          <w:p>
            <w:pPr>
              <w:spacing w:after="0"/>
              <w:rPr>
                <w:sz w:val="21"/>
                <w:szCs w:val="21"/>
                <w:color w:val="auto"/>
              </w:rPr>
            </w:pPr>
          </w:p>
        </w:tc>
        <w:tc>
          <w:tcPr>
            <w:tcW w:w="58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66,489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66,489</w:t>
            </w: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5800" w:type="dxa"/>
            <w:vAlign w:val="bottom"/>
            <w:gridSpan w:val="3"/>
          </w:tcPr>
          <w:p>
            <w:pPr>
              <w:ind w:left="16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19,720</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 w:type="dxa"/>
            <w:vAlign w:val="bottom"/>
          </w:tcPr>
          <w:p>
            <w:pPr>
              <w:spacing w:after="0"/>
              <w:rPr>
                <w:sz w:val="23"/>
                <w:szCs w:val="23"/>
                <w:color w:val="auto"/>
              </w:rPr>
            </w:pPr>
          </w:p>
        </w:tc>
        <w:tc>
          <w:tcPr>
            <w:tcW w:w="58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18,529</w:t>
            </w:r>
          </w:p>
        </w:tc>
        <w:tc>
          <w:tcPr>
            <w:tcW w:w="0" w:type="dxa"/>
            <w:vAlign w:val="bottom"/>
          </w:tcPr>
          <w:p>
            <w:pPr>
              <w:spacing w:after="0"/>
              <w:rPr>
                <w:sz w:val="1"/>
                <w:szCs w:val="1"/>
                <w:color w:val="auto"/>
              </w:rPr>
            </w:pPr>
          </w:p>
        </w:tc>
      </w:tr>
      <w:tr>
        <w:trPr>
          <w:trHeight w:val="257"/>
        </w:trPr>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81,712</w:t>
            </w:r>
          </w:p>
        </w:tc>
        <w:tc>
          <w:tcPr>
            <w:tcW w:w="12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38,249</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8"/>
              </w:rPr>
              <w:t>119,961</w:t>
            </w: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80" w:type="dxa"/>
            <w:vAlign w:val="bottom"/>
            <w:vMerge w:val="restart"/>
          </w:tcPr>
          <w:p>
            <w:pPr>
              <w:spacing w:after="0"/>
              <w:rPr>
                <w:sz w:val="20"/>
                <w:szCs w:val="20"/>
                <w:color w:val="auto"/>
              </w:rPr>
            </w:pPr>
            <w:r>
              <w:rPr>
                <w:rFonts w:ascii="Arial" w:cs="Arial" w:eastAsia="Arial" w:hAnsi="Arial"/>
                <w:sz w:val="14"/>
                <w:szCs w:val="14"/>
                <w:color w:val="auto"/>
              </w:rPr>
              <w:t>equivalents on the condensed consolidated balance sheets.</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00" w:type="dxa"/>
            <w:vAlign w:val="bottom"/>
            <w:tcBorders>
              <w:bottom w:val="single" w:sz="8" w:color="auto"/>
            </w:tcBorders>
            <w:gridSpan w:val="2"/>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42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120" w:type="dxa"/>
            <w:vAlign w:val="bottom"/>
            <w:gridSpan w:val="3"/>
          </w:tcPr>
          <w:p>
            <w:pPr>
              <w:ind w:left="20"/>
              <w:spacing w:after="0"/>
              <w:rPr>
                <w:sz w:val="20"/>
                <w:szCs w:val="20"/>
                <w:color w:val="auto"/>
              </w:rPr>
            </w:pPr>
            <w:r>
              <w:rPr>
                <w:rFonts w:ascii="Arial" w:cs="Arial" w:eastAsia="Arial" w:hAnsi="Arial"/>
                <w:sz w:val="14"/>
                <w:szCs w:val="14"/>
                <w:color w:val="auto"/>
                <w:w w:val="91"/>
              </w:rPr>
              <w:t>[1]Included in cash and cash</w:t>
            </w:r>
          </w:p>
        </w:tc>
        <w:tc>
          <w:tcPr>
            <w:tcW w:w="42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6400" w:type="dxa"/>
            <w:vAlign w:val="bottom"/>
            <w:gridSpan w:val="4"/>
          </w:tcPr>
          <w:p>
            <w:pPr>
              <w:spacing w:after="0"/>
              <w:rPr>
                <w:sz w:val="20"/>
                <w:szCs w:val="20"/>
                <w:color w:val="auto"/>
              </w:rPr>
            </w:pPr>
            <w:r>
              <w:rPr>
                <w:rFonts w:ascii="Arial" w:cs="Arial" w:eastAsia="Arial" w:hAnsi="Arial"/>
                <w:sz w:val="18"/>
                <w:szCs w:val="18"/>
                <w:b w:val="1"/>
                <w:bCs w:val="1"/>
                <w:color w:val="auto"/>
              </w:rPr>
              <w:t>5. Balance Sheet Components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gridSpan w:val="4"/>
          </w:tcPr>
          <w:p>
            <w:pPr>
              <w:ind w:left="460"/>
              <w:spacing w:after="0"/>
              <w:rPr>
                <w:sz w:val="20"/>
                <w:szCs w:val="20"/>
                <w:color w:val="auto"/>
              </w:rPr>
            </w:pPr>
            <w:r>
              <w:rPr>
                <w:rFonts w:ascii="Arial" w:cs="Arial" w:eastAsia="Arial" w:hAnsi="Arial"/>
                <w:sz w:val="18"/>
                <w:szCs w:val="18"/>
                <w:b w:val="1"/>
                <w:bCs w:val="1"/>
                <w:i w:val="1"/>
                <w:iCs w:val="1"/>
                <w:color w:val="auto"/>
              </w:rPr>
              <w:t>Inventory</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20" w:type="dxa"/>
            <w:vAlign w:val="bottom"/>
            <w:gridSpan w:val="6"/>
          </w:tcPr>
          <w:p>
            <w:pPr>
              <w:ind w:left="460"/>
              <w:spacing w:after="0"/>
              <w:rPr>
                <w:sz w:val="20"/>
                <w:szCs w:val="20"/>
                <w:color w:val="auto"/>
              </w:rPr>
            </w:pPr>
            <w:r>
              <w:rPr>
                <w:rFonts w:ascii="Arial" w:cs="Arial" w:eastAsia="Arial" w:hAnsi="Arial"/>
                <w:sz w:val="18"/>
                <w:szCs w:val="18"/>
                <w:color w:val="auto"/>
                <w:w w:val="94"/>
              </w:rPr>
              <w:t>As of June 30, 2019 and December 31, 2018, inventory consisted entirely of finished goods.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4"/>
          </w:tcPr>
          <w:p>
            <w:pPr>
              <w:ind w:left="460"/>
              <w:spacing w:after="0"/>
              <w:rPr>
                <w:sz w:val="20"/>
                <w:szCs w:val="20"/>
                <w:color w:val="auto"/>
              </w:rPr>
            </w:pPr>
            <w:r>
              <w:rPr>
                <w:rFonts w:ascii="Arial" w:cs="Arial" w:eastAsia="Arial" w:hAnsi="Arial"/>
                <w:sz w:val="18"/>
                <w:szCs w:val="18"/>
                <w:b w:val="1"/>
                <w:bCs w:val="1"/>
                <w:i w:val="1"/>
                <w:iCs w:val="1"/>
                <w:color w:val="auto"/>
              </w:rPr>
              <w:t xml:space="preserve">Property and Equipment, net </w:t>
            </w: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5"/>
          </w:tcPr>
          <w:p>
            <w:pPr>
              <w:ind w:left="24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460" w:type="dxa"/>
            <w:vAlign w:val="bottom"/>
            <w:gridSpan w:val="5"/>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2018</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4,097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3,785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gridSpan w:val="3"/>
          </w:tcPr>
          <w:p>
            <w:pPr>
              <w:jc w:val="right"/>
              <w:ind w:right="10"/>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730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Computer and office equipment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gridSpan w:val="3"/>
          </w:tcPr>
          <w:p>
            <w:pPr>
              <w:jc w:val="right"/>
              <w:ind w:right="1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6,039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5,518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(3,507)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(3,364)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2,154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Depreciation expense was $0.2 million and $0.2 million for the three months ended June 30, 2019 and 2018, respectively and $0.4 million and $0.4 million for the six months ended June 30, 2019 and 2018, respectively.</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xml:space="preserve">Accrued Liabilities and Other </w:t>
            </w: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3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340" w:type="dxa"/>
            <w:vAlign w:val="bottom"/>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related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5,425</w:t>
            </w:r>
          </w:p>
        </w:tc>
      </w:tr>
      <w:tr>
        <w:trPr>
          <w:trHeight w:val="243"/>
        </w:trPr>
        <w:tc>
          <w:tcPr>
            <w:tcW w:w="340" w:type="dxa"/>
            <w:vAlign w:val="bottom"/>
          </w:tcPr>
          <w:p>
            <w:pPr>
              <w:spacing w:after="0"/>
              <w:rPr>
                <w:sz w:val="21"/>
                <w:szCs w:val="21"/>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services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r>
      <w:tr>
        <w:trPr>
          <w:trHeight w:val="243"/>
        </w:trPr>
        <w:tc>
          <w:tcPr>
            <w:tcW w:w="340" w:type="dxa"/>
            <w:vAlign w:val="bottom"/>
          </w:tcPr>
          <w:p>
            <w:pPr>
              <w:spacing w:after="0"/>
              <w:rPr>
                <w:sz w:val="21"/>
                <w:szCs w:val="21"/>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Sales tax payable</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388</w:t>
            </w:r>
          </w:p>
        </w:tc>
      </w:tr>
      <w:tr>
        <w:trPr>
          <w:trHeight w:val="27"/>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for early exercise of unvested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r>
      <w:tr>
        <w:trPr>
          <w:trHeight w:val="243"/>
        </w:trPr>
        <w:tc>
          <w:tcPr>
            <w:tcW w:w="340" w:type="dxa"/>
            <w:vAlign w:val="bottom"/>
          </w:tcPr>
          <w:p>
            <w:pPr>
              <w:spacing w:after="0"/>
              <w:rPr>
                <w:sz w:val="21"/>
                <w:szCs w:val="21"/>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Others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7"/>
        </w:trPr>
        <w:tc>
          <w:tcPr>
            <w:tcW w:w="340" w:type="dxa"/>
            <w:vAlign w:val="bottom"/>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340" w:type="dxa"/>
            <w:vAlign w:val="bottom"/>
          </w:tcPr>
          <w:p>
            <w:pPr>
              <w:spacing w:after="0"/>
              <w:rPr>
                <w:sz w:val="22"/>
                <w:szCs w:val="22"/>
                <w:color w:val="auto"/>
              </w:rPr>
            </w:pPr>
          </w:p>
        </w:tc>
        <w:tc>
          <w:tcPr>
            <w:tcW w:w="66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6,860</w:t>
            </w:r>
          </w:p>
        </w:tc>
      </w:tr>
      <w:tr>
        <w:trPr>
          <w:trHeight w:val="20"/>
        </w:trPr>
        <w:tc>
          <w:tcPr>
            <w:tcW w:w="340" w:type="dxa"/>
            <w:vAlign w:val="bottom"/>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40" w:right="8680" w:hanging="432"/>
        <w:spacing w:after="0" w:line="495" w:lineRule="auto"/>
        <w:tabs>
          <w:tab w:leader="none" w:pos="188"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spacing w:after="0" w:line="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Company has an existing seven-year non-cancelable operating lease for an office building space in Santa Clara, California which commenced in April 2018. Also, the Company has non-cancelable operating leases for its office building space in Gallarate, Italy and Mannheim, Germany which both expire in November 2024. Further, the Company also leases vehicles under operating lease arrangements for certain of its sales personnel in Europe which expire various times in 2019 to 2022.</w:t>
      </w:r>
    </w:p>
    <w:p>
      <w:pPr>
        <w:spacing w:after="0" w:line="133"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Rent expense is recorded over the lease terms on a straight-line basis. Rent expense charged to operations under operating leases was $0.3 million and $0.3 million for three months ended June 30, 2019 and 2018, respectively, and $0.6 million and $0.6 million for the six months ended June 30, 2019 and 2018,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aggregate future minimum lease payments under all leases as of June 30, 2019 (in thousands):</w:t>
      </w:r>
    </w:p>
    <w:p>
      <w:pPr>
        <w:spacing w:after="0" w:line="321" w:lineRule="exact"/>
        <w:rPr>
          <w:sz w:val="20"/>
          <w:szCs w:val="20"/>
          <w:color w:val="auto"/>
        </w:rPr>
      </w:pPr>
    </w:p>
    <w:tbl>
      <w:tblPr>
        <w:tblLayout w:type="fixed"/>
        <w:tblInd w:w="2220" w:type="dxa"/>
        <w:tblCellMar>
          <w:top w:w="0" w:type="dxa"/>
          <w:left w:w="0" w:type="dxa"/>
          <w:bottom w:w="0" w:type="dxa"/>
          <w:right w:w="0" w:type="dxa"/>
        </w:tblCellMar>
      </w:tblPr>
      <w:tr>
        <w:trPr>
          <w:trHeight w:val="270"/>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1,052</w:t>
            </w:r>
          </w:p>
        </w:tc>
      </w:tr>
      <w:tr>
        <w:trPr>
          <w:trHeight w:val="27"/>
        </w:trPr>
        <w:tc>
          <w:tcPr>
            <w:tcW w:w="5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855</w:t>
            </w:r>
          </w:p>
        </w:tc>
      </w:tr>
      <w:tr>
        <w:trPr>
          <w:trHeight w:val="27"/>
        </w:trPr>
        <w:tc>
          <w:tcPr>
            <w:tcW w:w="5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1,184</w:t>
            </w:r>
          </w:p>
        </w:tc>
      </w:tr>
      <w:tr>
        <w:trPr>
          <w:trHeight w:val="27"/>
        </w:trPr>
        <w:tc>
          <w:tcPr>
            <w:tcW w:w="56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56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5,408</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Purchase Commitments and Obligations</w:t>
      </w:r>
    </w:p>
    <w:p>
      <w:pPr>
        <w:spacing w:after="0" w:line="212"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Company has certain purchase commitments related to inventory used in normal course of business. These commitments amounted to $0.3 million and $0.2 million as of June 30, 2019 and December 31, 2018, respectively. The amounts paid under these arrangements may be less in the event that the arrangement is renegotiated or canceled.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On February 6, 2019, a putative class action captioned Eric B. Fromer Chiropractic, Inc. v. SI-BONE, Inc. (Civil Action No. 5:19-cv-633-SVK), was filed in the United States District Court, Northern District of California. The complaint alleges violations of the Telephone Consumer Protection Act (the “TCPA”) on behalf of an individual and putative classes of persons alleged to be similarly situated. The complaint alleges that the Company sent invitations to an educational dinner event to health care providers by way of facsimile transmission. The TCPA prohibits using a fax machine to send unsolicited advertisements not including proper opt-out instructions or to send unsolicited advertisements to persons with whom the sender did not have an established business relationship. On August 5, 2019, the District Court denied the Company’s motion to dismiss the case. The Company believes that it has meritorious defenses and intends to vigorously defend itself in the action. It is too early in this matter to reasonably predict the probability of the outcomes or to estimate the range of possible loss, if any.</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04"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2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Company has not incurred costs to defend lawsuits or settle claims related to these indemnification agreements. No liability associated with such indemnifications has been recorded to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w:t>
      </w:r>
    </w:p>
    <w:p>
      <w:pPr>
        <w:spacing w:after="0" w:line="17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Company had $39.1 million and $39.0 million of outstanding debt, net of debt discounts, as of June 30, 2019 and December 31, 2018, respectively. The outstanding debt is related to a term loan entered by the Company with Biopharma Credit Investments IV Sub LP, or Pharmakon, in October 2017 for total loan proceeds of $40.0 million. The total debt issuance costs of $1.3 million were recorded as a direct deduction from the carrying amount of the term loan on the consolidated balance sheet, and are being amortized over the period of the term loan using the effective interest method to interest expense in the consolidated statement of operations. The term loan includes an interest-only period for 35 months through September 2020 and is then repaid in equal quarterly principal payments plus interest through December 2022, and is classified as long-term borrowings on the consolidated balance sheet. The term loan carries a fixed interest rate of 11.5% and a closing fee of 1.5% of the funded amount, or $0.6 million. The term loan includes a pre-payment fee equal to the remaining interest due for the first 30 months of the agreement if it is prepaid within the first 30 months, a 2% prepayment penalty for months 31-48, and a 1% penalty for months 49-60. The term loan requires the Company to maintain a minimum cash balance of $5.0 million and beginning with the three months ended March 31, 2019, the Company is required to meet either minimum net sales or trailing 12-month consolidated EBITDA targets as discussed in detail in Note 7 of Notes to Consolidated Financial Statements in the Annual Report on Form 10-K filed with the SEC on March 14, 2019. The loan is a senior obligation secured with a blanket first lien on the assets of the Company. The effective interest rate for the three months ended June 30, 2019 and 2018 was 12.3% and for the six months ended June 30, 2019 and 2018 was 12.2%. The Company was in compliance with all debt covenants as of June 30, 2019.</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annual future minimum principal payments under the loan agreement as of June 30, 2019 (in thousands):</w:t>
      </w:r>
    </w:p>
    <w:p>
      <w:pPr>
        <w:spacing w:after="0" w:line="321" w:lineRule="exact"/>
        <w:rPr>
          <w:sz w:val="20"/>
          <w:szCs w:val="20"/>
          <w:color w:val="auto"/>
        </w:rPr>
      </w:pPr>
    </w:p>
    <w:tbl>
      <w:tblPr>
        <w:tblLayout w:type="fixed"/>
        <w:tblInd w:w="880" w:type="dxa"/>
        <w:tblCellMar>
          <w:top w:w="0" w:type="dxa"/>
          <w:left w:w="0" w:type="dxa"/>
          <w:bottom w:w="0" w:type="dxa"/>
          <w:right w:w="0" w:type="dxa"/>
        </w:tblCellMar>
      </w:tblPr>
      <w:tr>
        <w:trPr>
          <w:trHeight w:val="27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2019</w:t>
            </w:r>
          </w:p>
        </w:tc>
        <w:tc>
          <w:tcPr>
            <w:tcW w:w="4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2020</w:t>
            </w:r>
          </w:p>
        </w:tc>
        <w:tc>
          <w:tcPr>
            <w:tcW w:w="4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5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17,778</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2022</w:t>
            </w:r>
          </w:p>
        </w:tc>
        <w:tc>
          <w:tcPr>
            <w:tcW w:w="4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17,778</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payments</w:t>
            </w:r>
          </w:p>
        </w:tc>
        <w:tc>
          <w:tcPr>
            <w:tcW w:w="45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Less: Amount representing debt discount</w:t>
            </w:r>
          </w:p>
        </w:tc>
        <w:tc>
          <w:tcPr>
            <w:tcW w:w="4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Long-term borrowings</w:t>
            </w:r>
          </w:p>
        </w:tc>
        <w:tc>
          <w:tcPr>
            <w:tcW w:w="4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39,093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jc w:val="right"/>
              <w:ind w:right="3410"/>
              <w:spacing w:after="0"/>
              <w:rPr>
                <w:sz w:val="20"/>
                <w:szCs w:val="20"/>
                <w:color w:val="auto"/>
              </w:rPr>
            </w:pPr>
            <w:r>
              <w:rPr>
                <w:rFonts w:ascii="Arial" w:cs="Arial" w:eastAsia="Arial" w:hAnsi="Arial"/>
                <w:sz w:val="18"/>
                <w:szCs w:val="18"/>
                <w:color w:val="auto"/>
              </w:rPr>
              <w:t>16</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86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229"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table below summarizes common stock warrants issued and outstanding at both June 30, 2019 and December 31, 2018 (in thousands, except share and per share data):</w:t>
      </w:r>
    </w:p>
    <w:p>
      <w:pPr>
        <w:spacing w:after="0" w:line="117" w:lineRule="exact"/>
        <w:rPr>
          <w:sz w:val="20"/>
          <w:szCs w:val="20"/>
          <w:color w:val="auto"/>
        </w:rPr>
      </w:pPr>
    </w:p>
    <w:tbl>
      <w:tblPr>
        <w:tblLayout w:type="fixed"/>
        <w:tblInd w:w="1840" w:type="dxa"/>
        <w:tblCellMar>
          <w:top w:w="0" w:type="dxa"/>
          <w:left w:w="0" w:type="dxa"/>
          <w:bottom w:w="0" w:type="dxa"/>
          <w:right w:w="0" w:type="dxa"/>
        </w:tblCellMar>
      </w:tblPr>
      <w:tr>
        <w:trPr>
          <w:trHeight w:val="203"/>
        </w:trPr>
        <w:tc>
          <w:tcPr>
            <w:tcW w:w="1820" w:type="dxa"/>
            <w:vAlign w:val="bottom"/>
            <w:gridSpan w:val="3"/>
            <w:vMerge w:val="restart"/>
          </w:tcPr>
          <w:p>
            <w:pPr>
              <w:ind w:left="1360"/>
              <w:spacing w:after="0"/>
              <w:rPr>
                <w:sz w:val="20"/>
                <w:szCs w:val="20"/>
                <w:color w:val="auto"/>
              </w:rPr>
            </w:pPr>
            <w:r>
              <w:rPr>
                <w:rFonts w:ascii="Arial" w:cs="Arial" w:eastAsia="Arial" w:hAnsi="Arial"/>
                <w:sz w:val="16"/>
                <w:szCs w:val="16"/>
                <w:b w:val="1"/>
                <w:bCs w:val="1"/>
                <w:color w:val="auto"/>
              </w:rPr>
              <w:t>Date</w:t>
            </w: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bottom w:val="single" w:sz="8" w:color="auto"/>
            </w:tcBorders>
            <w:gridSpan w:val="3"/>
            <w:vMerge w:val="continue"/>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3"/>
              </w:rPr>
              <w:t>Underlying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340"/>
              <w:spacing w:after="0" w:line="182" w:lineRule="exact"/>
              <w:rPr>
                <w:sz w:val="20"/>
                <w:szCs w:val="20"/>
                <w:color w:val="auto"/>
              </w:rPr>
            </w:pPr>
            <w:r>
              <w:rPr>
                <w:rFonts w:ascii="Arial" w:cs="Arial" w:eastAsia="Arial" w:hAnsi="Arial"/>
                <w:sz w:val="16"/>
                <w:szCs w:val="16"/>
                <w:b w:val="1"/>
                <w:bCs w:val="1"/>
                <w:color w:val="auto"/>
                <w:w w:val="93"/>
              </w:rPr>
              <w:t>Price per</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20" w:type="dxa"/>
            <w:vAlign w:val="bottom"/>
            <w:gridSpan w:val="3"/>
          </w:tcPr>
          <w:p>
            <w:pPr>
              <w:ind w:left="420"/>
              <w:spacing w:after="0"/>
              <w:rPr>
                <w:sz w:val="20"/>
                <w:szCs w:val="20"/>
                <w:color w:val="auto"/>
              </w:rPr>
            </w:pPr>
            <w:r>
              <w:rPr>
                <w:rFonts w:ascii="Arial" w:cs="Arial" w:eastAsia="Arial" w:hAnsi="Arial"/>
                <w:sz w:val="16"/>
                <w:szCs w:val="16"/>
                <w:b w:val="1"/>
                <w:bCs w:val="1"/>
                <w:color w:val="auto"/>
              </w:rPr>
              <w:t>Issuance</w:t>
            </w:r>
          </w:p>
        </w:tc>
        <w:tc>
          <w:tcPr>
            <w:tcW w:w="162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Expiration</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Warrants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Share</w:t>
            </w:r>
          </w:p>
        </w:tc>
        <w:tc>
          <w:tcPr>
            <w:tcW w:w="18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6"/>
                <w:szCs w:val="16"/>
                <w:b w:val="1"/>
                <w:bCs w:val="1"/>
                <w:color w:val="auto"/>
                <w:w w:val="99"/>
              </w:rPr>
              <w:t>Fair Value</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3/1/2017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80"/>
              <w:spacing w:after="0" w:line="263" w:lineRule="exact"/>
              <w:rPr>
                <w:sz w:val="20"/>
                <w:szCs w:val="20"/>
                <w:color w:val="auto"/>
              </w:rPr>
            </w:pPr>
            <w:r>
              <w:rPr>
                <w:rFonts w:ascii="Arial" w:cs="Arial" w:eastAsia="Arial" w:hAnsi="Arial"/>
                <w:sz w:val="18"/>
                <w:szCs w:val="18"/>
                <w:color w:val="auto"/>
              </w:rPr>
              <w:t xml:space="preserve">3/1/2027 </w:t>
            </w:r>
            <w:r>
              <w:rPr>
                <w:rFonts w:ascii="Arial" w:cs="Arial" w:eastAsia="Arial" w:hAnsi="Arial"/>
                <w:sz w:val="28"/>
                <w:szCs w:val="28"/>
                <w:color w:val="auto"/>
                <w:vertAlign w:val="subscript"/>
              </w:rPr>
              <w:t>[a]</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270"/>
        </w:trPr>
        <w:tc>
          <w:tcPr>
            <w:tcW w:w="1440" w:type="dxa"/>
            <w:vAlign w:val="bottom"/>
          </w:tcPr>
          <w:p>
            <w:pPr>
              <w:jc w:val="right"/>
              <w:spacing w:after="0"/>
              <w:rPr>
                <w:sz w:val="20"/>
                <w:szCs w:val="20"/>
                <w:color w:val="auto"/>
              </w:rPr>
            </w:pPr>
            <w:r>
              <w:rPr>
                <w:rFonts w:ascii="Arial" w:cs="Arial" w:eastAsia="Arial" w:hAnsi="Arial"/>
                <w:sz w:val="18"/>
                <w:szCs w:val="18"/>
                <w:color w:val="auto"/>
              </w:rPr>
              <w:t>7/19/2013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gridSpan w:val="2"/>
          </w:tcPr>
          <w:p>
            <w:pPr>
              <w:jc w:val="right"/>
              <w:ind w:right="180"/>
              <w:spacing w:after="0" w:line="270" w:lineRule="exact"/>
              <w:rPr>
                <w:sz w:val="20"/>
                <w:szCs w:val="20"/>
                <w:color w:val="auto"/>
              </w:rPr>
            </w:pPr>
            <w:r>
              <w:rPr>
                <w:rFonts w:ascii="Arial" w:cs="Arial" w:eastAsia="Arial" w:hAnsi="Arial"/>
                <w:sz w:val="18"/>
                <w:szCs w:val="18"/>
                <w:color w:val="auto"/>
              </w:rPr>
              <w:t xml:space="preserve">7/22/2023 </w:t>
            </w:r>
            <w:r>
              <w:rPr>
                <w:rFonts w:ascii="Arial" w:cs="Arial" w:eastAsia="Arial" w:hAnsi="Arial"/>
                <w:sz w:val="28"/>
                <w:szCs w:val="28"/>
                <w:color w:val="auto"/>
                <w:vertAlign w:val="subscript"/>
              </w:rPr>
              <w:t>[a]</w:t>
            </w:r>
          </w:p>
        </w:tc>
        <w:tc>
          <w:tcPr>
            <w:tcW w:w="1180" w:type="dxa"/>
            <w:vAlign w:val="bottom"/>
          </w:tcPr>
          <w:p>
            <w:pPr>
              <w:jc w:val="right"/>
              <w:spacing w:after="0"/>
              <w:rPr>
                <w:sz w:val="20"/>
                <w:szCs w:val="20"/>
                <w:color w:val="auto"/>
              </w:rPr>
            </w:pPr>
            <w:r>
              <w:rPr>
                <w:rFonts w:ascii="Arial" w:cs="Arial" w:eastAsia="Arial" w:hAnsi="Arial"/>
                <w:sz w:val="18"/>
                <w:szCs w:val="18"/>
                <w:color w:val="auto"/>
              </w:rPr>
              <w:t>32,983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w:t>
            </w:r>
          </w:p>
        </w:tc>
        <w:tc>
          <w:tcPr>
            <w:tcW w:w="460" w:type="dxa"/>
            <w:vAlign w:val="bottom"/>
          </w:tcPr>
          <w:p>
            <w:pPr>
              <w:ind w:left="2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270"/>
        </w:trPr>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11/26/2014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80"/>
              <w:spacing w:after="0" w:line="270" w:lineRule="exact"/>
              <w:rPr>
                <w:sz w:val="20"/>
                <w:szCs w:val="20"/>
                <w:color w:val="auto"/>
              </w:rPr>
            </w:pPr>
            <w:r>
              <w:rPr>
                <w:rFonts w:ascii="Arial" w:cs="Arial" w:eastAsia="Arial" w:hAnsi="Arial"/>
                <w:sz w:val="18"/>
                <w:szCs w:val="18"/>
                <w:color w:val="auto"/>
              </w:rPr>
              <w:t xml:space="preserve">11/26/2024 </w:t>
            </w:r>
            <w:r>
              <w:rPr>
                <w:rFonts w:ascii="Arial" w:cs="Arial" w:eastAsia="Arial" w:hAnsi="Arial"/>
                <w:sz w:val="28"/>
                <w:szCs w:val="28"/>
                <w:color w:val="auto"/>
                <w:vertAlign w:val="subscript"/>
              </w:rPr>
              <w:t>[a]</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270"/>
        </w:trPr>
        <w:tc>
          <w:tcPr>
            <w:tcW w:w="1440" w:type="dxa"/>
            <w:vAlign w:val="bottom"/>
          </w:tcPr>
          <w:p>
            <w:pPr>
              <w:jc w:val="right"/>
              <w:spacing w:after="0"/>
              <w:rPr>
                <w:sz w:val="20"/>
                <w:szCs w:val="20"/>
                <w:color w:val="auto"/>
              </w:rPr>
            </w:pPr>
            <w:r>
              <w:rPr>
                <w:rFonts w:ascii="Arial" w:cs="Arial" w:eastAsia="Arial" w:hAnsi="Arial"/>
                <w:sz w:val="18"/>
                <w:szCs w:val="18"/>
                <w:color w:val="auto"/>
              </w:rPr>
              <w:t>10/20/2015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gridSpan w:val="2"/>
          </w:tcPr>
          <w:p>
            <w:pPr>
              <w:jc w:val="right"/>
              <w:ind w:right="180"/>
              <w:spacing w:after="0" w:line="270" w:lineRule="exact"/>
              <w:rPr>
                <w:sz w:val="20"/>
                <w:szCs w:val="20"/>
                <w:color w:val="auto"/>
              </w:rPr>
            </w:pPr>
            <w:r>
              <w:rPr>
                <w:rFonts w:ascii="Arial" w:cs="Arial" w:eastAsia="Arial" w:hAnsi="Arial"/>
                <w:sz w:val="18"/>
                <w:szCs w:val="18"/>
                <w:color w:val="auto"/>
              </w:rPr>
              <w:t xml:space="preserve">10/20/2025 </w:t>
            </w:r>
            <w:r>
              <w:rPr>
                <w:rFonts w:ascii="Arial" w:cs="Arial" w:eastAsia="Arial" w:hAnsi="Arial"/>
                <w:sz w:val="28"/>
                <w:szCs w:val="28"/>
                <w:color w:val="auto"/>
                <w:vertAlign w:val="subscript"/>
              </w:rPr>
              <w:t>[a]</w:t>
            </w:r>
          </w:p>
        </w:tc>
        <w:tc>
          <w:tcPr>
            <w:tcW w:w="1180" w:type="dxa"/>
            <w:vAlign w:val="bottom"/>
          </w:tcPr>
          <w:p>
            <w:pPr>
              <w:jc w:val="right"/>
              <w:spacing w:after="0"/>
              <w:rPr>
                <w:sz w:val="20"/>
                <w:szCs w:val="20"/>
                <w:color w:val="auto"/>
              </w:rPr>
            </w:pPr>
            <w:r>
              <w:rPr>
                <w:rFonts w:ascii="Arial" w:cs="Arial" w:eastAsia="Arial" w:hAnsi="Arial"/>
                <w:sz w:val="18"/>
                <w:szCs w:val="18"/>
                <w:color w:val="auto"/>
              </w:rPr>
              <w:t>41,650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16.47</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w:t>
            </w:r>
          </w:p>
        </w:tc>
        <w:tc>
          <w:tcPr>
            <w:tcW w:w="460" w:type="dxa"/>
            <w:vAlign w:val="bottom"/>
          </w:tcPr>
          <w:p>
            <w:pPr>
              <w:ind w:left="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70"/>
        </w:trPr>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11/9/2015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80"/>
              <w:spacing w:after="0" w:line="270" w:lineRule="exact"/>
              <w:rPr>
                <w:sz w:val="20"/>
                <w:szCs w:val="20"/>
                <w:color w:val="auto"/>
              </w:rPr>
            </w:pPr>
            <w:r>
              <w:rPr>
                <w:rFonts w:ascii="Arial" w:cs="Arial" w:eastAsia="Arial" w:hAnsi="Arial"/>
                <w:sz w:val="18"/>
                <w:szCs w:val="18"/>
                <w:color w:val="auto"/>
              </w:rPr>
              <w:t xml:space="preserve">11/9/2025 </w:t>
            </w:r>
            <w:r>
              <w:rPr>
                <w:rFonts w:ascii="Arial" w:cs="Arial" w:eastAsia="Arial" w:hAnsi="Arial"/>
                <w:sz w:val="28"/>
                <w:szCs w:val="28"/>
                <w:color w:val="auto"/>
                <w:vertAlign w:val="subscript"/>
              </w:rPr>
              <w:t>[a]</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25,709</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70"/>
        </w:trPr>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12/22/2016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gridSpan w:val="2"/>
          </w:tcPr>
          <w:p>
            <w:pPr>
              <w:jc w:val="right"/>
              <w:ind w:right="180"/>
              <w:spacing w:after="0" w:line="270" w:lineRule="exact"/>
              <w:rPr>
                <w:sz w:val="20"/>
                <w:szCs w:val="20"/>
                <w:color w:val="auto"/>
              </w:rPr>
            </w:pPr>
            <w:r>
              <w:rPr>
                <w:rFonts w:ascii="Arial" w:cs="Arial" w:eastAsia="Arial" w:hAnsi="Arial"/>
                <w:sz w:val="18"/>
                <w:szCs w:val="18"/>
                <w:color w:val="auto"/>
              </w:rPr>
              <w:t xml:space="preserve">12/22/2026 </w:t>
            </w:r>
            <w:r>
              <w:rPr>
                <w:rFonts w:ascii="Arial" w:cs="Arial" w:eastAsia="Arial" w:hAnsi="Arial"/>
                <w:sz w:val="28"/>
                <w:szCs w:val="28"/>
                <w:color w:val="auto"/>
                <w:vertAlign w:val="subscript"/>
              </w:rPr>
              <w:t>[a]</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w:t>
            </w:r>
          </w:p>
        </w:tc>
        <w:tc>
          <w:tcPr>
            <w:tcW w:w="2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10.03</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69"/>
        </w:trPr>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Common stock warrants will remain outstanding until the earlier of the expiration date or the date exercised by the holder.</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Fair value at the date of issuance.</w:t>
      </w:r>
    </w:p>
    <w:p>
      <w:pPr>
        <w:spacing w:after="0" w:line="1" w:lineRule="exact"/>
        <w:rPr>
          <w:rFonts w:ascii="Arial" w:cs="Arial" w:eastAsia="Arial" w:hAnsi="Arial"/>
          <w:sz w:val="14"/>
          <w:szCs w:val="14"/>
          <w:color w:val="auto"/>
        </w:rPr>
      </w:pPr>
    </w:p>
    <w:p>
      <w:pPr>
        <w:ind w:left="200" w:hanging="192"/>
        <w:spacing w:after="0"/>
        <w:tabs>
          <w:tab w:leader="none" w:pos="200" w:val="left"/>
        </w:tabs>
        <w:numPr>
          <w:ilvl w:val="0"/>
          <w:numId w:val="6"/>
        </w:numPr>
        <w:rPr>
          <w:rFonts w:ascii="Arial" w:cs="Arial" w:eastAsia="Arial" w:hAnsi="Arial"/>
          <w:sz w:val="14"/>
          <w:szCs w:val="14"/>
          <w:color w:val="auto"/>
        </w:rPr>
      </w:pPr>
      <w:r>
        <w:rPr>
          <w:rFonts w:ascii="Arial" w:cs="Arial" w:eastAsia="Arial" w:hAnsi="Arial"/>
          <w:sz w:val="14"/>
          <w:szCs w:val="14"/>
          <w:color w:val="auto"/>
        </w:rPr>
        <w:t>Fair value at the date of conversion from redeemable convertible preferred stock to common stock warrants in conjunction with the IPO on October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13379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Incentive Compensation Plans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225"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In October 2018, the Company adopted the 2018 Equity Incentive Plan (the "2018 EIP"). The number of shares of common stock reserved for issuance under the 2018 EIP will automatically increase on January 1 of each year, beginning January 1, 2019, and continuing through and including January 1, 2028, by 5% of the total number of shares of the Company's capital stock outstanding on December 31 of the preceding calendar year, or a lesser number of shares determined by the Company's Board of Directors. On January 1, 2019, the total number of shares of common stock reserved for issuance increased by 1,222,538 shares. The Company filed a Registration Statement on Form S-8 on March 22, 2019 to register these additional shares reserved for issuance under the 2018 EIP. As of June 30, 2019, a total of 2,591,917 shares of common stock are available for future grants under the 2018 EIP.</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the stock option activity for the six months ended June 30, 2019:</w:t>
      </w:r>
    </w:p>
    <w:p>
      <w:pPr>
        <w:spacing w:after="0" w:line="167"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528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5280" w:type="dxa"/>
            <w:vAlign w:val="bottom"/>
          </w:tcPr>
          <w:p>
            <w:pPr>
              <w:spacing w:after="0"/>
              <w:rPr>
                <w:sz w:val="20"/>
                <w:szCs w:val="20"/>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r>
      <w:tr>
        <w:trPr>
          <w:trHeight w:val="27"/>
        </w:trPr>
        <w:tc>
          <w:tcPr>
            <w:tcW w:w="52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2018</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2,641,198</w:t>
            </w: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$4.27</w:t>
            </w: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630,639</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20.91</w:t>
            </w:r>
          </w:p>
        </w:tc>
      </w:tr>
      <w:tr>
        <w:trPr>
          <w:trHeight w:val="27"/>
        </w:trPr>
        <w:tc>
          <w:tcPr>
            <w:tcW w:w="5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(184,130)</w:t>
            </w: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3.10</w:t>
            </w: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Options canceled</w:t>
            </w:r>
          </w:p>
        </w:tc>
        <w:tc>
          <w:tcPr>
            <w:tcW w:w="1400" w:type="dxa"/>
            <w:vAlign w:val="bottom"/>
          </w:tcPr>
          <w:p>
            <w:pPr>
              <w:jc w:val="right"/>
              <w:spacing w:after="0"/>
              <w:rPr>
                <w:sz w:val="20"/>
                <w:szCs w:val="20"/>
                <w:color w:val="auto"/>
              </w:rPr>
            </w:pPr>
            <w:r>
              <w:rPr>
                <w:rFonts w:ascii="Arial" w:cs="Arial" w:eastAsia="Arial" w:hAnsi="Arial"/>
                <w:sz w:val="18"/>
                <w:szCs w:val="18"/>
                <w:color w:val="auto"/>
              </w:rPr>
              <w:t>(62,964)</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1"/>
              </w:rPr>
              <w:t>6.61</w:t>
            </w:r>
          </w:p>
        </w:tc>
      </w:tr>
      <w:tr>
        <w:trPr>
          <w:trHeight w:val="27"/>
        </w:trPr>
        <w:tc>
          <w:tcPr>
            <w:tcW w:w="52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June 30, 2019</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3,024,743</w:t>
            </w: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7.76</w:t>
            </w:r>
          </w:p>
        </w:tc>
      </w:tr>
      <w:tr>
        <w:trPr>
          <w:trHeight w:val="20"/>
        </w:trPr>
        <w:tc>
          <w:tcPr>
            <w:tcW w:w="5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As of June 30, 2019, there was $7.4 million of unrecognized compensation cost related to stock options granted. These costs are expected to be recognized over a period of approximately 2.9 years.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5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table below summarizes the weighted average grant date fair value per share and the assumptions used to estimate the grant date fair value of the stock options granted during the respective periods using the Black-Scholes option-pricing model:</w:t>
      </w:r>
    </w:p>
    <w:p>
      <w:pPr>
        <w:spacing w:after="0" w:line="275"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36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2"/>
              </w:rPr>
              <w:t>Three Months Ended</w:t>
            </w:r>
          </w:p>
        </w:tc>
        <w:tc>
          <w:tcPr>
            <w:tcW w:w="35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3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200" w:type="dxa"/>
            <w:vAlign w:val="bottom"/>
            <w:gridSpan w:val="4"/>
          </w:tcPr>
          <w:p>
            <w:pPr>
              <w:jc w:val="center"/>
              <w:ind w:right="1560"/>
              <w:spacing w:after="0"/>
              <w:rPr>
                <w:sz w:val="20"/>
                <w:szCs w:val="20"/>
                <w:color w:val="auto"/>
              </w:rPr>
            </w:pPr>
            <w:r>
              <w:rPr>
                <w:rFonts w:ascii="Arial" w:cs="Arial" w:eastAsia="Arial" w:hAnsi="Arial"/>
                <w:sz w:val="18"/>
                <w:szCs w:val="18"/>
                <w:b w:val="1"/>
                <w:bCs w:val="1"/>
                <w:color w:val="auto"/>
                <w:w w:val="88"/>
              </w:rPr>
              <w:t>June 30,</w:t>
            </w:r>
          </w:p>
        </w:tc>
        <w:tc>
          <w:tcPr>
            <w:tcW w:w="1420" w:type="dxa"/>
            <w:vAlign w:val="bottom"/>
          </w:tcPr>
          <w:p>
            <w:pPr>
              <w:spacing w:after="0"/>
              <w:rPr>
                <w:sz w:val="23"/>
                <w:szCs w:val="23"/>
                <w:color w:val="auto"/>
              </w:rPr>
            </w:pPr>
          </w:p>
        </w:tc>
        <w:tc>
          <w:tcPr>
            <w:tcW w:w="2080" w:type="dxa"/>
            <w:vAlign w:val="bottom"/>
            <w:gridSpan w:val="3"/>
          </w:tcPr>
          <w:p>
            <w:pPr>
              <w:jc w:val="center"/>
              <w:ind w:right="1350"/>
              <w:spacing w:after="0"/>
              <w:rPr>
                <w:sz w:val="20"/>
                <w:szCs w:val="20"/>
                <w:color w:val="auto"/>
              </w:rPr>
            </w:pPr>
            <w:r>
              <w:rPr>
                <w:rFonts w:ascii="Arial" w:cs="Arial" w:eastAsia="Arial" w:hAnsi="Arial"/>
                <w:sz w:val="18"/>
                <w:szCs w:val="18"/>
                <w:b w:val="1"/>
                <w:bCs w:val="1"/>
                <w:color w:val="auto"/>
                <w:w w:val="88"/>
              </w:rPr>
              <w:t>June 30,</w:t>
            </w:r>
          </w:p>
        </w:tc>
      </w:tr>
      <w:tr>
        <w:trPr>
          <w:trHeight w:val="27"/>
        </w:trPr>
        <w:tc>
          <w:tcPr>
            <w:tcW w:w="35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r>
      <w:tr>
        <w:trPr>
          <w:trHeight w:val="237"/>
        </w:trPr>
        <w:tc>
          <w:tcPr>
            <w:tcW w:w="3520" w:type="dxa"/>
            <w:vAlign w:val="bottom"/>
          </w:tcPr>
          <w:p>
            <w:pPr>
              <w:spacing w:after="0"/>
              <w:rPr>
                <w:sz w:val="20"/>
                <w:szCs w:val="20"/>
                <w:color w:val="auto"/>
              </w:rPr>
            </w:pPr>
          </w:p>
        </w:tc>
        <w:tc>
          <w:tcPr>
            <w:tcW w:w="142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2019</w:t>
            </w:r>
          </w:p>
        </w:tc>
        <w:tc>
          <w:tcPr>
            <w:tcW w:w="208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42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2019</w:t>
            </w:r>
          </w:p>
        </w:tc>
        <w:tc>
          <w:tcPr>
            <w:tcW w:w="208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35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 per</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7"/>
        </w:trPr>
        <w:tc>
          <w:tcPr>
            <w:tcW w:w="3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share</w:t>
            </w:r>
          </w:p>
        </w:tc>
        <w:tc>
          <w:tcPr>
            <w:tcW w:w="14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8"/>
              </w:rPr>
              <w:t>$8.00</w:t>
            </w:r>
          </w:p>
        </w:tc>
        <w:tc>
          <w:tcPr>
            <w:tcW w:w="2080" w:type="dxa"/>
            <w:vAlign w:val="bottom"/>
            <w:tcBorders>
              <w:bottom w:val="single" w:sz="8" w:color="CCEEFF"/>
            </w:tcBorders>
            <w:gridSpan w:val="3"/>
            <w:shd w:val="clear" w:color="auto" w:fill="CCEEFF"/>
          </w:tcPr>
          <w:p>
            <w:pPr>
              <w:jc w:val="center"/>
              <w:ind w:left="270"/>
              <w:spacing w:after="0"/>
              <w:rPr>
                <w:sz w:val="20"/>
                <w:szCs w:val="20"/>
                <w:color w:val="auto"/>
              </w:rPr>
            </w:pPr>
            <w:r>
              <w:rPr>
                <w:rFonts w:ascii="Arial" w:cs="Arial" w:eastAsia="Arial" w:hAnsi="Arial"/>
                <w:sz w:val="18"/>
                <w:szCs w:val="18"/>
                <w:color w:val="auto"/>
                <w:w w:val="88"/>
              </w:rPr>
              <w:t>$2.11</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8"/>
              </w:rPr>
              <w:t>$9.79</w:t>
            </w:r>
          </w:p>
        </w:tc>
        <w:tc>
          <w:tcPr>
            <w:tcW w:w="2080" w:type="dxa"/>
            <w:vAlign w:val="bottom"/>
            <w:tcBorders>
              <w:bottom w:val="single" w:sz="8" w:color="CCEEFF"/>
            </w:tcBorders>
            <w:gridSpan w:val="3"/>
            <w:shd w:val="clear" w:color="auto" w:fill="CCEEFF"/>
          </w:tcPr>
          <w:p>
            <w:pPr>
              <w:jc w:val="center"/>
              <w:ind w:left="270"/>
              <w:spacing w:after="0"/>
              <w:rPr>
                <w:sz w:val="20"/>
                <w:szCs w:val="20"/>
                <w:color w:val="auto"/>
              </w:rPr>
            </w:pPr>
            <w:r>
              <w:rPr>
                <w:rFonts w:ascii="Arial" w:cs="Arial" w:eastAsia="Arial" w:hAnsi="Arial"/>
                <w:sz w:val="18"/>
                <w:szCs w:val="18"/>
                <w:color w:val="auto"/>
                <w:w w:val="88"/>
              </w:rPr>
              <w:t>$2.09</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420" w:type="dxa"/>
            <w:vAlign w:val="bottom"/>
          </w:tcPr>
          <w:p>
            <w:pPr>
              <w:jc w:val="center"/>
              <w:ind w:left="150"/>
              <w:spacing w:after="0"/>
              <w:rPr>
                <w:sz w:val="20"/>
                <w:szCs w:val="20"/>
                <w:color w:val="auto"/>
              </w:rPr>
            </w:pPr>
            <w:r>
              <w:rPr>
                <w:rFonts w:ascii="Arial" w:cs="Arial" w:eastAsia="Arial" w:hAnsi="Arial"/>
                <w:sz w:val="18"/>
                <w:szCs w:val="18"/>
                <w:color w:val="auto"/>
                <w:w w:val="88"/>
              </w:rPr>
              <w:t>5.0 to 7.0 years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5.0 to 7.0 years</w:t>
            </w:r>
          </w:p>
        </w:tc>
        <w:tc>
          <w:tcPr>
            <w:tcW w:w="1420" w:type="dxa"/>
            <w:vAlign w:val="bottom"/>
          </w:tcPr>
          <w:p>
            <w:pPr>
              <w:jc w:val="center"/>
              <w:ind w:left="150"/>
              <w:spacing w:after="0"/>
              <w:rPr>
                <w:sz w:val="20"/>
                <w:szCs w:val="20"/>
                <w:color w:val="auto"/>
              </w:rPr>
            </w:pPr>
            <w:r>
              <w:rPr>
                <w:rFonts w:ascii="Arial" w:cs="Arial" w:eastAsia="Arial" w:hAnsi="Arial"/>
                <w:sz w:val="18"/>
                <w:szCs w:val="18"/>
                <w:color w:val="auto"/>
                <w:w w:val="88"/>
              </w:rPr>
              <w:t>5.0 to 7.0 years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5.0 to 7.0 years</w:t>
            </w:r>
          </w:p>
        </w:tc>
      </w:tr>
      <w:tr>
        <w:trPr>
          <w:trHeight w:val="27"/>
        </w:trPr>
        <w:tc>
          <w:tcPr>
            <w:tcW w:w="3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1"/>
              </w:rPr>
              <w:t>46.6% to 47.2%</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42.0% to 44.4%</w:t>
            </w:r>
          </w:p>
        </w:tc>
        <w:tc>
          <w:tcPr>
            <w:tcW w:w="14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1"/>
              </w:rPr>
              <w:t>41.7% to 47.2%</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42.0% to 45.1%</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20" w:type="dxa"/>
            <w:vAlign w:val="bottom"/>
          </w:tcPr>
          <w:p>
            <w:pPr>
              <w:jc w:val="center"/>
              <w:ind w:left="170"/>
              <w:spacing w:after="0"/>
              <w:rPr>
                <w:sz w:val="20"/>
                <w:szCs w:val="20"/>
                <w:color w:val="auto"/>
              </w:rPr>
            </w:pPr>
            <w:r>
              <w:rPr>
                <w:rFonts w:ascii="Arial" w:cs="Arial" w:eastAsia="Arial" w:hAnsi="Arial"/>
                <w:sz w:val="18"/>
                <w:szCs w:val="18"/>
                <w:color w:val="auto"/>
                <w:w w:val="91"/>
              </w:rPr>
              <w:t>1.83% to 2.41%</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2.83% to 2.93%</w:t>
            </w:r>
          </w:p>
        </w:tc>
        <w:tc>
          <w:tcPr>
            <w:tcW w:w="1420" w:type="dxa"/>
            <w:vAlign w:val="bottom"/>
          </w:tcPr>
          <w:p>
            <w:pPr>
              <w:jc w:val="center"/>
              <w:ind w:left="170"/>
              <w:spacing w:after="0"/>
              <w:rPr>
                <w:sz w:val="20"/>
                <w:szCs w:val="20"/>
                <w:color w:val="auto"/>
              </w:rPr>
            </w:pPr>
            <w:r>
              <w:rPr>
                <w:rFonts w:ascii="Arial" w:cs="Arial" w:eastAsia="Arial" w:hAnsi="Arial"/>
                <w:sz w:val="18"/>
                <w:szCs w:val="18"/>
                <w:color w:val="auto"/>
                <w:w w:val="91"/>
              </w:rPr>
              <w:t>1.83% to 2.59%</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2.35% to 2.93%</w:t>
            </w:r>
          </w:p>
        </w:tc>
      </w:tr>
      <w:tr>
        <w:trPr>
          <w:trHeight w:val="27"/>
        </w:trPr>
        <w:tc>
          <w:tcPr>
            <w:tcW w:w="3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4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3"/>
              </w:rPr>
              <w:t>—%</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w:t>
            </w:r>
          </w:p>
        </w:tc>
        <w:tc>
          <w:tcPr>
            <w:tcW w:w="14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35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Early Exercise of Unvested Stock Options</w:t>
      </w:r>
    </w:p>
    <w:p>
      <w:pPr>
        <w:spacing w:after="0" w:line="11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Early exercises of stock options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equity as the options vest. At June 30, 2019 and December 31, 2018, the Company had a total of 46,811 and 74,019 shares of common stock, respectively, subject to repurchase under the 2008 Stock Option Plan and $0.2 million and $0.3 million, respectively, of associated liabilities for the repurchase.</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restricted stock units activity for the six months ended June 30, 2019:</w:t>
      </w:r>
    </w:p>
    <w:p>
      <w:pPr>
        <w:spacing w:after="0" w:line="200" w:lineRule="exact"/>
        <w:rPr>
          <w:sz w:val="20"/>
          <w:szCs w:val="20"/>
          <w:color w:val="auto"/>
        </w:rPr>
      </w:pPr>
    </w:p>
    <w:p>
      <w:pPr>
        <w:spacing w:after="0" w:line="291"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380" w:type="dxa"/>
            <w:vAlign w:val="bottom"/>
          </w:tcPr>
          <w:p>
            <w:pPr>
              <w:spacing w:after="0"/>
              <w:rPr>
                <w:sz w:val="18"/>
                <w:szCs w:val="18"/>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Average Grant</w:t>
            </w:r>
          </w:p>
        </w:tc>
      </w:tr>
      <w:tr>
        <w:trPr>
          <w:trHeight w:val="234"/>
        </w:trPr>
        <w:tc>
          <w:tcPr>
            <w:tcW w:w="538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Date Fair Value</w:t>
            </w:r>
          </w:p>
        </w:tc>
      </w:tr>
      <w:tr>
        <w:trPr>
          <w:trHeight w:val="27"/>
        </w:trPr>
        <w:tc>
          <w:tcPr>
            <w:tcW w:w="53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53,436</w:t>
            </w:r>
          </w:p>
        </w:tc>
        <w:tc>
          <w:tcPr>
            <w:tcW w:w="158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7"/>
              </w:rPr>
              <w:t>$11.69</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548,906</w:t>
            </w:r>
          </w:p>
        </w:tc>
        <w:tc>
          <w:tcPr>
            <w:tcW w:w="15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20.49</w:t>
            </w:r>
          </w:p>
        </w:tc>
      </w:tr>
      <w:tr>
        <w:trPr>
          <w:trHeight w:val="27"/>
        </w:trPr>
        <w:tc>
          <w:tcPr>
            <w:tcW w:w="5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(10,384)</w:t>
            </w:r>
          </w:p>
        </w:tc>
        <w:tc>
          <w:tcPr>
            <w:tcW w:w="158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8"/>
              </w:rPr>
              <w:t>19.84</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tcPr>
          <w:p>
            <w:pPr>
              <w:jc w:val="right"/>
              <w:spacing w:after="0"/>
              <w:rPr>
                <w:sz w:val="20"/>
                <w:szCs w:val="20"/>
                <w:color w:val="auto"/>
              </w:rPr>
            </w:pPr>
            <w:r>
              <w:rPr>
                <w:rFonts w:ascii="Arial" w:cs="Arial" w:eastAsia="Arial" w:hAnsi="Arial"/>
                <w:sz w:val="18"/>
                <w:szCs w:val="18"/>
                <w:color w:val="auto"/>
              </w:rPr>
              <w:t>(27,320)</w:t>
            </w:r>
          </w:p>
        </w:tc>
        <w:tc>
          <w:tcPr>
            <w:tcW w:w="15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20.97</w:t>
            </w:r>
          </w:p>
        </w:tc>
      </w:tr>
      <w:tr>
        <w:trPr>
          <w:trHeight w:val="27"/>
        </w:trPr>
        <w:tc>
          <w:tcPr>
            <w:tcW w:w="53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June 30, 2019</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564,638</w:t>
            </w:r>
          </w:p>
        </w:tc>
        <w:tc>
          <w:tcPr>
            <w:tcW w:w="158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8"/>
              </w:rPr>
              <w:t>19.65</w:t>
            </w:r>
          </w:p>
        </w:tc>
      </w:tr>
      <w:tr>
        <w:trPr>
          <w:trHeight w:val="20"/>
        </w:trPr>
        <w:tc>
          <w:tcPr>
            <w:tcW w:w="53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As of June 30, 2019, there was a total unrecognized compensation cost of $9.2 million related to the restricted stock units granted. These costs are expected to be recognized over a period of approximately 3.4 years.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Under the Company's 2018 Employee Stock Purchase Plan (the "ESPP") adopted in October 2018, the Company allows eligible employees to purchase shares of the Company's common stock through payroll deductions at the price equal to 85% of the lesser of the fair market value of the stock as of the first date or the ending date of each six month offering period. There were 515,307 shares of common stock originally reserved for issuance under the ESPP. On March 22, 2019, the Company filed a Registration Statement on Form S-8 to register 244,507 additional shares of common stock for issuance under the ESPP. As of June 30, 2019 and December 31, 2018, total accumulated ESPP related employee payroll deductions amounted to $0.2 million and $0.4 million, respectively, which were included within accrued compensation and related expenses in the consolidated balance sheets. For the three and six months ended June 30, 2019, the Company recognized $0.2 million and $0.4 million, respectively, of stock-based compensation expense related to ESPP. As of June 30, 2019, the unrecognized compensation cost for the ESPP was $0.3 million.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5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Company estimated the fair value of ESPP purchase rights during the offer period using a Black-Scholes option pricing model with the following assumptions:</w:t>
      </w:r>
    </w:p>
    <w:p>
      <w:pPr>
        <w:spacing w:after="0" w:line="112" w:lineRule="exact"/>
        <w:rPr>
          <w:sz w:val="20"/>
          <w:szCs w:val="20"/>
          <w:color w:val="auto"/>
        </w:rPr>
      </w:pPr>
    </w:p>
    <w:tbl>
      <w:tblPr>
        <w:tblLayout w:type="fixed"/>
        <w:tblInd w:w="208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Three and Six Months</w:t>
            </w:r>
          </w:p>
        </w:tc>
      </w:tr>
      <w:tr>
        <w:trPr>
          <w:trHeight w:val="234"/>
        </w:trPr>
        <w:tc>
          <w:tcPr>
            <w:tcW w:w="54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546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June 30, 2019</w:t>
            </w:r>
          </w:p>
        </w:tc>
      </w:tr>
      <w:tr>
        <w:trPr>
          <w:trHeight w:val="27"/>
        </w:trPr>
        <w:tc>
          <w:tcPr>
            <w:tcW w:w="54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0.5 years</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58.35%</w:t>
            </w:r>
          </w:p>
        </w:tc>
      </w:tr>
      <w:tr>
        <w:trPr>
          <w:trHeight w:val="27"/>
        </w:trPr>
        <w:tc>
          <w:tcPr>
            <w:tcW w:w="5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2.49%</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34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presents the detail of stock-based compensation expense amounts included in the consolidated statements of operations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5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4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240</w:t>
            </w:r>
          </w:p>
        </w:tc>
      </w:tr>
      <w:tr>
        <w:trPr>
          <w:trHeight w:val="27"/>
        </w:trPr>
        <w:tc>
          <w:tcPr>
            <w:tcW w:w="4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432</w:t>
            </w:r>
          </w:p>
        </w:tc>
      </w:tr>
      <w:tr>
        <w:trPr>
          <w:trHeight w:val="27"/>
        </w:trPr>
        <w:tc>
          <w:tcPr>
            <w:tcW w:w="4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1,814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right"/>
        <w:ind w:left="440" w:right="8240" w:hanging="432"/>
        <w:spacing w:after="0" w:line="425" w:lineRule="auto"/>
        <w:tabs>
          <w:tab w:leader="none" w:pos="278"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Net Loss Per Share of Common Stock </w:t>
      </w:r>
      <w:r>
        <w:rPr>
          <w:rFonts w:ascii="Arial" w:cs="Arial" w:eastAsia="Arial" w:hAnsi="Arial"/>
          <w:sz w:val="16"/>
          <w:szCs w:val="16"/>
          <w:i w:val="1"/>
          <w:iCs w:val="1"/>
          <w:color w:val="auto"/>
        </w:rPr>
        <w:t>Basic and Diluted Net Loss per Share</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table below summarizes the computation of basic and diluted net loss per share (in thousands, except share and per share data):</w:t>
      </w:r>
    </w:p>
    <w:p>
      <w:pPr>
        <w:spacing w:after="0" w:line="167"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0"/>
              </w:rPr>
              <w:t>Three Months Ended June 30,</w:t>
            </w:r>
          </w:p>
        </w:tc>
        <w:tc>
          <w:tcPr>
            <w:tcW w:w="22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3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(7,348)</w:t>
            </w:r>
          </w:p>
        </w:tc>
        <w:tc>
          <w:tcPr>
            <w:tcW w:w="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Weighted-average shares used to compute basic and diluted</w:t>
            </w:r>
          </w:p>
        </w:tc>
        <w:tc>
          <w:tcPr>
            <w:tcW w:w="14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24,577,938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3,608,283  *</w:t>
            </w:r>
          </w:p>
        </w:tc>
        <w:tc>
          <w:tcPr>
            <w:tcW w:w="22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24,484,608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8"/>
              </w:rPr>
              <w:t>3,603,308  *</w:t>
            </w:r>
          </w:p>
        </w:tc>
        <w:tc>
          <w:tcPr>
            <w:tcW w:w="0" w:type="dxa"/>
            <w:vAlign w:val="bottom"/>
          </w:tcPr>
          <w:p>
            <w:pPr>
              <w:spacing w:after="0"/>
              <w:rPr>
                <w:sz w:val="1"/>
                <w:szCs w:val="1"/>
                <w:color w:val="auto"/>
              </w:rPr>
            </w:pPr>
          </w:p>
        </w:tc>
      </w:tr>
      <w:tr>
        <w:trPr>
          <w:trHeight w:val="237"/>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per share</w:t>
            </w:r>
          </w:p>
        </w:tc>
        <w:tc>
          <w:tcPr>
            <w:tcW w:w="14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0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(0.87)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 Calculated based on the 1-for-18 reverse stock split effected October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379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2"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Unvested shares for the periods ended June 30, 2019 and 2018 were excluded from the weighted-average shares used to compute basic and diluted net loss per share.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following common stock equivalents were excluded from the computation of diluted net loss per share for the periods presented because including them would have been antidilutive:</w:t>
      </w:r>
    </w:p>
    <w:p>
      <w:pPr>
        <w:spacing w:after="0" w:line="11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560" w:type="dxa"/>
            <w:vAlign w:val="bottom"/>
          </w:tcPr>
          <w:p>
            <w:pPr>
              <w:spacing w:after="0"/>
              <w:rPr>
                <w:sz w:val="20"/>
                <w:szCs w:val="20"/>
                <w:color w:val="auto"/>
              </w:rPr>
            </w:pPr>
          </w:p>
        </w:tc>
        <w:tc>
          <w:tcPr>
            <w:tcW w:w="2860" w:type="dxa"/>
            <w:vAlign w:val="bottom"/>
            <w:gridSpan w:val="4"/>
          </w:tcPr>
          <w:p>
            <w:pPr>
              <w:ind w:left="80"/>
              <w:spacing w:after="0"/>
              <w:rPr>
                <w:sz w:val="20"/>
                <w:szCs w:val="20"/>
                <w:color w:val="auto"/>
              </w:rPr>
            </w:pPr>
            <w:r>
              <w:rPr>
                <w:rFonts w:ascii="Arial" w:cs="Arial" w:eastAsia="Arial" w:hAnsi="Arial"/>
                <w:sz w:val="18"/>
                <w:szCs w:val="18"/>
                <w:b w:val="1"/>
                <w:bCs w:val="1"/>
                <w:color w:val="auto"/>
              </w:rPr>
              <w:t>Three Months Ended June 30,</w:t>
            </w:r>
          </w:p>
        </w:tc>
        <w:tc>
          <w:tcPr>
            <w:tcW w:w="176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2018</w:t>
            </w:r>
          </w:p>
        </w:tc>
      </w:tr>
      <w:tr>
        <w:trPr>
          <w:trHeight w:val="27"/>
        </w:trPr>
        <w:tc>
          <w:tcPr>
            <w:tcW w:w="45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3,024,743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2,900,842</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3,024,743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2,900,842</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564,638</w:t>
            </w:r>
          </w:p>
        </w:tc>
        <w:tc>
          <w:tcPr>
            <w:tcW w:w="100" w:type="dxa"/>
            <w:vAlign w:val="bottom"/>
          </w:tcPr>
          <w:p>
            <w:pPr>
              <w:spacing w:after="0"/>
              <w:rPr>
                <w:sz w:val="21"/>
                <w:szCs w:val="21"/>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564,638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subject to repurchase</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46,811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64,107</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64,107</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ESPP purchase rights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84,321</w:t>
            </w:r>
          </w:p>
        </w:tc>
        <w:tc>
          <w:tcPr>
            <w:tcW w:w="100" w:type="dxa"/>
            <w:vAlign w:val="bottom"/>
          </w:tcPr>
          <w:p>
            <w:pPr>
              <w:spacing w:after="0"/>
              <w:rPr>
                <w:sz w:val="21"/>
                <w:szCs w:val="21"/>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84,321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12,066,654</w:t>
            </w: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12,066,654</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Redeemable convertible preferred stock warrants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160,657</w:t>
            </w:r>
          </w:p>
        </w:tc>
        <w:tc>
          <w:tcPr>
            <w:tcW w:w="400" w:type="dxa"/>
            <w:vAlign w:val="bottom"/>
          </w:tcPr>
          <w:p>
            <w:pPr>
              <w:spacing w:after="0"/>
              <w:rPr>
                <w:sz w:val="21"/>
                <w:szCs w:val="21"/>
                <w:color w:val="auto"/>
              </w:rPr>
            </w:pP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160,657</w:t>
            </w:r>
          </w:p>
        </w:tc>
      </w:tr>
      <w:tr>
        <w:trPr>
          <w:trHeight w:val="27"/>
        </w:trPr>
        <w:tc>
          <w:tcPr>
            <w:tcW w:w="4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118,122</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124,326</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124,326</w:t>
            </w:r>
          </w:p>
        </w:tc>
      </w:tr>
      <w:tr>
        <w:trPr>
          <w:trHeight w:val="237"/>
        </w:trPr>
        <w:tc>
          <w:tcPr>
            <w:tcW w:w="4560" w:type="dxa"/>
            <w:vAlign w:val="bottom"/>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3,838,635</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15,316,586</w:t>
            </w:r>
          </w:p>
        </w:tc>
        <w:tc>
          <w:tcPr>
            <w:tcW w:w="4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3,838,635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0"/>
              </w:rPr>
              <w:t>15,316,586</w:t>
            </w:r>
          </w:p>
        </w:tc>
      </w:tr>
      <w:tr>
        <w:trPr>
          <w:trHeight w:val="27"/>
        </w:trPr>
        <w:tc>
          <w:tcPr>
            <w:tcW w:w="45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5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and six months ended June 30, 2019 and 2018. The Company continues to maintain a full valuation allowance against its net deferred tax assets due to the uncertainty surrounding realization of such assets.</w:t>
      </w:r>
    </w:p>
    <w:p>
      <w:pPr>
        <w:spacing w:after="0" w:line="15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December 31, 2018.</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1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March 14, 2019.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"Risk Factors" section of this Quarterly Report on Form 10-Q, our actual results could differ materially from the results described in, or implied, by these forward-looking statements.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40,000 procedures have been performed by over 1,900 surgeons in the United States and 33 other countries. Published clinical studies have shown that 15% to 30% of all chronic lower back pain is associated with the sacroiliac joint. We believe iFuse is currently the market leading implantable device used in minimally invasive surgical fusions of the sacroiliac joint in the United States.</w:t>
      </w:r>
    </w:p>
    <w:p>
      <w:pPr>
        <w:spacing w:after="0" w:line="200" w:lineRule="exact"/>
        <w:rPr>
          <w:sz w:val="20"/>
          <w:szCs w:val="20"/>
          <w:color w:val="auto"/>
        </w:rPr>
      </w:pPr>
    </w:p>
    <w:p>
      <w:pPr>
        <w:spacing w:after="0" w:line="20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In April 2019, we received clearance from the U.S. Food and Drug Administration (FDA) to promote our iFuse Bedrock technique for fusion of the sacroiliac joint in conjunction with multi-level spinal fusion procedures to provide further stabilization and immobilization of the sacroiliac joint. We market our products with a direct sales force and a number of distributors in the United States, and with a combination of a direct sales force and distributors in other countries.</w:t>
      </w:r>
    </w:p>
    <w:p>
      <w:pPr>
        <w:spacing w:after="0" w:line="200" w:lineRule="exact"/>
        <w:rPr>
          <w:sz w:val="20"/>
          <w:szCs w:val="20"/>
          <w:color w:val="auto"/>
        </w:rPr>
      </w:pPr>
    </w:p>
    <w:p>
      <w:pPr>
        <w:spacing w:after="0" w:line="205"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We have incurred net losses since our inception in 2008. We had net losses of $18.0 million for the six months ended June 30, 2019 and $17.5 million and $23.0 million for the years ended December 31, 2018 and 2017, respectively. As of June 30, 2019, we had an accumulated deficit of $175.2 million. To date, we have financed our operations primarily through an initial public offering, private placements of equity securities, certain debt-related financing arrangements, and sales of our products. We have devoted substantially all of our resources to research and development of our products, reimbursement-related initiatives, sales and marketing activities, and clinical, quality assurance, and regulatory matters for our products.</w:t>
      </w:r>
    </w:p>
    <w:p>
      <w:pPr>
        <w:spacing w:after="0" w:line="173"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In October 2018, we completed our initial public offering, or IPO, by issuing 8,280,000 shares of common stock, at an offering price of $15.00 per share, for net proceeds of $113.4 million after deducting underwriting discounts and commissions and offering expenses payable by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Prior to our launch of iFuse in 2009, Medicare and most private insurance companies reimbursed surgeons routinely for sacroiliac joint fusions, which were primarily invasive. However, effective July 1, 2013, the AMA’s ("American Medical Association") Editorial Panel effectively restricted reimbursement for minimally invasive sacroiliac joint fusion because they considered the published clinical evidence at the time to be inadequate.</w:t>
      </w:r>
    </w:p>
    <w:p>
      <w:pPr>
        <w:spacing w:after="0" w:line="166"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Subsequently, as a result of the growing number of published clinical studies demonstrating the effectiveness and safety of iFuse, along with the support of several professional medical specialty societies and leading academic surgeons, the AMA Editorial Panel established a new reimbursement code for minimally invasive sacroiliac joint fusion surgery, effective January 1, 2015. However, the new code did not immediately lead to positive coverage decisions by payors-in many cases, as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193"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Coverage decisions for this code are made independently by each private insurance company and each of the seven regional Medicare Administrative Contractors that help manage Medicare. The process of obtaining coverage is laborious. As of the end of the second quarter of 2016, because of the iFuse clinical evidence, all Medicare Administrative Contractors were covering the procedure. At the time, very few private payors were covering.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2" w:name="page23"/>
    <w:bookmarkEnd w:id="22"/>
    <w:p>
      <w:pPr>
        <w:ind w:right="100" w:firstLine="405"/>
        <w:spacing w:after="0" w:line="297" w:lineRule="auto"/>
        <w:rPr>
          <w:sz w:val="20"/>
          <w:szCs w:val="20"/>
          <w:color w:val="auto"/>
        </w:rPr>
      </w:pPr>
      <w:r>
        <w:rPr>
          <w:rFonts w:ascii="Arial" w:cs="Arial" w:eastAsia="Arial" w:hAnsi="Arial"/>
          <w:sz w:val="16"/>
          <w:szCs w:val="16"/>
          <w:color w:val="auto"/>
        </w:rPr>
        <w:t>In 2018, more private payors began covering iFuse based upon our clinical evidence. As of June 30, 2019, U.S. payors covering 266 million lives, including private payors covering 131 million lives, regularly reimbursed for the iFuse procedure. Forty-nine of the largest 65 U.S. private payors that we track had positive coverage policies for the procedure, were consistently covering the procedure, or had announced coming future coverage. Of these 49 U.S. private payors, 31 have issued positive coverage policies exclusive to iFuse for sacroiliac joint fusion because of the clinical evidence. Twenty-five of these exclusive coverage policies have published since January 2018, which we believe has contributed to our recent sales growth.</w:t>
      </w:r>
    </w:p>
    <w:p>
      <w:pPr>
        <w:spacing w:after="0" w:line="158"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There are a number of large and small private payors, including Aetna, Cigna, Humana, and Anthem, that are not reimbursing for the procedure. In the most recent review cycle, all four of the aforementioned large payors continued their experimental policies. These non-covering payors reevaluate coverage annually based upon the most recently published clinical data. There can be no assurance they will reach positive coverage decisions in the future.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Medical Affairs and Education</w:t>
      </w:r>
    </w:p>
    <w:p>
      <w:pPr>
        <w:spacing w:after="0" w:line="225"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Our medical affairs team focuses on both internal and external education. Internally, specialized medical knowledge and practical experience with iFuse are used to help train our sales, marketing, quality, reimbursement, clinical, regulatory, engineering, and product development teams. This same specialized medical knowledge and practical experience allow us to create and execute a wide variety of programs to train the relevant external medical community, to assist them in identifying and diagnosing patients with sacroiliac joint dysfunction and in performing the iFuse procedure. Our medical affairs team is led by a board-certified fellowship trained orthopedic spine surgeon. As of June 30, 2019, our U.S. consultant faculty consisted of 90 surgeons, 24 pain management physicians, 18 nurse practitioners/physician’s assistants, and 95 physical therapists. These third-party healthcare professional consultants educate other surgeons, physician’s assistants, nurses, physical therapists, and other healthcare professionals regarding sacroiliac joint diagnosis and the iFuse procedure.</w:t>
      </w:r>
    </w:p>
    <w:p>
      <w:pPr>
        <w:spacing w:after="0" w:line="167"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Our surgeon training programs are for orthopedic spine surgeons, neurosurgeons, general orthopedic surgeons, and orthopedic trauma surgeons. Since its introduction, over 1,900 surgeons around the world have been trained and treated patients with iFuse. We also have a large number of educational programs for the broader medical community including primary care physicians and other healthcare practitioners that may manage a sacroiliac joint patient non-surgically, such as physical therapists, pain management physicians, and chiropractors. Our medical affairs programs focus on working with leading spine surgeons to educate other surgeons on the differential diagnosis of sacroiliac joint disorders and the use of iFuse. We also work closely with medical societies to raise the awareness of and the appropriate diagnosis of sacroiliac joint dysfunction and the associated treatment options.</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Sales Force</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We market and sell iFuse primarily through a direct sales force and a number of third-party distributors. Our target customer base includes approximately 7,500 U.S. surgeons who perform spine and/or pelvic surgery, including orthopedic spine surgeons, neurosurgeons, general orthopedic surgeons, and orthopedic trauma surgeons.</w:t>
      </w:r>
    </w:p>
    <w:p>
      <w:pPr>
        <w:spacing w:after="0" w:line="181" w:lineRule="exact"/>
        <w:rPr>
          <w:sz w:val="20"/>
          <w:szCs w:val="20"/>
          <w:color w:val="auto"/>
        </w:rPr>
      </w:pPr>
    </w:p>
    <w:p>
      <w:pPr>
        <w:jc w:val="both"/>
        <w:ind w:right="20" w:firstLine="446"/>
        <w:spacing w:after="0" w:line="259" w:lineRule="auto"/>
        <w:rPr>
          <w:sz w:val="20"/>
          <w:szCs w:val="20"/>
          <w:color w:val="auto"/>
        </w:rPr>
      </w:pPr>
      <w:r>
        <w:rPr>
          <w:rFonts w:ascii="Arial" w:cs="Arial" w:eastAsia="Arial" w:hAnsi="Arial"/>
          <w:sz w:val="18"/>
          <w:szCs w:val="18"/>
          <w:color w:val="auto"/>
        </w:rPr>
        <w:t>Our direct sales organization in the United States consists of ten sales regions. In each region there are a number of territory sales managers who act as the primary customer contact. Our territory sales managers have extensive training and experience selling medical devices for spine problems and pain management, generally focusing on emerging technologies and markets. As of June 30, 2019, our U.S. sales force consisted of 50 territory sales managers directly employed by us and 33 third-party sales representatives.</w:t>
      </w:r>
    </w:p>
    <w:p>
      <w:pPr>
        <w:spacing w:after="0" w:line="18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88"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As of June 30, 2019, we had 36 employees working in our European operations, and have established operations in Italy (2010), Germany (2014), the United Kingdom (2015) and France (2019). As of June 30, 2019, our international sales force consisted of 16 sales representatives directly employed by us and 28 exclusive third-party distributors, which together had sales in 33 countries through June 30, 2019. We anticipate continuing to build our 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June 30, 2019, beyond Europe and the United States, surgeons had performed iFuse procedures in Australia, Cayman Islands, Hong Kong, Israel, Japan, Kuwait, New Zealand, Saudi Arabia, Taiwan and Turkey.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3" w:name="page24"/>
    <w:bookmarkEnd w:id="23"/>
    <w:p>
      <w:pPr>
        <w:jc w:val="both"/>
        <w:ind w:firstLine="446"/>
        <w:spacing w:after="0" w:line="277" w:lineRule="auto"/>
        <w:rPr>
          <w:sz w:val="20"/>
          <w:szCs w:val="20"/>
          <w:color w:val="auto"/>
        </w:rPr>
      </w:pPr>
      <w:r>
        <w:rPr>
          <w:rFonts w:ascii="Arial" w:cs="Arial" w:eastAsia="Arial" w:hAnsi="Arial"/>
          <w:sz w:val="18"/>
          <w:szCs w:val="18"/>
          <w:color w:val="auto"/>
        </w:rPr>
        <w:t>We have in the past and expect in the future to enter into different compensation arrangements with our sales professionals, which may include minimum guaranteed commissions. This has impacted our compensation expenses in the past and we expect it will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We derive substantially all our revenue from sales of iFuse. Revenue from sales of iFuse fluctuate based on volume of cases (procedures performed), discounts, mix of international and U.S. sales, and the number of implants used for a particular patient. Similar to other orthopedic companies, our case volume can vary from quarter to quarter due to a variety of factors including reimbursement, sales force changes, physician activities, and seasonality. In addition, our revenue is impacted by changes in average selling price as we respond to the competitive landscape. Further, revenue results can differ based upon the mix of business between U.S. and international sales. Our revenue from international sales is impacted by fluctuations in foreign currency exchange rates between the U.S. dollar (our reporting currency) and the local currency.</w:t>
      </w:r>
    </w:p>
    <w:p>
      <w:pPr>
        <w:spacing w:after="0" w:line="2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We utilize third-party manufacturers for production of iFuse implants and instrument sets. Cost of goods sold consists primarily of costs of the components of iFuse implants and instruments, scrap and inventory obsolescence, as well as distribution-related expenses such as logistics and shipping costs. We anticipate that our cost of goods sold will increase as case levels increase and as we introduce new products.</w:t>
      </w:r>
    </w:p>
    <w:p>
      <w:pPr>
        <w:spacing w:after="0" w:line="18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Our gross profit and gross margin have been and will continue to be affected by factors impacting revenue and cost of goods sold. In addition, our gross margins are typically higher on products we sell directly as compared to products we sell through third-party distributors. As a result, changes in the mix of direct versus distributor sales can directly influence our gross margins.</w:t>
      </w:r>
    </w:p>
    <w:p>
      <w:pPr>
        <w:spacing w:after="0" w:line="18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accordance with the Patient Protection and Affordable Care Act, effective January 1, 2013, we began to incur an excise tax on sales of medical devices in the United States. Effective December 2015, the Act was amended to include a provision to suspend the tax on medical devices through 2017. In January 2018, the suspension on the tax on medical devices was further extended through 2019.</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expect operating expenses to increase as we continue to invest and grow our business.</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to our senior sales management, direct territory sales managers, and third-party distributors. We expect our sales and marketing expenses to increase with the continued commercialization of our current and future products and continued investment in our global sales organization, including broadening our relationships with third-party distributors, expanding exclusivity commitments among them and increasing the number of our direct sales representatives, especially with increased reimbursement and adoption in the United States. Our sales and marketing expenses may fluctuate from period to period due to the seasonality of our business and as we continue to add direct territory sales managers in new territories.</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Our research and development expenses primarily consist of engineering, product development, clinical and regulatory expenses (including clinical study expenses), and consulting services, outside prototyping services, outside research activities, materials, depreciation, and other costs associated with development of our products. Research and development expenses also include related personnel and consultants’ compensation and stock-based compensation expense. We expense research and development costs as they are incurred. We expect research and development expense to increase as we develop new products, add research and development personnel, and undergo clinical activities, including more clinical studies to gain additional regulatory clearances and wider surgeon adoption.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General and administrative expenses primarily consist of salaries, stock-based compensation expense, and other costs for finance, accounting, legal, compliance, and administrative matters. We expect our general and administrative expenses to increase to support the growth of our business. We also expect to incur additional general and administrative expenses as a result of operating as a public company, including but not limited to: expenses related to compliance with the rules and regulations of the Securities and Exchange Commission and those of the Nasdaq Global Market on which our securities are traded; additional insurance expenses; investor relations activities; and other administrative and professional services.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is related to our investments of excess cash in money market funds and marketable securities.</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Interest expense is related to borrowings and amortization of debt issuance costs. Prior to our initial public offering, interest expense also included the amortization of debt discounts derived from the issuance of warrants.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Other income (expense), net consists primarily of net foreign exchange gains (losses) on foreign transactions. Prior to our initial public offering, other income (expense), net included changes in fair value of our preferred stock warrant liability. In connection with our initial public offering, our preferred stock warrant liability was reclassified to equity upon conversion of preferred stock warrants to common stock warrants.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operate as one operating and reportable segment. The table below summarizes our results of operations for the periods presented, which we derived from the accompanying condensed consolidated financial statements (in thousands, except for percentages):</w:t>
      </w:r>
    </w:p>
    <w:p>
      <w:pPr>
        <w:spacing w:after="0" w:line="112"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0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rPr>
              <w:t>Six Months Ended June 30,</w:t>
            </w:r>
          </w:p>
        </w:tc>
        <w:tc>
          <w:tcPr>
            <w:tcW w:w="58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374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Consolidated Statements of Operations Data:</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16,317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13,663</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31,308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26,375</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1,588</w:t>
            </w:r>
          </w:p>
        </w:tc>
        <w:tc>
          <w:tcPr>
            <w:tcW w:w="60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1,182</w:t>
            </w:r>
          </w:p>
        </w:tc>
        <w:tc>
          <w:tcPr>
            <w:tcW w:w="58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3,114</w:t>
            </w:r>
          </w:p>
        </w:tc>
        <w:tc>
          <w:tcPr>
            <w:tcW w:w="60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2,230</w:t>
            </w:r>
          </w:p>
        </w:tc>
        <w:tc>
          <w:tcPr>
            <w:tcW w:w="580" w:type="dxa"/>
            <w:vAlign w:val="bottom"/>
          </w:tcPr>
          <w:p>
            <w:pPr>
              <w:jc w:val="right"/>
              <w:spacing w:after="0"/>
              <w:rPr>
                <w:sz w:val="20"/>
                <w:szCs w:val="20"/>
                <w:color w:val="auto"/>
              </w:rPr>
            </w:pPr>
            <w:r>
              <w:rPr>
                <w:rFonts w:ascii="Arial" w:cs="Arial" w:eastAsia="Arial" w:hAnsi="Arial"/>
                <w:sz w:val="16"/>
                <w:szCs w:val="16"/>
                <w:color w:val="auto"/>
              </w:rPr>
              <w:t>8 %</w:t>
            </w:r>
          </w:p>
        </w:tc>
      </w:tr>
      <w:tr>
        <w:trPr>
          <w:trHeight w:val="27"/>
        </w:trPr>
        <w:tc>
          <w:tcPr>
            <w:tcW w:w="3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14,729</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12,481</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28,194</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24,145</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92 %</w:t>
            </w: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16,727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10,318</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32,542</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21,285</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81 %</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1,946</w:t>
            </w:r>
          </w:p>
        </w:tc>
        <w:tc>
          <w:tcPr>
            <w:tcW w:w="60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1,296</w:t>
            </w:r>
          </w:p>
        </w:tc>
        <w:tc>
          <w:tcPr>
            <w:tcW w:w="58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3,629</w:t>
            </w:r>
          </w:p>
        </w:tc>
        <w:tc>
          <w:tcPr>
            <w:tcW w:w="60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2,502</w:t>
            </w:r>
          </w:p>
        </w:tc>
        <w:tc>
          <w:tcPr>
            <w:tcW w:w="580" w:type="dxa"/>
            <w:vAlign w:val="bottom"/>
          </w:tcPr>
          <w:p>
            <w:pPr>
              <w:jc w:val="right"/>
              <w:spacing w:after="0"/>
              <w:rPr>
                <w:sz w:val="20"/>
                <w:szCs w:val="20"/>
                <w:color w:val="auto"/>
              </w:rPr>
            </w:pPr>
            <w:r>
              <w:rPr>
                <w:rFonts w:ascii="Arial" w:cs="Arial" w:eastAsia="Arial" w:hAnsi="Arial"/>
                <w:sz w:val="16"/>
                <w:szCs w:val="16"/>
                <w:color w:val="auto"/>
              </w:rPr>
              <w:t>9 %</w:t>
            </w: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4,194</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2,564</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8,960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4,972</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22,867</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141 %</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14,178</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104 %</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45,131</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144 %</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28,759</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109 %</w:t>
            </w:r>
          </w:p>
        </w:tc>
      </w:tr>
      <w:tr>
        <w:trPr>
          <w:trHeight w:val="27"/>
        </w:trPr>
        <w:tc>
          <w:tcPr>
            <w:tcW w:w="3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(8,138)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(1,697)</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(16,937)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(4,614)</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Interest and other income (expense), net:</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695</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w:t>
            </w:r>
          </w:p>
        </w:tc>
        <w:tc>
          <w:tcPr>
            <w:tcW w:w="7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1,439</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(1,233)</w:t>
            </w: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(1,269)</w:t>
            </w: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(2,463)</w:t>
            </w: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(2,544)</w:t>
            </w: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w:t>
            </w:r>
          </w:p>
        </w:tc>
        <w:tc>
          <w:tcPr>
            <w:tcW w:w="7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 %</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w:t>
            </w:r>
          </w:p>
        </w:tc>
        <w:tc>
          <w:tcPr>
            <w:tcW w:w="7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(8,654)</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(3,147)</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(17,999)</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(7,348)</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3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46"/>
        </w:trPr>
        <w:tc>
          <w:tcPr>
            <w:tcW w:w="3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5" w:name="page26"/>
    <w:bookmarkEnd w:id="25"/>
    <w:p>
      <w:pPr>
        <w:jc w:val="both"/>
        <w:ind w:right="20" w:firstLine="486"/>
        <w:spacing w:after="0" w:line="264" w:lineRule="auto"/>
        <w:rPr>
          <w:sz w:val="20"/>
          <w:szCs w:val="20"/>
          <w:color w:val="auto"/>
        </w:rPr>
      </w:pPr>
      <w:r>
        <w:rPr>
          <w:rFonts w:ascii="Arial" w:cs="Arial" w:eastAsia="Arial" w:hAnsi="Arial"/>
          <w:sz w:val="18"/>
          <w:szCs w:val="18"/>
          <w:color w:val="auto"/>
        </w:rPr>
        <w:t>We derive the majority of our revenue from sales to customers in the United States. Revenue by geography is based on billing address of the customer. No single country outside the United States accounts for more than 10% of the total revenue during the periods presented. The table below summarizes our revenue by geography (in thousands except for percentages):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Three Months Ended June 30,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jc w:val="right"/>
              <w:ind w:right="250"/>
              <w:spacing w:after="0"/>
              <w:rPr>
                <w:sz w:val="20"/>
                <w:szCs w:val="20"/>
                <w:color w:val="auto"/>
              </w:rPr>
            </w:pPr>
            <w:r>
              <w:rPr>
                <w:rFonts w:ascii="Arial" w:cs="Arial" w:eastAsia="Arial" w:hAnsi="Arial"/>
                <w:sz w:val="18"/>
                <w:szCs w:val="18"/>
                <w:b w:val="1"/>
                <w:bCs w:val="1"/>
                <w:color w:val="auto"/>
              </w:rPr>
              <w:t>Six Months Ended June 30,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15,019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12,161</w:t>
            </w:r>
          </w:p>
        </w:tc>
        <w:tc>
          <w:tcPr>
            <w:tcW w:w="5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28,469</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23,456</w:t>
            </w: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r>
      <w:tr>
        <w:trPr>
          <w:trHeight w:val="243"/>
        </w:trPr>
        <w:tc>
          <w:tcPr>
            <w:tcW w:w="340" w:type="dxa"/>
            <w:vAlign w:val="bottom"/>
          </w:tcPr>
          <w:p>
            <w:pPr>
              <w:spacing w:after="0"/>
              <w:rPr>
                <w:sz w:val="21"/>
                <w:szCs w:val="21"/>
                <w:color w:val="auto"/>
              </w:rPr>
            </w:pPr>
          </w:p>
        </w:tc>
        <w:tc>
          <w:tcPr>
            <w:tcW w:w="304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1,298</w:t>
            </w: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1,502</w:t>
            </w:r>
          </w:p>
        </w:tc>
        <w:tc>
          <w:tcPr>
            <w:tcW w:w="560" w:type="dxa"/>
            <w:vAlign w:val="bottom"/>
            <w:gridSpan w:val="3"/>
          </w:tcPr>
          <w:p>
            <w:pPr>
              <w:jc w:val="right"/>
              <w:ind w:right="40"/>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2,839</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2,919</w:t>
            </w: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r>
      <w:tr>
        <w:trPr>
          <w:trHeight w:val="27"/>
        </w:trPr>
        <w:tc>
          <w:tcPr>
            <w:tcW w:w="340" w:type="dxa"/>
            <w:vAlign w:val="bottom"/>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69"/>
        </w:trPr>
        <w:tc>
          <w:tcPr>
            <w:tcW w:w="340" w:type="dxa"/>
            <w:vAlign w:val="bottom"/>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16,317</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13,663</w:t>
            </w:r>
          </w:p>
        </w:tc>
        <w:tc>
          <w:tcPr>
            <w:tcW w:w="5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31,308</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26,375</w:t>
            </w: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r>
      <w:tr>
        <w:trPr>
          <w:trHeight w:val="20"/>
        </w:trPr>
        <w:tc>
          <w:tcPr>
            <w:tcW w:w="340" w:type="dxa"/>
            <w:vAlign w:val="bottom"/>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r>
      <w:tr>
        <w:trPr>
          <w:trHeight w:val="521"/>
        </w:trPr>
        <w:tc>
          <w:tcPr>
            <w:tcW w:w="5320" w:type="dxa"/>
            <w:vAlign w:val="bottom"/>
            <w:gridSpan w:val="7"/>
          </w:tcPr>
          <w:p>
            <w:pPr>
              <w:spacing w:after="0"/>
              <w:rPr>
                <w:sz w:val="20"/>
                <w:szCs w:val="20"/>
                <w:color w:val="auto"/>
              </w:rPr>
            </w:pPr>
            <w:r>
              <w:rPr>
                <w:rFonts w:ascii="Arial" w:cs="Arial" w:eastAsia="Arial" w:hAnsi="Arial"/>
                <w:sz w:val="18"/>
                <w:szCs w:val="18"/>
                <w:b w:val="1"/>
                <w:bCs w:val="1"/>
                <w:color w:val="auto"/>
                <w:w w:val="97"/>
              </w:rPr>
              <w:t>Comparison of the Three Months Ended June 30, 2019 and 2018</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4980" w:type="dxa"/>
            <w:vAlign w:val="bottom"/>
            <w:gridSpan w:val="6"/>
          </w:tcPr>
          <w:p>
            <w:pPr>
              <w:ind w:left="100"/>
              <w:spacing w:after="0"/>
              <w:rPr>
                <w:sz w:val="20"/>
                <w:szCs w:val="20"/>
                <w:color w:val="auto"/>
              </w:rPr>
            </w:pPr>
            <w:r>
              <w:rPr>
                <w:rFonts w:ascii="Arial" w:cs="Arial" w:eastAsia="Arial" w:hAnsi="Arial"/>
                <w:sz w:val="18"/>
                <w:szCs w:val="18"/>
                <w:b w:val="1"/>
                <w:bCs w:val="1"/>
                <w:i w:val="1"/>
                <w:iCs w:val="1"/>
                <w:color w:val="auto"/>
                <w:w w:val="91"/>
              </w:rPr>
              <w:t>Revenue, Cost of Goods Sold, Gross Profit, and Gross Margin</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60"/>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5"/>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4"/>
          </w:tcPr>
          <w:p>
            <w:pPr>
              <w:ind w:left="20"/>
              <w:spacing w:after="0"/>
              <w:rPr>
                <w:sz w:val="20"/>
                <w:szCs w:val="20"/>
                <w:color w:val="auto"/>
              </w:rPr>
            </w:pPr>
            <w:r>
              <w:rPr>
                <w:rFonts w:ascii="Arial" w:cs="Arial" w:eastAsia="Arial" w:hAnsi="Arial"/>
                <w:sz w:val="18"/>
                <w:szCs w:val="18"/>
                <w:b w:val="1"/>
                <w:bCs w:val="1"/>
                <w:color w:val="auto"/>
              </w:rPr>
              <w:t>$ Change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1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60" w:type="dxa"/>
            <w:vAlign w:val="bottom"/>
            <w:gridSpan w:val="12"/>
          </w:tcPr>
          <w:p>
            <w:pPr>
              <w:ind w:left="40"/>
              <w:spacing w:after="0"/>
              <w:rPr>
                <w:sz w:val="20"/>
                <w:szCs w:val="20"/>
                <w:color w:val="auto"/>
              </w:rPr>
            </w:pPr>
            <w:r>
              <w:rPr>
                <w:rFonts w:ascii="Arial" w:cs="Arial" w:eastAsia="Arial" w:hAnsi="Arial"/>
                <w:sz w:val="18"/>
                <w:szCs w:val="18"/>
                <w:b w:val="1"/>
                <w:bCs w:val="1"/>
                <w:color w:val="auto"/>
                <w:w w:val="90"/>
              </w:rPr>
              <w:t>(in thousands, except for percentages)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16,317</w:t>
            </w:r>
          </w:p>
        </w:tc>
        <w:tc>
          <w:tcPr>
            <w:tcW w:w="5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4"/>
              </w:rPr>
              <w:t>13,663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2,654</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21"/>
                <w:szCs w:val="21"/>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Pr>
          <w:p>
            <w:pPr>
              <w:spacing w:after="0"/>
              <w:rPr>
                <w:sz w:val="2"/>
                <w:szCs w:val="2"/>
                <w:color w:val="auto"/>
              </w:rPr>
            </w:pPr>
          </w:p>
        </w:tc>
      </w:tr>
      <w:tr>
        <w:trPr>
          <w:trHeight w:val="257"/>
        </w:trPr>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4"/>
              </w:rPr>
              <w:t>12,481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2,248</w:t>
            </w: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2"/>
                <w:szCs w:val="22"/>
                <w:color w:val="auto"/>
              </w:rPr>
            </w:pPr>
          </w:p>
        </w:tc>
        <w:tc>
          <w:tcPr>
            <w:tcW w:w="240" w:type="dxa"/>
            <w:vAlign w:val="bottom"/>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2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increased $2.7 million or 19%, for the three months ended June 30, 2019 as compared to the three months ended June 30,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primarily due to an increase of $2.9 million as a result of growth in domestic case volumes. U.S. case volumes increased from higher sales force productivity, higher numbers of sales personnel, and more active surgeons due to improving U.S. reimbursement coverage. The increase was partially offset by a decrease of $0.2 million in our international sales.</w:t>
      </w:r>
    </w:p>
    <w:p>
      <w:pPr>
        <w:spacing w:after="0" w:line="187"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i w:val="1"/>
          <w:iCs w:val="1"/>
          <w:color w:val="auto"/>
        </w:rPr>
        <w:t xml:space="preserve">Cost of Goods Sold, Gross Profit, and Gross Margin. </w:t>
      </w:r>
      <w:r>
        <w:rPr>
          <w:rFonts w:ascii="Arial" w:cs="Arial" w:eastAsia="Arial" w:hAnsi="Arial"/>
          <w:sz w:val="16"/>
          <w:szCs w:val="16"/>
          <w:color w:val="auto"/>
        </w:rPr>
        <w:t>Total cost of goods sold increased $0.4 million, or 34%, for the three months ended June 30, 2019</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the three months ended June 30, 2018. The increase in cost of goods sold was primarily due to higher sales volume and implant costs. Higher net revenue resulted in increased gross profit of $2.2 million, or 18%. Gross margin decreased to 90.3% for the three months ended June 30, 2019 as compared to 91.3% for the three months ended June 30, 2018 due to an increase in personnel in operations to support the growth of the business.</w:t>
      </w:r>
    </w:p>
    <w:p>
      <w:pPr>
        <w:spacing w:after="0" w:line="195"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4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60"/>
        </w:trPr>
        <w:tc>
          <w:tcPr>
            <w:tcW w:w="1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6"/>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 Change</w:t>
            </w: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 Change</w:t>
            </w:r>
          </w:p>
        </w:tc>
      </w:tr>
      <w:tr>
        <w:trPr>
          <w:trHeight w:val="27"/>
        </w:trPr>
        <w:tc>
          <w:tcPr>
            <w:tcW w:w="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8"/>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60" w:type="dxa"/>
            <w:vAlign w:val="bottom"/>
            <w:gridSpan w:val="8"/>
          </w:tcPr>
          <w:p>
            <w:pPr>
              <w:ind w:left="40"/>
              <w:spacing w:after="0"/>
              <w:rPr>
                <w:sz w:val="20"/>
                <w:szCs w:val="20"/>
                <w:color w:val="auto"/>
              </w:rPr>
            </w:pPr>
            <w:r>
              <w:rPr>
                <w:rFonts w:ascii="Arial" w:cs="Arial" w:eastAsia="Arial" w:hAnsi="Arial"/>
                <w:sz w:val="18"/>
                <w:szCs w:val="18"/>
                <w:b w:val="1"/>
                <w:bCs w:val="1"/>
                <w:color w:val="auto"/>
                <w:w w:val="90"/>
              </w:rPr>
              <w:t>(in thousands, except for percentages)</w:t>
            </w:r>
          </w:p>
        </w:tc>
        <w:tc>
          <w:tcPr>
            <w:tcW w:w="1160" w:type="dxa"/>
            <w:vAlign w:val="bottom"/>
          </w:tcPr>
          <w:p>
            <w:pPr>
              <w:spacing w:after="0"/>
              <w:rPr>
                <w:sz w:val="20"/>
                <w:szCs w:val="20"/>
                <w:color w:val="auto"/>
              </w:rPr>
            </w:pPr>
          </w:p>
        </w:tc>
      </w:tr>
      <w:tr>
        <w:trPr>
          <w:trHeight w:val="27"/>
        </w:trPr>
        <w:tc>
          <w:tcPr>
            <w:tcW w:w="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16,727</w:t>
            </w:r>
          </w:p>
        </w:tc>
        <w:tc>
          <w:tcPr>
            <w:tcW w:w="5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6,409</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4"/>
              </w:rPr>
              <w:t>62%</w:t>
            </w:r>
          </w:p>
        </w:tc>
      </w:tr>
      <w:tr>
        <w:trPr>
          <w:trHeight w:val="243"/>
        </w:trPr>
        <w:tc>
          <w:tcPr>
            <w:tcW w:w="14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180" w:type="dxa"/>
            <w:vAlign w:val="bottom"/>
          </w:tcPr>
          <w:p>
            <w:pPr>
              <w:spacing w:after="0"/>
              <w:rPr>
                <w:sz w:val="21"/>
                <w:szCs w:val="21"/>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94"/>
              </w:rPr>
              <w:t>50%</w:t>
            </w:r>
          </w:p>
        </w:tc>
      </w:tr>
      <w:tr>
        <w:trPr>
          <w:trHeight w:val="27"/>
        </w:trPr>
        <w:tc>
          <w:tcPr>
            <w:tcW w:w="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4"/>
              </w:rPr>
              <w:t>64%</w:t>
            </w:r>
          </w:p>
        </w:tc>
      </w:tr>
      <w:tr>
        <w:trPr>
          <w:trHeight w:val="257"/>
        </w:trPr>
        <w:tc>
          <w:tcPr>
            <w:tcW w:w="14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22,867</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14,178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8,689</w:t>
            </w:r>
          </w:p>
        </w:tc>
        <w:tc>
          <w:tcPr>
            <w:tcW w:w="180" w:type="dxa"/>
            <w:vAlign w:val="bottom"/>
          </w:tcPr>
          <w:p>
            <w:pPr>
              <w:spacing w:after="0"/>
              <w:rPr>
                <w:sz w:val="22"/>
                <w:szCs w:val="22"/>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94"/>
              </w:rPr>
              <w:t>61%</w:t>
            </w:r>
          </w:p>
        </w:tc>
      </w:tr>
      <w:tr>
        <w:trPr>
          <w:trHeight w:val="20"/>
        </w:trPr>
        <w:tc>
          <w:tcPr>
            <w:tcW w:w="1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increased $6.4 million, or 62%, for the three months ended June 30, 2019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June 30, 2018. The increase was primarily due to an increase of $2.1 million in salaries and other employee related costs, $0.8 million in travel expense, $0.5 million in facilities and other related expenses as a result of an increase in headcount to further expand our sales and marketing department; $1.2 million in commissions from increased sales, $0.8 million in stock-based compensation expense from the increase in headcount and issuance of stock grants with higher market value, and $1.0 million in training, advertising and marketing costs from continued commercialization of our current and future products and continued investment in our global sales organization.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0" w:right="239" w:bottom="1440" w:gutter="0" w:footer="0" w:header="0"/>
        </w:sectPr>
      </w:pPr>
    </w:p>
    <w:bookmarkStart w:id="26" w:name="page27"/>
    <w:bookmarkEnd w:id="26"/>
    <w:p>
      <w:pPr>
        <w:jc w:val="both"/>
        <w:ind w:firstLine="446"/>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increased $0.7 million, or 50%, for the three months ended June 30, 2019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June 30, 2018. The increase was primarily due to an increase of $0.3 million in salaries and other employee related costs, $0.1 million in stock-based compensation expense, and $0.3 million in facilities and other related expenses from increased research and development activities as well as higher headcount.</w:t>
      </w:r>
    </w:p>
    <w:p>
      <w:pPr>
        <w:spacing w:after="0" w:line="187"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increased $1.6 million, or 64%, for the three months ended June 30, 2019</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the three months ended June 30, 2018. The increase was primarily due to an increase of $0.4 million in salaries and employee related costs from an increase in headcount, $0.5 million in stock-based compensation expense from the increase in headcount and issuance of stock grants with higher market value, $0.5 million in consulting and professional services from additional regulatory and other compliance services required for a public company, and $0.2 million in facilities and other related expenses from expansion of our general and administrative department.</w:t>
      </w:r>
    </w:p>
    <w:p>
      <w:pPr>
        <w:spacing w:after="0" w:line="28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5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Interest and Other Income (Expense), Net</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60"/>
        </w:trPr>
        <w:tc>
          <w:tcPr>
            <w:tcW w:w="1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1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 Change</w:t>
            </w:r>
          </w:p>
        </w:tc>
        <w:tc>
          <w:tcPr>
            <w:tcW w:w="1160" w:type="dxa"/>
            <w:vAlign w:val="bottom"/>
          </w:tcPr>
          <w:p>
            <w:pPr>
              <w:ind w:left="80"/>
              <w:spacing w:after="0"/>
              <w:rPr>
                <w:sz w:val="20"/>
                <w:szCs w:val="20"/>
                <w:color w:val="auto"/>
              </w:rPr>
            </w:pPr>
            <w:r>
              <w:rPr>
                <w:rFonts w:ascii="Arial" w:cs="Arial" w:eastAsia="Arial" w:hAnsi="Arial"/>
                <w:sz w:val="18"/>
                <w:szCs w:val="18"/>
                <w:b w:val="1"/>
                <w:bCs w:val="1"/>
                <w:color w:val="auto"/>
              </w:rPr>
              <w:t>% Change</w:t>
            </w:r>
          </w:p>
        </w:tc>
      </w:tr>
      <w:tr>
        <w:trPr>
          <w:trHeight w:val="27"/>
        </w:trPr>
        <w:tc>
          <w:tcPr>
            <w:tcW w:w="1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8"/>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00" w:type="dxa"/>
            <w:vAlign w:val="bottom"/>
            <w:gridSpan w:val="8"/>
          </w:tcPr>
          <w:p>
            <w:pPr>
              <w:ind w:left="960"/>
              <w:spacing w:after="0"/>
              <w:rPr>
                <w:sz w:val="20"/>
                <w:szCs w:val="20"/>
                <w:color w:val="auto"/>
              </w:rPr>
            </w:pPr>
            <w:r>
              <w:rPr>
                <w:rFonts w:ascii="Arial" w:cs="Arial" w:eastAsia="Arial" w:hAnsi="Arial"/>
                <w:sz w:val="18"/>
                <w:szCs w:val="18"/>
                <w:b w:val="1"/>
                <w:bCs w:val="1"/>
                <w:color w:val="auto"/>
                <w:w w:val="89"/>
              </w:rPr>
              <w:t>(in thousands except for percentages)</w:t>
            </w:r>
          </w:p>
        </w:tc>
        <w:tc>
          <w:tcPr>
            <w:tcW w:w="1160" w:type="dxa"/>
            <w:vAlign w:val="bottom"/>
          </w:tcPr>
          <w:p>
            <w:pPr>
              <w:spacing w:after="0"/>
              <w:rPr>
                <w:sz w:val="20"/>
                <w:szCs w:val="20"/>
                <w:color w:val="auto"/>
              </w:rPr>
            </w:pPr>
          </w:p>
        </w:tc>
      </w:tr>
      <w:tr>
        <w:trPr>
          <w:trHeight w:val="27"/>
        </w:trPr>
        <w:tc>
          <w:tcPr>
            <w:tcW w:w="1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1"/>
              </w:rPr>
              <w:t>922%</w:t>
            </w:r>
          </w:p>
        </w:tc>
      </w:tr>
      <w:tr>
        <w:trPr>
          <w:trHeight w:val="243"/>
        </w:trPr>
        <w:tc>
          <w:tcPr>
            <w:tcW w:w="14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1"/>
                <w:szCs w:val="21"/>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94"/>
              </w:rPr>
              <w:t>(3)%</w:t>
            </w:r>
          </w:p>
        </w:tc>
      </w:tr>
      <w:tr>
        <w:trPr>
          <w:trHeight w:val="27"/>
        </w:trPr>
        <w:tc>
          <w:tcPr>
            <w:tcW w:w="1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(109)%</w:t>
            </w:r>
          </w:p>
        </w:tc>
      </w:tr>
      <w:tr>
        <w:trPr>
          <w:trHeight w:val="257"/>
        </w:trPr>
        <w:tc>
          <w:tcPr>
            <w:tcW w:w="14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Total interest and other expense,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934</w:t>
            </w:r>
          </w:p>
        </w:tc>
        <w:tc>
          <w:tcPr>
            <w:tcW w:w="280" w:type="dxa"/>
            <w:vAlign w:val="bottom"/>
          </w:tcPr>
          <w:p>
            <w:pPr>
              <w:spacing w:after="0"/>
              <w:rPr>
                <w:sz w:val="22"/>
                <w:szCs w:val="22"/>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91"/>
              </w:rPr>
              <w:t>(64)%</w:t>
            </w:r>
          </w:p>
        </w:tc>
      </w:tr>
      <w:tr>
        <w:trPr>
          <w:trHeight w:val="20"/>
        </w:trPr>
        <w:tc>
          <w:tcPr>
            <w:tcW w:w="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$0.6 million for the three months ended June 30, 2019 as compared to the three months ended June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an increase from investments of excess cash in marketable securities.</w:t>
      </w:r>
    </w:p>
    <w:p>
      <w:pPr>
        <w:spacing w:after="0" w:line="170"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remained relatively unchanged for the three months ended June 30, 2019 as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w:t>
      </w:r>
    </w:p>
    <w:p>
      <w:pPr>
        <w:spacing w:after="0" w:line="170" w:lineRule="exact"/>
        <w:rPr>
          <w:sz w:val="20"/>
          <w:szCs w:val="20"/>
          <w:color w:val="auto"/>
        </w:rPr>
      </w:pPr>
    </w:p>
    <w:p>
      <w:pPr>
        <w:jc w:val="both"/>
        <w:ind w:right="20" w:firstLine="446"/>
        <w:spacing w:after="0" w:line="312"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income, net increased $0.3 million for the three months ended June 30, 2019 as compared to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2018 . The other income for the three months ended June 30, 2019 consisted of net foreign exchange gains. The other expense for the three months ended June 30, 2018 consisted of a change in fair value of preferred stock warrant liability of $0.2 million and net foreign exchange losses.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Six Months Ended June 30, 2019 and 2018</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5360" w:type="dxa"/>
            <w:vAlign w:val="bottom"/>
            <w:gridSpan w:val="2"/>
          </w:tcPr>
          <w:p>
            <w:pPr>
              <w:ind w:left="440"/>
              <w:spacing w:after="0"/>
              <w:rPr>
                <w:sz w:val="20"/>
                <w:szCs w:val="20"/>
                <w:color w:val="auto"/>
              </w:rPr>
            </w:pPr>
            <w:r>
              <w:rPr>
                <w:rFonts w:ascii="Arial" w:cs="Arial" w:eastAsia="Arial" w:hAnsi="Arial"/>
                <w:sz w:val="18"/>
                <w:szCs w:val="18"/>
                <w:b w:val="1"/>
                <w:bCs w:val="1"/>
                <w:i w:val="1"/>
                <w:iCs w:val="1"/>
                <w:color w:val="auto"/>
                <w:w w:val="92"/>
              </w:rPr>
              <w:t>Revenue, Cost of Goods Sold, Gross Profit, and Gross Margin</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6"/>
          </w:tcPr>
          <w:p>
            <w:pPr>
              <w:ind w:left="160"/>
              <w:spacing w:after="0"/>
              <w:rPr>
                <w:sz w:val="20"/>
                <w:szCs w:val="20"/>
                <w:color w:val="auto"/>
              </w:rPr>
            </w:pPr>
            <w:r>
              <w:rPr>
                <w:rFonts w:ascii="Arial" w:cs="Arial" w:eastAsia="Arial" w:hAnsi="Arial"/>
                <w:sz w:val="18"/>
                <w:szCs w:val="18"/>
                <w:b w:val="1"/>
                <w:bCs w:val="1"/>
                <w:color w:val="auto"/>
              </w:rPr>
              <w:t>Six Months Ended June 30,</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5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w:t>
            </w: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 Change</w:t>
            </w:r>
          </w:p>
        </w:tc>
      </w:tr>
      <w:tr>
        <w:trPr>
          <w:trHeight w:val="27"/>
        </w:trPr>
        <w:tc>
          <w:tcPr>
            <w:tcW w:w="5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8"/>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60" w:type="dxa"/>
            <w:vAlign w:val="bottom"/>
            <w:gridSpan w:val="8"/>
          </w:tcPr>
          <w:p>
            <w:pPr>
              <w:ind w:left="40"/>
              <w:spacing w:after="0"/>
              <w:rPr>
                <w:sz w:val="20"/>
                <w:szCs w:val="20"/>
                <w:color w:val="auto"/>
              </w:rPr>
            </w:pPr>
            <w:r>
              <w:rPr>
                <w:rFonts w:ascii="Arial" w:cs="Arial" w:eastAsia="Arial" w:hAnsi="Arial"/>
                <w:sz w:val="18"/>
                <w:szCs w:val="18"/>
                <w:b w:val="1"/>
                <w:bCs w:val="1"/>
                <w:color w:val="auto"/>
                <w:w w:val="90"/>
              </w:rPr>
              <w:t>(in thousands, except for percentages)</w:t>
            </w:r>
          </w:p>
        </w:tc>
        <w:tc>
          <w:tcPr>
            <w:tcW w:w="1180" w:type="dxa"/>
            <w:vAlign w:val="bottom"/>
          </w:tcPr>
          <w:p>
            <w:pPr>
              <w:spacing w:after="0"/>
              <w:rPr>
                <w:sz w:val="20"/>
                <w:szCs w:val="20"/>
                <w:color w:val="auto"/>
              </w:rPr>
            </w:pPr>
          </w:p>
        </w:tc>
      </w:tr>
      <w:tr>
        <w:trPr>
          <w:trHeight w:val="27"/>
        </w:trPr>
        <w:tc>
          <w:tcPr>
            <w:tcW w:w="5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31,308</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4,933</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4"/>
              </w:rPr>
              <w:t>19%</w:t>
            </w:r>
          </w:p>
        </w:tc>
      </w:tr>
      <w:tr>
        <w:trPr>
          <w:trHeight w:val="243"/>
        </w:trPr>
        <w:tc>
          <w:tcPr>
            <w:tcW w:w="58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884</w:t>
            </w:r>
          </w:p>
        </w:tc>
        <w:tc>
          <w:tcPr>
            <w:tcW w:w="240" w:type="dxa"/>
            <w:vAlign w:val="bottom"/>
          </w:tcPr>
          <w:p>
            <w:pPr>
              <w:spacing w:after="0"/>
              <w:rPr>
                <w:sz w:val="21"/>
                <w:szCs w:val="21"/>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4"/>
              </w:rPr>
              <w:t>40%</w:t>
            </w:r>
          </w:p>
        </w:tc>
      </w:tr>
      <w:tr>
        <w:trPr>
          <w:trHeight w:val="27"/>
        </w:trPr>
        <w:tc>
          <w:tcPr>
            <w:tcW w:w="58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57"/>
        </w:trPr>
        <w:tc>
          <w:tcPr>
            <w:tcW w:w="580" w:type="dxa"/>
            <w:vAlign w:val="bottom"/>
          </w:tcPr>
          <w:p>
            <w:pPr>
              <w:spacing w:after="0"/>
              <w:rPr>
                <w:sz w:val="22"/>
                <w:szCs w:val="22"/>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28,194</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24,145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4,049</w:t>
            </w: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4"/>
              </w:rPr>
              <w:t>17%</w:t>
            </w:r>
          </w:p>
        </w:tc>
      </w:tr>
      <w:tr>
        <w:trPr>
          <w:trHeight w:val="20"/>
        </w:trPr>
        <w:tc>
          <w:tcPr>
            <w:tcW w:w="58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230"/>
        </w:trPr>
        <w:tc>
          <w:tcPr>
            <w:tcW w:w="58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29"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increased $4.9 million or 19%, for the six months ended June 30, 2019 as compared to the six months ended June 30,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primarily due to an increase of $5.0 million as a result of growth in domestic case volumes. U.S. case volumes increased from higher sales force productivity, higher numbers of sales personnel, and more active surgeons due to improving U.S. reimbursement coverage. The increase was partially offset by a decrease of $0.1 million in our international sales.</w:t>
      </w:r>
    </w:p>
    <w:p>
      <w:pPr>
        <w:spacing w:after="0" w:line="187"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i w:val="1"/>
          <w:iCs w:val="1"/>
          <w:color w:val="auto"/>
        </w:rPr>
        <w:t xml:space="preserve">Cost of Goods Sold, Gross Profit, and Gross Margin. </w:t>
      </w:r>
      <w:r>
        <w:rPr>
          <w:rFonts w:ascii="Arial" w:cs="Arial" w:eastAsia="Arial" w:hAnsi="Arial"/>
          <w:sz w:val="16"/>
          <w:szCs w:val="16"/>
          <w:color w:val="auto"/>
        </w:rPr>
        <w:t>Total cost of goods sold increased $0.9 million, or 40%, for the six months ended June 30, 2019</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the six months ended June 30, 2018. The increase in cost of goods sold was primarily due to higher sales volume and implant costs. Higher net revenue resulted in increased gross profit of $4.0 million, or 17%. Gross margin decreased to 90.1% for the six months ended June 30, 2019 as compared to 91.5% for the six months ended June 30, 2018 due to an increase in personnel in operations to support the growth of the business.</w:t>
      </w:r>
    </w:p>
    <w:p>
      <w:pPr>
        <w:sectPr>
          <w:pgSz w:w="11900" w:h="16838" w:orient="portrait"/>
          <w:cols w:equalWidth="0" w:num="1">
            <w:col w:w="11420"/>
          </w:cols>
          <w:pgMar w:left="240" w:top="800"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800" w:right="239" w:bottom="1440" w:gutter="0" w:footer="0" w:header="0"/>
          <w:type w:val="continuous"/>
        </w:sectPr>
      </w:pPr>
    </w:p>
    <w:bookmarkStart w:id="27" w:name="page28"/>
    <w:bookmarkEnd w:id="27"/>
    <w:tbl>
      <w:tblPr>
        <w:tblLayout w:type="fixed"/>
        <w:tblInd w:w="440" w:type="dxa"/>
        <w:tblCellMar>
          <w:top w:w="0" w:type="dxa"/>
          <w:left w:w="0" w:type="dxa"/>
          <w:bottom w:w="0" w:type="dxa"/>
          <w:right w:w="0" w:type="dxa"/>
        </w:tblCellMar>
      </w:tblPr>
      <w:tr>
        <w:trPr>
          <w:trHeight w:val="230"/>
        </w:trPr>
        <w:tc>
          <w:tcPr>
            <w:tcW w:w="4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1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6"/>
          </w:tcPr>
          <w:p>
            <w:pPr>
              <w:ind w:left="100"/>
              <w:spacing w:after="0"/>
              <w:rPr>
                <w:sz w:val="20"/>
                <w:szCs w:val="20"/>
                <w:color w:val="auto"/>
              </w:rPr>
            </w:pPr>
            <w:r>
              <w:rPr>
                <w:rFonts w:ascii="Arial" w:cs="Arial" w:eastAsia="Arial" w:hAnsi="Arial"/>
                <w:sz w:val="18"/>
                <w:szCs w:val="18"/>
                <w:b w:val="1"/>
                <w:bCs w:val="1"/>
                <w:color w:val="auto"/>
              </w:rPr>
              <w:t>Six Months Ended June 30,</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
        </w:trPr>
        <w:tc>
          <w:tcPr>
            <w:tcW w:w="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 Change</w:t>
            </w: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 Change</w:t>
            </w:r>
          </w:p>
        </w:tc>
      </w:tr>
      <w:tr>
        <w:trPr>
          <w:trHeight w:val="27"/>
        </w:trPr>
        <w:tc>
          <w:tcPr>
            <w:tcW w:w="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8"/>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60" w:type="dxa"/>
            <w:vAlign w:val="bottom"/>
            <w:gridSpan w:val="8"/>
          </w:tcPr>
          <w:p>
            <w:pPr>
              <w:ind w:left="40"/>
              <w:spacing w:after="0"/>
              <w:rPr>
                <w:sz w:val="20"/>
                <w:szCs w:val="20"/>
                <w:color w:val="auto"/>
              </w:rPr>
            </w:pPr>
            <w:r>
              <w:rPr>
                <w:rFonts w:ascii="Arial" w:cs="Arial" w:eastAsia="Arial" w:hAnsi="Arial"/>
                <w:sz w:val="18"/>
                <w:szCs w:val="18"/>
                <w:b w:val="1"/>
                <w:bCs w:val="1"/>
                <w:color w:val="auto"/>
                <w:w w:val="90"/>
              </w:rPr>
              <w:t>(in thousands, except for percentages)</w:t>
            </w:r>
          </w:p>
        </w:tc>
        <w:tc>
          <w:tcPr>
            <w:tcW w:w="1160" w:type="dxa"/>
            <w:vAlign w:val="bottom"/>
          </w:tcPr>
          <w:p>
            <w:pPr>
              <w:spacing w:after="0"/>
              <w:rPr>
                <w:sz w:val="20"/>
                <w:szCs w:val="20"/>
                <w:color w:val="auto"/>
              </w:rPr>
            </w:pPr>
          </w:p>
        </w:tc>
      </w:tr>
      <w:tr>
        <w:trPr>
          <w:trHeight w:val="27"/>
        </w:trPr>
        <w:tc>
          <w:tcPr>
            <w:tcW w:w="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32,542</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11,257</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4"/>
              </w:rPr>
              <w:t>53%</w:t>
            </w:r>
          </w:p>
        </w:tc>
      </w:tr>
      <w:tr>
        <w:trPr>
          <w:trHeight w:val="243"/>
        </w:trPr>
        <w:tc>
          <w:tcPr>
            <w:tcW w:w="14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1,127</w:t>
            </w:r>
          </w:p>
        </w:tc>
        <w:tc>
          <w:tcPr>
            <w:tcW w:w="180" w:type="dxa"/>
            <w:vAlign w:val="bottom"/>
          </w:tcPr>
          <w:p>
            <w:pPr>
              <w:spacing w:after="0"/>
              <w:rPr>
                <w:sz w:val="21"/>
                <w:szCs w:val="21"/>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94"/>
              </w:rPr>
              <w:t>45%</w:t>
            </w:r>
          </w:p>
        </w:tc>
      </w:tr>
      <w:tr>
        <w:trPr>
          <w:trHeight w:val="27"/>
        </w:trPr>
        <w:tc>
          <w:tcPr>
            <w:tcW w:w="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3,988</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4"/>
              </w:rPr>
              <w:t>80%</w:t>
            </w:r>
          </w:p>
        </w:tc>
      </w:tr>
      <w:tr>
        <w:trPr>
          <w:trHeight w:val="257"/>
        </w:trPr>
        <w:tc>
          <w:tcPr>
            <w:tcW w:w="14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45,131</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28,759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16,372</w:t>
            </w:r>
          </w:p>
        </w:tc>
        <w:tc>
          <w:tcPr>
            <w:tcW w:w="180" w:type="dxa"/>
            <w:vAlign w:val="bottom"/>
          </w:tcPr>
          <w:p>
            <w:pPr>
              <w:spacing w:after="0"/>
              <w:rPr>
                <w:sz w:val="22"/>
                <w:szCs w:val="22"/>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94"/>
              </w:rPr>
              <w:t>57%</w:t>
            </w:r>
          </w:p>
        </w:tc>
      </w:tr>
      <w:tr>
        <w:trPr>
          <w:trHeight w:val="20"/>
        </w:trPr>
        <w:tc>
          <w:tcPr>
            <w:tcW w:w="1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increased $11.3 million, or 53%, for the six months ended June 30, 2019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2018. The increase was primarily due to an increase of $3.9 million in salaries and other employee related costs, $1.3 million in travel expense, $0.9 million in facilities and other related expenses as a result of an increase in headcount to further expand our sales and marketing department, $1.9 million in commissions due to increased sales, $1.4 million in stock-based compensation expense due to increase in headcount and issuance of stock grants with higher market value, and $1.9 million in training, advertising and marketing costs due to continued commercialization of our current and future products and continued investment in our global sales organization.</w:t>
      </w:r>
    </w:p>
    <w:p>
      <w:pPr>
        <w:spacing w:after="0" w:line="178"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increased $1.1 million, or 45%, for the six months ended June 30, 2019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six months ended June 30, 2018. The increase was primarily due to an increase of $0.5 million in salaries and other employee related costs, $0.2 million in stock-based compensation expense, and $0.4 million in facilities and other related expenses from increased research and development activities as well as higher headcount.</w:t>
      </w:r>
    </w:p>
    <w:p>
      <w:pPr>
        <w:spacing w:after="0" w:line="187"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increased $4.0 million, or 80%, for the six months ended June 30, 2019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six months ended June 30, 2018. The increase was primarily due to an increase of $0.7 million in salaries and employee related costs due to increases in headcount, $1.3 million in stock-based compensation from an increase in headcount and issuance of stock grants with higher market value, $1.2 million in consulting and professional services due to additional regulatory and other compliance services required for a public company, and $0.8 million in facilities and other expenses due to expansion of our general and administrative department.</w:t>
      </w:r>
    </w:p>
    <w:p>
      <w:pPr>
        <w:spacing w:after="0" w:line="28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5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Interest and Other Income (Expense), Net</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1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 June 30,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
        </w:trPr>
        <w:tc>
          <w:tcPr>
            <w:tcW w:w="1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 Change</w:t>
            </w:r>
          </w:p>
        </w:tc>
        <w:tc>
          <w:tcPr>
            <w:tcW w:w="1160" w:type="dxa"/>
            <w:vAlign w:val="bottom"/>
          </w:tcPr>
          <w:p>
            <w:pPr>
              <w:ind w:left="80"/>
              <w:spacing w:after="0"/>
              <w:rPr>
                <w:sz w:val="20"/>
                <w:szCs w:val="20"/>
                <w:color w:val="auto"/>
              </w:rPr>
            </w:pPr>
            <w:r>
              <w:rPr>
                <w:rFonts w:ascii="Arial" w:cs="Arial" w:eastAsia="Arial" w:hAnsi="Arial"/>
                <w:sz w:val="18"/>
                <w:szCs w:val="18"/>
                <w:b w:val="1"/>
                <w:bCs w:val="1"/>
                <w:color w:val="auto"/>
              </w:rPr>
              <w:t>% Change</w:t>
            </w:r>
          </w:p>
        </w:tc>
      </w:tr>
      <w:tr>
        <w:trPr>
          <w:trHeight w:val="27"/>
        </w:trPr>
        <w:tc>
          <w:tcPr>
            <w:tcW w:w="1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gridSpan w:val="8"/>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60" w:type="dxa"/>
            <w:vAlign w:val="bottom"/>
            <w:gridSpan w:val="8"/>
          </w:tcPr>
          <w:p>
            <w:pPr>
              <w:ind w:left="1020"/>
              <w:spacing w:after="0"/>
              <w:rPr>
                <w:sz w:val="20"/>
                <w:szCs w:val="20"/>
                <w:color w:val="auto"/>
              </w:rPr>
            </w:pPr>
            <w:r>
              <w:rPr>
                <w:rFonts w:ascii="Arial" w:cs="Arial" w:eastAsia="Arial" w:hAnsi="Arial"/>
                <w:sz w:val="18"/>
                <w:szCs w:val="18"/>
                <w:b w:val="1"/>
                <w:bCs w:val="1"/>
                <w:color w:val="auto"/>
                <w:w w:val="89"/>
              </w:rPr>
              <w:t>(in thousands except for percentages)</w:t>
            </w:r>
          </w:p>
        </w:tc>
        <w:tc>
          <w:tcPr>
            <w:tcW w:w="1160" w:type="dxa"/>
            <w:vAlign w:val="bottom"/>
          </w:tcPr>
          <w:p>
            <w:pPr>
              <w:spacing w:after="0"/>
              <w:rPr>
                <w:sz w:val="20"/>
                <w:szCs w:val="20"/>
                <w:color w:val="auto"/>
              </w:rPr>
            </w:pPr>
          </w:p>
        </w:tc>
      </w:tr>
      <w:tr>
        <w:trPr>
          <w:trHeight w:val="27"/>
        </w:trPr>
        <w:tc>
          <w:tcPr>
            <w:tcW w:w="1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2"/>
              </w:rPr>
              <w:t>1007%</w:t>
            </w:r>
          </w:p>
        </w:tc>
      </w:tr>
      <w:tr>
        <w:trPr>
          <w:trHeight w:val="243"/>
        </w:trPr>
        <w:tc>
          <w:tcPr>
            <w:tcW w:w="14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21"/>
                <w:szCs w:val="21"/>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94"/>
              </w:rPr>
              <w:t>(3)%</w:t>
            </w:r>
          </w:p>
        </w:tc>
      </w:tr>
      <w:tr>
        <w:trPr>
          <w:trHeight w:val="27"/>
        </w:trPr>
        <w:tc>
          <w:tcPr>
            <w:tcW w:w="1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1"/>
              </w:rPr>
              <w:t>(88)%</w:t>
            </w:r>
          </w:p>
        </w:tc>
      </w:tr>
      <w:tr>
        <w:trPr>
          <w:trHeight w:val="257"/>
        </w:trPr>
        <w:tc>
          <w:tcPr>
            <w:tcW w:w="14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Total interest and other expense,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1,672</w:t>
            </w:r>
          </w:p>
        </w:tc>
        <w:tc>
          <w:tcPr>
            <w:tcW w:w="280" w:type="dxa"/>
            <w:vAlign w:val="bottom"/>
          </w:tcPr>
          <w:p>
            <w:pPr>
              <w:spacing w:after="0"/>
              <w:rPr>
                <w:sz w:val="22"/>
                <w:szCs w:val="22"/>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91"/>
              </w:rPr>
              <w:t>(61)%</w:t>
            </w:r>
          </w:p>
        </w:tc>
      </w:tr>
      <w:tr>
        <w:trPr>
          <w:trHeight w:val="20"/>
        </w:trPr>
        <w:tc>
          <w:tcPr>
            <w:tcW w:w="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$1.3 million for the six months ended June 30, 2019 as compared to the six months ended June 30, 2018, due</w:t>
      </w:r>
      <w:r>
        <w:rPr>
          <w:rFonts w:ascii="Arial" w:cs="Arial" w:eastAsia="Arial" w:hAnsi="Arial"/>
          <w:sz w:val="18"/>
          <w:szCs w:val="18"/>
          <w:i w:val="1"/>
          <w:iCs w:val="1"/>
          <w:color w:val="auto"/>
        </w:rPr>
        <w:t xml:space="preserve"> </w:t>
      </w:r>
      <w:r>
        <w:rPr>
          <w:rFonts w:ascii="Arial" w:cs="Arial" w:eastAsia="Arial" w:hAnsi="Arial"/>
          <w:sz w:val="18"/>
          <w:szCs w:val="18"/>
          <w:color w:val="auto"/>
        </w:rPr>
        <w:t>to an increase from investments of excess cash in marketable securities.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remained relatively unchanged for the six months ended June 30, 2019 as compared to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ind w:firstLine="446"/>
        <w:spacing w:after="0" w:line="342" w:lineRule="auto"/>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Other expense, net, decreased by $0.3 million for the six months ended June 30, 2019 as compared to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2018, primarily due to the change in fair value of preferred stock warrant liability of $0.2 million recognized in the six months ended June 30, 2018.</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4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As of June 30, 2019, we had cash and cash equivalents of $11.5 million and short-term and long-term investments of $97.0 million, compared to cash and cash equivalents of $25.1 million and short-term investments of $97.1 million as of December 31, 2018. We had no long-term investments as of December 31, 2018. We have financed our operations through our initial public offering, debt financing arrangements, and the sale of our products. As of June 30, 2019 and December 31, 2018, we had $39.1 million and $39.0 million principal amount of outstanding debt, net of debt discounts, respectively.</w:t>
      </w:r>
    </w:p>
    <w:p>
      <w:pPr>
        <w:spacing w:after="0" w:line="154"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As of June 30, 2019, we had an accumulated deficit of $175.2 million. During the six months ended June 30, 2019, we incurred a net loss of $18.0 million. During the years ended December 31, 2018 and 2017, we incurred a net loss of $17.5 million and $23.0 million, respectively, and expect to incur additional losses in the future. We have not achieved positive cash flow from operations to date. The debt covenants associated with our current debt agreement require us to maintain a minimum cash balance and meet either minimum net sales or trailing 12-month consolidated EBITDA targets as discussed in detail below. If we do not comply with these covenants, the debt could immediately become due.</w:t>
      </w:r>
    </w:p>
    <w:p>
      <w:pPr>
        <w:spacing w:after="0" w:line="173"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Based upon our current operating plan, we believe that our existing cash, cash equivalents and short-term and long-term investments will enable us to fund our operating expenses and capital expenditure requirements through at least the next 12 months. We continue to face challenges and uncertainties and, as a result, our available capital resources may be consumed more rapidly than currently expected due to: (a) 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178"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color w:val="auto"/>
        </w:rPr>
        <w:t>If we need to raise additional capital to fund our operations, funding may not be available to us on acceptable terms, or at all. If we are unable to obtain adequate financing when needed, we may have to delay, reduce the scope of or suspend one or more of our sales and marketing efforts, research and development activities, or other operations. We may seek to raise any necessary additional capital through a combination of public or private equity offerings, debt financings, and collaborations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raise capital, we will need to delay, reduce, or terminate planned activities to reduce costs. Doing so will likely harm our ability to execute our business plans.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outstanding debt is related to a term loan we entered with Biopharma Credit Investments IV Sub LP, or Pharmakon, in October 2017 for total loan proceeds of $40.0 million. The term loan includes an interest-only period for 35 months through September 2020 and is then repaid in equal principal payments plus interest through December 2022. The term loan carries a fixed interest rate of 11.5% and a closing fee of 1.5% of the funded amount, or $0.6 million. The term loan includes a pre-payment fee of the remaining interest payable for the first 30 months of the agreement if it is prepaid within the first 30 months, a 2% prepayment penalty for months 31-48, and a 1% penalty for months 49-60. The term loan requires us to maintain a minimum cash balance of $5.0 million.</w:t>
      </w:r>
    </w:p>
    <w:p>
      <w:pPr>
        <w:spacing w:after="0" w:line="193"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Beginning this year, we are required to meet either minimum net sales or trailing 12-month consolidated EBITDA targets. We need to meet one or the other, but not both. If we do not meet either the minimum net sales or trailing 12-month consolidated EBITDA targets, the debt will immediately become due. The minimum net sales and trailing 12-month consolidated EBITDA targets are as follows (in thousands):</w:t>
      </w:r>
    </w:p>
    <w:p>
      <w:pPr>
        <w:spacing w:after="0" w:line="200" w:lineRule="exact"/>
        <w:rPr>
          <w:sz w:val="20"/>
          <w:szCs w:val="20"/>
          <w:color w:val="auto"/>
        </w:rPr>
      </w:pPr>
    </w:p>
    <w:p>
      <w:pPr>
        <w:spacing w:after="0" w:line="355"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Trailing 12-Month</w:t>
            </w:r>
          </w:p>
        </w:tc>
      </w:tr>
      <w:tr>
        <w:trPr>
          <w:trHeight w:val="216"/>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2760" w:type="dxa"/>
            <w:vAlign w:val="bottom"/>
            <w:gridSpan w:val="2"/>
          </w:tcPr>
          <w:p>
            <w:pPr>
              <w:ind w:left="380"/>
              <w:spacing w:after="0"/>
              <w:rPr>
                <w:sz w:val="20"/>
                <w:szCs w:val="20"/>
                <w:color w:val="auto"/>
              </w:rPr>
            </w:pPr>
            <w:r>
              <w:rPr>
                <w:rFonts w:ascii="Arial" w:cs="Arial" w:eastAsia="Arial" w:hAnsi="Arial"/>
                <w:sz w:val="18"/>
                <w:szCs w:val="18"/>
                <w:b w:val="1"/>
                <w:bCs w:val="1"/>
                <w:color w:val="auto"/>
              </w:rPr>
              <w:t>Twelve Months Ending</w:t>
            </w:r>
          </w:p>
        </w:tc>
        <w:tc>
          <w:tcPr>
            <w:tcW w:w="174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Minimum Net Sales</w:t>
            </w:r>
          </w:p>
        </w:tc>
        <w:tc>
          <w:tcPr>
            <w:tcW w:w="1140" w:type="dxa"/>
            <w:vAlign w:val="bottom"/>
          </w:tcPr>
          <w:p>
            <w:pPr>
              <w:spacing w:after="0"/>
              <w:rPr>
                <w:sz w:val="20"/>
                <w:szCs w:val="20"/>
                <w:color w:val="auto"/>
              </w:rPr>
            </w:pPr>
          </w:p>
        </w:tc>
        <w:tc>
          <w:tcPr>
            <w:tcW w:w="1880" w:type="dxa"/>
            <w:vAlign w:val="bottom"/>
          </w:tcPr>
          <w:p>
            <w:pPr>
              <w:jc w:val="center"/>
              <w:ind w:right="70"/>
              <w:spacing w:after="0"/>
              <w:rPr>
                <w:sz w:val="20"/>
                <w:szCs w:val="20"/>
                <w:color w:val="auto"/>
              </w:rPr>
            </w:pPr>
            <w:r>
              <w:rPr>
                <w:rFonts w:ascii="Arial" w:cs="Arial" w:eastAsia="Arial" w:hAnsi="Arial"/>
                <w:sz w:val="18"/>
                <w:szCs w:val="18"/>
                <w:b w:val="1"/>
                <w:bCs w:val="1"/>
                <w:color w:val="auto"/>
              </w:rPr>
              <w:t>EBITDA</w:t>
            </w:r>
          </w:p>
        </w:tc>
      </w:tr>
      <w:tr>
        <w:trPr>
          <w:trHeight w:val="27"/>
        </w:trPr>
        <w:tc>
          <w:tcPr>
            <w:tcW w:w="2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$52,000</w:t>
            </w:r>
          </w:p>
        </w:tc>
        <w:tc>
          <w:tcPr>
            <w:tcW w:w="1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or</w:t>
            </w:r>
          </w:p>
        </w:tc>
        <w:tc>
          <w:tcPr>
            <w:tcW w:w="18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$(5,000)</w:t>
            </w:r>
          </w:p>
        </w:tc>
      </w:tr>
      <w:tr>
        <w:trPr>
          <w:trHeight w:val="243"/>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June 30, 2019</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53,500</w:t>
            </w:r>
          </w:p>
        </w:tc>
        <w:tc>
          <w:tcPr>
            <w:tcW w:w="1140" w:type="dxa"/>
            <w:vAlign w:val="bottom"/>
          </w:tcPr>
          <w:p>
            <w:pPr>
              <w:ind w:left="500"/>
              <w:spacing w:after="0"/>
              <w:rPr>
                <w:sz w:val="20"/>
                <w:szCs w:val="20"/>
                <w:color w:val="auto"/>
              </w:rPr>
            </w:pPr>
            <w:r>
              <w:rPr>
                <w:rFonts w:ascii="Arial" w:cs="Arial" w:eastAsia="Arial" w:hAnsi="Arial"/>
                <w:sz w:val="18"/>
                <w:szCs w:val="18"/>
                <w:color w:val="auto"/>
              </w:rPr>
              <w:t>or</w:t>
            </w:r>
          </w:p>
        </w:tc>
        <w:tc>
          <w:tcPr>
            <w:tcW w:w="1880" w:type="dxa"/>
            <w:vAlign w:val="bottom"/>
          </w:tcPr>
          <w:p>
            <w:pPr>
              <w:jc w:val="center"/>
              <w:ind w:right="70"/>
              <w:spacing w:after="0"/>
              <w:rPr>
                <w:sz w:val="20"/>
                <w:szCs w:val="20"/>
                <w:color w:val="auto"/>
              </w:rPr>
            </w:pPr>
            <w:r>
              <w:rPr>
                <w:rFonts w:ascii="Arial" w:cs="Arial" w:eastAsia="Arial" w:hAnsi="Arial"/>
                <w:sz w:val="18"/>
                <w:szCs w:val="18"/>
                <w:color w:val="auto"/>
                <w:w w:val="91"/>
              </w:rPr>
              <w:t>(3,500)</w:t>
            </w:r>
          </w:p>
        </w:tc>
      </w:tr>
      <w:tr>
        <w:trPr>
          <w:trHeight w:val="27"/>
        </w:trPr>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54,500</w:t>
            </w:r>
          </w:p>
        </w:tc>
        <w:tc>
          <w:tcPr>
            <w:tcW w:w="1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or</w:t>
            </w:r>
          </w:p>
        </w:tc>
        <w:tc>
          <w:tcPr>
            <w:tcW w:w="18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1"/>
              </w:rPr>
              <w:t>(2,000)</w:t>
            </w:r>
          </w:p>
        </w:tc>
      </w:tr>
      <w:tr>
        <w:trPr>
          <w:trHeight w:val="243"/>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December 31, 2019</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56,000</w:t>
            </w:r>
          </w:p>
        </w:tc>
        <w:tc>
          <w:tcPr>
            <w:tcW w:w="1140" w:type="dxa"/>
            <w:vAlign w:val="bottom"/>
          </w:tcPr>
          <w:p>
            <w:pPr>
              <w:ind w:left="500"/>
              <w:spacing w:after="0"/>
              <w:rPr>
                <w:sz w:val="20"/>
                <w:szCs w:val="20"/>
                <w:color w:val="auto"/>
              </w:rPr>
            </w:pPr>
            <w:r>
              <w:rPr>
                <w:rFonts w:ascii="Arial" w:cs="Arial" w:eastAsia="Arial" w:hAnsi="Arial"/>
                <w:sz w:val="18"/>
                <w:szCs w:val="18"/>
                <w:color w:val="auto"/>
              </w:rPr>
              <w:t>or</w:t>
            </w:r>
          </w:p>
        </w:tc>
        <w:tc>
          <w:tcPr>
            <w:tcW w:w="188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r>
      <w:tr>
        <w:trPr>
          <w:trHeight w:val="27"/>
        </w:trPr>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57,500</w:t>
            </w:r>
          </w:p>
        </w:tc>
        <w:tc>
          <w:tcPr>
            <w:tcW w:w="1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or</w:t>
            </w:r>
          </w:p>
        </w:tc>
        <w:tc>
          <w:tcPr>
            <w:tcW w:w="18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8"/>
              </w:rPr>
              <w:t>1,000</w:t>
            </w:r>
          </w:p>
        </w:tc>
      </w:tr>
      <w:tr>
        <w:trPr>
          <w:trHeight w:val="243"/>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June 30, 2020</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58,500</w:t>
            </w:r>
          </w:p>
        </w:tc>
        <w:tc>
          <w:tcPr>
            <w:tcW w:w="1140" w:type="dxa"/>
            <w:vAlign w:val="bottom"/>
          </w:tcPr>
          <w:p>
            <w:pPr>
              <w:ind w:left="500"/>
              <w:spacing w:after="0"/>
              <w:rPr>
                <w:sz w:val="20"/>
                <w:szCs w:val="20"/>
                <w:color w:val="auto"/>
              </w:rPr>
            </w:pPr>
            <w:r>
              <w:rPr>
                <w:rFonts w:ascii="Arial" w:cs="Arial" w:eastAsia="Arial" w:hAnsi="Arial"/>
                <w:sz w:val="18"/>
                <w:szCs w:val="18"/>
                <w:color w:val="auto"/>
              </w:rPr>
              <w:t>or</w:t>
            </w:r>
          </w:p>
        </w:tc>
        <w:tc>
          <w:tcPr>
            <w:tcW w:w="1880" w:type="dxa"/>
            <w:vAlign w:val="bottom"/>
          </w:tcPr>
          <w:p>
            <w:pPr>
              <w:jc w:val="center"/>
              <w:ind w:right="70"/>
              <w:spacing w:after="0"/>
              <w:rPr>
                <w:sz w:val="20"/>
                <w:szCs w:val="20"/>
                <w:color w:val="auto"/>
              </w:rPr>
            </w:pPr>
            <w:r>
              <w:rPr>
                <w:rFonts w:ascii="Arial" w:cs="Arial" w:eastAsia="Arial" w:hAnsi="Arial"/>
                <w:sz w:val="18"/>
                <w:szCs w:val="18"/>
                <w:color w:val="auto"/>
                <w:w w:val="88"/>
              </w:rPr>
              <w:t>2,000</w:t>
            </w:r>
          </w:p>
        </w:tc>
      </w:tr>
      <w:tr>
        <w:trPr>
          <w:trHeight w:val="27"/>
        </w:trPr>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thereafter, as applicable</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60,000</w:t>
            </w:r>
          </w:p>
        </w:tc>
        <w:tc>
          <w:tcPr>
            <w:tcW w:w="1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or</w:t>
            </w:r>
          </w:p>
        </w:tc>
        <w:tc>
          <w:tcPr>
            <w:tcW w:w="18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8"/>
              </w:rPr>
              <w:t>3,000</w:t>
            </w:r>
          </w:p>
        </w:tc>
      </w:tr>
      <w:tr>
        <w:trPr>
          <w:trHeight w:val="797"/>
        </w:trPr>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jc w:val="right"/>
              <w:ind w:right="570"/>
              <w:spacing w:after="0"/>
              <w:rPr>
                <w:sz w:val="20"/>
                <w:szCs w:val="20"/>
                <w:color w:val="auto"/>
              </w:rPr>
            </w:pPr>
            <w:r>
              <w:rPr>
                <w:rFonts w:ascii="Arial" w:cs="Arial" w:eastAsia="Arial" w:hAnsi="Arial"/>
                <w:sz w:val="18"/>
                <w:szCs w:val="18"/>
                <w:color w:val="auto"/>
              </w:rPr>
              <w:t>28</w:t>
            </w:r>
          </w:p>
        </w:tc>
        <w:tc>
          <w:tcPr>
            <w:tcW w:w="114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color w:val="auto"/>
        </w:rPr>
        <w:t>The term loan is collateralized by all of our assets, including intellectual property.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2018 and June 30, 2019, we were in compliance with all of our debt obligations and covenants.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During the three and six months ended June 30, 2019, there have been no material changes to our contractual obligations and commitments outside the ordinary course of business from December 31, 2018.</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6"/>
          </w:tcPr>
          <w:p>
            <w:pPr>
              <w:ind w:left="300"/>
              <w:spacing w:after="0"/>
              <w:rPr>
                <w:sz w:val="20"/>
                <w:szCs w:val="20"/>
                <w:color w:val="auto"/>
              </w:rPr>
            </w:pPr>
            <w:r>
              <w:rPr>
                <w:rFonts w:ascii="Arial" w:cs="Arial" w:eastAsia="Arial" w:hAnsi="Arial"/>
                <w:sz w:val="18"/>
                <w:szCs w:val="18"/>
                <w:b w:val="1"/>
                <w:bCs w:val="1"/>
                <w:color w:val="auto"/>
              </w:rPr>
              <w:t>Six Months Ended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 Change</w:t>
            </w: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 Change</w:t>
            </w:r>
          </w:p>
        </w:tc>
      </w:tr>
      <w:tr>
        <w:trPr>
          <w:trHeight w:val="27"/>
        </w:trPr>
        <w:tc>
          <w:tcPr>
            <w:tcW w:w="5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8"/>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960" w:type="dxa"/>
            <w:vAlign w:val="bottom"/>
            <w:gridSpan w:val="8"/>
          </w:tcPr>
          <w:p>
            <w:pPr>
              <w:ind w:left="20"/>
              <w:spacing w:after="0"/>
              <w:rPr>
                <w:sz w:val="20"/>
                <w:szCs w:val="20"/>
                <w:color w:val="auto"/>
              </w:rPr>
            </w:pPr>
            <w:r>
              <w:rPr>
                <w:rFonts w:ascii="Arial" w:cs="Arial" w:eastAsia="Arial" w:hAnsi="Arial"/>
                <w:sz w:val="18"/>
                <w:szCs w:val="18"/>
                <w:b w:val="1"/>
                <w:bCs w:val="1"/>
                <w:color w:val="auto"/>
                <w:w w:val="88"/>
              </w:rPr>
              <w:t>(in thousands, except for percentages)</w:t>
            </w:r>
          </w:p>
        </w:tc>
        <w:tc>
          <w:tcPr>
            <w:tcW w:w="1140" w:type="dxa"/>
            <w:vAlign w:val="bottom"/>
          </w:tcPr>
          <w:p>
            <w:pPr>
              <w:spacing w:after="0"/>
              <w:rPr>
                <w:sz w:val="20"/>
                <w:szCs w:val="20"/>
                <w:color w:val="auto"/>
              </w:rPr>
            </w:pPr>
          </w:p>
        </w:tc>
      </w:tr>
      <w:tr>
        <w:trPr>
          <w:trHeight w:val="270"/>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(15,474)</w:t>
            </w:r>
          </w:p>
        </w:tc>
        <w:tc>
          <w:tcPr>
            <w:tcW w:w="4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(9,801)</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173 %</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906</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700 %</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Effects of exchange rate changes on cash and cash equivalents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5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(13,624)</w:t>
            </w:r>
          </w:p>
        </w:tc>
        <w:tc>
          <w:tcPr>
            <w:tcW w:w="4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Net cash used in operating activities increased $9.8 million, or 173%, from the six months ended June 30, 2018 to the six months ended June 30, 2019. The increase was primarily due to an increase of $10.7 million in our net loss, partially offset by an increase of $1.9 million in non-cash charges and decrease in changes in operating assets and liabilities of $1.0 million. The increase in net loss resulted from higher operating expenses from expansion of the business, partially offset by higher revenue. The increase in non-cash charges was mainly due to an increase in stock-based compensation expense, partially offset by accretion of our marketable securities. The decrease in changes in operating assets and liabilities was primarily due to increases in inventory and accounts receivable from increased case volumes, partially offset by growth of the business and increased accounts payable, accrued expenses and other liabilities due to timing of payments.</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Provided by (Used in) Investing Activities</w:t>
      </w:r>
    </w:p>
    <w:p>
      <w:pPr>
        <w:spacing w:after="0" w:line="117"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Net cash provided by investing activities in the six months ended June 30, 2019 was $0.2 million compared to net cash used in investing activities of $0.7 million in the six months ended June 30, 2018. Cash provided by investing activities for the six months ended June 30, 2019 consisted of maturities of our marketable securities of $83.6 million, partially offset by purchases of marketable securities of $82.5 million and purchases of property and equipment of $0.9 million. Net cash used in investing activities for the six months ended June 30, 2018 consisted of purchases of property and equipment.</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Cash provided by financing activities increased $1.5 million, from the six months ended June 30, 2018 to the six months ended June 30, 2019. Cash provided by financing activities for the six months ended June 30, 2019 consisted of proceeds from the issuance of 1.3 million shares of common stock under our employee stock purchase plan and proceeds from the exercise of 0.6 million stock options, partially offset by $0.2 million of payments for public company costs. Cash provided by financing activities for the six months ended June 30, 2018 consisted of proceeds of $0.2 million from exercises of stock options.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00" w:lineRule="exact"/>
        <w:rPr>
          <w:sz w:val="20"/>
          <w:szCs w:val="20"/>
          <w:color w:val="auto"/>
        </w:rPr>
      </w:pPr>
    </w:p>
    <w:p>
      <w:pPr>
        <w:spacing w:after="0" w:line="245"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w:t>
      </w:r>
    </w:p>
    <w:p>
      <w:pPr>
        <w:spacing w:after="0" w:line="38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Our critical accounting policies and estimates are described in "Management's Discussion and Analysis of Financial Condition and Results of Operations—Critical Accounting Policies and Estimates" in our Annual Report on Form 10-K filed with the SEC on March 14, 2019. There had been no material changes to these accounting policies. See Note 2 of Notes to Condensed Consolidated Financial Statements (Unaudited) for related discussions on updates on recently issued accounting pronouncements.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We do not have any relationships with unconsolidated organizations or financial partnerships, such as structured finance or special purpose entities that have been established for the purpose of facilitating off-balance sheet arrangements or other contractually narrow or limited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In April 2012, the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See Note 2 of Notes to Condensed Consolidated Financial Statements (Unaudited) for related discussions on updates on recently issued accounting pronouncements.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 to a smaller reporting company.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9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maintain disclosure controls and procedures designed to ensure that information required to be disclosed in the reports we file or submit pursuant to the Securities and Exchange Act of 1934, as amended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5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that such improvements will be sufficient to provide us with effective internal control over financial reporting.</w:t>
      </w:r>
    </w:p>
    <w:p>
      <w:pPr>
        <w:spacing w:after="0" w:line="18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Management, with the participation of the Chief Executive Officer and Chief Financial Officer, evaluated the effectiveness of the design and operation of our disclosure controls and procedures as defined in Rules 13a-15(e) and 15d-15(e) of the Exchange Act as of the end of the period covered by this report. Based on this evaluation, our Chief Executive Officer and Chief Financial Officer have concluded that, as of June 30, 2019, our disclosure controls and procedures were effective.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2019,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 xml:space="preserve">For information regarding legal proceedings, refer to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in “Note 6 </w:t>
      </w:r>
      <w:r>
        <w:rPr>
          <w:rFonts w:ascii="Arial" w:cs="Arial" w:eastAsia="Arial" w:hAnsi="Arial"/>
          <w:sz w:val="18"/>
          <w:szCs w:val="18"/>
          <w:i w:val="1"/>
          <w:iCs w:val="1"/>
          <w:color w:val="auto"/>
        </w:rPr>
        <w:t>-</w:t>
      </w:r>
      <w:r>
        <w:rPr>
          <w:rFonts w:ascii="Arial" w:cs="Arial" w:eastAsia="Arial" w:hAnsi="Arial"/>
          <w:sz w:val="18"/>
          <w:szCs w:val="18"/>
          <w:color w:val="auto"/>
        </w:rPr>
        <w:t xml:space="preserve"> Commitments and Contingencies” in the accompanying Notes to Condensed Consolidated Financial Statements (Unaudited), which information is incorporated by reference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Investors should carefully consider the risks described below, as well as the other information in this Quarterly Report on Form 10-Q, including our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170"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We have incurred net losses since our inception in 2008. For the six months ended June 30, 2019, we had net loss of $18.0 million. For the years ended December 31, 2018 and 2017, we had net losses of $17.5 million and $23.0 million, respectively. As of June 30, 2019, we had an accumulated deficit of $175.2 million. To date, we have financed our operations primarily through the proceeds of our initial public offering of our common stock, or IPO,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We expect that our operating expenses will continue to increase as we continue to build our commercial infrastructure, develop, enhance, and commercialize our existing and new products and incur additional operational and reporting costs associated with being a public company.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80" w:lineRule="exact"/>
        <w:rPr>
          <w:sz w:val="20"/>
          <w:szCs w:val="20"/>
          <w:color w:val="auto"/>
        </w:rPr>
      </w:pPr>
    </w:p>
    <w:p>
      <w:pPr>
        <w:jc w:val="both"/>
        <w:ind w:firstLine="446"/>
        <w:spacing w:after="0" w:line="267" w:lineRule="auto"/>
        <w:rPr>
          <w:sz w:val="20"/>
          <w:szCs w:val="20"/>
          <w:color w:val="auto"/>
        </w:rPr>
      </w:pPr>
      <w:r>
        <w:rPr>
          <w:rFonts w:ascii="Arial" w:cs="Arial" w:eastAsia="Arial" w:hAnsi="Arial"/>
          <w:sz w:val="17"/>
          <w:szCs w:val="17"/>
          <w:color w:val="auto"/>
        </w:rPr>
        <w:t>Our expected future capital requirements may depend on many factors including expanding our surgeon base, the expansion of our sales force, and the timing and extent of spending on the development of our technology to increase our product offerings. We may need additional funding to fund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w:t>
      </w:r>
    </w:p>
    <w:p>
      <w:pPr>
        <w:spacing w:after="0" w:line="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2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hospitals, surgeons, and other healthcare providers are unable to obtain coverage and reimbursement from third-party payors for procedures performed using our products, adoption of our products may be delayed, and it is unlikely that they will gain further acceptance.</w:t>
      </w:r>
    </w:p>
    <w:p>
      <w:pPr>
        <w:spacing w:after="0" w:line="38"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w:t>
      </w:r>
    </w:p>
    <w:p>
      <w:pPr>
        <w:spacing w:after="0" w:line="187"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Adequate coverage and reimbursement for procedures performed with our products is central to the acceptance of our current and future products. We may be unable to sell our products on a profitable basis if third-party payors deny coverage, continue to deny coverage or reduce their current levels of payment, or if our costs of production increase faster than increases in reimbursement levels. For example, our sales decreased significantly after minimally invasive sacroiliac joint fusion was assigned to a Category III Current Procedure Terminology, or CPT, code effective July 1, 2013. After implementation of this Category III CPT Code, surgeons were no longer able to consistently obtain reimbursement for procedures performed using our products. However, effective January 1, 2015, minimally invasive sacroiliac joint fusion was assigned to a Category I CPT Code.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3" w:name="page34"/>
    <w:bookmarkEnd w:id="33"/>
    <w:p>
      <w:pPr>
        <w:jc w:val="both"/>
        <w:ind w:firstLine="446"/>
        <w:spacing w:after="0" w:line="272" w:lineRule="auto"/>
        <w:rPr>
          <w:sz w:val="20"/>
          <w:szCs w:val="20"/>
          <w:color w:val="auto"/>
        </w:rPr>
      </w:pPr>
      <w:r>
        <w:rPr>
          <w:rFonts w:ascii="Arial" w:cs="Arial" w:eastAsia="Arial" w:hAnsi="Arial"/>
          <w:sz w:val="17"/>
          <w:szCs w:val="17"/>
          <w:color w:val="auto"/>
        </w:rPr>
        <w:t>Many private payors refer to coverage decisions and payment amounts determined by the Centers for Medicare and Medicaid Services, or CMS, which administers the Medicare program, as guidelines for setting their coverage and reimbursement policies. By December 31, 2016, all Medicare Administrative Contractors were regularly reimbursing for minimally invasive sacroiliac joint fusion. Private payors that do not follow the Medicare guidelines may adopt different coverage and reimbursement policies for procedures performed with our products. Private commercial payors have been slower to adopt positive coverage policies for minimally invasive sacroiliac joint fusion, and many private payors still have policies that treat the procedure as experimental or investigational and do not regularly reimburse for the procedure. Future action by CMS or third-party payors may further reduce the availability of payments to physicians, outpatient surgery centers, and/or hospitals for procedures using our products.</w:t>
      </w:r>
    </w:p>
    <w:p>
      <w:pPr>
        <w:spacing w:after="0" w:line="178"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chose to cover. For example, several Blue Cross Blue Shield payors have adopted policies that treat 3D-printed orthopedic implants that come in standard sizes, rather than customized to the patient’s anatomy, such as our iFuse-3D implant, as experimental and investigational and therefore not eligible for reimbursement. There can be no guarantee that we will be able to provide the scientific and clinical data necessary to overcome these policies. Such policies may contribute to a decrease in sales of our iFuse-3D implants.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182"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the reimbursement provided by third-party payors to hospitals, surgeons, and other healthcare providers for procedures performed using our products is insufficient, adoption and use of our products and the prices paid for our implants may decline.</w:t>
      </w:r>
    </w:p>
    <w:p>
      <w:pPr>
        <w:spacing w:after="0" w:line="62"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When an iFuse procedure is performed, both the surgeon and the healthcare facility, either a hospital or ambulatory surgical center, submit claims for reimbursement to the healthcare payor. Generally, the facility obtains a lump sum payment, or facility fee, for minimally invasive sacroiliac joint fusions. Our products are purchased by the facility, along with other supplies used in the procedure. The facility must also pay for its own fixed costs of operation, including certain operating room personnel involved in the procedure. If these costs exceed the facility fee reimbursement, the facility’s managers may discourage or restrict surgeons from performing the procedure in the facility or using certain technologies, such as our iFuse implants, to perform the procedure.</w:t>
      </w:r>
    </w:p>
    <w:p>
      <w:pPr>
        <w:spacing w:after="0" w:line="193"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national average Medicare payment per procedure to hospital outpatient departments increased from $10,538 to $14,704 effective January 1, 2017. Effective January 1, 2019, the national average Medicare payment to hospital outpatient departments is $15,402. Effective January 1, 2019, the Medicare payment to an ambulatory surgical center for a sacroiliac joint fusion is $12,481. We believe that payments to facilities are generally adequate for these facilities to offer the iFuse procedure. However, there can be no guarantee that these facility fee payments will not decline in the future. The number of iFuse procedures performed and the prices paid for our implants may in the future decline if payments to facilities for minimally invasive sacroiliac joint fusions decline.</w:t>
      </w:r>
    </w:p>
    <w:p>
      <w:pPr>
        <w:spacing w:after="0" w:line="193"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Surgeons are reimbursed separately for their professional time and effort to perform a surgical procedure. Prior to reassignment of minimally invasive sacroiliac joint fusion to a Category III CPT Code, the national average Medicare physician fee schedule payment to surgeons for CPT codes commonly used to submit claims for reimbursement for the iFuse procedure was approximately $1,000 and the procedure was commonly covered by both government and private commercial payors in the United States. In 2015, the national average physician payment for the new Category I CPT Code for minimally invasive sacroiliac fusion was $574, and we believe that this payment caused adoption of the procedure to slow. Effective January 1, 2016, the national average Medicare payment for the Category I CPT code increased to $718, and the national average payment effective January 1, 2019, is $720. Many private payors set their payment amounts with reference to the Medicare payment, often approximately 10% to 33% higher than the Medicare payment for a procedure. For some governmental programs, such as Medicaid, coverage and reimbursement differ from state to state, and some state Medicaid programs may not pay an adequate amount for the procedures performed with our products, if any payment is made at all.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0" w:right="239" w:bottom="1440" w:gutter="0" w:footer="0" w:header="0"/>
        </w:sectPr>
      </w:pPr>
    </w:p>
    <w:bookmarkStart w:id="34" w:name="page35"/>
    <w:bookmarkEnd w:id="34"/>
    <w:p>
      <w:pPr>
        <w:jc w:val="both"/>
        <w:ind w:firstLine="446"/>
        <w:spacing w:after="0" w:line="270" w:lineRule="auto"/>
        <w:rPr>
          <w:sz w:val="20"/>
          <w:szCs w:val="20"/>
          <w:color w:val="auto"/>
        </w:rPr>
      </w:pPr>
      <w:r>
        <w:rPr>
          <w:rFonts w:ascii="Arial" w:cs="Arial" w:eastAsia="Arial" w:hAnsi="Arial"/>
          <w:sz w:val="17"/>
          <w:szCs w:val="17"/>
          <w:color w:val="auto"/>
        </w:rPr>
        <w:t>We believe that some surgeons view the current Medicare and commercial reimbursement amount as insufficient for the procedure, given the work effort involved with the procedure, including the time to diagnose the patient and obtain prior authorization from the patient’s health insurer if necessary. Many private payors require extensive documentation of a multi-step diagnosis before authorizing minimally invasive sacroiliac joint fusion for a patient. We believe that some private payors apply their own coverage policies and criteria inconsistently, and surgeons may not be able to consistently have minimally invasive sacroiliac fusions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impede the growth of our revenues or cause them to decline.Generally, private commercial insurance payments to physicians are based on the Medicare set payment and are in the range of 20% to 30% higher, depending upon the negotiated price between the provider and the payor.</w:t>
      </w:r>
    </w:p>
    <w:p>
      <w:pPr>
        <w:spacing w:after="0" w:line="22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38" w:lineRule="exact"/>
        <w:rPr>
          <w:sz w:val="20"/>
          <w:szCs w:val="20"/>
          <w:color w:val="auto"/>
        </w:rPr>
      </w:pPr>
    </w:p>
    <w:p>
      <w:pPr>
        <w:jc w:val="both"/>
        <w:ind w:firstLine="446"/>
        <w:spacing w:after="0" w:line="287" w:lineRule="auto"/>
        <w:rPr>
          <w:sz w:val="20"/>
          <w:szCs w:val="20"/>
          <w:color w:val="auto"/>
        </w:rPr>
      </w:pPr>
      <w:r>
        <w:rPr>
          <w:rFonts w:ascii="Arial" w:cs="Arial" w:eastAsia="Arial" w:hAnsi="Arial"/>
          <w:sz w:val="16"/>
          <w:szCs w:val="16"/>
          <w:color w:val="auto"/>
        </w:rPr>
        <w:t>As of June 30, 2019, 31 of the largest 65 U.S. private payors that we track and target have issued positive coverage policies covering the patented triangular design of our iFuse implants and excluding coverage of other products that are intended to fuse the sacroiliac joint because of the clinical evidence supporting the use of iFuse and the lack of clinical evidence supporting the use of other products. Additionally, the public hospital system in France initiated coverage for iFuse exclusively beginning September 6, 2018. We believe that payors have adopted these exclusive coverage decisions due to the strength of our clinical evidence and in part due to recommendations of specialty benefit managers and healthcare technology assessment organizations. In 2018, AIM Specialty Health, Blue Cross Blue Shield Association Evidence Street, and eviCore Healthcare published positive coverage recommendations to their constituents and payor customers, recommending that iFuse be covered exclusively. Clinical trials of the type and size necessary to offer evidence of the safety and efficacy of competing products could be performed and could show that other products for sacroiliac joint fusion are as effective as, or more effective than, iFuse. Payors could also abandon their decisions to cover iFuse exclusively for other reasons. If healthcare payors covering a significant number of covered lives reverse their policies of covering minimally invasive sacroiliac joint fusion exclusively when performed with the iFuse system, sales of our iFuse implants could decline or fail to grow, which could adversely affect our business, results of operations and financial condition.</w:t>
      </w: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62"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Surgeons play the primary role in determining the course of treatment in consultation with their patients and, ultimately, the product that will be used to treat a patient. In order for us to sell our iFuse system successfully, we must convince surgeons through education and training that treatment with iFuse is beneficial, safe, and cost-effective for patients as compared to our competitors’ products. If we are not successful in convincing surgeons of the merits of iFuse, they may not use our product, and we will be unable to increase our sales and achieve or grow profitability.</w:t>
      </w:r>
    </w:p>
    <w:p>
      <w:pPr>
        <w:spacing w:after="0" w:line="17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Historically, most spine surgeons did not include an evaluation of the sacroiliac joint in their diagnostic work-up because they did not have an adequate surgical procedure to perform for patients diagnosed with sacroiliac joint dysfunction. As a result, some patients with lower back pain resulting from sacroiliac joint dysfunction are misdiagnosed. We believe that educating surgeons and other healthcare professionals about the clinical merits and patient benefits of iFuse is an important element of our growth. If we fail to effectively educate surgeons and other medical professionals, they may not include a sacroiliac joint evaluation as part of their diagnosis and, as a result, those patients may continue to receive unnecessary surgical procedures or only non-surgical treatment.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Surgeons may also hesitate to change their medical treatment practices for other reasons, including the following:</w:t>
      </w:r>
    </w:p>
    <w:p>
      <w:pPr>
        <w:spacing w:after="0" w:line="117" w:lineRule="exact"/>
        <w:rPr>
          <w:sz w:val="20"/>
          <w:szCs w:val="20"/>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experience with minimally invasive procedures;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 commitment that may be required for training.</w:t>
      </w:r>
    </w:p>
    <w:p>
      <w:pPr>
        <w:spacing w:after="0" w:line="225"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 benefits of using our products. If we are unable to provide that data, surgeons may not use our products. In such circumstances, we may not achieve expected sales and may be unable to achieve profitability.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5" w:name="page36"/>
    <w:bookmarkEnd w:id="35"/>
    <w:p>
      <w:pPr>
        <w:jc w:val="both"/>
        <w:ind w:firstLine="446"/>
        <w:spacing w:after="0" w:line="270" w:lineRule="auto"/>
        <w:rPr>
          <w:sz w:val="20"/>
          <w:szCs w:val="20"/>
          <w:color w:val="auto"/>
        </w:rPr>
      </w:pPr>
      <w:r>
        <w:rPr>
          <w:rFonts w:ascii="Arial" w:cs="Arial" w:eastAsia="Arial" w:hAnsi="Arial"/>
          <w:sz w:val="17"/>
          <w:szCs w:val="17"/>
          <w:color w:val="auto"/>
        </w:rPr>
        <w:t>Many patients with sacroiliac joint dysfunction are cared for by pain physicians, who are generally trained as anesthesiologists or physical medicine and rehabilitation specialists. These pain physicians often offer a variety of non-surgical and surgical interventions to sacroiliac joint dysfunction patients, including, but not limited to, steroid injections, radiofrequency ablation of the nerves serving the sacroiliac joint and implantation of neurostimulation devices. Our professional education program seeks to teach pain physicians, and other health care providers, about the benefits of iFuse, in order to prompt these providers to refer their patients with sacroiliac joint dysfunction to surgeons who have been trained to perform the iFuse procedure. These providers may, however, prefer to continue to treat these patients with the interventions they offer. If we are unable to convince potential referring health care providers of the comparative benefits of iFuse, and we are therefore unable to prompt sufficient numbers of these providers to refer their patients with sacroiliac joint dysfunction for treatment by surgeons trained to perform the iFuse procedure, sales of our iFuse implants could decline or fail to grow, which could adversely affect our business, results of operations and financial condition.</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62"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6"/>
          <w:szCs w:val="16"/>
          <w:color w:val="auto"/>
        </w:rPr>
        <w:t>The products we currently market in the United States have either received premarket clearance under Section 510(k) of the U.S. Federal Food, Drug, and Cosmetic Act, or FDCA, or are exempt from premarket review. Those marketed in the European Union, or EU, have been the subject of a CE Certificate of Conformity. The 510(k) clearance process of the U.S. Food and Drug Administration, or FDA, requires us to document that our product is “substantially equivalent” to another 510(k)-cleared products. The 510(k) process is shorter and typically requires the submission of less supporting documentation than other FDA approval processes, such as a premarket approval, or PMA, and does not usually require pre-clinical or clinical studies. Additionally, to date, we have not been required to complete clinical studies in connection with the sale of our products outside the United States.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Moreover, if future results and experience indicate that our products cause unexpected or serious complications or other unforeseen negative effects, we could be subject to mandatory product recalls, suspension, or withdrawal of FDA clearance, and suspension, variation, or withdrawal of our CE Certificates of Conformity, significant legal liability or harm to our business reputation, which could have a material adverse effect on our results or operations and financial condition. Similar risks apply to product approvals and registrations in other countries outside the United States and the EU as well.</w:t>
      </w:r>
    </w:p>
    <w:p>
      <w:pPr>
        <w:spacing w:after="0" w:line="2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Pricing pressure from our competitors, changes in third-party coverage and reimbursement, healthcare provider consolidation, payor consolidation and the proliferation of “physician-owned distributorships” may impact our ability to sell our product at prices necessary to support our current business strategies.</w:t>
      </w:r>
    </w:p>
    <w:p>
      <w:pPr>
        <w:spacing w:after="0" w:line="73"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If competitive forces drive down the prices we are able to charge for our product, our profit margins will shrink, which will adversely affect our ability to invest in and grow our business.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66"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down and harm our ability to market and sell our products.</w:t>
      </w:r>
    </w:p>
    <w:p>
      <w:pPr>
        <w:spacing w:after="0" w:line="181"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We are unable to predict what changes will be made to the reimbursement methodologies used by third-party payors. We cannot be certain that under current and future payment systems, in which healthcare providers may be reimbursed a set amount based on the type of procedure performed, such as those utilized by Medicare and in many privately managed care systems, the cost of our products will be justified and incorporated into the overall cost of the procedure. In addition, to the extent there is a shift from inpatient setting to outpatient settings, we may experience increased pricing pressure.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6" w:name="page37"/>
    <w:bookmarkEnd w:id="36"/>
    <w:p>
      <w:pPr>
        <w:jc w:val="both"/>
        <w:ind w:firstLine="446"/>
        <w:spacing w:after="0" w:line="269" w:lineRule="auto"/>
        <w:rPr>
          <w:sz w:val="20"/>
          <w:szCs w:val="20"/>
          <w:color w:val="auto"/>
        </w:rPr>
      </w:pPr>
      <w:r>
        <w:rPr>
          <w:rFonts w:ascii="Arial" w:cs="Arial" w:eastAsia="Arial" w:hAnsi="Arial"/>
          <w:sz w:val="17"/>
          <w:szCs w:val="17"/>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180"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Physician-owned distributorships, or PODs, are medical device distributors that are owned, directly or indirectly, by physicians. These physicians profit from selling or arranging the sale of medical devices for use in procedures they perform on their own patients at hospitals that purchase the devices from the POD. We currently do not engage with PODs. The proliferation of PODs could result in increased pricing pressure on our products or harm our ability to sell our products to physicians who own or are affiliated with those distributorships.</w:t>
      </w:r>
    </w:p>
    <w:p>
      <w:pPr>
        <w:spacing w:after="0" w:line="2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62"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Our currently marketed products are, and any future products we commercialize will likely be, subject to intense competition. Our field is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85"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The number of competitors that we are aware of marketing sacroiliac joint fusion products in the United States has grown from zero to 23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as at a disadvantage.</w:t>
      </w:r>
    </w:p>
    <w:p>
      <w:pPr>
        <w:spacing w:after="0" w:line="178"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In the United States, we believe that our primary competitors currently are Medtronic plc and Globus Medical, Inc. Our primary competitors in Europe are Globus Medical, Inc. and SIGNUS Medizintechnik GmbH.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or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149"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Some of our larger competitors are either publicly traded or divisions or subsidiaries of publicly traded companies. These competitors may enjoy several competitive advantages over us, including:</w:t>
      </w:r>
    </w:p>
    <w:p>
      <w:pPr>
        <w:spacing w:after="0" w:line="62" w:lineRule="exact"/>
        <w:rPr>
          <w:sz w:val="20"/>
          <w:szCs w:val="20"/>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financial, human, and other resources for product research and development, sales and marketing, and legal matters;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established relationships with surgeons, hospitals, and other healthcare providers;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large and established sales and marketing and distribution networks;</w:t>
      </w:r>
    </w:p>
    <w:p>
      <w:pPr>
        <w:spacing w:after="0" w:line="11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experience in obtaining and maintaining domestic and international regulatory clearances or approvals, or CE Certificates of Conformity for products and product enhancements;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7" w:name="page38"/>
    <w:bookmarkEnd w:id="37"/>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more expansive portfolios of intellectual property rights;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ability to cross-sell their products or to incentivize hospitals or surgeons to use their products.</w:t>
      </w:r>
    </w:p>
    <w:p>
      <w:pPr>
        <w:spacing w:after="0" w:line="225"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products or that are alternatives to our existing or planned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73"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sales or margins could decrease, thereby harming our business.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manufacture and sell a single family of products focused on procedures whose goal is to stabilize and fuse the sacroiliac joint, which could negatively affect our operations and financial condition.</w:t>
      </w:r>
    </w:p>
    <w:p>
      <w:pPr>
        <w:spacing w:after="0" w:line="62"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We do not sell any product other than iFuse and related tools and instruments. Therefore, we are solely dependent on widespread market adoption of iFuse and we will continue to be dependent on the success of this single product for the foreseeable future. There can be no assurance that iFuse will gain a substantial degree of market acceptance among surgeons, patients or healthcare providers. Our failure to successfully increase sales of iFuse or any other event impeding our ability to sell iFuse, would result in a material adverse effect on our results of operations, financial condition and continuing operations.</w:t>
      </w:r>
    </w:p>
    <w:p>
      <w:pPr>
        <w:spacing w:after="0" w:line="2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62"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In November 2018, we introduced our iFuse Bedrock technique, in which spine surgeons place iFuse implants across the sacroiliac joint using a different surgical approach to treat sacroiliac joint dysfunction at the same time they are fusing multiple levels of the spine above and affixing those spinal fusion devices to the pelvis. In April 2019, the FDA cleared promotion of iFuse Bedrock for a broader and more general purpose, to provide additional stability and immobilization of the sacroiliac joint. To date, clinical experience with the iFuse Bedrock technique is limited and we have yet to complete a clinical trial to evaluate the iFuse Bedrock technique. Surgeons do not know if the addition of iFuse implants to the implants used to fuse multiple levels of the lumbar spine will result in patient benefit. If surgeons' clinical experience with iFuse Bedrock is not positive, or if our clinical trials do not show meaningful benefits to the patients undergoing this procedure, sale of our iFuse implants for this indication could be adversely impacted, which could negatively affect our operations and financial condition.</w:t>
      </w:r>
    </w:p>
    <w:p>
      <w:pPr>
        <w:spacing w:after="0" w:line="3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expand our network of direct sales representatives and third-party distributors, we may not be able to generate anticipated sales.</w:t>
      </w:r>
    </w:p>
    <w:p>
      <w:pPr>
        <w:spacing w:after="0" w:line="6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As of June 30, 2019, our U.S. sales force consisted of 50 sales representatives directly employed by us and 33 third-party distributors. As of June 30, 2019, our international sales force consisted of 16 sales representatives directly employed by us and 28 exclusive third-party distributors, which together have had sales in 33 countries through June 30, 2019. Our operating results are directly dependent upon the sales and marketing efforts of both our direct sales force and of our third-party distributors.</w:t>
      </w:r>
    </w:p>
    <w:p>
      <w:pPr>
        <w:spacing w:after="0" w:line="187"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Our intention is for our direct sales representatives and third-party distributors to develop long-lasting relationships with the surgeons they serve. If our direct sales representatives or third-party distributors fail to adequately promote, market and sell our products or decide to leave or cease to do business with us, our sales could significantly decrease.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92" w:right="239" w:bottom="1440" w:gutter="0" w:footer="0" w:header="0"/>
        </w:sectPr>
      </w:pPr>
    </w:p>
    <w:bookmarkStart w:id="38" w:name="page39"/>
    <w:bookmarkEnd w:id="38"/>
    <w:p>
      <w:pPr>
        <w:jc w:val="both"/>
        <w:ind w:firstLine="446"/>
        <w:spacing w:after="0" w:line="270" w:lineRule="auto"/>
        <w:rPr>
          <w:sz w:val="20"/>
          <w:szCs w:val="20"/>
          <w:color w:val="auto"/>
        </w:rPr>
      </w:pPr>
      <w:r>
        <w:rPr>
          <w:rFonts w:ascii="Arial" w:cs="Arial" w:eastAsia="Arial" w:hAnsi="Arial"/>
          <w:sz w:val="17"/>
          <w:szCs w:val="17"/>
          <w:color w:val="auto"/>
        </w:rPr>
        <w:t>We face significant challenges and risks in managing our geographically dispersed distribution network and retaining the individuals who make up that network. Some of our international third-party distributors account for a significant portion of our international sales volume, and if any such third-party distributor were to cease to distribute our products, our sales could be adversely affected. In such a situation, we may need to seek alternative third-party distributors or increase our reliance on our direct sales representatives, which may not prevent our sales from being adversely affected.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w:t>
      </w:r>
    </w:p>
    <w:p>
      <w:pPr>
        <w:spacing w:after="0" w:line="182"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In addition, distribution arrangements are complex and time consuming to negotiate and document, especially outside the United States. We may not be able to negotiate distribution arrangements on a timely basis, on acceptable terms, or at all. If we are unable to do so, we may have to curtail the development of our products, delay their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revenue.</w:t>
      </w:r>
    </w:p>
    <w:p>
      <w:pPr>
        <w:spacing w:after="0" w:line="178"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limited operating history and may face difficulties encountered by early stage companies in new and rapidly evolving markets.</w:t>
      </w:r>
    </w:p>
    <w:p>
      <w:pPr>
        <w:spacing w:after="0" w:line="129"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We were formed in 2008. Accordingly, we have a limited operating history upon which to base an evaluation of our business and prospects. In assessing our prospects, investors must consider the risks and difficulties frequently encountered by early stage companies in new and rapidly evolving markets, particularly companies engaged in the development and sales of medical devices. These risks include our inability to:</w:t>
      </w:r>
    </w:p>
    <w:p>
      <w:pPr>
        <w:spacing w:after="0" w:line="57" w:lineRule="exact"/>
        <w:rPr>
          <w:sz w:val="20"/>
          <w:szCs w:val="20"/>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coverage by third-party, private, and government payors;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and increase awareness of our brand and strengthen customer loyalty;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domestic and international regulatory clearances or approvals, and CE Certificates of Conformity;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conformity to commercialize new products and enhance our existing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 rapidly changing and expanding operations;</w:t>
      </w:r>
    </w:p>
    <w:p>
      <w:pPr>
        <w:spacing w:after="0" w:line="11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 our direct sales force and increase the number of our third-party distributors to expand sales of our products in the United States and in targeted international markets;</w:t>
      </w:r>
    </w:p>
    <w:p>
      <w:pPr>
        <w:spacing w:after="0" w:line="48"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 and successfully execute our business and marketing strategy;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develop and enhance our products and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presence and commence operations in international markets;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 clinical research and trials on our existing products and current and future product candidates;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and retain qualified personnel.</w:t>
      </w:r>
    </w:p>
    <w:p>
      <w:pPr>
        <w:spacing w:after="0" w:line="225" w:lineRule="exact"/>
        <w:rPr>
          <w:sz w:val="20"/>
          <w:szCs w:val="20"/>
          <w:color w:val="auto"/>
        </w:rPr>
      </w:pPr>
    </w:p>
    <w:p>
      <w:pPr>
        <w:ind w:right="20" w:firstLine="446"/>
        <w:spacing w:after="0" w:line="308" w:lineRule="auto"/>
        <w:rPr>
          <w:sz w:val="20"/>
          <w:szCs w:val="20"/>
          <w:color w:val="auto"/>
        </w:rPr>
      </w:pPr>
      <w:r>
        <w:rPr>
          <w:rFonts w:ascii="Arial" w:cs="Arial" w:eastAsia="Arial" w:hAnsi="Arial"/>
          <w:sz w:val="17"/>
          <w:szCs w:val="17"/>
          <w:color w:val="auto"/>
        </w:rPr>
        <w:t>We can also be negatively affected by general economic conditions. Because of our limited operating history, we may not have insight into trends that could emerge and negatively affect our business. As a result of these or other risks, our business strategy might not be successful.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Our sales volumes and our operating results may fluctuate over the course of the year.</w:t>
      </w:r>
    </w:p>
    <w:p>
      <w:pPr>
        <w:spacing w:after="0" w:line="117"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62" w:lineRule="exact"/>
        <w:rPr>
          <w:sz w:val="20"/>
          <w:szCs w:val="20"/>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payor coverage and reimbursement;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products sold in the quarter and our ability to drive increased sales of our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products and products in development;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mix of our products sold because profit margins differ amongst our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evolving product offerings of our competitors;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domestic and international regulatory clearances or approvals, or CE Certificates of Conformity, and legislative changes affecting the products we may offer or those of our competitors;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competing technological, industry and market developments;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and marketing efforts;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 in foreign currency exchange rates;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185"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Some of the products we may seek to develop and introduce in the future will require FDA clearance or approval before commercialization in the United States, and commercialization of such products outside of the United States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business strategy proves to be flawed, or if we do not successfully implement our business strategy, our business and results of operations will be adversely affected</w:t>
      </w:r>
    </w:p>
    <w:p>
      <w:pPr>
        <w:spacing w:after="0" w:line="6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Our business strategy was based on assumptions about the market that might prove wrong. We believe that various demographics and industry-specific trends will help drive growth in the market and our business, but these demographics and trends have been and will continue to be uncertain. Actual demand for our products could differ materially from projected demand if our assumptions regarding these factors prove to be incorrect or do not materialize, or if alternative treatments to those offered by our products gain widespread acceptance.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908" w:right="239" w:bottom="1440" w:gutter="0" w:footer="0" w:header="0"/>
        </w:sectPr>
      </w:pPr>
    </w:p>
    <w:bookmarkStart w:id="40" w:name="page41"/>
    <w:bookmarkEnd w:id="40"/>
    <w:p>
      <w:pPr>
        <w:jc w:val="both"/>
        <w:ind w:firstLine="446"/>
        <w:spacing w:after="0" w:line="289" w:lineRule="auto"/>
        <w:rPr>
          <w:sz w:val="20"/>
          <w:szCs w:val="20"/>
          <w:color w:val="auto"/>
        </w:rPr>
      </w:pPr>
      <w:r>
        <w:rPr>
          <w:rFonts w:ascii="Arial" w:cs="Arial" w:eastAsia="Arial" w:hAnsi="Arial"/>
          <w:sz w:val="16"/>
          <w:szCs w:val="16"/>
          <w:color w:val="auto"/>
        </w:rPr>
        <w:t>To implement our business strategy we need to, among other things, develop and introduce new products, find new applications for and improve our existing products, obtain new domestic and international regulatory clearances or approvals and CE Certificates of Conformity and domestic and international regulatory clearance or approval for new products and applications, and educate surgeons and payors about the clinical benefits and cost effectiveness of our products. We may not be able to successfully implement our business strategy. Also, our strategy of focusing exclusively on the sacroiliac joint market may limit our ability to grow. In addition, in order to increase our sales, we will need to commercialize additional products and expand our direct and third-party distributor sales forces in existing and new regions, all of which could result in our becoming subject to additional or different foreign and domestic regulatory requirements, with which we may not be able to comply. Moreover, we may decide to alter or discontinue aspects of our business strategy and may adopt different strategies due to business or competitive factors not currently foreseen, such as new medical technologies that would make our products obsolete. Any failure to implement our business strategy may adversely affect our business, results of operations, and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key advisors or personnel.</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We are dependent upon the continued services of key members of our senior management and a limited number of key advisors and personnel. In particular, we are highly dependent on the skills and leadership of our President, Chief Executive Officer, and Chairman, Jeffrey W. Dunn.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products may have undesirable side effects which may require them to be taken off the market, require them to include safety warnings or otherwise limit their sales.</w:t>
      </w:r>
    </w:p>
    <w:p>
      <w:pPr>
        <w:spacing w:after="0" w:line="62"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or others later identify adverse events caused by our products:</w:t>
      </w:r>
    </w:p>
    <w:p>
      <w:pPr>
        <w:spacing w:after="0" w:line="117" w:lineRule="exact"/>
        <w:rPr>
          <w:sz w:val="20"/>
          <w:szCs w:val="20"/>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 we may not achieve the anticipated market share;</w:t>
      </w:r>
    </w:p>
    <w:p>
      <w:pPr>
        <w:spacing w:after="0" w:line="11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implanted or conduct additional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 (temporarily or permanently) or to conduct other field safety corrective actions;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modify our product;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litigation fines or product liability claims;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Various factors outside our direct control may adversely affect manufacturing, sterilization, and distribution of our products.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73" w:lineRule="exact"/>
        <w:rPr>
          <w:sz w:val="20"/>
          <w:szCs w:val="20"/>
          <w:color w:val="auto"/>
        </w:rPr>
      </w:pPr>
    </w:p>
    <w:p>
      <w:pPr>
        <w:ind w:left="5620" w:right="3600" w:hanging="5180"/>
        <w:spacing w:after="0" w:line="559" w:lineRule="auto"/>
        <w:tabs>
          <w:tab w:leader="none" w:pos="8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complete sterilization on time or in compliance with the required regulatory standards; 40</w:t>
      </w:r>
    </w:p>
    <w:p>
      <w:pPr>
        <w:sectPr>
          <w:pgSz w:w="11900" w:h="16838" w:orient="portrait"/>
          <w:cols w:equalWidth="0" w:num="1">
            <w:col w:w="11420"/>
          </w:cols>
          <w:pgMar w:left="240" w:top="800" w:right="239" w:bottom="1440" w:gutter="0" w:footer="0" w:header="0"/>
        </w:sectPr>
      </w:pPr>
    </w:p>
    <w:bookmarkStart w:id="41" w:name="page42"/>
    <w:bookmarkEnd w:id="41"/>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transportation and import and export risk;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analytical results or failure of analytical techniques that we will depend on for quality control and release of products;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latent defects that may become apparent after products have been released and that may result in a recall of such products.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risks were to materialize, our ability to provide our products to customers on a timely basis would be adversely impacted.</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73"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rely on third-party suppliers to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from a single supplier. Therefore, we cannot assure investors that we will be able to obtain sufficient quantities of product in the future.</w:t>
      </w:r>
    </w:p>
    <w:p>
      <w:pPr>
        <w:spacing w:after="0" w:line="188"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In addition, our anticipated growth could strain the ability of our suppliers to deliver an increasingly large supply of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66"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We generally use a small number of suppliers for our instruments and rely on one supplier, Orchid Bio-Coat, a division of Orchid Orthopedic Solutions LLC, for the coating of our first-generation iFuse implants and one supplier, rms Company, for our second-generation iFuse-3D implants. Our dependence on such a limited number of suppliers exposes us to risks, including, among other things:</w:t>
      </w:r>
    </w:p>
    <w:p>
      <w:pPr>
        <w:spacing w:after="0" w:line="73" w:lineRule="exact"/>
        <w:rPr>
          <w:sz w:val="20"/>
          <w:szCs w:val="20"/>
          <w:color w:val="auto"/>
        </w:rPr>
      </w:pPr>
    </w:p>
    <w:p>
      <w:pPr>
        <w:ind w:left="880" w:right="2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62"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be subject to price fluctuations due to a lack of long-term supply arrangements for key components;</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lose access to critical services and components, resulting in an interruption in the manufacture, assembly and shipment of our systems;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experience delays in delivery by our third-party manufacturers and suppliers due to changes in demand from us or their other customers;</w:t>
      </w:r>
    </w:p>
    <w:p>
      <w:pPr>
        <w:spacing w:after="0" w:line="140" w:lineRule="exact"/>
        <w:rPr>
          <w:rFonts w:ascii="Arial" w:cs="Arial" w:eastAsia="Arial" w:hAnsi="Arial"/>
          <w:sz w:val="16"/>
          <w:szCs w:val="16"/>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third-party manufacturers and suppliers may wish to discontinue supplying components or services to us for risk management reasons;</w:t>
      </w:r>
    </w:p>
    <w:p>
      <w:pPr>
        <w:spacing w:after="0" w:line="128"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third-party manufacturers and suppliers may encounter financial hardships unrelated to our demand, which could inhibit their ability to fulfill our orders and meet our requirements.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92" w:right="239" w:bottom="1440" w:gutter="0" w:footer="0" w:header="0"/>
        </w:sectPr>
      </w:pPr>
    </w:p>
    <w:bookmarkStart w:id="42" w:name="page43"/>
    <w:bookmarkEnd w:id="42"/>
    <w:p>
      <w:pPr>
        <w:jc w:val="both"/>
        <w:ind w:firstLine="446"/>
        <w:spacing w:after="0" w:line="259" w:lineRule="auto"/>
        <w:rPr>
          <w:sz w:val="20"/>
          <w:szCs w:val="20"/>
          <w:color w:val="auto"/>
        </w:rPr>
      </w:pPr>
      <w:r>
        <w:rPr>
          <w:rFonts w:ascii="Arial" w:cs="Arial" w:eastAsia="Arial" w:hAnsi="Arial"/>
          <w:sz w:val="18"/>
          <w:szCs w:val="18"/>
          <w:color w:val="auto"/>
        </w:rPr>
        <w:t>If any one or more of these risks materialize, it could significantly increase our costs and impact our ability to meet demand for our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146"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spacing w:after="0" w:line="183"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78"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We may also have difficulty obtaining similar components from other suppliers that are acceptable to the FDA our Notified Body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78"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In addition, each of our third-party suppliers operates at a facility in a single location and substantially all of our inventory of component supplies and finished goods is held at these locations. We, and our suppliers, take precautions to safeguard facilities, including acquiring insurance, employing back-up generators, adopting health and safety protocols, and utilizing off-site storage of computer data. However,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our sales grow, we may encounter problems or delays in the assembly of our products or fail to meet certain regulatory requirements which could result in an adverse effect on our business and financial results.</w:t>
      </w:r>
    </w:p>
    <w:p>
      <w:pPr>
        <w:spacing w:after="0" w:line="62"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73" w:lineRule="exact"/>
        <w:rPr>
          <w:sz w:val="20"/>
          <w:szCs w:val="20"/>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managing production yields;</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quality control and assurance;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component and service availability;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adequate control policies and procedures;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hiring and retaining qualified personnel;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complying with state, federal, and foreign regulations.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0" w:right="239" w:bottom="1440" w:gutter="0" w:footer="0" w:header="0"/>
        </w:sectPr>
      </w:pPr>
    </w:p>
    <w:bookmarkStart w:id="43" w:name="page44"/>
    <w:bookmarkEnd w:id="43"/>
    <w:p>
      <w:pPr>
        <w:jc w:val="both"/>
        <w:ind w:firstLine="446"/>
        <w:spacing w:after="0" w:line="342" w:lineRule="auto"/>
        <w:rPr>
          <w:sz w:val="20"/>
          <w:szCs w:val="20"/>
          <w:color w:val="auto"/>
        </w:rPr>
      </w:pPr>
      <w:r>
        <w:rPr>
          <w:rFonts w:ascii="Arial" w:cs="Arial" w:eastAsia="Arial" w:hAnsi="Arial"/>
          <w:sz w:val="16"/>
          <w:szCs w:val="16"/>
          <w:color w:val="auto"/>
        </w:rPr>
        <w:t>If we are unable to satisfy commercial demand for our iFuse system due to our inability to assemble and test, our ability to generate revenue would be impaired, market acceptance of our products could be adversely affected and customers may instead purchase or use our competitors’ products.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enhance and broaden our product offerings through our research and development efforts, we may be unable to compete effectively.</w:t>
      </w:r>
    </w:p>
    <w:p>
      <w:pPr>
        <w:spacing w:after="0" w:line="140"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In order to increase our market share in the sacroiliac joint fusion market, we must enhance and broaden our product offerings in response to changing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64" w:lineRule="exact"/>
        <w:rPr>
          <w:sz w:val="20"/>
          <w:szCs w:val="20"/>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properly identify and anticipate surgeon and patient needs;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demonstrate the safety and effectiveness of new products; and</w:t>
      </w:r>
    </w:p>
    <w:p>
      <w:pPr>
        <w:spacing w:after="0" w:line="11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the necessary domestic and international regulatory clearances or approvals and CE Certificates of Conformity for new products or product enhancements.</w:t>
      </w:r>
    </w:p>
    <w:p>
      <w:pPr>
        <w:spacing w:after="0" w:line="170"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required to maintain adequate levels of inventory, the failure of which could consume our resources and reduce our cash flows.</w:t>
      </w:r>
    </w:p>
    <w:p>
      <w:pPr>
        <w:spacing w:after="0" w:line="129"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As a result of the need to maintain adequate levels of inventory, we are subject to the risk of inventory obsolescence. Many of our products come in sets, which feature components in a variety of sizes so that the implant or device may be customized to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1" w:right="2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8"/>
          <w:szCs w:val="18"/>
          <w:b w:val="1"/>
          <w:bCs w:val="1"/>
          <w:i w:val="1"/>
          <w:iCs w:val="1"/>
          <w:color w:val="auto"/>
        </w:rPr>
        <w:t>The size and future growth in the market for iFuse has not been established with precision and may be smaller than we estimate, possibly materially. In addition, our estimates of cost savings to the economy and healthcare system as a result of the iFuse procedure are based on our internal estimates and market research and could also be smaller than we estimate, possibly materially. If our estimates and projections overestimate the size of this market or cost savings, our sales growth may be adversely affected.</w:t>
      </w:r>
    </w:p>
    <w:p>
      <w:pPr>
        <w:spacing w:after="0" w:line="79"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We are not aware of an independent third-party study that reliably reports the potential market size for iFuse or cost savings as a result of the iFuse procedure. Therefore, our estimates of the size and future growth in the market for our iFuse products, including cost savings to the economy overall, including patients and employers, and to the healthcare system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For example, the surveys we have conducted are based on a small number of respondents and are not statistically significant and may have other limitations.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suffer if we are unable to manage our planned international expansion effectively.</w:t>
      </w:r>
    </w:p>
    <w:p>
      <w:pPr>
        <w:spacing w:after="0" w:line="117"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or FCPA, and the United Kingdom Bribery Act, or UKBA, anti-boycott laws, anti-money laundering laws, and regulations relating to economic sanctions imposed by the United States, including the Office of Foreign Asset Control of the U.S. Treasury. Any failure to comply with applicable legal and regulatory obligations in the United States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some of the countries in which we sell or plan to sell our products are, to some degree, subject to various risks, including:</w:t>
      </w:r>
    </w:p>
    <w:p>
      <w:pPr>
        <w:spacing w:after="0" w:line="117" w:lineRule="exact"/>
        <w:rPr>
          <w:sz w:val="20"/>
          <w:szCs w:val="20"/>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exposure to different legal and regulatory standards;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stringent protection of intellectual property;</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obstacles to obtaining domestic and foreign export, import, and other governmental approvals, permits, and licenses and compliance with foreign laws;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adverse tax consequences and the complexities of foreign value-added tax systems;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changes in tariffs and trade restrictions;</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transportation delays and difficulties of managing international distribution channels;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collection periods and difficulties in collecting receivables from foreign entities;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financing costs;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risks;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social, and economic instability and increased security concerns.</w:t>
      </w:r>
    </w:p>
    <w:p>
      <w:pPr>
        <w:spacing w:after="0" w:line="22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5" w:name="page46"/>
    <w:bookmarkEnd w:id="45"/>
    <w:p>
      <w:pPr>
        <w:jc w:val="both"/>
        <w:ind w:firstLine="446"/>
        <w:spacing w:after="0" w:line="264" w:lineRule="auto"/>
        <w:rPr>
          <w:sz w:val="20"/>
          <w:szCs w:val="20"/>
          <w:color w:val="auto"/>
        </w:rPr>
      </w:pPr>
      <w:r>
        <w:rPr>
          <w:rFonts w:ascii="Arial" w:cs="Arial" w:eastAsia="Arial" w:hAnsi="Arial"/>
          <w:sz w:val="18"/>
          <w:szCs w:val="18"/>
          <w:color w:val="auto"/>
        </w:rPr>
        <w:t>Our goal of a successful international expansion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future our products may become obsolete, which would negatively affect operations and financial condition.</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medical and changes through the development and introduction of new products. Product development involves a high degree of risk and there can be no assurance that our new product development efforts will result in any commercially successful products.</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62"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w:t>
      </w:r>
    </w:p>
    <w:p>
      <w:pPr>
        <w:spacing w:after="0" w:line="62" w:lineRule="exact"/>
        <w:rPr>
          <w:sz w:val="20"/>
          <w:szCs w:val="20"/>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and marketing, accounting, and financial functions;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engineering and product development tasks;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research and development data.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information technology systems are vulnerable to damage or interruption from:</w:t>
      </w:r>
    </w:p>
    <w:p>
      <w:pPr>
        <w:spacing w:after="0" w:line="117" w:lineRule="exact"/>
        <w:rPr>
          <w:sz w:val="20"/>
          <w:szCs w:val="20"/>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earthquakes, fires, floods, and other natural disasters;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terrorist attacks and attacks by computer viruses or hackers;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power losses;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computer systems, or Internet, telecommunications, or data network failures.</w:t>
      </w:r>
    </w:p>
    <w:p>
      <w:pPr>
        <w:spacing w:after="0" w:line="18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81"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28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6"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73" w:lineRule="exact"/>
        <w:rPr>
          <w:sz w:val="20"/>
          <w:szCs w:val="20"/>
          <w:color w:val="auto"/>
        </w:rPr>
      </w:pPr>
    </w:p>
    <w:p>
      <w:pPr>
        <w:ind w:left="5620" w:right="4500" w:hanging="5180"/>
        <w:spacing w:after="0" w:line="559" w:lineRule="auto"/>
        <w:tabs>
          <w:tab w:leader="none" w:pos="8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 45</w:t>
      </w:r>
    </w:p>
    <w:p>
      <w:pPr>
        <w:sectPr>
          <w:pgSz w:w="11900" w:h="16838" w:orient="portrait"/>
          <w:cols w:equalWidth="0" w:num="1">
            <w:col w:w="11420"/>
          </w:cols>
          <w:pgMar w:left="240" w:top="800" w:right="239" w:bottom="1440" w:gutter="0" w:footer="0" w:header="0"/>
        </w:sectPr>
      </w:pPr>
    </w:p>
    <w:bookmarkStart w:id="46" w:name="page47"/>
    <w:bookmarkEnd w:id="46"/>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costs and liabilities associated with acquisitions;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5"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62"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color w:val="auto"/>
        </w:rPr>
        <w:t>In the ordinary course of our business, we may enter into collaborations, in-licensing arrangements, joint ventures, strategic alliances, partnerships, or other arrangements to develop products and to pursue new markets. We have not entered into any collaboration arrangements to date.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66"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 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78"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9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62" w:lineRule="exact"/>
        <w:rPr>
          <w:sz w:val="20"/>
          <w:szCs w:val="20"/>
          <w:color w:val="auto"/>
        </w:rPr>
      </w:pPr>
    </w:p>
    <w:p>
      <w:pPr>
        <w:ind w:firstLine="446"/>
        <w:spacing w:after="0" w:line="308" w:lineRule="auto"/>
        <w:rPr>
          <w:sz w:val="20"/>
          <w:szCs w:val="20"/>
          <w:color w:val="auto"/>
        </w:rPr>
      </w:pPr>
      <w:r>
        <w:rPr>
          <w:rFonts w:ascii="Arial" w:cs="Arial" w:eastAsia="Arial" w:hAnsi="Arial"/>
          <w:sz w:val="17"/>
          <w:szCs w:val="17"/>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38"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good manufacturing practices requirements;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81"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Before we can market or sell a new regulated product or make a significant modification to an existing product in the United States, with very limited exception, we must obtain either clearance under Section 510(k) of the FDCA for Class II devices or approval of a premarket approval, or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905" w:right="239" w:bottom="1440" w:gutter="0" w:footer="0" w:header="0"/>
        </w:sectPr>
      </w:pPr>
    </w:p>
    <w:bookmarkStart w:id="48" w:name="page49"/>
    <w:bookmarkEnd w:id="48"/>
    <w:p>
      <w:pPr>
        <w:jc w:val="both"/>
        <w:ind w:firstLine="446"/>
        <w:spacing w:after="0" w:line="271" w:lineRule="auto"/>
        <w:rPr>
          <w:sz w:val="20"/>
          <w:szCs w:val="20"/>
          <w:color w:val="auto"/>
        </w:rPr>
      </w:pPr>
      <w:r>
        <w:rPr>
          <w:rFonts w:ascii="Arial" w:cs="Arial" w:eastAsia="Arial" w:hAnsi="Arial"/>
          <w:sz w:val="17"/>
          <w:szCs w:val="17"/>
          <w:color w:val="auto"/>
        </w:rPr>
        <w:t>In the United States,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17"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products are safe and effective for their intended users;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2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w:t>
      </w:r>
    </w:p>
    <w:p>
      <w:pPr>
        <w:spacing w:after="0" w:line="170"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United States.</w:t>
      </w:r>
    </w:p>
    <w:p>
      <w:pPr>
        <w:spacing w:after="0" w:line="187"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In the EEA, our medical devices must comply with the Essential Requirements set forth in Annex I to the EU Medical Devices Directive (Council Directive 93/42/EEC), or Essential Requirements. Compliance with these requirements is a prerequisite to be able to affix the CE mark to our medical devices, without which they cannot be marketed or sold in the EEA. To demonstrate compliance with the Essential Requirements we must undergo a conformity assessment procedure, which varies according to the type of medical device and its classification. Except for low risk medical devices (Class I), where the manufacturer can issue an EC Declaration of Conformity based on a self-assessment of the conformity of its products with the Essential Requirements, a conformity assessment procedure requires the intervention of a third-party organization designated by the competent authorities of a EEA country to conduct conformity assessments, known as a Notified Body. The Notified Body would typically audit and examine the medical device’s Technical File, the quality system for the manufacture, design and conduct a final inspection of our medical devices before issuing a CE Certificate of Conformity demonstrating compliance with the Essential Requirements or the QSR of the Medical Devices Directive.</w:t>
      </w:r>
    </w:p>
    <w:p>
      <w:pPr>
        <w:spacing w:after="0" w:line="182"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Additionally, as part of the conformity assessment process, medical device manufacturers must carry out a clinical evaluation of their medical devices to verify that they comply with the relevant Essential Requirements covering safety and performance.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 warnings) and the suitability of related Instructions for Use. This assessment must be based on clinical data, which can be obtained from (i) clinical studies conducted on the devices being assessed; (ii) scientific literature from similar devices whose equivalence with the assessed device can be demonstrated; or (iii) both clinical studies and scientific literature. With respect to implantable devices, or devices classified as Class III in the EU, the manufacturer must conduct clinical studies to obtain the required clinical data, unless the relying on existing clinical data from similar devices can be justified. As part of the conformity assessment procedure, depending on the type of devices, the Notified Body will review the manufacturer’s clinical evaluation for the medical device. The conduct of clinical studies to obtain clinical data that might be required as part of the described clinical evaluation process can be expensive and time consuming.</w:t>
      </w:r>
    </w:p>
    <w:p>
      <w:pPr>
        <w:spacing w:after="0" w:line="180"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The FDA and other regulatory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00" w:right="239"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w:t>
      </w:r>
    </w:p>
    <w:p>
      <w:pPr>
        <w:spacing w:after="0" w:line="117"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of distribution;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recalls or seizures of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facility closures;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refusal of the FDA or our Notified Body or other regulator to grant future clearances or approvals or to issue CE Certificates of Conformity;</w:t>
      </w:r>
    </w:p>
    <w:p>
      <w:pPr>
        <w:spacing w:after="0" w:line="128"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withdrawals or suspensions of current clearances or approvals and CE Certificates of Conformity, resulting in prohibitions on sales of our products; and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most serious cases, criminal penalties.</w:t>
      </w:r>
    </w:p>
    <w:p>
      <w:pPr>
        <w:spacing w:after="0" w:line="22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sales representatives must comply with U.S. federal and state fraud and abuse laws, including those relating to physician kickbacks and false claims for reimbursement, as well as equivalent foreign laws.</w:t>
      </w:r>
    </w:p>
    <w:p>
      <w:pPr>
        <w:spacing w:after="0" w:line="62" w:lineRule="exact"/>
        <w:rPr>
          <w:sz w:val="20"/>
          <w:szCs w:val="20"/>
          <w:color w:val="auto"/>
        </w:rPr>
      </w:pPr>
    </w:p>
    <w:p>
      <w:pPr>
        <w:jc w:val="both"/>
        <w:ind w:firstLine="446"/>
        <w:spacing w:after="0" w:line="287" w:lineRule="auto"/>
        <w:rPr>
          <w:sz w:val="20"/>
          <w:szCs w:val="20"/>
          <w:color w:val="auto"/>
        </w:rPr>
      </w:pPr>
      <w:r>
        <w:rPr>
          <w:rFonts w:ascii="Arial" w:cs="Arial" w:eastAsia="Arial" w:hAnsi="Arial"/>
          <w:sz w:val="16"/>
          <w:szCs w:val="16"/>
          <w:color w:val="auto"/>
        </w:rPr>
        <w:t>Healthcare providers, distributors, physicians,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We have a compliance program, Code of Conduct, and associated policies and procedures,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and government authorities may conclude that our business practices do not comply with applicable fraud and abuse or other healthcare laws and regulations or guidance despite our good faith efforts to comply.</w:t>
      </w:r>
    </w:p>
    <w:p>
      <w:pPr>
        <w:spacing w:after="0" w:line="173" w:lineRule="exact"/>
        <w:rPr>
          <w:sz w:val="20"/>
          <w:szCs w:val="20"/>
          <w:color w:val="auto"/>
        </w:rPr>
      </w:pPr>
    </w:p>
    <w:p>
      <w:pPr>
        <w:jc w:val="both"/>
        <w:ind w:right="20" w:firstLine="446"/>
        <w:spacing w:after="0" w:line="308"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w:t>
      </w:r>
    </w:p>
    <w:p>
      <w:pPr>
        <w:spacing w:after="0" w:line="14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Healthcare fraud and abuse laws and related regulations are complex, and even minor irregularities can potentially give rise to claims that a statute or prohibition has been violated. The laws that may affect our ability to operate include:</w:t>
      </w:r>
    </w:p>
    <w:p>
      <w:pPr>
        <w:spacing w:after="0" w:line="62" w:lineRule="exact"/>
        <w:rPr>
          <w:sz w:val="20"/>
          <w:szCs w:val="20"/>
          <w:color w:val="auto"/>
        </w:rPr>
      </w:pPr>
    </w:p>
    <w:p>
      <w:pPr>
        <w:jc w:val="both"/>
        <w:ind w:left="880" w:hanging="440"/>
        <w:spacing w:after="0" w:line="259"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such as the Medicare and Medicaid programs;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00" w:right="239" w:bottom="1440" w:gutter="0" w:footer="0" w:header="0"/>
        </w:sectPr>
      </w:pPr>
    </w:p>
    <w:bookmarkStart w:id="50" w:name="page51"/>
    <w:bookmarkEnd w:id="50"/>
    <w:p>
      <w:pPr>
        <w:jc w:val="both"/>
        <w:ind w:left="880" w:hanging="440"/>
        <w:spacing w:after="0" w:line="297"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False Claims Act, which prohibits, among other things, individuals or entities from knowingly presenting, or causing to be presented, false or fraudulent claims for payment of government funds; knowingly making, using, or causing to be made or used, a false record or statement to get a false claim paid or to avoid, decrease, or conceal an obligation to pay money to the federal government. A claim including items or services resulting from a violation of the federal Anti-Kickback Statute constitutes a false or fraudulent claim for purposes of the False Claims Act. There are also criminal penalties for making or presenting a false or fictitious or fraudulent claim to the federal government;</w:t>
      </w:r>
    </w:p>
    <w:p>
      <w:pPr>
        <w:spacing w:after="0" w:line="50" w:lineRule="exact"/>
        <w:rPr>
          <w:rFonts w:ascii="Arial" w:cs="Arial" w:eastAsia="Arial" w:hAnsi="Arial"/>
          <w:sz w:val="16"/>
          <w:szCs w:val="16"/>
          <w:color w:val="auto"/>
        </w:rPr>
      </w:pPr>
    </w:p>
    <w:p>
      <w:pPr>
        <w:jc w:val="both"/>
        <w:ind w:left="880" w:hanging="440"/>
        <w:spacing w:after="0" w:line="276"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64" w:lineRule="exact"/>
        <w:rPr>
          <w:rFonts w:ascii="Arial" w:cs="Arial" w:eastAsia="Arial" w:hAnsi="Arial"/>
          <w:sz w:val="17"/>
          <w:szCs w:val="17"/>
          <w:color w:val="auto"/>
        </w:rPr>
      </w:pPr>
    </w:p>
    <w:p>
      <w:pPr>
        <w:jc w:val="both"/>
        <w:ind w:left="880" w:hanging="440"/>
        <w:spacing w:after="0" w:line="25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Physician Payment Sunshine Act, which requires manufacturers of drugs, devices, biologics and medical supplies for which payment is available under Medicare, Medicaid, or the Children’s Health Insurance Program to report annually to the Centers for Medicare &amp; Medicaid Services, or CMS, information related to payments or other “transfers of value” made to physicians and teaching hospitals, and requires applicable manufacturers to report annually to CMS ownership and investment interests held by physicians and their immediate family members and payments or other “transfers of value” to such physician owners; and</w:t>
      </w:r>
    </w:p>
    <w:p>
      <w:pPr>
        <w:spacing w:after="0" w:line="80" w:lineRule="exact"/>
        <w:rPr>
          <w:rFonts w:ascii="Arial" w:cs="Arial" w:eastAsia="Arial" w:hAnsi="Arial"/>
          <w:sz w:val="18"/>
          <w:szCs w:val="18"/>
          <w:color w:val="auto"/>
        </w:rPr>
      </w:pPr>
    </w:p>
    <w:p>
      <w:pPr>
        <w:jc w:val="both"/>
        <w:ind w:left="880" w:hanging="440"/>
        <w:spacing w:after="0" w:line="255"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analogous state and foreign law equivalents of each of the above federal laws, such as anti-kickback and false claims laws, which may apply to items or services reimbursed by any third-party payor, including commercial insurers;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49"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If we or our employees are found to have violated any of the above laws we may be subjected to administrative, civil and criminal penalties, including imprisonment, exclusion from participation in federal healthcare programs, such as Medicare and Medicaid, and significant fines, monetary penalties and damages, and damage to our reputation.</w:t>
      </w:r>
    </w:p>
    <w:p>
      <w:pPr>
        <w:spacing w:after="0" w:line="181"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We have entered into consulting agreements and royalty agreements with surgeons, including some who are customers. We also engage in co-marketing arrangements with certain surgeons who use our products. In addition, a small number of our current customer surgeons own less than 1.0% of our stock, which they either purchased in an arm’s length transaction on terms identical to those offered to others or received from us as fair market value consideration for consulting services performed. While all of these transactions were structured with the intention of complying with all applicable laws, including the federal Anti-Kickback Statute, state anti-kickback laws and other applicable laws, to the extent applicable, it is possible that regulatory agencies may view these transactions as prohibited arrangements that must be restructured, or discontinued, or for which we could be subject to significant penalties.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197"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 xml:space="preserve">In certain cases, federal and state authorities pursue actions for false claims on the basis that manufacturers and distributors are promoting unapproved, or “off-label” uses of their products. Pursuant to FDA regulations, we can only market our products for cleared or approved uses. Although surgeons are permitted to use medical devices for indications other than those cleared or approved by the FDA, we are prohibited from promoting products for “off-label” uses. We market our products and provide promotional materials and training programs to surgeons regarding the use of our products. If it is determined that our marketing, promotional materials or training programs constitute promotion of unapproved uses, we could be subject to significant fines in addition to regulatory enforcement actions, including the issuance of a warning letter, injunction, seizure, criminal penalty, and damage to our reputation. Federal and state authorities also pursue actions for false claims based upon improper billing and coding advice or recommendations, as well as decisions related to the medical necessity of procedures, including the site-of-service where procedures are performed. Actions under the federal False Claims Act may also be brought by whistleblowers under its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provisions.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92" w:right="239" w:bottom="1440" w:gutter="0" w:footer="0" w:header="0"/>
        </w:sectPr>
      </w:pPr>
    </w:p>
    <w:bookmarkStart w:id="51" w:name="page52"/>
    <w:bookmarkEnd w:id="51"/>
    <w:p>
      <w:pPr>
        <w:jc w:val="both"/>
        <w:ind w:firstLine="446"/>
        <w:spacing w:after="0" w:line="271" w:lineRule="auto"/>
        <w:rPr>
          <w:sz w:val="20"/>
          <w:szCs w:val="20"/>
          <w:color w:val="auto"/>
        </w:rPr>
      </w:pPr>
      <w:r>
        <w:rPr>
          <w:rFonts w:ascii="Arial" w:cs="Arial" w:eastAsia="Arial" w:hAnsi="Arial"/>
          <w:sz w:val="17"/>
          <w:szCs w:val="17"/>
          <w:color w:val="auto"/>
        </w:rPr>
        <w:t>To enforce compliance with the federal laws, the U.S. Department of Justice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79"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scope and enforcement of these laws is uncertain and subject to rapid change. The shifting compliance environment and the need to build and maintain robust and expandable systems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adequately protect personal information in compliance with evolving legal requirements could harm our business.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the ordinary course of our business, we collect and store sensitive data, including legally protected personally identifiable information. We collect this kind of information during the course of clinical trials and for post-marketing safety vigilance, helping enable surgeons and their patients to pursue claims for reimbursement for procedures using iFuse and servicing potential warranty claims.</w:t>
      </w:r>
    </w:p>
    <w:p>
      <w:pPr>
        <w:spacing w:after="0" w:line="181"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There are a number of state, federal, and international laws protecting the privacy and security of health information and personal data. These data protection and privacy-related laws and regulations are evolving and may result in ever-increasing regulatory and public scrutiny of companies’ data practices and escalating levels of enforcement and sanctions. As part of the American Recovery and Reinvestment Act 2009, or ARRA, Congress amended the privacy and security provisions of the Health Insurance Portability and Accountability Act, or HIPAA. HIPAA imposes certain requirements regarding the privacy, security, use, and disclosure of an individual’s protected health information, or PHI, by certain health care providers, health care clearinghouses, and health insurance plans, collectively referred to as “covered entities,” and their “business associates,” or subcontractors who provide services to covered entities that involve the creation, use, maintenance, or disclosure of PHI. ARRA included significant increases in the penalties for improper use or disclosure of an individual’s PHI under HIPAA and extended enforcement authority to state attorneys general. The amendments also created notification requirements applicable to covered entities and business associates in certain cases when PHI in their control has been inappropriately accessed or disclosed. In the case of a breach of unsecured PHI, covered entities may be required to provide notification to individuals affected by the breach, federal regulators, and, in some cases, local and national media. In addition to HIPAA, most states have laws requiring notification of affected individuals and state regulators in the event of a breach of “personal information,” which is a broader class of information than the PHI protected by HIPAA. Certain states also have data privacy requirements applicable to individually identifiable health information. Privacy laws in different states may contain different requirements, and such laws may not be pre-empted by HIPAA, which could complicate our efforts to comply.</w:t>
      </w:r>
    </w:p>
    <w:p>
      <w:pPr>
        <w:spacing w:after="0" w:line="185"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In addition, even when HIPAA does not apply, according to the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158" w:lineRule="exact"/>
        <w:rPr>
          <w:sz w:val="20"/>
          <w:szCs w:val="20"/>
          <w:color w:val="auto"/>
        </w:rPr>
      </w:pPr>
    </w:p>
    <w:p>
      <w:pPr>
        <w:jc w:val="both"/>
        <w:ind w:firstLine="446"/>
        <w:spacing w:after="0" w:line="288" w:lineRule="auto"/>
        <w:rPr>
          <w:sz w:val="20"/>
          <w:szCs w:val="20"/>
          <w:color w:val="auto"/>
        </w:rPr>
      </w:pPr>
      <w:r>
        <w:rPr>
          <w:rFonts w:ascii="Arial" w:cs="Arial" w:eastAsia="Arial" w:hAnsi="Arial"/>
          <w:sz w:val="16"/>
          <w:szCs w:val="16"/>
          <w:color w:val="auto"/>
        </w:rPr>
        <w:t>Many foreign countries and governmental bodies, including the EU, Australia, and other relevant jurisdictions, have laws and regulations concerning the collection and use of personal or sensitive data obtained from their residents or by businesses operating within their jurisdiction. For example, the European Commission recently adopted the General Data Protection Regulation, or the GDPR, effective on May 25, 2018, that superseded current EU data protection legislation, imposed more stringent EU data protection requirements and provides for greater penalties for noncompliance. The GDPR applies to any company established in the EU as well as to those outside the EU if they collect and use “personal data,” or any information relating to an identified or identifiable natural person,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substantial new obligations on services providers. Non-compliance with the GDPR can trigger steep fines of up to €20 million or 4% of total worldwide annual revenues, whichever is higher. Given the breadth and depth of changes in data protection obligations, achieving and maintaining GDPR compliance will require considerable time and resources.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00" w:right="239" w:bottom="1440" w:gutter="0" w:footer="0" w:header="0"/>
        </w:sectPr>
      </w:pPr>
    </w:p>
    <w:bookmarkStart w:id="52" w:name="page53"/>
    <w:bookmarkEnd w:id="52"/>
    <w:p>
      <w:pPr>
        <w:jc w:val="both"/>
        <w:ind w:firstLine="446"/>
        <w:spacing w:after="0" w:line="257" w:lineRule="auto"/>
        <w:rPr>
          <w:sz w:val="20"/>
          <w:szCs w:val="20"/>
          <w:color w:val="auto"/>
        </w:rPr>
      </w:pPr>
      <w:r>
        <w:rPr>
          <w:rFonts w:ascii="Arial" w:cs="Arial" w:eastAsia="Arial" w:hAnsi="Arial"/>
          <w:sz w:val="18"/>
          <w:szCs w:val="18"/>
          <w:color w:val="auto"/>
        </w:rPr>
        <w:t>We are at risk of enforcement actions taken by certain EU data protection authorities until such point in time that we may be able to ensure that all transfers of personal data to us from the European Economic Area are conducted in compliance with all applicable regulatory obligations, the guidance of data protection authorities and evolving best practices. We may find it necessary to establish systems to maintain personal data originating from the EU in the European Economic Area, which may involve substantial expense and may cause us to need to divert resources from other aspects of our business, all of which may adversely affect our business.</w:t>
      </w:r>
    </w:p>
    <w:p>
      <w:pPr>
        <w:spacing w:after="0" w:line="188"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on our operations, financial performance, and business. Evolving and changing definitions of personal data and personal information, within the European Union, the United States,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non-U.S. operations.</w:t>
      </w:r>
    </w:p>
    <w:p>
      <w:pPr>
        <w:spacing w:after="0" w:line="117"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United States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83"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Furthermore, we are subject to anti-boycott laws, anti-money laundering laws, and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73"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Any product for which we obtain regulatory clearance or approval, or a CE Certificate of Conformity, and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or QSR, and International Standards Organization,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78"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38" w:lineRule="exact"/>
        <w:rPr>
          <w:sz w:val="20"/>
          <w:szCs w:val="20"/>
          <w:color w:val="auto"/>
        </w:rPr>
      </w:pPr>
    </w:p>
    <w:p>
      <w:pPr>
        <w:ind w:left="5620" w:right="4920" w:hanging="5180"/>
        <w:spacing w:after="0" w:line="659" w:lineRule="auto"/>
        <w:tabs>
          <w:tab w:leader="none" w:pos="882"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untitled letters, warning letters, fines, injunctions, consent, and civil penalties; 52</w:t>
      </w:r>
    </w:p>
    <w:p>
      <w:pPr>
        <w:sectPr>
          <w:pgSz w:w="11900" w:h="16838" w:orient="portrait"/>
          <w:cols w:equalWidth="0" w:num="1">
            <w:col w:w="11420"/>
          </w:cols>
          <w:pgMar w:left="240" w:top="760" w:right="239" w:bottom="1440" w:gutter="0" w:footer="0" w:header="0"/>
        </w:sectPr>
      </w:pPr>
    </w:p>
    <w:bookmarkStart w:id="53" w:name="page54"/>
    <w:bookmarkEnd w:id="53"/>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refusing or delaying our requests for 510(k) clearance or premarket approval and conformity assessments of new products or modified products;</w:t>
      </w:r>
    </w:p>
    <w:p>
      <w:pPr>
        <w:spacing w:after="0" w:line="140" w:lineRule="exact"/>
        <w:rPr>
          <w:rFonts w:ascii="Arial" w:cs="Arial" w:eastAsia="Arial" w:hAnsi="Arial"/>
          <w:sz w:val="16"/>
          <w:szCs w:val="16"/>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on the intended uses for which the product may be marketed;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or withdrawal of CE Certificates of Conformity;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In addition, we may be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92"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w:t>
      </w:r>
    </w:p>
    <w:p>
      <w:pPr>
        <w:spacing w:after="0" w:line="148"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66"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FDA inspected our facilities in May 2014. As a result, we received a Notice of Inspectional Observations, or Form 483, with three observations that have since been addressed with a corrective and preventative action, or CAPA, plan. We responded to the Agency in writing and the matter was closed as of October 2014 through the issuance of an Establishment Inspection Report. To date, the FDA has not taken any further action with respect to the May 2014 inspection or its findings. The FDA inspected our facilities again in December 2016 and no findings were noted.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92" w:right="2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62"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 compliance program, code of conduct and associated policies and procedures,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62"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Our promotional materials and training methods must comply with FDA and other applicable laws and regulations, including the prohibition of the promotion of off-label use. Physicians may use our products off-label, as the FDA does not restrict or regulate a physician’s choice of treatment within the practice of medicine. In the United States, the full indication for the iFuse Implant System is: “The iFuse Implant System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The iFuse Implant System is also intended for sacroiliac fusion to augment immobilization and stabilization of the sacroiliac joint in skeletally mature patients undergoing sacropelvic fixation as part of a lumbar or thoracolumbar fusion” In the United States,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87"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We believe that the specific surgical procedures for which our products are marketed fall within the scope of the surgical applications that have been cleared by the FDA. However, if the FDA determines that our promotional materials or training constitutes promotion of an off-label use, it could request that we modify our training or promotional materials, require us to stop promoting our products for those specific procedures until we obtain FDA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62"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Further, under the FDA’s medical device reporting, regulations, we are required to report to the FDA any information that our product may have caused or contributed to a death or serious injury or in which our product malfunctioned and, if the malfunction were to recur, would likely cause or contribute to death or serious injury. If we fail to report these events to the FDA within the required timeframes, or at all, FDA could take enforcement action against us. Any such adverse event involving our products or repeated product malfunctions may result in a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908" w:right="239" w:bottom="1440" w:gutter="0" w:footer="0" w:header="0"/>
        </w:sectPr>
      </w:pPr>
    </w:p>
    <w:bookmarkStart w:id="55" w:name="page56"/>
    <w:bookmarkEnd w:id="55"/>
    <w:p>
      <w:pPr>
        <w:jc w:val="both"/>
        <w:ind w:firstLine="446"/>
        <w:spacing w:after="0" w:line="272" w:lineRule="auto"/>
        <w:rPr>
          <w:sz w:val="20"/>
          <w:szCs w:val="20"/>
          <w:color w:val="auto"/>
        </w:rPr>
      </w:pPr>
      <w:r>
        <w:rPr>
          <w:rFonts w:ascii="Arial" w:cs="Arial" w:eastAsia="Arial" w:hAnsi="Arial"/>
          <w:sz w:val="17"/>
          <w:szCs w:val="17"/>
          <w:color w:val="auto"/>
        </w:rPr>
        <w:t>In the EEA, we must comply with the EU Medical Device Vigilance System. Under this system, incidents must be reported to the relevant authorities of the Member States of the EEA, and manufacturers are required to take Field Safety Corrective Actions, or FSCAs, to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An FSCA may include the recall, modification, exchange, destruction or retrofitting of the device FSCAs must be communicated by the manufacturer or its legal representative to its customers and/or to the end users of the device through Field Safety Notices.</w:t>
      </w:r>
    </w:p>
    <w:p>
      <w:pPr>
        <w:spacing w:after="0" w:line="178"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Any adverse event involving our products, whether in the United States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73"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81"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78"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w:t>
      </w:r>
    </w:p>
    <w:p>
      <w:pPr>
        <w:spacing w:after="0" w:line="29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6"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 We have made modifications to our products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products as modified until clearance or approvals can be obtained, which could require us to redesign our products and harm our operating results. In these circumstances, we may be subject to significant enforcement actions.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00" w:right="239" w:bottom="1440" w:gutter="0" w:footer="0" w:header="0"/>
        </w:sectPr>
      </w:pPr>
    </w:p>
    <w:bookmarkStart w:id="56" w:name="page57"/>
    <w:bookmarkEnd w:id="56"/>
    <w:p>
      <w:pPr>
        <w:jc w:val="both"/>
        <w:ind w:firstLine="446"/>
        <w:spacing w:after="0" w:line="257" w:lineRule="auto"/>
        <w:rPr>
          <w:sz w:val="20"/>
          <w:szCs w:val="20"/>
          <w:color w:val="auto"/>
        </w:rPr>
      </w:pPr>
      <w:r>
        <w:rPr>
          <w:rFonts w:ascii="Arial" w:cs="Arial" w:eastAsia="Arial" w:hAnsi="Arial"/>
          <w:sz w:val="18"/>
          <w:szCs w:val="18"/>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and we may be subject to significant enforcement action, regulatory fines, or penalties.</w:t>
      </w:r>
    </w:p>
    <w:p>
      <w:pPr>
        <w:spacing w:after="0" w:line="148"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78"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In the EEA, we must inform the Notified Body that carried out the conformity assessment of the medical devices we market or sell in the EEA of any planned substantial changes to our quality system or changes to our devices which could affect compliance with the essential requirements or the devices’ intended use. The Notified Body will then assess the changes and verify whether they affect the products’ conformity. There can be no assurances that the assessment will be favorable and that the Notified Body will attest our compliance with the essential requirements, which will prevent us from selling our products in the EEA.</w:t>
      </w:r>
    </w:p>
    <w:p>
      <w:pPr>
        <w:spacing w:after="0" w:line="18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harm our future growth.</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ability to grow our business.</w:t>
      </w:r>
    </w:p>
    <w:p>
      <w:pPr>
        <w:spacing w:after="0" w:line="73"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to support regulatory approval and we may not successfully complete these clinical trials.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Failure to receive clearance or approval for our new products would have an adverse effect on our ability to expand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117"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Latin America, and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73"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and the CE marking of our products in the EEA.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00" w:right="2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b w:val="1"/>
          <w:bCs w:val="1"/>
          <w:i w:val="1"/>
          <w:iCs w:val="1"/>
          <w:color w:val="auto"/>
        </w:rPr>
        <w:t>Clinical trials necessary to support a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or new indications for use for existing products, and will adversely affect our business, operating results and prospects.</w:t>
      </w:r>
    </w:p>
    <w:p>
      <w:pPr>
        <w:spacing w:after="0" w:line="79"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Initiating and completing clinical trials necessary to support a PMA application for our future products and additional safety and effectiveness data beyond that typically required for a 510(k) clearance for iFuse, as well as other possible future product candidates, and to support a conformity assessment procedure would be time consuming and expensive and the outcome uncertain. Moreover, the results of early clinical trials are not necessarily predictive of future results, and any product, or new indication for use, we advance into clinical trials may not have favorable results in later clinical trials.</w:t>
      </w:r>
    </w:p>
    <w:p>
      <w:pPr>
        <w:spacing w:after="0" w:line="154" w:lineRule="exact"/>
        <w:rPr>
          <w:sz w:val="20"/>
          <w:szCs w:val="20"/>
          <w:color w:val="auto"/>
        </w:rPr>
      </w:pPr>
    </w:p>
    <w:p>
      <w:pPr>
        <w:jc w:val="both"/>
        <w:ind w:firstLine="446"/>
        <w:spacing w:after="0" w:line="287" w:lineRule="auto"/>
        <w:rPr>
          <w:sz w:val="20"/>
          <w:szCs w:val="20"/>
          <w:color w:val="auto"/>
        </w:rPr>
      </w:pPr>
      <w:r>
        <w:rPr>
          <w:rFonts w:ascii="Arial" w:cs="Arial" w:eastAsia="Arial" w:hAnsi="Arial"/>
          <w:sz w:val="16"/>
          <w:szCs w:val="16"/>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73"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our clinical trials may not support our product candidate claims or may result in the discovery of adverse side effects.</w:t>
      </w:r>
    </w:p>
    <w:p>
      <w:pPr>
        <w:spacing w:after="0" w:line="117"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Even if our clinical trials are completed as planned,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side effects that are not currently part of the product candidate’s profile.</w:t>
      </w:r>
    </w:p>
    <w:p>
      <w:pPr>
        <w:spacing w:after="0" w:line="28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6"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909" w:right="239" w:bottom="1440" w:gutter="0" w:footer="0" w:header="0"/>
        </w:sectPr>
      </w:pPr>
    </w:p>
    <w:bookmarkStart w:id="58" w:name="page59"/>
    <w:bookmarkEnd w:id="58"/>
    <w:p>
      <w:pPr>
        <w:jc w:val="both"/>
        <w:ind w:firstLine="446"/>
        <w:spacing w:after="0" w:line="273" w:lineRule="auto"/>
        <w:rPr>
          <w:sz w:val="20"/>
          <w:szCs w:val="20"/>
          <w:color w:val="auto"/>
        </w:rPr>
      </w:pPr>
      <w:r>
        <w:rPr>
          <w:rFonts w:ascii="Arial" w:cs="Arial" w:eastAsia="Arial" w:hAnsi="Arial"/>
          <w:sz w:val="17"/>
          <w:szCs w:val="17"/>
          <w:color w:val="auto"/>
        </w:rPr>
        <w:t>In December 2016, the 21st Century Cures Act was enacted, with a number of provisions impacting medical device regulation. The FDA has implemented, and continues to implement, these reforms, which could impose additional regulatory requirements upon us and delay our ability to obtain new 510(k) clearances, increase the costs of compliance or restrict our ability to maintain our current clearances.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78"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policies of the Trump Administration and their impact on the regulation of our products in the United States remain uncertain. Moreover, leadership, personnel and structural changes within the FDA as well as recent and future federal election outcomes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93" w:lineRule="exact"/>
        <w:rPr>
          <w:sz w:val="20"/>
          <w:szCs w:val="20"/>
          <w:color w:val="auto"/>
        </w:rPr>
      </w:pPr>
    </w:p>
    <w:p>
      <w:pPr>
        <w:jc w:val="both"/>
        <w:ind w:firstLine="446"/>
        <w:spacing w:after="0" w:line="287" w:lineRule="auto"/>
        <w:rPr>
          <w:sz w:val="20"/>
          <w:szCs w:val="20"/>
          <w:color w:val="auto"/>
        </w:rPr>
      </w:pPr>
      <w:r>
        <w:rPr>
          <w:rFonts w:ascii="Arial" w:cs="Arial" w:eastAsia="Arial" w:hAnsi="Arial"/>
          <w:sz w:val="16"/>
          <w:szCs w:val="16"/>
          <w:color w:val="auto"/>
        </w:rPr>
        <w:t>Another example can be found in the European Economic Area, or EEA. On September 26, 2012, the European Commission adopted a package of legislative proposals designed to replace the existing regulatory framework for medical devices in the EEA. These proposals are intended to strengthen the medical devices rules in the EEA. On May 25, 2017, the new Medical Devices Regulation (2017/745 or "MDR") entered into force. Following its entry into application on May 26, 2020, the MDR will introduce substantial changes to the obligations with which medical device manufacturers must comply in the EEA. High risk medical devices will be subject to additional scrutiny during the conformity assessment procedure. Specifically, the EU MDR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regulation of medical devices among EEA Member States. The MDR, among other things, is intended to establish a uniform, transparent, predictable and sustainable regulatory framework across the EEA for medical devices to ensure a high level of safety and health while supporting innovation. The MDR will only become applicable in May 2020, three years after its first publication. The In Vitro Diagnostic Medical Devices Regulation (IVDR) also was adopted by the Parliament and the Council and will be applicable in May 2022. These regulations will substantially impact medical devices manufacturers. Examples of the changes which will be introduced by these regulations include the following:</w:t>
      </w:r>
    </w:p>
    <w:p>
      <w:pPr>
        <w:spacing w:after="0" w:line="61" w:lineRule="exact"/>
        <w:rPr>
          <w:sz w:val="20"/>
          <w:szCs w:val="20"/>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scrutiny during the conformity assessment procedure for high risk medical devices;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strengthening of the clinical data requirements related to medical devices;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strengthening of the designation and monitoring processes governing notified bodies;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obligation for manufacturers and authorized representative to have a person responsible for regulatory compliance continuously at their disposal;</w:t>
      </w:r>
    </w:p>
    <w:p>
      <w:pPr>
        <w:spacing w:after="0" w:line="48"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authorized representatives would be held legally responsible and liable for defective products placed on the EU market;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traceability of medical devices following the introduction of a Unique Device Identification, or UDI, system;</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rules governing the reprocessing of medical devices; and</w:t>
      </w:r>
    </w:p>
    <w:p>
      <w:pPr>
        <w:spacing w:after="0" w:line="117"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transparency with the establishment of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81"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Transition from the regulation of our products under the current EU Medical Device Directive, and implementing legislation in each EU member state, to regulation under the EU MDR may require a substantial transition effort by us. In addition, detail as to how certain aspects of the MDR will be implemented remains unclear. Failure to update our quality system and regulatory documentation could delay our transition to compliance with the MDR and delay or prevent us from obtaining new CE Certificates of Conformity under the MDR. Transition from compliance with the MDD to the MDR could result in disruption to our business in the EEA which could adversely affect our business, results of operation and financial condition. In addition, any changes to the membership of the European Union, such as the departure of the United Kingdom from the EU, may impact the regulatory requirements for the impacted countries and impair our business operations and our ability to market products in such countries.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00" w:right="239" w:bottom="1440" w:gutter="0" w:footer="0" w:header="0"/>
        </w:sectPr>
      </w:pPr>
    </w:p>
    <w:bookmarkStart w:id="59" w:name="page60"/>
    <w:bookmarkEnd w:id="59"/>
    <w:p>
      <w:pPr>
        <w:jc w:val="both"/>
        <w:ind w:firstLine="446"/>
        <w:spacing w:after="0" w:line="286" w:lineRule="auto"/>
        <w:rPr>
          <w:sz w:val="20"/>
          <w:szCs w:val="20"/>
          <w:color w:val="auto"/>
        </w:rPr>
      </w:pPr>
      <w:r>
        <w:rPr>
          <w:rFonts w:ascii="Arial" w:cs="Arial" w:eastAsia="Arial" w:hAnsi="Arial"/>
          <w:sz w:val="16"/>
          <w:szCs w:val="16"/>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Recent political, economic, and regulatory influences are subjecting the healthcare industry to fundamental changes that can impact coverage and reimbursement from third-party payors. For example, Patient Protection and Affordable Care Act, as amended by the Health Care and Education Reconciliation Act of 2011, among other things, reduced and/or limited Medicare reimbursement to certain providers. Legislative changes to the Patient Protection and Affordable Care Act remain possible in the 116th United States Congress and under the Trump Administration. We expect that the Patient Protection and Affordable Care Act, as currently enacted or as it may be amended in the future, and other healthcare reform measures that may be adopted in the future, could have a material adverse effect on our industry generally and on our ability to maintain or increase sales of our existing products. Other federal laws further reduce Medicare’s payments to providers by two percent through 2024. These reductions reduce reimbursement for our products, which could potentially negatively impact our revenue, and may reduce providers’ revenues or profits, which could affect their ability to purchase new technologies. 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11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of 2011, imposes, among other things, an annual excise tax on any entity that manufactures or imports medical devices offered for sale in the United States. Under these provisions, the Congressional Research Service predicts that the total cost to the medical device industry may be up to $20.0 billion over the next decade. A two-year moratorium currently applies to this tax through December 2019. After that time, the tax may be repealed or modified, or the moratorium may be lifted, in which case sales of our iFuse would be subject to this excise tax.</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117" w:lineRule="exact"/>
        <w:rPr>
          <w:sz w:val="20"/>
          <w:szCs w:val="20"/>
          <w:color w:val="auto"/>
        </w:rPr>
      </w:pPr>
    </w:p>
    <w:p>
      <w:pPr>
        <w:jc w:val="both"/>
        <w:ind w:firstLine="446"/>
        <w:spacing w:after="0" w:line="271" w:lineRule="auto"/>
        <w:rPr>
          <w:sz w:val="20"/>
          <w:szCs w:val="20"/>
          <w:color w:val="auto"/>
        </w:rPr>
      </w:pPr>
      <w:r>
        <w:rPr>
          <w:rFonts w:ascii="Arial" w:cs="Arial" w:eastAsia="Arial" w:hAnsi="Arial"/>
          <w:sz w:val="17"/>
          <w:szCs w:val="17"/>
          <w:color w:val="auto"/>
        </w:rPr>
        <w:t>Our business exposes us to potential product liability claims that are inherent in the testing, design, manufacture, and sale of surgical devices . Sacroiliac joint and other orthopedic spine surgeries involve significant risk of serious complications, including bleeding, nerve injury, paralysis, and even death. In addition, if longer-term patient results and experience indicates that our products or any component of a product cause tissue damage, motor impairment, or other adverse effects, we could be subject to significant liability. Surgeons may misuse or ineffectively use our products, which may result in unsatisfactory patient outcomes or patient injury.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179"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8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129"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The manufacture of certain of our products, including our implants and products, and the handling of materials used in the product testing process, including in our cadaveric laboratory,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800"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The comprehensive tax reform bill adopted in 2017 could adversely affect our business and financial condition.</w:t>
      </w:r>
    </w:p>
    <w:p>
      <w:pPr>
        <w:spacing w:after="0" w:line="117"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On December 22, 2017, President Trump signed into law new legislation that significantly revised the Internal Revenue Code of 1986, as amended, or the Code.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arising after 2017 to 80% of current year taxable income and elimination of carrybacks of such net operating losses,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modification or repeal of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UK’s pending withdrawal from the EU may have a negative effect on global economic conditions, financial markets and our business.</w:t>
      </w:r>
    </w:p>
    <w:p>
      <w:pPr>
        <w:spacing w:after="0" w:line="23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Brexit has created significant uncertainty concerning the terms of the UK withdrawal from the EU and the future relationship between the UK and the EU. On April 11, 2019, the European Council agreed at its Special Meeting to extend the UK’s departure date to October 31, 2019. It is possible the UK could withdraw from the EU prior to October 31, 2019 pursuant to agreed terms for a transition period; however, both the EU and the UK are preparing for a “no deal” scenario in which the UK will leave the EU as a “third country” without the benefit of any transition arrangements.</w:t>
      </w:r>
    </w:p>
    <w:p>
      <w:pPr>
        <w:spacing w:after="0" w:line="171"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The “no deal” scenario has been recognized by the policy makers in the UK and the EU as likely to cause significant market and economic disruption. The effects of Brexit will depend on whether the UK retains access to EU markets either during a transitional period or more permanently. Brexit could disrupt the single internal market principle, which ensures the free movement of goods, services and people between the UK and the EU, undermine bilateral cooperation in key policy areas and significantly disturb trade relationships between the UK and the EU. In addition, Brexit could lead to legal uncertainty and potentially divergent national laws and regulations as the UK determines which EU laws to replace, amend or adopt.</w:t>
      </w:r>
    </w:p>
    <w:p>
      <w:pPr>
        <w:spacing w:after="0" w:line="173"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announcement of Brexit caused significant volatility in global stock markets and currency exchange rate fluctuations, and the pending withdrawal of the UK from the EU may also adversely affect European and global economic and market conditions, which may cause third-party payers, including governmental organizations, to closely monitor their costs and reduce their spending budgets, and which could contribute to instability in the global financial and foreign exchange markets. Given the lack of comparable precedent, it is unclear what financial, trade, regulatory and legal implications the withdrawal of the UK from the EU would have and how such withdrawal would affect us.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90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33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rely primarily on patent, copyright, trademark and trade secret laws, as well as confidentiality and non- disclosure agreements and other methods, to protect our proprietary technologies and know-how. As of June 30, 2019, we owned 37 issued U.S. patents and had 15 pending U.S. patent applications, and we owned 9 issued foreign patents and had 6 pending foreign patent applications. As of June 30, 2019, we have 14 registered trademarks in the United States and have filed for 3 more. We have sought protection for at least 2 of these trademarks in 60 countries including the 28 European member countries of the Madrid Protocol.</w:t>
      </w:r>
    </w:p>
    <w:p>
      <w:pPr>
        <w:spacing w:after="0" w:line="200" w:lineRule="exact"/>
        <w:rPr>
          <w:sz w:val="20"/>
          <w:szCs w:val="20"/>
          <w:color w:val="auto"/>
        </w:rPr>
      </w:pPr>
    </w:p>
    <w:p>
      <w:pPr>
        <w:spacing w:after="0" w:line="204"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While we generally apply for patents in those countries where we intend to make, have made, use, or sell patented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 Since most of our issued patents are for the United States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88"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spacing w:after="0" w:line="158" w:lineRule="exact"/>
        <w:rPr>
          <w:sz w:val="20"/>
          <w:szCs w:val="20"/>
          <w:color w:val="auto"/>
        </w:rPr>
      </w:pPr>
    </w:p>
    <w:p>
      <w:pPr>
        <w:jc w:val="both"/>
        <w:ind w:firstLine="446"/>
        <w:spacing w:after="0" w:line="271" w:lineRule="auto"/>
        <w:rPr>
          <w:sz w:val="20"/>
          <w:szCs w:val="20"/>
          <w:color w:val="auto"/>
        </w:rPr>
      </w:pPr>
      <w:r>
        <w:rPr>
          <w:rFonts w:ascii="Arial" w:cs="Arial" w:eastAsia="Arial" w:hAnsi="Arial"/>
          <w:sz w:val="17"/>
          <w:szCs w:val="17"/>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179"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16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688" w:right="239" w:bottom="1440" w:gutter="0" w:footer="0" w:header="0"/>
        </w:sectPr>
      </w:pPr>
    </w:p>
    <w:bookmarkStart w:id="62" w:name="page63"/>
    <w:bookmarkEnd w:id="62"/>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38" w:lineRule="exact"/>
        <w:rPr>
          <w:sz w:val="20"/>
          <w:szCs w:val="20"/>
          <w:color w:val="auto"/>
        </w:rPr>
      </w:pPr>
    </w:p>
    <w:p>
      <w:pPr>
        <w:jc w:val="both"/>
        <w:ind w:firstLine="446"/>
        <w:spacing w:after="0" w:line="289" w:lineRule="auto"/>
        <w:rPr>
          <w:sz w:val="20"/>
          <w:szCs w:val="20"/>
          <w:color w:val="auto"/>
        </w:rPr>
      </w:pPr>
      <w:r>
        <w:rPr>
          <w:rFonts w:ascii="Arial" w:cs="Arial" w:eastAsia="Arial" w:hAnsi="Arial"/>
          <w:sz w:val="16"/>
          <w:szCs w:val="16"/>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2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6" w:lineRule="exact"/>
        <w:rPr>
          <w:sz w:val="20"/>
          <w:szCs w:val="20"/>
          <w:color w:val="auto"/>
        </w:rPr>
      </w:pPr>
    </w:p>
    <w:p>
      <w:pPr>
        <w:jc w:val="both"/>
        <w:ind w:firstLine="446"/>
        <w:spacing w:after="0" w:line="267" w:lineRule="auto"/>
        <w:rPr>
          <w:sz w:val="20"/>
          <w:szCs w:val="20"/>
          <w:color w:val="auto"/>
        </w:rPr>
      </w:pPr>
      <w:r>
        <w:rPr>
          <w:rFonts w:ascii="Arial" w:cs="Arial" w:eastAsia="Arial" w:hAnsi="Arial"/>
          <w:sz w:val="17"/>
          <w:szCs w:val="17"/>
          <w:color w:val="auto"/>
        </w:rPr>
        <w:t>Our commercial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business assets and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For example, fee shifting legislation could require a non-prevailing party to pay the attorney fees of the prevailing party in some circumstances.</w:t>
      </w:r>
    </w:p>
    <w:p>
      <w:pPr>
        <w:spacing w:after="0" w:line="193"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an investment in our common stock could decline.</w:t>
      </w:r>
    </w:p>
    <w:p>
      <w:pPr>
        <w:spacing w:after="0" w:line="117"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Prior to October 17, 2018, there was no public market for our common stock. 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spacing w:after="0" w:line="57" w:lineRule="exact"/>
        <w:rPr>
          <w:sz w:val="20"/>
          <w:szCs w:val="20"/>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our clinical trials and that of our competitors’ products;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908" w:right="239" w:bottom="1440" w:gutter="0" w:footer="0" w:header="0"/>
        </w:sectPr>
      </w:pPr>
    </w:p>
    <w:bookmarkStart w:id="63" w:name="page64"/>
    <w:bookmarkEnd w:id="63"/>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healthcare companies, in general, and of companies in the medical device industry in particular;</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 or those expectations change;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lock-up releases and sales of large blocks of our common stock;</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or departures of key employees or scientific personnel;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In addition, if the market for healthcare stocks or the stock market, in general, experience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or the perception that sales might occur, could reduce the price of our common stock and may dilute our stockholders' voting power and ownership interest in us.</w:t>
      </w:r>
    </w:p>
    <w:p>
      <w:pPr>
        <w:spacing w:after="0" w:line="62"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could occur, could adversely affect the market price of our common stock, and may make it more difficult for our stockholders to sell our common stock at a time and price that they deem appropriate. All outstanding shares of common stock are freely tradable without restriction or registration under the Securities Act of 1933, as amended, or the Securities Act, except for any shares held by our “affiliates” as defined in Rule 144 under the Securities Act. Sales of a substantial number of such shares, or the perception that such sales may occur, could cause our share price to fall, or make it more difficult for our stockholders to sell our common stock at a time and price that they deem appropriate.</w:t>
      </w:r>
    </w:p>
    <w:p>
      <w:pPr>
        <w:spacing w:after="0" w:line="85"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The holders of approximately 12 million shares, or approximately 55.4%, of our common stock, have rights, subject to some conditions, to require us to file registration statements covering the sale of their shares or to include their shares in registration statements that we may file for ourselves or other stockholders. We have also registered the offer and sale of all shares of common stock that we may issue under our equity compensation plans.</w:t>
      </w:r>
    </w:p>
    <w:p>
      <w:pPr>
        <w:spacing w:after="0" w:line="166"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could limit our other stockholders' ability to influence the outcome of key transactions, including a change of control.</w:t>
      </w:r>
    </w:p>
    <w:p>
      <w:pPr>
        <w:spacing w:after="0" w:line="62"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Our directors, executive officers, and each of our stockholders that own greater than 5% of our outstanding common stock, in the aggregate, beneficially own approximately 37.2% of the outstanding shares of our common stock as of June 30, 2019. As a result, these stockholders will be able to influence or control matters requiring approval by our stockholders, including the election of directors and the approval of mergers, acquisitions or other extraordinary transactions. They may also have interests that differ from our other stockholders' interests and may vote in a manner that is adverse to our other stockholders' interests. This concentration of ownership may have the effect of deterring, delaying, or preventing a change of control of our company, could deprive our stockholders of an opportunity to receive a premium for their common stock as part of a sale of our company and might ultimately affect the market price of our common stock.</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92"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We may be unable to utilize our federal net operating loss carryforwards to reduce our income taxes.</w:t>
      </w:r>
    </w:p>
    <w:p>
      <w:pPr>
        <w:spacing w:after="0" w:line="117" w:lineRule="exact"/>
        <w:rPr>
          <w:sz w:val="20"/>
          <w:szCs w:val="20"/>
          <w:color w:val="auto"/>
        </w:rPr>
      </w:pPr>
    </w:p>
    <w:p>
      <w:pPr>
        <w:jc w:val="both"/>
        <w:ind w:firstLine="446"/>
        <w:spacing w:after="0" w:line="288" w:lineRule="auto"/>
        <w:rPr>
          <w:sz w:val="20"/>
          <w:szCs w:val="20"/>
          <w:color w:val="auto"/>
        </w:rPr>
      </w:pPr>
      <w:r>
        <w:rPr>
          <w:rFonts w:ascii="Arial" w:cs="Arial" w:eastAsia="Arial" w:hAnsi="Arial"/>
          <w:sz w:val="16"/>
          <w:szCs w:val="16"/>
          <w:color w:val="auto"/>
        </w:rPr>
        <w:t>As of December 31, 2018, we had net operating loss, or NOL, carryforwards of $135.5 million and $109.9 million available to reduce future taxable income, if any, for U.S. federal income tax and state income tax purposes, respectively. If not utilized, our federal and state NOL carryforwards begin to expire in 2029 and 2019, respectively. These NOL carryforwards could expire unused and be unavailable to offset future income tax liabilities.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have determined that we have experienced Section 382 ownership changes in 2010 and $1.4 million of our NOL and tax credit carryforwards are subject to limitation. In addition, we are still analyzing the effect that our IPO may have had on our NOLs, and we may experience ownership changes in the future as a result of subsequent shifts in our stock ownership, some of which may be outside of our control. As a result of our IPO, or if a future ownership change occurs, our ability to use our NOL tax credit carryforwards may be materially limited, which would harm our future operating results by effectively increasing our future tax obligations.</w:t>
      </w:r>
    </w:p>
    <w:p>
      <w:pPr>
        <w:spacing w:after="0" w:line="2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Failure to establish and maintain an effective system of internal controls could result in material misstatements of our financial statements or cause us to fail to meet our reporting obligations or fail to prevent fraud in which case, our stockholders could lose confidence in our financial reporting, which would harm our business and could negatively impact the price of our stock.</w:t>
      </w:r>
    </w:p>
    <w:p>
      <w:pPr>
        <w:spacing w:after="0" w:line="73"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We are subject to the reporting requirements of the Exchange Act, the Sarbanes-Oxley Act and the rules and regulations of Nasdaq Global Market. The Sarbanes-Oxley Act requires, among other things, that we maintain effective disclosure controls and procedures and internal controls over financial reporting. Commencing with the year ending December 31, 2019, we must perform system and process evaluation and testing of our internal controls over financial reporting to allow management to report on the effectiveness of our internal controls over financial reporting in our Annual Report on Form 10-K for that year, as required by Section 404 of the Sarbanes-Oxley Act, or Section 404. This will require that we incur substantial additional professional fees and internal costs to expand our accounting and finance functions and that we expend significant management efforts. As a result, we may experience difficulty in producing accurate financial statements in a timely manner.</w:t>
      </w:r>
    </w:p>
    <w:p>
      <w:pPr>
        <w:spacing w:after="0" w:line="178"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In addition,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8"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color w:val="auto"/>
        </w:rPr>
        <w:t>The rules governing the standards that must be met for our management to assess our internal control over financial reporting are complex and require significant documentation, testing, and possible remediation. If we are not able to comply with the requirements of Section 404 of the Sarbanes-Oxley Act in a timely manner, or if we are unable to maintain proper and effective internal controls, we may not be able to produce timely and accurate financial statements. In addition, in connection with the future attestation process by our independent registered public accounting firm, we may encounter problems or delays in completing the implementation of any requested improvements and receiving a favorable attestation. If we cannot favorably assess the effectiveness of our internal control over financial reporting, or if our independent registered public accounting firm is unable to provide an unqualified attestation report on our internal controls, our stockholders could lose confidence in our reporting, and the market price of our stock could decline. In addition, we could be subject to sanctions or investigations by the Nasdaq Global Market, the Securities and Exchange Commission, or SEC, or other regulatory authorities.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62" w:lineRule="exact"/>
        <w:rPr>
          <w:sz w:val="20"/>
          <w:szCs w:val="20"/>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Sarbanes-Oxley Act of 2002;</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reduced disclosure about our executive compensation arrangements in our periodic reports, proxy statements, and registration statements;</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or golden parachute arrangements; and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800" w:right="239" w:bottom="1440" w:gutter="0" w:footer="0" w:header="0"/>
        </w:sectPr>
      </w:pPr>
    </w:p>
    <w:bookmarkStart w:id="65" w:name="page66"/>
    <w:bookmarkEnd w:id="65"/>
    <w:p>
      <w:pPr>
        <w:ind w:left="880" w:right="20" w:hanging="440"/>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exemption from complying with new or revised financial accounting standards until such time as such standards are applicable to private companies.</w:t>
      </w:r>
    </w:p>
    <w:p>
      <w:pPr>
        <w:spacing w:after="0" w:line="170"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If some investors find our common stock less attractive because we will rely on these exemptions,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in 2023, (b) in which we have total annual gross revenue of at least $1.07 billion, or (c) in which we are deemed to be a large accelerated filer, which means the market value of our common stock that is held by non- affiliates exceeds $700 million as of the prior June 30, and (2) the date on which we have issued more than $1.0 billion in non-convertible debt during the prior three-year period.</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unfavorable research reports about our business, our share price and trading volume could decline.</w:t>
      </w:r>
    </w:p>
    <w:p>
      <w:pPr>
        <w:spacing w:after="0" w:line="62"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trading market for our common stock depends, to some extent, on the research and reports that securities or industry analysts publish about us or our business. We do not have any control over these analysts. If one or more of the analysts who cover us publishes unfavorable commentary about us or changes their opinion of our business prospects, our share price would likely decline. If one or more of these analysts ceases coverage of or fails to regularly publish reports on us, we could lose visibility in the financial markets, which could cause our share price or trading volume to decline.</w:t>
      </w: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consequently, our stockholders' ability to achieve a return on investment in our common stock will depend on appreciation in the price of our common stock.</w:t>
      </w:r>
    </w:p>
    <w:p>
      <w:pPr>
        <w:spacing w:after="0" w:line="6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We have never declared or paid any dividends on our common stock. We intend to retain any earnings to finance the operation and expansion of our business, and we do not anticipate paying any cash dividends in the future. As a result, our stockholders may only receive a return on an investment in our common stock if the market price of our common stock increases. In addition, our loan and security agreements contain restrictions on our ability to pay dividends.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contains covenants that may restrict our business and 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Borrowings under our credit facility are secured by substantially all of our assets. Our credit facility also restricts our ability to, among other things:</w:t>
      </w:r>
    </w:p>
    <w:p>
      <w:pPr>
        <w:spacing w:after="0" w:line="129" w:lineRule="exact"/>
        <w:rPr>
          <w:sz w:val="20"/>
          <w:szCs w:val="20"/>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material changes in our business or management;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consolidate or merge with or acquire other entities;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incur liens on our assets;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enter into transactions with our affiliates;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any payment in respect of any subordinated indebtedness;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waive or amend any of our current intellectual property agreements or material contracts.</w:t>
      </w:r>
    </w:p>
    <w:p>
      <w:pPr>
        <w:spacing w:after="0" w:line="185" w:lineRule="exact"/>
        <w:rPr>
          <w:sz w:val="20"/>
          <w:szCs w:val="20"/>
          <w:color w:val="auto"/>
        </w:rPr>
      </w:pPr>
    </w:p>
    <w:p>
      <w:pPr>
        <w:jc w:val="both"/>
        <w:ind w:right="20" w:firstLine="446"/>
        <w:spacing w:after="0" w:line="308" w:lineRule="auto"/>
        <w:rPr>
          <w:sz w:val="20"/>
          <w:szCs w:val="20"/>
          <w:color w:val="auto"/>
        </w:rPr>
      </w:pPr>
      <w:r>
        <w:rPr>
          <w:rFonts w:ascii="Arial" w:cs="Arial" w:eastAsia="Arial" w:hAnsi="Arial"/>
          <w:sz w:val="17"/>
          <w:szCs w:val="17"/>
          <w:color w:val="auto"/>
        </w:rPr>
        <w:t>These restrictions are subject to certain exceptions. In addition, our loan and security agreement requires us to maintain a minimum cash balance and revenue targets. Beginning with the three months ended March 31, 2019, we are required to meet either revenue or earnings targets.</w:t>
      </w:r>
    </w:p>
    <w:p>
      <w:pPr>
        <w:spacing w:after="0" w:line="14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covenants in our credit facility,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our credit facility agreement to become immediately due and payable and terminate all commitments to extend further credit.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92" w:right="239" w:bottom="1440" w:gutter="0" w:footer="0" w:header="0"/>
        </w:sectPr>
      </w:pPr>
    </w:p>
    <w:bookmarkStart w:id="66" w:name="page67"/>
    <w:bookmarkEnd w:id="66"/>
    <w:p>
      <w:pPr>
        <w:jc w:val="both"/>
        <w:ind w:firstLine="446"/>
        <w:spacing w:after="0" w:line="264"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lead to management entrenchment.</w:t>
      </w:r>
    </w:p>
    <w:p>
      <w:pPr>
        <w:spacing w:after="0" w:line="117"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57" w:lineRule="exact"/>
        <w:rPr>
          <w:sz w:val="20"/>
          <w:szCs w:val="20"/>
          <w:color w:val="auto"/>
        </w:rPr>
      </w:pPr>
    </w:p>
    <w:p>
      <w:pPr>
        <w:ind w:left="880" w:right="2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880" w:hanging="440"/>
        <w:spacing w:after="0" w:line="308"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38" w:lineRule="exact"/>
        <w:rPr>
          <w:rFonts w:ascii="Arial" w:cs="Arial" w:eastAsia="Arial" w:hAnsi="Arial"/>
          <w:sz w:val="17"/>
          <w:szCs w:val="17"/>
          <w:color w:val="auto"/>
        </w:rPr>
      </w:pPr>
    </w:p>
    <w:p>
      <w:pPr>
        <w:ind w:left="880" w:right="20" w:hanging="440"/>
        <w:spacing w:after="0" w:line="308"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38"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73" w:lineRule="exact"/>
        <w:rPr>
          <w:rFonts w:ascii="Arial" w:cs="Arial" w:eastAsia="Arial" w:hAnsi="Arial"/>
          <w:sz w:val="18"/>
          <w:szCs w:val="18"/>
          <w:color w:val="auto"/>
        </w:rPr>
      </w:pPr>
    </w:p>
    <w:p>
      <w:pPr>
        <w:jc w:val="both"/>
        <w:ind w:left="880" w:hanging="440"/>
        <w:spacing w:after="0" w:line="259"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78"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1" w:lineRule="exact"/>
        <w:rPr>
          <w:sz w:val="20"/>
          <w:szCs w:val="20"/>
          <w:color w:val="auto"/>
        </w:rPr>
      </w:pPr>
    </w:p>
    <w:p>
      <w:pPr>
        <w:jc w:val="both"/>
        <w:ind w:right="20" w:firstLine="446"/>
        <w:spacing w:after="0" w:line="34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24"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24"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800" w:right="239" w:bottom="1440" w:gutter="0" w:footer="0" w:header="0"/>
        </w:sectPr>
      </w:pPr>
    </w:p>
    <w:bookmarkStart w:id="67" w:name="page68"/>
    <w:bookmarkEnd w:id="67"/>
    <w:p>
      <w:pPr>
        <w:jc w:val="both"/>
        <w:spacing w:after="0" w:line="340" w:lineRule="auto"/>
        <w:rPr>
          <w:sz w:val="20"/>
          <w:szCs w:val="20"/>
          <w:color w:val="auto"/>
        </w:rPr>
      </w:pPr>
      <w:r>
        <w:rPr>
          <w:rFonts w:ascii="Arial" w:cs="Arial" w:eastAsia="Arial" w:hAnsi="Arial"/>
          <w:sz w:val="15"/>
          <w:szCs w:val="15"/>
          <w:b w:val="1"/>
          <w:bCs w:val="1"/>
          <w:i w:val="1"/>
          <w:iCs w:val="1"/>
          <w:color w:val="auto"/>
        </w:rPr>
        <w:t>Our amended and restated certificate of incorporation provides that the Court of Chancery of the State of Delaware and the federal district courts of the United States of America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23"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spacing w:after="0" w:line="85"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Our amended and restated certificate of incorporation also provides that the federal district courts of the United States of America are the exclusive forum for resolving any complaint asserting a cause of action arising under the Securities Act. However, in light of a Delaware Chancery Court opinion issued in December 2018, we announced that we currently do not intend to enforce this aspect of our forum selection clause.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Public Offering of Common Stock</w:t>
      </w:r>
    </w:p>
    <w:p>
      <w:pPr>
        <w:spacing w:after="0" w:line="27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October 16, 2018, our registration statement on Form S-1 (File No. 333-227445) relating to our IPO of common stock became effective. The IPO closed on October 16, 2018 at which time we issued 8,280,000 shares of our common stock at an initial offering price of $15.00 per share for gross proceeds of $124.2 million. We received net proceeds from the IPO of approximately $113.4 million, after deducting the underwriting discount of $8.7 million and other offering-related expenses of $2.1 million. None of the expenses associated with the IPO or private placement were paid to directors, officers, persons owning 10% or more of any class of equity securities, or to their associates, or to our affiliates. Morgan Stanley &amp; Co. LLC, Merrill Lynch, Pierce, Fenner &amp; Smith Incorporated, Canaccord Genuity Inc. and JMP Securities LLC acted as underwriters for the offering.</w:t>
      </w:r>
    </w:p>
    <w:p>
      <w:pPr>
        <w:spacing w:after="0" w:line="17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Shares of our common stock began trading on the Nasdaq Global Market on October 17, 2018. The shares were registered under the Securities Act on registration statement on Form S-1 (Registration No. 333-227445).</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16, 2018. As of June 30, 2019, approximately $21.8 million of the net proceeds had been used for sales and marketing activities to support ongoing commercialization of the iFuse Implant System, for working capital and for general corporate purposes, including research and development and clinical studies.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909"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Incorporation By Reference</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8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500" w:type="dxa"/>
            <w:vAlign w:val="bottom"/>
            <w:gridSpan w:val="13"/>
            <w:vMerge w:val="restart"/>
          </w:tcPr>
          <w:p>
            <w:pPr>
              <w:ind w:left="1680"/>
              <w:spacing w:after="0"/>
              <w:rPr>
                <w:sz w:val="20"/>
                <w:szCs w:val="20"/>
                <w:color w:val="auto"/>
              </w:rPr>
            </w:pPr>
            <w:r>
              <w:rPr>
                <w:rFonts w:ascii="Arial" w:cs="Arial" w:eastAsia="Arial" w:hAnsi="Arial"/>
                <w:sz w:val="14"/>
                <w:szCs w:val="14"/>
                <w:b w:val="1"/>
                <w:bCs w:val="1"/>
                <w:color w:val="auto"/>
              </w:rPr>
              <w:t>Description</w:t>
            </w:r>
          </w:p>
        </w:tc>
        <w:tc>
          <w:tcPr>
            <w:tcW w:w="200" w:type="dxa"/>
            <w:vAlign w:val="bottom"/>
            <w:vMerge w:val="restart"/>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00" w:type="dxa"/>
            <w:vAlign w:val="bottom"/>
          </w:tcPr>
          <w:p>
            <w:pPr>
              <w:spacing w:after="0"/>
              <w:rPr>
                <w:sz w:val="13"/>
                <w:szCs w:val="13"/>
                <w:color w:val="auto"/>
              </w:rPr>
            </w:pPr>
          </w:p>
        </w:tc>
        <w:tc>
          <w:tcPr>
            <w:tcW w:w="12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SEC File No.</w:t>
            </w:r>
          </w:p>
        </w:tc>
        <w:tc>
          <w:tcPr>
            <w:tcW w:w="20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1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8"/>
              </w:rPr>
              <w:t>Exhibit/</w:t>
            </w:r>
          </w:p>
        </w:tc>
        <w:tc>
          <w:tcPr>
            <w:tcW w:w="12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1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Reference</w:t>
            </w:r>
          </w:p>
        </w:tc>
        <w:tc>
          <w:tcPr>
            <w:tcW w:w="20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80" w:type="dxa"/>
            <w:vAlign w:val="bottom"/>
          </w:tcPr>
          <w:p>
            <w:pPr>
              <w:ind w:left="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740" w:type="dxa"/>
            <w:vAlign w:val="bottom"/>
            <w:tcBorders>
              <w:bottom w:val="single" w:sz="8" w:color="0000FF"/>
            </w:tcBorders>
            <w:gridSpan w:val="8"/>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Amended and Restated Certificate of Incorporation.</w:t>
              </w:r>
            </w:hyperlink>
          </w:p>
        </w:tc>
        <w:tc>
          <w:tcPr>
            <w:tcW w:w="1360" w:type="dxa"/>
            <w:vAlign w:val="bottom"/>
            <w:gridSpan w:val="7"/>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left="114"/>
              <w:spacing w:after="0"/>
              <w:rPr>
                <w:sz w:val="20"/>
                <w:szCs w:val="20"/>
                <w:color w:val="auto"/>
              </w:rPr>
            </w:pPr>
            <w:r>
              <w:rPr>
                <w:rFonts w:ascii="Arial" w:cs="Arial" w:eastAsia="Arial" w:hAnsi="Arial"/>
                <w:sz w:val="18"/>
                <w:szCs w:val="18"/>
                <w:color w:val="auto"/>
                <w:w w:val="90"/>
              </w:rPr>
              <w:t>001-38701</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center"/>
              <w:ind w:right="97"/>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10/19/2018</w:t>
            </w:r>
          </w:p>
        </w:tc>
        <w:tc>
          <w:tcPr>
            <w:tcW w:w="0" w:type="dxa"/>
            <w:vAlign w:val="bottom"/>
          </w:tcPr>
          <w:p>
            <w:pPr>
              <w:spacing w:after="0"/>
              <w:rPr>
                <w:sz w:val="1"/>
                <w:szCs w:val="1"/>
                <w:color w:val="auto"/>
              </w:rPr>
            </w:pPr>
          </w:p>
        </w:tc>
      </w:tr>
      <w:tr>
        <w:trPr>
          <w:trHeight w:val="372"/>
        </w:trPr>
        <w:tc>
          <w:tcPr>
            <w:tcW w:w="880" w:type="dxa"/>
            <w:vAlign w:val="bottom"/>
          </w:tcPr>
          <w:p>
            <w:pPr>
              <w:ind w:left="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Borders>
              <w:bottom w:val="single" w:sz="8" w:color="0000FF"/>
            </w:tcBorders>
            <w:gridSpan w:val="3"/>
          </w:tcPr>
          <w:p>
            <w:pPr>
              <w:spacing w:after="0"/>
              <w:rPr>
                <w:rFonts w:ascii="Arial" w:cs="Arial" w:eastAsia="Arial" w:hAnsi="Arial"/>
                <w:sz w:val="18"/>
                <w:szCs w:val="18"/>
                <w:color w:val="0000FF"/>
                <w:w w:val="88"/>
              </w:rPr>
            </w:pPr>
            <w:hyperlink r:id="rId22">
              <w:r>
                <w:rPr>
                  <w:rFonts w:ascii="Arial" w:cs="Arial" w:eastAsia="Arial" w:hAnsi="Arial"/>
                  <w:sz w:val="18"/>
                  <w:szCs w:val="18"/>
                  <w:color w:val="0000FF"/>
                  <w:w w:val="88"/>
                </w:rPr>
                <w:t>Amended and Restated Bylaws.</w:t>
              </w:r>
            </w:hyperlink>
          </w:p>
        </w:tc>
        <w:tc>
          <w:tcPr>
            <w:tcW w:w="2800" w:type="dxa"/>
            <w:vAlign w:val="bottom"/>
            <w:gridSpan w:val="12"/>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420" w:type="dxa"/>
            <w:vAlign w:val="bottom"/>
            <w:gridSpan w:val="2"/>
          </w:tcPr>
          <w:p>
            <w:pPr>
              <w:jc w:val="center"/>
              <w:ind w:left="94"/>
              <w:spacing w:after="0"/>
              <w:rPr>
                <w:sz w:val="20"/>
                <w:szCs w:val="20"/>
                <w:color w:val="auto"/>
              </w:rPr>
            </w:pPr>
            <w:r>
              <w:rPr>
                <w:rFonts w:ascii="Arial" w:cs="Arial" w:eastAsia="Arial" w:hAnsi="Arial"/>
                <w:sz w:val="18"/>
                <w:szCs w:val="18"/>
                <w:color w:val="auto"/>
                <w:w w:val="91"/>
              </w:rPr>
              <w:t>333-227445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center"/>
              <w:ind w:right="97"/>
              <w:spacing w:after="0"/>
              <w:rPr>
                <w:sz w:val="20"/>
                <w:szCs w:val="20"/>
                <w:color w:val="auto"/>
              </w:rPr>
            </w:pPr>
            <w:r>
              <w:rPr>
                <w:rFonts w:ascii="Arial" w:cs="Arial" w:eastAsia="Arial" w:hAnsi="Arial"/>
                <w:sz w:val="18"/>
                <w:szCs w:val="18"/>
                <w:color w:val="auto"/>
                <w:w w:val="87"/>
              </w:rPr>
              <w:t>3.4</w:t>
            </w:r>
          </w:p>
        </w:tc>
        <w:tc>
          <w:tcPr>
            <w:tcW w:w="2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10/5/2018</w:t>
            </w:r>
          </w:p>
        </w:tc>
        <w:tc>
          <w:tcPr>
            <w:tcW w:w="0" w:type="dxa"/>
            <w:vAlign w:val="bottom"/>
          </w:tcPr>
          <w:p>
            <w:pPr>
              <w:spacing w:after="0"/>
              <w:rPr>
                <w:sz w:val="1"/>
                <w:szCs w:val="1"/>
                <w:color w:val="auto"/>
              </w:rPr>
            </w:pPr>
          </w:p>
        </w:tc>
      </w:tr>
      <w:tr>
        <w:trPr>
          <w:trHeight w:val="372"/>
        </w:trPr>
        <w:tc>
          <w:tcPr>
            <w:tcW w:w="880" w:type="dxa"/>
            <w:vAlign w:val="bottom"/>
          </w:tcPr>
          <w:p>
            <w:pPr>
              <w:ind w:left="2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0" w:type="dxa"/>
            <w:vAlign w:val="bottom"/>
            <w:tcBorders>
              <w:bottom w:val="single" w:sz="8" w:color="0000FF"/>
            </w:tcBorders>
            <w:gridSpan w:val="9"/>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Form of Common Stock Certificate of the Company.</w:t>
              </w:r>
            </w:hyperlink>
          </w:p>
        </w:tc>
        <w:tc>
          <w:tcPr>
            <w:tcW w:w="1300" w:type="dxa"/>
            <w:vAlign w:val="bottom"/>
            <w:gridSpan w:val="6"/>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420" w:type="dxa"/>
            <w:vAlign w:val="bottom"/>
            <w:gridSpan w:val="2"/>
          </w:tcPr>
          <w:p>
            <w:pPr>
              <w:jc w:val="center"/>
              <w:ind w:left="94"/>
              <w:spacing w:after="0"/>
              <w:rPr>
                <w:sz w:val="20"/>
                <w:szCs w:val="20"/>
                <w:color w:val="auto"/>
              </w:rPr>
            </w:pPr>
            <w:r>
              <w:rPr>
                <w:rFonts w:ascii="Arial" w:cs="Arial" w:eastAsia="Arial" w:hAnsi="Arial"/>
                <w:sz w:val="18"/>
                <w:szCs w:val="18"/>
                <w:color w:val="auto"/>
                <w:w w:val="91"/>
              </w:rPr>
              <w:t>333-227445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center"/>
              <w:ind w:right="97"/>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10/5/2018</w:t>
            </w:r>
          </w:p>
        </w:tc>
        <w:tc>
          <w:tcPr>
            <w:tcW w:w="0" w:type="dxa"/>
            <w:vAlign w:val="bottom"/>
          </w:tcPr>
          <w:p>
            <w:pPr>
              <w:spacing w:after="0"/>
              <w:rPr>
                <w:sz w:val="1"/>
                <w:szCs w:val="1"/>
                <w:color w:val="auto"/>
              </w:rPr>
            </w:pPr>
          </w:p>
        </w:tc>
      </w:tr>
      <w:tr>
        <w:trPr>
          <w:trHeight w:val="372"/>
        </w:trPr>
        <w:tc>
          <w:tcPr>
            <w:tcW w:w="880" w:type="dxa"/>
            <w:vAlign w:val="bottom"/>
          </w:tcPr>
          <w:p>
            <w:pPr>
              <w:ind w:left="2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0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21">
              <w:r>
                <w:rPr>
                  <w:rFonts w:ascii="Arial" w:cs="Arial" w:eastAsia="Arial" w:hAnsi="Arial"/>
                  <w:sz w:val="18"/>
                  <w:szCs w:val="18"/>
                  <w:color w:val="0000FF"/>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22">
              <w:r>
                <w:rPr>
                  <w:rFonts w:ascii="Arial" w:cs="Arial" w:eastAsia="Arial" w:hAnsi="Arial"/>
                  <w:sz w:val="18"/>
                  <w:szCs w:val="18"/>
                  <w:color w:val="0000FF"/>
                </w:rPr>
                <w:t>3.2</w:t>
              </w:r>
            </w:hyperlink>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00" w:type="dxa"/>
            <w:vAlign w:val="bottom"/>
            <w:gridSpan w:val="15"/>
          </w:tcPr>
          <w:p>
            <w:pPr>
              <w:spacing w:after="0"/>
              <w:rPr>
                <w:rFonts w:ascii="Arial" w:cs="Arial" w:eastAsia="Arial" w:hAnsi="Arial"/>
                <w:sz w:val="18"/>
                <w:szCs w:val="18"/>
                <w:color w:val="0000FF"/>
                <w:w w:val="97"/>
              </w:rPr>
            </w:pPr>
            <w:hyperlink w:anchor="page71">
              <w:r>
                <w:rPr>
                  <w:rFonts w:ascii="Arial" w:cs="Arial" w:eastAsia="Arial" w:hAnsi="Arial"/>
                  <w:sz w:val="18"/>
                  <w:szCs w:val="18"/>
                  <w:color w:val="0000FF"/>
                  <w:w w:val="97"/>
                </w:rPr>
                <w:t>Certification of Principal Executive Officer Pursuant to Rules 13a-</w:t>
              </w:r>
            </w:hyperlink>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40" w:type="dxa"/>
            <w:vAlign w:val="bottom"/>
            <w:gridSpan w:val="6"/>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00" w:type="dxa"/>
            <w:vAlign w:val="bottom"/>
            <w:gridSpan w:val="15"/>
          </w:tcPr>
          <w:p>
            <w:pPr>
              <w:spacing w:after="0" w:line="196" w:lineRule="exact"/>
              <w:rPr>
                <w:rFonts w:ascii="Arial" w:cs="Arial" w:eastAsia="Arial" w:hAnsi="Arial"/>
                <w:sz w:val="18"/>
                <w:szCs w:val="18"/>
                <w:color w:val="0000FF"/>
                <w:w w:val="94"/>
              </w:rPr>
            </w:pPr>
            <w:hyperlink w:anchor="page71">
              <w:r>
                <w:rPr>
                  <w:rFonts w:ascii="Arial" w:cs="Arial" w:eastAsia="Arial" w:hAnsi="Arial"/>
                  <w:sz w:val="18"/>
                  <w:szCs w:val="18"/>
                  <w:color w:val="0000FF"/>
                  <w:w w:val="94"/>
                </w:rPr>
                <w:t>14(a) and 15d-14(a) under the Securities Exchange Act of 1934, as</w:t>
              </w:r>
            </w:hyperlink>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0" w:type="dxa"/>
            <w:vAlign w:val="bottom"/>
            <w:tcBorders>
              <w:top w:val="single" w:sz="8" w:color="0000FF"/>
            </w:tcBorders>
            <w:gridSpan w:val="12"/>
          </w:tcPr>
          <w:p>
            <w:pPr>
              <w:spacing w:after="0" w:line="196" w:lineRule="exact"/>
              <w:rPr>
                <w:rFonts w:ascii="Arial" w:cs="Arial" w:eastAsia="Arial" w:hAnsi="Arial"/>
                <w:sz w:val="18"/>
                <w:szCs w:val="18"/>
                <w:color w:val="0000FF"/>
                <w:w w:val="95"/>
              </w:rPr>
            </w:pPr>
            <w:hyperlink w:anchor="page71">
              <w:r>
                <w:rPr>
                  <w:rFonts w:ascii="Arial" w:cs="Arial" w:eastAsia="Arial" w:hAnsi="Arial"/>
                  <w:sz w:val="18"/>
                  <w:szCs w:val="18"/>
                  <w:color w:val="0000FF"/>
                  <w:w w:val="95"/>
                </w:rPr>
                <w:t>Adopted Pursuant to Section 302 of the Sarbanes-Oxley Act of</w:t>
              </w:r>
            </w:hyperlink>
          </w:p>
        </w:tc>
        <w:tc>
          <w:tcPr>
            <w:tcW w:w="30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200" w:type="dxa"/>
            <w:vAlign w:val="bottom"/>
          </w:tcPr>
          <w:p>
            <w:pPr>
              <w:spacing w:after="0"/>
              <w:rPr>
                <w:sz w:val="17"/>
                <w:szCs w:val="17"/>
                <w:color w:val="auto"/>
              </w:rPr>
            </w:pPr>
          </w:p>
        </w:tc>
        <w:tc>
          <w:tcPr>
            <w:tcW w:w="440" w:type="dxa"/>
            <w:vAlign w:val="bottom"/>
            <w:gridSpan w:val="2"/>
          </w:tcPr>
          <w:p>
            <w:pPr>
              <w:ind w:left="40"/>
              <w:spacing w:after="0" w:line="196" w:lineRule="exact"/>
              <w:rPr>
                <w:rFonts w:ascii="Arial" w:cs="Arial" w:eastAsia="Arial" w:hAnsi="Arial"/>
                <w:sz w:val="18"/>
                <w:szCs w:val="18"/>
                <w:color w:val="0000FF"/>
                <w:w w:val="84"/>
              </w:rPr>
            </w:pPr>
            <w:hyperlink w:anchor="page71">
              <w:r>
                <w:rPr>
                  <w:rFonts w:ascii="Arial" w:cs="Arial" w:eastAsia="Arial" w:hAnsi="Arial"/>
                  <w:sz w:val="18"/>
                  <w:szCs w:val="18"/>
                  <w:color w:val="0000FF"/>
                  <w:w w:val="84"/>
                </w:rPr>
                <w:t>2002.</w:t>
              </w:r>
            </w:hyperlink>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0" w:type="dxa"/>
            <w:vAlign w:val="bottom"/>
            <w:tcBorders>
              <w:bottom w:val="single" w:sz="8" w:color="0000FF"/>
            </w:tcBorders>
            <w:gridSpan w:val="12"/>
          </w:tcPr>
          <w:p>
            <w:pPr>
              <w:spacing w:after="0"/>
              <w:rPr>
                <w:rFonts w:ascii="Arial" w:cs="Arial" w:eastAsia="Arial" w:hAnsi="Arial"/>
                <w:sz w:val="18"/>
                <w:szCs w:val="18"/>
                <w:color w:val="0000FF"/>
                <w:w w:val="92"/>
              </w:rPr>
            </w:pPr>
            <w:hyperlink w:anchor="page72">
              <w:r>
                <w:rPr>
                  <w:rFonts w:ascii="Arial" w:cs="Arial" w:eastAsia="Arial" w:hAnsi="Arial"/>
                  <w:sz w:val="18"/>
                  <w:szCs w:val="18"/>
                  <w:color w:val="0000FF"/>
                  <w:w w:val="92"/>
                </w:rPr>
                <w:t>Certification of Principal Financial Officer Pursuant to Rules 13a-</w:t>
              </w:r>
            </w:hyperlink>
          </w:p>
        </w:tc>
        <w:tc>
          <w:tcPr>
            <w:tcW w:w="300" w:type="dxa"/>
            <w:vAlign w:val="bottom"/>
            <w:gridSpan w:val="3"/>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00" w:type="dxa"/>
            <w:vAlign w:val="bottom"/>
            <w:gridSpan w:val="15"/>
          </w:tcPr>
          <w:p>
            <w:pPr>
              <w:spacing w:after="0" w:line="196" w:lineRule="exact"/>
              <w:rPr>
                <w:rFonts w:ascii="Arial" w:cs="Arial" w:eastAsia="Arial" w:hAnsi="Arial"/>
                <w:sz w:val="18"/>
                <w:szCs w:val="18"/>
                <w:color w:val="0000FF"/>
                <w:w w:val="94"/>
              </w:rPr>
            </w:pPr>
            <w:hyperlink w:anchor="page72">
              <w:r>
                <w:rPr>
                  <w:rFonts w:ascii="Arial" w:cs="Arial" w:eastAsia="Arial" w:hAnsi="Arial"/>
                  <w:sz w:val="18"/>
                  <w:szCs w:val="18"/>
                  <w:color w:val="0000FF"/>
                  <w:w w:val="94"/>
                </w:rPr>
                <w:t>14(a) and 15d-14(a) under the Securities Exchange Act of 1934, as</w:t>
              </w:r>
            </w:hyperlink>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0" w:type="dxa"/>
            <w:vAlign w:val="bottom"/>
            <w:tcBorders>
              <w:top w:val="single" w:sz="8" w:color="0000FF"/>
            </w:tcBorders>
            <w:gridSpan w:val="12"/>
          </w:tcPr>
          <w:p>
            <w:pPr>
              <w:spacing w:after="0" w:line="196" w:lineRule="exact"/>
              <w:rPr>
                <w:rFonts w:ascii="Arial" w:cs="Arial" w:eastAsia="Arial" w:hAnsi="Arial"/>
                <w:sz w:val="18"/>
                <w:szCs w:val="18"/>
                <w:color w:val="0000FF"/>
                <w:w w:val="95"/>
              </w:rPr>
            </w:pPr>
            <w:hyperlink w:anchor="page72">
              <w:r>
                <w:rPr>
                  <w:rFonts w:ascii="Arial" w:cs="Arial" w:eastAsia="Arial" w:hAnsi="Arial"/>
                  <w:sz w:val="18"/>
                  <w:szCs w:val="18"/>
                  <w:color w:val="0000FF"/>
                  <w:w w:val="95"/>
                </w:rPr>
                <w:t>Adopted Pursuant to Section 302 of the Sarbanes-Oxley Act of</w:t>
              </w:r>
            </w:hyperlink>
          </w:p>
        </w:tc>
        <w:tc>
          <w:tcPr>
            <w:tcW w:w="30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200" w:type="dxa"/>
            <w:vAlign w:val="bottom"/>
          </w:tcPr>
          <w:p>
            <w:pPr>
              <w:spacing w:after="0"/>
              <w:rPr>
                <w:sz w:val="17"/>
                <w:szCs w:val="17"/>
                <w:color w:val="auto"/>
              </w:rPr>
            </w:pPr>
          </w:p>
        </w:tc>
        <w:tc>
          <w:tcPr>
            <w:tcW w:w="440" w:type="dxa"/>
            <w:vAlign w:val="bottom"/>
            <w:gridSpan w:val="2"/>
          </w:tcPr>
          <w:p>
            <w:pPr>
              <w:ind w:left="40"/>
              <w:spacing w:after="0" w:line="196" w:lineRule="exact"/>
              <w:rPr>
                <w:rFonts w:ascii="Arial" w:cs="Arial" w:eastAsia="Arial" w:hAnsi="Arial"/>
                <w:sz w:val="18"/>
                <w:szCs w:val="18"/>
                <w:color w:val="0000FF"/>
                <w:w w:val="84"/>
              </w:rPr>
            </w:pPr>
            <w:hyperlink w:anchor="page72">
              <w:r>
                <w:rPr>
                  <w:rFonts w:ascii="Arial" w:cs="Arial" w:eastAsia="Arial" w:hAnsi="Arial"/>
                  <w:sz w:val="18"/>
                  <w:szCs w:val="18"/>
                  <w:color w:val="0000FF"/>
                  <w:w w:val="84"/>
                </w:rPr>
                <w:t>2002.</w:t>
              </w:r>
            </w:hyperlink>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40" w:type="dxa"/>
            <w:vAlign w:val="bottom"/>
            <w:tcBorders>
              <w:bottom w:val="single" w:sz="8" w:color="0000FF"/>
            </w:tcBorders>
            <w:gridSpan w:val="13"/>
          </w:tcPr>
          <w:p>
            <w:pPr>
              <w:spacing w:after="0"/>
              <w:rPr>
                <w:rFonts w:ascii="Arial" w:cs="Arial" w:eastAsia="Arial" w:hAnsi="Arial"/>
                <w:sz w:val="18"/>
                <w:szCs w:val="18"/>
                <w:color w:val="0000FF"/>
                <w:w w:val="93"/>
              </w:rPr>
            </w:pPr>
            <w:hyperlink w:anchor="page73">
              <w:r>
                <w:rPr>
                  <w:rFonts w:ascii="Arial" w:cs="Arial" w:eastAsia="Arial" w:hAnsi="Arial"/>
                  <w:sz w:val="18"/>
                  <w:szCs w:val="18"/>
                  <w:color w:val="0000FF"/>
                  <w:w w:val="93"/>
                </w:rPr>
                <w:t>Certification of Principal Executive Officer and Principal Financial</w:t>
              </w:r>
            </w:hyperlink>
          </w:p>
        </w:tc>
        <w:tc>
          <w:tcPr>
            <w:tcW w:w="26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00" w:type="dxa"/>
            <w:vAlign w:val="bottom"/>
            <w:tcBorders>
              <w:bottom w:val="single" w:sz="8" w:color="0000FF"/>
            </w:tcBorders>
            <w:gridSpan w:val="11"/>
          </w:tcPr>
          <w:p>
            <w:pPr>
              <w:spacing w:after="0" w:line="196" w:lineRule="exact"/>
              <w:rPr>
                <w:rFonts w:ascii="Arial" w:cs="Arial" w:eastAsia="Arial" w:hAnsi="Arial"/>
                <w:sz w:val="18"/>
                <w:szCs w:val="18"/>
                <w:color w:val="0000FF"/>
                <w:w w:val="89"/>
              </w:rPr>
            </w:pPr>
            <w:hyperlink w:anchor="page73">
              <w:r>
                <w:rPr>
                  <w:rFonts w:ascii="Arial" w:cs="Arial" w:eastAsia="Arial" w:hAnsi="Arial"/>
                  <w:sz w:val="18"/>
                  <w:szCs w:val="18"/>
                  <w:color w:val="0000FF"/>
                  <w:w w:val="89"/>
                </w:rPr>
                <w:t>Officer Pursuant to 18 U.S.C. Section 1350, as Adopted Pursuant</w:t>
              </w:r>
            </w:hyperlink>
          </w:p>
        </w:tc>
        <w:tc>
          <w:tcPr>
            <w:tcW w:w="40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00" w:type="dxa"/>
            <w:vAlign w:val="bottom"/>
            <w:gridSpan w:val="15"/>
          </w:tcPr>
          <w:p>
            <w:pPr>
              <w:spacing w:after="0" w:line="196" w:lineRule="exact"/>
              <w:rPr>
                <w:rFonts w:ascii="Arial" w:cs="Arial" w:eastAsia="Arial" w:hAnsi="Arial"/>
                <w:sz w:val="18"/>
                <w:szCs w:val="18"/>
                <w:color w:val="0000FF"/>
              </w:rPr>
            </w:pPr>
            <w:hyperlink w:anchor="page73">
              <w:r>
                <w:rPr>
                  <w:rFonts w:ascii="Arial" w:cs="Arial" w:eastAsia="Arial" w:hAnsi="Arial"/>
                  <w:sz w:val="18"/>
                  <w:szCs w:val="18"/>
                  <w:color w:val="0000FF"/>
                </w:rPr>
                <w:t>to Section 906 of the Sarbanes-Oxley Act of 2002.</w:t>
              </w:r>
            </w:hyperlink>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364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XBRL Instance Document</w:t>
            </w:r>
          </w:p>
        </w:tc>
        <w:tc>
          <w:tcPr>
            <w:tcW w:w="1460" w:type="dxa"/>
            <w:vAlign w:val="bottom"/>
            <w:gridSpan w:val="8"/>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510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510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510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510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510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40" w:right="200" w:hanging="332"/>
        <w:spacing w:after="0" w:line="264" w:lineRule="auto"/>
        <w:tabs>
          <w:tab w:leader="none" w:pos="3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580" w:right="2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9"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340" w:type="dxa"/>
            <w:vAlign w:val="bottom"/>
            <w:gridSpan w:val="2"/>
          </w:tcPr>
          <w:p>
            <w:pPr>
              <w:ind w:left="1480"/>
              <w:spacing w:after="0"/>
              <w:rPr>
                <w:sz w:val="20"/>
                <w:szCs w:val="20"/>
                <w:color w:val="auto"/>
              </w:rPr>
            </w:pPr>
            <w:r>
              <w:rPr>
                <w:rFonts w:ascii="Arial" w:cs="Arial" w:eastAsia="Arial" w:hAnsi="Arial"/>
                <w:sz w:val="18"/>
                <w:szCs w:val="18"/>
                <w:color w:val="auto"/>
              </w:rPr>
              <w:t>SI-BONE, Inc.</w:t>
            </w:r>
          </w:p>
        </w:tc>
      </w:tr>
      <w:tr>
        <w:trPr>
          <w:trHeight w:val="50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700" w:type="dxa"/>
            <w:vAlign w:val="bottom"/>
          </w:tcPr>
          <w:p>
            <w:pPr>
              <w:ind w:left="140"/>
              <w:spacing w:after="0"/>
              <w:rPr>
                <w:sz w:val="20"/>
                <w:szCs w:val="20"/>
                <w:color w:val="auto"/>
              </w:rPr>
            </w:pPr>
            <w:r>
              <w:rPr>
                <w:rFonts w:ascii="Arial" w:cs="Arial" w:eastAsia="Arial" w:hAnsi="Arial"/>
                <w:sz w:val="18"/>
                <w:szCs w:val="18"/>
                <w:color w:val="auto"/>
              </w:rPr>
              <w:t>August 7, 2019</w:t>
            </w:r>
          </w:p>
        </w:tc>
        <w:tc>
          <w:tcPr>
            <w:tcW w:w="2120" w:type="dxa"/>
            <w:vAlign w:val="bottom"/>
          </w:tcPr>
          <w:p>
            <w:pPr>
              <w:ind w:left="1480"/>
              <w:spacing w:after="0"/>
              <w:rPr>
                <w:sz w:val="20"/>
                <w:szCs w:val="20"/>
                <w:color w:val="auto"/>
              </w:rPr>
            </w:pPr>
            <w:r>
              <w:rPr>
                <w:rFonts w:ascii="Arial" w:cs="Arial" w:eastAsia="Arial" w:hAnsi="Arial"/>
                <w:sz w:val="18"/>
                <w:szCs w:val="18"/>
                <w:color w:val="auto"/>
              </w:rPr>
              <w:t>By:</w:t>
            </w:r>
          </w:p>
        </w:tc>
        <w:tc>
          <w:tcPr>
            <w:tcW w:w="4220" w:type="dxa"/>
            <w:vAlign w:val="bottom"/>
          </w:tcPr>
          <w:p>
            <w:pPr>
              <w:ind w:left="20"/>
              <w:spacing w:after="0"/>
              <w:rPr>
                <w:sz w:val="20"/>
                <w:szCs w:val="20"/>
                <w:color w:val="auto"/>
              </w:rPr>
            </w:pPr>
            <w:r>
              <w:rPr>
                <w:rFonts w:ascii="Arial" w:cs="Arial" w:eastAsia="Arial" w:hAnsi="Arial"/>
                <w:sz w:val="18"/>
                <w:szCs w:val="18"/>
                <w:color w:val="auto"/>
              </w:rPr>
              <w:t>/s/ Jeffrey W. Dunn</w:t>
            </w:r>
          </w:p>
        </w:tc>
      </w:tr>
      <w:tr>
        <w:trPr>
          <w:trHeight w:val="27"/>
        </w:trPr>
        <w:tc>
          <w:tcPr>
            <w:tcW w:w="5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Jeffrey W. Dunn</w:t>
            </w:r>
          </w:p>
        </w:tc>
      </w:tr>
      <w:tr>
        <w:trPr>
          <w:trHeight w:val="270"/>
        </w:trPr>
        <w:tc>
          <w:tcPr>
            <w:tcW w:w="5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56"/>
        </w:trPr>
        <w:tc>
          <w:tcPr>
            <w:tcW w:w="5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(Duly Authorized Officer and Principal Executive</w:t>
            </w:r>
          </w:p>
        </w:tc>
      </w:tr>
      <w:tr>
        <w:trPr>
          <w:trHeight w:val="230"/>
        </w:trPr>
        <w:tc>
          <w:tcPr>
            <w:tcW w:w="5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Officer</w:t>
            </w:r>
            <w:r>
              <w:rPr>
                <w:rFonts w:ascii="Arial" w:cs="Arial" w:eastAsia="Arial" w:hAnsi="Arial"/>
                <w:sz w:val="14"/>
                <w:szCs w:val="14"/>
                <w:color w:val="auto"/>
              </w:rPr>
              <w:t>)</w:t>
            </w:r>
          </w:p>
        </w:tc>
      </w:tr>
      <w:tr>
        <w:trPr>
          <w:trHeight w:val="770"/>
        </w:trPr>
        <w:tc>
          <w:tcPr>
            <w:tcW w:w="5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340" w:type="dxa"/>
            <w:vAlign w:val="bottom"/>
            <w:gridSpan w:val="2"/>
          </w:tcPr>
          <w:p>
            <w:pPr>
              <w:ind w:left="1480"/>
              <w:spacing w:after="0"/>
              <w:rPr>
                <w:sz w:val="20"/>
                <w:szCs w:val="20"/>
                <w:color w:val="auto"/>
              </w:rPr>
            </w:pPr>
            <w:r>
              <w:rPr>
                <w:rFonts w:ascii="Arial" w:cs="Arial" w:eastAsia="Arial" w:hAnsi="Arial"/>
                <w:sz w:val="18"/>
                <w:szCs w:val="18"/>
                <w:color w:val="auto"/>
              </w:rPr>
              <w:t>SI-BONE, Inc.</w:t>
            </w:r>
          </w:p>
        </w:tc>
      </w:tr>
      <w:tr>
        <w:trPr>
          <w:trHeight w:val="45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700" w:type="dxa"/>
            <w:vAlign w:val="bottom"/>
          </w:tcPr>
          <w:p>
            <w:pPr>
              <w:ind w:left="140"/>
              <w:spacing w:after="0"/>
              <w:rPr>
                <w:sz w:val="20"/>
                <w:szCs w:val="20"/>
                <w:color w:val="auto"/>
              </w:rPr>
            </w:pPr>
            <w:r>
              <w:rPr>
                <w:rFonts w:ascii="Arial" w:cs="Arial" w:eastAsia="Arial" w:hAnsi="Arial"/>
                <w:sz w:val="18"/>
                <w:szCs w:val="18"/>
                <w:color w:val="auto"/>
              </w:rPr>
              <w:t>August 7, 2019</w:t>
            </w:r>
          </w:p>
        </w:tc>
        <w:tc>
          <w:tcPr>
            <w:tcW w:w="2120" w:type="dxa"/>
            <w:vAlign w:val="bottom"/>
          </w:tcPr>
          <w:p>
            <w:pPr>
              <w:ind w:left="1480"/>
              <w:spacing w:after="0"/>
              <w:rPr>
                <w:sz w:val="20"/>
                <w:szCs w:val="20"/>
                <w:color w:val="auto"/>
              </w:rPr>
            </w:pPr>
            <w:r>
              <w:rPr>
                <w:rFonts w:ascii="Arial" w:cs="Arial" w:eastAsia="Arial" w:hAnsi="Arial"/>
                <w:sz w:val="18"/>
                <w:szCs w:val="18"/>
                <w:color w:val="auto"/>
              </w:rPr>
              <w:t>By:</w:t>
            </w:r>
          </w:p>
        </w:tc>
        <w:tc>
          <w:tcPr>
            <w:tcW w:w="4220" w:type="dxa"/>
            <w:vAlign w:val="bottom"/>
          </w:tcPr>
          <w:p>
            <w:pPr>
              <w:ind w:left="20"/>
              <w:spacing w:after="0"/>
              <w:rPr>
                <w:sz w:val="20"/>
                <w:szCs w:val="20"/>
                <w:color w:val="auto"/>
              </w:rPr>
            </w:pPr>
            <w:r>
              <w:rPr>
                <w:rFonts w:ascii="Arial" w:cs="Arial" w:eastAsia="Arial" w:hAnsi="Arial"/>
                <w:sz w:val="18"/>
                <w:szCs w:val="18"/>
                <w:color w:val="auto"/>
              </w:rPr>
              <w:t>/s/ Laura A. Francis</w:t>
            </w:r>
          </w:p>
        </w:tc>
      </w:tr>
      <w:tr>
        <w:trPr>
          <w:trHeight w:val="27"/>
        </w:trPr>
        <w:tc>
          <w:tcPr>
            <w:tcW w:w="5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Laura A. Francis</w:t>
            </w:r>
          </w:p>
        </w:tc>
      </w:tr>
    </w:tbl>
    <w:p>
      <w:pPr>
        <w:spacing w:after="0" w:line="4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Operating Officer and 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(Duly Authorized Officer and Principal Financial and</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420"/>
          </w:cols>
          <w:pgMar w:left="240" w:top="36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Dunn, certify that:</w:t>
      </w:r>
    </w:p>
    <w:p>
      <w:pPr>
        <w:spacing w:after="0" w:line="293" w:lineRule="exact"/>
        <w:rPr>
          <w:sz w:val="20"/>
          <w:szCs w:val="20"/>
          <w:color w:val="auto"/>
        </w:rPr>
      </w:pPr>
    </w:p>
    <w:p>
      <w:pPr>
        <w:ind w:left="940" w:hanging="412"/>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Form 10-Q of SI-Bone, Inc.;</w:t>
      </w:r>
    </w:p>
    <w:p>
      <w:pPr>
        <w:spacing w:after="0" w:line="319" w:lineRule="exact"/>
        <w:rPr>
          <w:rFonts w:ascii="Arial" w:cs="Arial" w:eastAsia="Arial" w:hAnsi="Arial"/>
          <w:sz w:val="18"/>
          <w:szCs w:val="18"/>
          <w:color w:val="auto"/>
        </w:rPr>
      </w:pPr>
    </w:p>
    <w:p>
      <w:pPr>
        <w:ind w:left="940" w:right="700" w:hanging="412"/>
        <w:spacing w:after="0" w:line="264" w:lineRule="auto"/>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5" w:lineRule="exact"/>
        <w:rPr>
          <w:rFonts w:ascii="Arial" w:cs="Arial" w:eastAsia="Arial" w:hAnsi="Arial"/>
          <w:sz w:val="18"/>
          <w:szCs w:val="18"/>
          <w:color w:val="auto"/>
        </w:rPr>
      </w:pPr>
    </w:p>
    <w:p>
      <w:pPr>
        <w:ind w:left="940" w:right="760" w:hanging="412"/>
        <w:spacing w:after="0" w:line="342" w:lineRule="auto"/>
        <w:tabs>
          <w:tab w:leader="none" w:pos="9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8" w:lineRule="exact"/>
        <w:rPr>
          <w:rFonts w:ascii="Arial" w:cs="Arial" w:eastAsia="Arial" w:hAnsi="Arial"/>
          <w:sz w:val="16"/>
          <w:szCs w:val="16"/>
          <w:color w:val="auto"/>
        </w:rPr>
      </w:pPr>
    </w:p>
    <w:p>
      <w:pPr>
        <w:ind w:left="940" w:right="780" w:hanging="412"/>
        <w:spacing w:after="0" w:line="277" w:lineRule="auto"/>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65" w:lineRule="exact"/>
        <w:rPr>
          <w:rFonts w:ascii="Arial" w:cs="Arial" w:eastAsia="Arial" w:hAnsi="Arial"/>
          <w:sz w:val="18"/>
          <w:szCs w:val="18"/>
          <w:color w:val="auto"/>
        </w:rPr>
      </w:pPr>
    </w:p>
    <w:p>
      <w:pPr>
        <w:ind w:left="1360" w:right="660" w:hanging="413"/>
        <w:spacing w:after="0" w:line="286" w:lineRule="auto"/>
        <w:tabs>
          <w:tab w:leader="none" w:pos="13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0" w:lineRule="exact"/>
        <w:rPr>
          <w:rFonts w:ascii="Arial" w:cs="Arial" w:eastAsia="Arial" w:hAnsi="Arial"/>
          <w:sz w:val="17"/>
          <w:szCs w:val="17"/>
          <w:color w:val="auto"/>
        </w:rPr>
      </w:pPr>
    </w:p>
    <w:p>
      <w:pPr>
        <w:ind w:left="1360" w:right="620" w:hanging="413"/>
        <w:spacing w:after="0" w:line="264" w:lineRule="auto"/>
        <w:tabs>
          <w:tab w:leader="none" w:pos="13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5" w:lineRule="exact"/>
        <w:rPr>
          <w:rFonts w:ascii="Arial" w:cs="Arial" w:eastAsia="Arial" w:hAnsi="Arial"/>
          <w:sz w:val="18"/>
          <w:szCs w:val="18"/>
          <w:color w:val="auto"/>
        </w:rPr>
      </w:pPr>
    </w:p>
    <w:p>
      <w:pPr>
        <w:ind w:left="1360" w:right="720" w:hanging="413"/>
        <w:spacing w:after="0" w:line="286" w:lineRule="auto"/>
        <w:tabs>
          <w:tab w:leader="none" w:pos="13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0" w:lineRule="exact"/>
        <w:rPr>
          <w:rFonts w:ascii="Arial" w:cs="Arial" w:eastAsia="Arial" w:hAnsi="Arial"/>
          <w:sz w:val="17"/>
          <w:szCs w:val="17"/>
          <w:color w:val="auto"/>
        </w:rPr>
      </w:pPr>
    </w:p>
    <w:p>
      <w:pPr>
        <w:ind w:left="940" w:right="680" w:hanging="412"/>
        <w:spacing w:after="0" w:line="264" w:lineRule="auto"/>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5" w:lineRule="exact"/>
        <w:rPr>
          <w:rFonts w:ascii="Arial" w:cs="Arial" w:eastAsia="Arial" w:hAnsi="Arial"/>
          <w:sz w:val="18"/>
          <w:szCs w:val="18"/>
          <w:color w:val="auto"/>
        </w:rPr>
      </w:pPr>
    </w:p>
    <w:p>
      <w:pPr>
        <w:ind w:left="1360" w:right="560" w:hanging="413"/>
        <w:spacing w:after="0" w:line="342" w:lineRule="auto"/>
        <w:tabs>
          <w:tab w:leader="none" w:pos="13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8" w:lineRule="exact"/>
        <w:rPr>
          <w:rFonts w:ascii="Arial" w:cs="Arial" w:eastAsia="Arial" w:hAnsi="Arial"/>
          <w:sz w:val="16"/>
          <w:szCs w:val="16"/>
          <w:color w:val="auto"/>
        </w:rPr>
      </w:pPr>
    </w:p>
    <w:p>
      <w:pPr>
        <w:ind w:left="1360" w:right="860" w:hanging="413"/>
        <w:spacing w:after="0" w:line="277" w:lineRule="auto"/>
        <w:tabs>
          <w:tab w:leader="none" w:pos="13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327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00"/>
        <w:spacing w:after="0"/>
        <w:tabs>
          <w:tab w:leader="none" w:pos="7620" w:val="left"/>
        </w:tabs>
        <w:rPr>
          <w:sz w:val="20"/>
          <w:szCs w:val="20"/>
          <w:color w:val="auto"/>
        </w:rPr>
      </w:pPr>
      <w:r>
        <w:rPr>
          <w:rFonts w:ascii="Arial" w:cs="Arial" w:eastAsia="Arial" w:hAnsi="Arial"/>
          <w:sz w:val="18"/>
          <w:szCs w:val="18"/>
          <w:color w:val="auto"/>
        </w:rPr>
        <w:t>Date:  August 7, 2019</w:t>
      </w:r>
      <w:r>
        <w:rPr>
          <w:sz w:val="20"/>
          <w:szCs w:val="20"/>
          <w:color w:val="auto"/>
        </w:rPr>
        <w:tab/>
      </w:r>
      <w:r>
        <w:rPr>
          <w:rFonts w:ascii="Arial" w:cs="Arial" w:eastAsia="Arial" w:hAnsi="Arial"/>
          <w:sz w:val="16"/>
          <w:szCs w:val="16"/>
          <w:color w:val="auto"/>
        </w:rPr>
        <w:t>Jeffrey W. Dunn</w:t>
      </w:r>
    </w:p>
    <w:p>
      <w:pPr>
        <w:spacing w:after="0" w:line="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4"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Laura A. Francis, certify that:</w:t>
      </w:r>
    </w:p>
    <w:p>
      <w:pPr>
        <w:spacing w:after="0" w:line="293" w:lineRule="exact"/>
        <w:rPr>
          <w:sz w:val="20"/>
          <w:szCs w:val="20"/>
          <w:color w:val="auto"/>
        </w:rPr>
      </w:pPr>
    </w:p>
    <w:p>
      <w:pPr>
        <w:ind w:left="940" w:hanging="412"/>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Form 10-Q of SI-Bone, Inc.;</w:t>
      </w:r>
    </w:p>
    <w:p>
      <w:pPr>
        <w:spacing w:after="0" w:line="319" w:lineRule="exact"/>
        <w:rPr>
          <w:rFonts w:ascii="Arial" w:cs="Arial" w:eastAsia="Arial" w:hAnsi="Arial"/>
          <w:sz w:val="18"/>
          <w:szCs w:val="18"/>
          <w:color w:val="auto"/>
        </w:rPr>
      </w:pPr>
    </w:p>
    <w:p>
      <w:pPr>
        <w:ind w:left="940" w:right="700" w:hanging="412"/>
        <w:spacing w:after="0" w:line="264" w:lineRule="auto"/>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5" w:lineRule="exact"/>
        <w:rPr>
          <w:rFonts w:ascii="Arial" w:cs="Arial" w:eastAsia="Arial" w:hAnsi="Arial"/>
          <w:sz w:val="18"/>
          <w:szCs w:val="18"/>
          <w:color w:val="auto"/>
        </w:rPr>
      </w:pPr>
    </w:p>
    <w:p>
      <w:pPr>
        <w:ind w:left="940" w:right="760" w:hanging="412"/>
        <w:spacing w:after="0" w:line="342" w:lineRule="auto"/>
        <w:tabs>
          <w:tab w:leader="none" w:pos="9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8" w:lineRule="exact"/>
        <w:rPr>
          <w:rFonts w:ascii="Arial" w:cs="Arial" w:eastAsia="Arial" w:hAnsi="Arial"/>
          <w:sz w:val="16"/>
          <w:szCs w:val="16"/>
          <w:color w:val="auto"/>
        </w:rPr>
      </w:pPr>
    </w:p>
    <w:p>
      <w:pPr>
        <w:ind w:left="940" w:right="780" w:hanging="412"/>
        <w:spacing w:after="0" w:line="277" w:lineRule="auto"/>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64" w:lineRule="exact"/>
        <w:rPr>
          <w:rFonts w:ascii="Arial" w:cs="Arial" w:eastAsia="Arial" w:hAnsi="Arial"/>
          <w:sz w:val="18"/>
          <w:szCs w:val="18"/>
          <w:color w:val="auto"/>
        </w:rPr>
      </w:pPr>
    </w:p>
    <w:p>
      <w:pPr>
        <w:ind w:left="1360" w:right="660" w:hanging="413"/>
        <w:spacing w:after="0" w:line="286" w:lineRule="auto"/>
        <w:tabs>
          <w:tab w:leader="none" w:pos="13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0" w:lineRule="exact"/>
        <w:rPr>
          <w:rFonts w:ascii="Arial" w:cs="Arial" w:eastAsia="Arial" w:hAnsi="Arial"/>
          <w:sz w:val="17"/>
          <w:szCs w:val="17"/>
          <w:color w:val="auto"/>
        </w:rPr>
      </w:pPr>
    </w:p>
    <w:p>
      <w:pPr>
        <w:ind w:left="1360" w:right="620" w:hanging="413"/>
        <w:spacing w:after="0" w:line="264" w:lineRule="auto"/>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5" w:lineRule="exact"/>
        <w:rPr>
          <w:rFonts w:ascii="Arial" w:cs="Arial" w:eastAsia="Arial" w:hAnsi="Arial"/>
          <w:sz w:val="18"/>
          <w:szCs w:val="18"/>
          <w:color w:val="auto"/>
        </w:rPr>
      </w:pPr>
    </w:p>
    <w:p>
      <w:pPr>
        <w:ind w:left="1360" w:right="720" w:hanging="413"/>
        <w:spacing w:after="0" w:line="286" w:lineRule="auto"/>
        <w:tabs>
          <w:tab w:leader="none" w:pos="13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0" w:lineRule="exact"/>
        <w:rPr>
          <w:rFonts w:ascii="Arial" w:cs="Arial" w:eastAsia="Arial" w:hAnsi="Arial"/>
          <w:sz w:val="17"/>
          <w:szCs w:val="17"/>
          <w:color w:val="auto"/>
        </w:rPr>
      </w:pPr>
    </w:p>
    <w:p>
      <w:pPr>
        <w:ind w:left="940" w:right="680" w:hanging="412"/>
        <w:spacing w:after="0" w:line="264" w:lineRule="auto"/>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5" w:lineRule="exact"/>
        <w:rPr>
          <w:rFonts w:ascii="Arial" w:cs="Arial" w:eastAsia="Arial" w:hAnsi="Arial"/>
          <w:sz w:val="18"/>
          <w:szCs w:val="18"/>
          <w:color w:val="auto"/>
        </w:rPr>
      </w:pPr>
    </w:p>
    <w:p>
      <w:pPr>
        <w:ind w:left="1360" w:right="560" w:hanging="413"/>
        <w:spacing w:after="0" w:line="342" w:lineRule="auto"/>
        <w:tabs>
          <w:tab w:leader="none" w:pos="13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8" w:lineRule="exact"/>
        <w:rPr>
          <w:rFonts w:ascii="Arial" w:cs="Arial" w:eastAsia="Arial" w:hAnsi="Arial"/>
          <w:sz w:val="16"/>
          <w:szCs w:val="16"/>
          <w:color w:val="auto"/>
        </w:rPr>
      </w:pPr>
    </w:p>
    <w:p>
      <w:pPr>
        <w:ind w:left="1360" w:right="860" w:hanging="413"/>
        <w:spacing w:after="0" w:line="277" w:lineRule="auto"/>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2327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520"/>
        <w:spacing w:after="0"/>
        <w:tabs>
          <w:tab w:leader="none" w:pos="1260" w:val="left"/>
          <w:tab w:leader="none" w:pos="7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2019</w:t>
      </w:r>
      <w:r>
        <w:rPr>
          <w:sz w:val="20"/>
          <w:szCs w:val="20"/>
          <w:color w:val="auto"/>
        </w:rPr>
        <w:tab/>
      </w:r>
      <w:r>
        <w:rPr>
          <w:rFonts w:ascii="Arial" w:cs="Arial" w:eastAsia="Arial" w:hAnsi="Arial"/>
          <w:sz w:val="16"/>
          <w:szCs w:val="16"/>
          <w:color w:val="auto"/>
        </w:rPr>
        <w:t>Laura A. Francis</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Operating Officer and Chief Financial Officer</w:t>
      </w:r>
    </w:p>
    <w:p>
      <w:pPr>
        <w:sectPr>
          <w:pgSz w:w="11900" w:h="16838" w:orient="portrait"/>
          <w:cols w:equalWidth="0" w:num="1">
            <w:col w:w="11420"/>
          </w:cols>
          <w:pgMar w:left="240" w:top="584"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9"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Jeffrey W. Dunn, President and Chief Executive Officer of SI-Bone, Inc. (the “Company”), and Laura A. Francis, Chief Financial Officer of the Company, each hereby certify that, to the best of his or her knowledge:</w:t>
      </w:r>
    </w:p>
    <w:p>
      <w:pPr>
        <w:spacing w:after="0" w:line="166" w:lineRule="exact"/>
        <w:rPr>
          <w:sz w:val="20"/>
          <w:szCs w:val="20"/>
          <w:color w:val="auto"/>
        </w:rPr>
      </w:pPr>
    </w:p>
    <w:p>
      <w:pPr>
        <w:ind w:right="220" w:firstLine="8"/>
        <w:spacing w:after="0" w:line="277"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2019, to which this Certification is attached as Exhibit 32.1 (the “Periodic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5077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57" w:lineRule="exact"/>
        <w:rPr>
          <w:sz w:val="20"/>
          <w:szCs w:val="20"/>
          <w:color w:val="auto"/>
        </w:rPr>
      </w:pPr>
    </w:p>
    <w:p>
      <w:pPr>
        <w:ind w:left="200"/>
        <w:spacing w:after="0"/>
        <w:tabs>
          <w:tab w:leader="none" w:pos="960" w:val="left"/>
          <w:tab w:leader="none" w:pos="7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2019</w:t>
      </w:r>
      <w:r>
        <w:rPr>
          <w:sz w:val="20"/>
          <w:szCs w:val="20"/>
          <w:color w:val="auto"/>
        </w:rPr>
        <w:tab/>
      </w:r>
      <w:r>
        <w:rPr>
          <w:rFonts w:ascii="Arial" w:cs="Arial" w:eastAsia="Arial" w:hAnsi="Arial"/>
          <w:sz w:val="16"/>
          <w:szCs w:val="16"/>
          <w:color w:val="auto"/>
        </w:rPr>
        <w:t>Jeffrey W. Dunn</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President and Chief Executive Officer</w:t>
      </w:r>
    </w:p>
    <w:p>
      <w:pPr>
        <w:spacing w:after="0" w:line="33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5077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57" w:lineRule="exact"/>
        <w:rPr>
          <w:sz w:val="20"/>
          <w:szCs w:val="20"/>
          <w:color w:val="auto"/>
        </w:rPr>
      </w:pPr>
    </w:p>
    <w:p>
      <w:pPr>
        <w:ind w:left="200"/>
        <w:spacing w:after="0"/>
        <w:tabs>
          <w:tab w:leader="none" w:pos="960" w:val="left"/>
          <w:tab w:leader="none" w:pos="7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2019</w:t>
      </w:r>
      <w:r>
        <w:rPr>
          <w:sz w:val="20"/>
          <w:szCs w:val="20"/>
          <w:color w:val="auto"/>
        </w:rPr>
        <w:tab/>
      </w:r>
      <w:r>
        <w:rPr>
          <w:rFonts w:ascii="Arial" w:cs="Arial" w:eastAsia="Arial" w:hAnsi="Arial"/>
          <w:sz w:val="16"/>
          <w:szCs w:val="16"/>
          <w:color w:val="auto"/>
        </w:rPr>
        <w:t>Laura A. Francis</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 and Chief Financial Officer</w:t>
      </w:r>
    </w:p>
    <w:p>
      <w:pPr>
        <w:spacing w:after="0" w:line="25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516"/>
    </w:lvl>
  </w:abstractNum>
  <w:abstractNum w:abstractNumId="3">
    <w:nsid w:val="2D1D5AE9"/>
    <w:multiLevelType w:val="hybridMultilevel"/>
    <w:lvl w:ilvl="0">
      <w:lvlJc w:val="left"/>
      <w:lvlText w:val="%1."/>
      <w:numFmt w:val="decimal"/>
      <w:start w:val="606"/>
    </w:lvl>
  </w:abstractNum>
  <w:abstractNum w:abstractNumId="4">
    <w:nsid w:val="6763845E"/>
    <w:multiLevelType w:val="hybridMultilevel"/>
    <w:lvl w:ilvl="0">
      <w:lvlJc w:val="left"/>
      <w:lvlText w:val="%1."/>
      <w:numFmt w:val="decimal"/>
      <w:start w:val="6"/>
    </w:lvl>
  </w:abstractNum>
  <w:abstractNum w:abstractNumId="5">
    <w:nsid w:val="75A2A8D4"/>
    <w:multiLevelType w:val="hybridMultilevel"/>
    <w:lvl w:ilvl="0">
      <w:lvlJc w:val="left"/>
      <w:lvlText w:val="[%1]"/>
      <w:numFmt w:val="lowerLetter"/>
      <w:start w:val="1"/>
    </w:lvl>
  </w:abstractNum>
  <w:abstractNum w:abstractNumId="6">
    <w:nsid w:val="8EDBDAB"/>
    <w:multiLevelType w:val="hybridMultilevel"/>
    <w:lvl w:ilvl="0">
      <w:lvlJc w:val="left"/>
      <w:lvlText w:val="%1."/>
      <w:numFmt w:val="decimal"/>
      <w:start w:val="10"/>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1" Type="http://schemas.openxmlformats.org/officeDocument/2006/relationships/hyperlink" Target="http://www.sec.gov/Archives/edgar/data/1459839/000119312518303020/d641574dex31.htm" TargetMode="External"/><Relationship Id="rId22" Type="http://schemas.openxmlformats.org/officeDocument/2006/relationships/hyperlink" Target="http://www.sec.gov/Archives/edgar/data/1459839/000119312518293978/d452987dex34.htm" TargetMode="External"/><Relationship Id="rId23" Type="http://schemas.openxmlformats.org/officeDocument/2006/relationships/hyperlink" Target="http://www.sec.gov/Archives/edgar/data/1459839/000119312518293978/d45298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2019-12-28T08:12:26Z</dcterms:created>
  <dcterms:modified xsi:type="dcterms:W3CDTF">2019-12-28T08:12:26Z</dcterms:modified>
</cp:coreProperties>
</file>