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28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287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1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FRANCIS LAURA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31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20" w:type="dxa"/>
            <w:vAlign w:val="bottom"/>
            <w:gridSpan w:val="10"/>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3"/>
          </w:tcPr>
          <w:p>
            <w:pPr>
              <w:ind w:left="3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SANTA CLARA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95050</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jc w:val="center"/>
              <w:ind w:left="7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jc w:val="right"/>
              <w:ind w:right="152"/>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3"/>
          </w:tcPr>
          <w:p>
            <w:pPr>
              <w:jc w:val="center"/>
              <w:ind w:left="526"/>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80" w:type="dxa"/>
            <w:vAlign w:val="bottom"/>
            <w:gridSpan w:val="3"/>
          </w:tcPr>
          <w:p>
            <w:pPr>
              <w:jc w:val="center"/>
              <w:ind w:left="526"/>
              <w:spacing w:after="0"/>
              <w:rPr>
                <w:sz w:val="20"/>
                <w:szCs w:val="20"/>
                <w:color w:val="auto"/>
              </w:rPr>
            </w:pPr>
            <w:r>
              <w:rPr>
                <w:rFonts w:ascii="Arial" w:cs="Arial" w:eastAsia="Arial" w:hAnsi="Arial"/>
                <w:sz w:val="18"/>
                <w:szCs w:val="18"/>
                <w:color w:val="0000FF"/>
                <w:w w:val="88"/>
              </w:rPr>
              <w:t>12/12/2019</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27"/>
              <w:spacing w:after="0"/>
              <w:rPr>
                <w:sz w:val="20"/>
                <w:szCs w:val="20"/>
                <w:color w:val="auto"/>
              </w:rPr>
            </w:pPr>
            <w:r>
              <w:rPr>
                <w:rFonts w:ascii="Arial" w:cs="Arial" w:eastAsia="Arial" w:hAnsi="Arial"/>
                <w:sz w:val="18"/>
                <w:szCs w:val="18"/>
                <w:color w:val="0000FF"/>
              </w:rPr>
              <w:t>6,265</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66"/>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4.32</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8"/>
                <w:szCs w:val="18"/>
                <w:color w:val="0000FF"/>
                <w:w w:val="87"/>
              </w:rPr>
              <w:t>94,832</w:t>
            </w:r>
          </w:p>
        </w:tc>
        <w:tc>
          <w:tcPr>
            <w:tcW w:w="2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80" w:type="dxa"/>
            <w:vAlign w:val="bottom"/>
            <w:gridSpan w:val="3"/>
          </w:tcPr>
          <w:p>
            <w:pPr>
              <w:jc w:val="center"/>
              <w:ind w:left="526"/>
              <w:spacing w:after="0"/>
              <w:rPr>
                <w:sz w:val="20"/>
                <w:szCs w:val="20"/>
                <w:color w:val="auto"/>
              </w:rPr>
            </w:pPr>
            <w:r>
              <w:rPr>
                <w:rFonts w:ascii="Arial" w:cs="Arial" w:eastAsia="Arial" w:hAnsi="Arial"/>
                <w:sz w:val="18"/>
                <w:szCs w:val="18"/>
                <w:color w:val="0000FF"/>
                <w:w w:val="88"/>
              </w:rPr>
              <w:t>12/12/2019</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27"/>
              <w:spacing w:after="0"/>
              <w:rPr>
                <w:sz w:val="20"/>
                <w:szCs w:val="20"/>
                <w:color w:val="auto"/>
              </w:rPr>
            </w:pPr>
            <w:r>
              <w:rPr>
                <w:rFonts w:ascii="Arial" w:cs="Arial" w:eastAsia="Arial" w:hAnsi="Arial"/>
                <w:sz w:val="18"/>
                <w:szCs w:val="18"/>
                <w:color w:val="0000FF"/>
              </w:rPr>
              <w:t>1,289</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66"/>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4.32</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8"/>
                <w:szCs w:val="18"/>
                <w:color w:val="0000FF"/>
                <w:w w:val="87"/>
              </w:rPr>
              <w:t>96,121</w:t>
            </w:r>
          </w:p>
        </w:tc>
        <w:tc>
          <w:tcPr>
            <w:tcW w:w="2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6"/>
              <w:spacing w:after="0"/>
              <w:rPr>
                <w:sz w:val="20"/>
                <w:szCs w:val="20"/>
                <w:color w:val="auto"/>
              </w:rPr>
            </w:pPr>
            <w:r>
              <w:rPr>
                <w:rFonts w:ascii="Arial" w:cs="Arial" w:eastAsia="Arial" w:hAnsi="Arial"/>
                <w:sz w:val="18"/>
                <w:szCs w:val="18"/>
                <w:color w:val="0000FF"/>
                <w:w w:val="88"/>
              </w:rPr>
              <w:t>12/12/2019</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1,289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19.038</w:t>
            </w:r>
            <w:r>
              <w:rPr>
                <w:rFonts w:ascii="Arial" w:cs="Arial" w:eastAsia="Arial" w:hAnsi="Arial"/>
                <w:sz w:val="22"/>
                <w:szCs w:val="22"/>
                <w:color w:val="008000"/>
                <w:w w:val="84"/>
                <w:vertAlign w:val="superscript"/>
              </w:rPr>
              <w:t>(2)</w:t>
            </w:r>
          </w:p>
        </w:tc>
        <w:tc>
          <w:tcPr>
            <w:tcW w:w="12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8"/>
                <w:szCs w:val="18"/>
                <w:color w:val="0000FF"/>
                <w:w w:val="87"/>
              </w:rPr>
              <w:t>94,832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6"/>
              <w:spacing w:after="0"/>
              <w:rPr>
                <w:sz w:val="20"/>
                <w:szCs w:val="20"/>
                <w:color w:val="auto"/>
              </w:rPr>
            </w:pPr>
            <w:r>
              <w:rPr>
                <w:rFonts w:ascii="Arial" w:cs="Arial" w:eastAsia="Arial" w:hAnsi="Arial"/>
                <w:sz w:val="18"/>
                <w:szCs w:val="18"/>
                <w:color w:val="0000FF"/>
                <w:w w:val="88"/>
              </w:rPr>
              <w:t>12/12/2019</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6,265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19.038</w:t>
            </w:r>
            <w:r>
              <w:rPr>
                <w:rFonts w:ascii="Arial" w:cs="Arial" w:eastAsia="Arial" w:hAnsi="Arial"/>
                <w:sz w:val="22"/>
                <w:szCs w:val="22"/>
                <w:color w:val="008000"/>
                <w:w w:val="84"/>
                <w:vertAlign w:val="superscript"/>
              </w:rPr>
              <w:t>(2)</w:t>
            </w:r>
          </w:p>
        </w:tc>
        <w:tc>
          <w:tcPr>
            <w:tcW w:w="12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8"/>
                <w:szCs w:val="18"/>
                <w:color w:val="0000FF"/>
                <w:w w:val="87"/>
              </w:rPr>
              <w:t>88,567</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6"/>
              <w:spacing w:after="0"/>
              <w:rPr>
                <w:sz w:val="20"/>
                <w:szCs w:val="20"/>
                <w:color w:val="auto"/>
              </w:rPr>
            </w:pPr>
            <w:r>
              <w:rPr>
                <w:rFonts w:ascii="Arial" w:cs="Arial" w:eastAsia="Arial" w:hAnsi="Arial"/>
                <w:sz w:val="18"/>
                <w:szCs w:val="18"/>
                <w:color w:val="0000FF"/>
                <w:w w:val="88"/>
              </w:rPr>
              <w:t>12/12/2019</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2,242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19.038</w:t>
            </w:r>
            <w:r>
              <w:rPr>
                <w:rFonts w:ascii="Arial" w:cs="Arial" w:eastAsia="Arial" w:hAnsi="Arial"/>
                <w:sz w:val="22"/>
                <w:szCs w:val="22"/>
                <w:color w:val="008000"/>
                <w:w w:val="84"/>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86,325</w:t>
            </w:r>
            <w:r>
              <w:rPr>
                <w:rFonts w:ascii="Arial" w:cs="Arial" w:eastAsia="Arial" w:hAnsi="Arial"/>
                <w:sz w:val="22"/>
                <w:szCs w:val="22"/>
                <w:color w:val="008000"/>
                <w:w w:val="84"/>
                <w:vertAlign w:val="superscript"/>
              </w:rPr>
              <w:t>(3)</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9"/>
          </w:tcPr>
          <w:p>
            <w:pPr>
              <w:jc w:val="center"/>
              <w:ind w:left="54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4.32</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12/12/2019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13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Arial" w:cs="Arial" w:eastAsia="Arial" w:hAnsi="Arial"/>
                <w:sz w:val="14"/>
                <w:szCs w:val="14"/>
                <w:color w:val="0000FF"/>
              </w:rPr>
              <w:t>6,265</w:t>
            </w: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w w:val="94"/>
              </w:rPr>
              <w:t>05/25/2025</w:t>
            </w:r>
          </w:p>
        </w:tc>
        <w:tc>
          <w:tcPr>
            <w:tcW w:w="68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6,265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60" w:type="dxa"/>
            <w:vAlign w:val="bottom"/>
            <w:vMerge w:val="restart"/>
          </w:tcPr>
          <w:p>
            <w:pPr>
              <w:ind w:left="200"/>
              <w:spacing w:after="0"/>
              <w:rPr>
                <w:sz w:val="20"/>
                <w:szCs w:val="20"/>
                <w:color w:val="auto"/>
              </w:rPr>
            </w:pPr>
            <w:r>
              <w:rPr>
                <w:rFonts w:ascii="Arial" w:cs="Arial" w:eastAsia="Arial" w:hAnsi="Arial"/>
                <w:sz w:val="14"/>
                <w:szCs w:val="14"/>
                <w:color w:val="0000FF"/>
                <w:w w:val="86"/>
              </w:rPr>
              <w:t>164,945</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4.32</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12/12/2019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13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Arial" w:cs="Arial" w:eastAsia="Arial" w:hAnsi="Arial"/>
                <w:sz w:val="14"/>
                <w:szCs w:val="14"/>
                <w:color w:val="0000FF"/>
              </w:rPr>
              <w:t>1,289</w:t>
            </w: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color w:val="0000FF"/>
                <w:w w:val="91"/>
              </w:rPr>
              <w:t>05/26/2016</w:t>
            </w: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w w:val="94"/>
              </w:rPr>
              <w:t>05/25/2025</w:t>
            </w:r>
          </w:p>
        </w:tc>
        <w:tc>
          <w:tcPr>
            <w:tcW w:w="68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1,289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60" w:type="dxa"/>
            <w:vAlign w:val="bottom"/>
            <w:vMerge w:val="restart"/>
          </w:tcPr>
          <w:p>
            <w:pPr>
              <w:ind w:left="200"/>
              <w:spacing w:after="0"/>
              <w:rPr>
                <w:sz w:val="20"/>
                <w:szCs w:val="20"/>
                <w:color w:val="auto"/>
              </w:rPr>
            </w:pPr>
            <w:r>
              <w:rPr>
                <w:rFonts w:ascii="Arial" w:cs="Arial" w:eastAsia="Arial" w:hAnsi="Arial"/>
                <w:sz w:val="14"/>
                <w:szCs w:val="14"/>
                <w:color w:val="0000FF"/>
                <w:w w:val="86"/>
              </w:rPr>
              <w:t>163,656</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$19.00 to $19.21, inclusive.</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39,126 shares issuable on settlement of restricted stock units granted to the Reporting Person. Each restricted stock unit represents a contingent right to receive one shares of the Issuer's common stock.</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May 26, 2015, subject to Reporting Person's continued service through each relevant vesting date. The shares subject to this option may be exercised prior to vesting, subject to Issuer's right to repurchase.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Laura A.</w:t>
      </w:r>
      <w:r>
        <w:rPr>
          <w:sz w:val="20"/>
          <w:szCs w:val="20"/>
          <w:color w:val="auto"/>
        </w:rPr>
        <w:tab/>
      </w:r>
      <w:r>
        <w:rPr>
          <w:rFonts w:ascii="Arial" w:cs="Arial" w:eastAsia="Arial" w:hAnsi="Arial"/>
          <w:sz w:val="15"/>
          <w:szCs w:val="15"/>
          <w:color w:val="0000FF"/>
        </w:rPr>
        <w:t>12/16/2019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8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2019-12-17T00:25:02Z</dcterms:created>
  <dcterms:modified xsi:type="dcterms:W3CDTF">2019-12-17T00:25:02Z</dcterms:modified>
</cp:coreProperties>
</file>