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20"/>
        <w:spacing w:after="0" w:line="232" w:lineRule="auto"/>
        <w:rPr>
          <w:sz w:val="20"/>
          <w:szCs w:val="20"/>
          <w:color w:val="auto"/>
        </w:rPr>
      </w:pPr>
      <w:r>
        <w:rPr>
          <w:rFonts w:ascii="Arial" w:cs="Arial" w:eastAsia="Arial" w:hAnsi="Arial"/>
          <w:sz w:val="15"/>
          <w:szCs w:val="15"/>
          <w:b w:val="1"/>
          <w:bCs w:val="1"/>
          <w:color w:val="auto"/>
        </w:rPr>
        <w:t>Washington, D.C. 20549</w:t>
      </w:r>
    </w:p>
    <w:p>
      <w:pPr>
        <w:spacing w:after="0" w:line="1" w:lineRule="exact"/>
        <w:rPr>
          <w:sz w:val="24"/>
          <w:szCs w:val="24"/>
          <w:color w:val="auto"/>
        </w:rPr>
      </w:pPr>
    </w:p>
    <w:p>
      <w:pPr>
        <w:ind w:left="3080"/>
        <w:spacing w:after="0"/>
        <w:rPr>
          <w:sz w:val="20"/>
          <w:szCs w:val="20"/>
          <w:color w:val="auto"/>
        </w:rPr>
      </w:pPr>
      <w:r>
        <w:rPr>
          <w:rFonts w:ascii="Arial" w:cs="Arial" w:eastAsia="Arial" w:hAnsi="Arial"/>
          <w:sz w:val="11"/>
          <w:szCs w:val="11"/>
          <w:color w:val="auto"/>
        </w:rPr>
        <w:t>____________________________________________________________________________</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8-K</w:t>
      </w:r>
    </w:p>
    <w:p>
      <w:pPr>
        <w:ind w:left="3080"/>
        <w:spacing w:after="0"/>
        <w:rPr>
          <w:sz w:val="20"/>
          <w:szCs w:val="20"/>
          <w:color w:val="auto"/>
        </w:rPr>
      </w:pPr>
      <w:r>
        <w:rPr>
          <w:rFonts w:ascii="Arial" w:cs="Arial" w:eastAsia="Arial" w:hAnsi="Arial"/>
          <w:sz w:val="11"/>
          <w:szCs w:val="11"/>
          <w:color w:val="auto"/>
        </w:rPr>
        <w:t>____________________________________________________________________________</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Date of report (Date of earliest event reported): January 22, 2020</w:t>
      </w:r>
    </w:p>
    <w:p>
      <w:pPr>
        <w:spacing w:after="0" w:line="6" w:lineRule="exact"/>
        <w:rPr>
          <w:sz w:val="24"/>
          <w:szCs w:val="24"/>
          <w:color w:val="auto"/>
        </w:rPr>
      </w:pPr>
    </w:p>
    <w:p>
      <w:pPr>
        <w:ind w:left="3080"/>
        <w:spacing w:after="0"/>
        <w:rPr>
          <w:sz w:val="20"/>
          <w:szCs w:val="20"/>
          <w:color w:val="auto"/>
        </w:rPr>
      </w:pPr>
      <w:r>
        <w:rPr>
          <w:rFonts w:ascii="Arial" w:cs="Arial" w:eastAsia="Arial" w:hAnsi="Arial"/>
          <w:sz w:val="11"/>
          <w:szCs w:val="11"/>
          <w:color w:val="auto"/>
        </w:rPr>
        <w:t>____________________________________________________________________________</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SI-BONE, INC.</w:t>
      </w:r>
    </w:p>
    <w:p>
      <w:pPr>
        <w:jc w:val="center"/>
        <w:ind w:right="20"/>
        <w:spacing w:after="0" w:line="237" w:lineRule="auto"/>
        <w:rPr>
          <w:sz w:val="20"/>
          <w:szCs w:val="20"/>
          <w:color w:val="auto"/>
        </w:rPr>
      </w:pPr>
      <w:r>
        <w:rPr>
          <w:rFonts w:ascii="Arial" w:cs="Arial" w:eastAsia="Arial" w:hAnsi="Arial"/>
          <w:sz w:val="15"/>
          <w:szCs w:val="15"/>
          <w:color w:val="auto"/>
        </w:rPr>
        <w:t>(Exact name of registrant as specified in its charter)</w:t>
      </w:r>
    </w:p>
    <w:p>
      <w:pPr>
        <w:ind w:left="3080"/>
        <w:spacing w:after="0"/>
        <w:rPr>
          <w:sz w:val="20"/>
          <w:szCs w:val="20"/>
          <w:color w:val="auto"/>
        </w:rPr>
      </w:pPr>
      <w:r>
        <w:rPr>
          <w:rFonts w:ascii="Arial" w:cs="Arial" w:eastAsia="Arial" w:hAnsi="Arial"/>
          <w:sz w:val="11"/>
          <w:szCs w:val="11"/>
          <w:color w:val="auto"/>
        </w:rPr>
        <w:t>____________________________________________________________________________</w:t>
      </w:r>
    </w:p>
    <w:p>
      <w:pPr>
        <w:sectPr>
          <w:pgSz w:w="11900" w:h="16838" w:orient="portrait"/>
          <w:cols w:equalWidth="0" w:num="1">
            <w:col w:w="11160"/>
          </w:cols>
          <w:pgMar w:left="380" w:top="610" w:right="359" w:bottom="1440" w:gutter="0" w:footer="0" w:header="0"/>
        </w:sectPr>
      </w:pPr>
    </w:p>
    <w:p>
      <w:pPr>
        <w:spacing w:after="0" w:line="175"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320"/>
        <w:spacing w:after="0"/>
        <w:rPr>
          <w:sz w:val="20"/>
          <w:szCs w:val="20"/>
          <w:color w:val="auto"/>
        </w:rPr>
      </w:pPr>
      <w:r>
        <w:rPr>
          <w:rFonts w:ascii="Arial" w:cs="Arial" w:eastAsia="Arial" w:hAnsi="Arial"/>
          <w:sz w:val="13"/>
          <w:szCs w:val="13"/>
          <w:b w:val="1"/>
          <w:bCs w:val="1"/>
          <w:color w:val="auto"/>
        </w:rPr>
        <w:t>001-38701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26-2216351</w:t>
      </w:r>
    </w:p>
    <w:p>
      <w:pPr>
        <w:spacing w:after="0" w:line="88" w:lineRule="exact"/>
        <w:rPr>
          <w:sz w:val="24"/>
          <w:szCs w:val="24"/>
          <w:color w:val="auto"/>
        </w:rPr>
      </w:pPr>
    </w:p>
    <w:p>
      <w:pPr>
        <w:sectPr>
          <w:pgSz w:w="11900" w:h="16838" w:orient="portrait"/>
          <w:cols w:equalWidth="0" w:num="3">
            <w:col w:w="4200" w:space="720"/>
            <w:col w:w="2960" w:space="720"/>
            <w:col w:w="2560"/>
          </w:cols>
          <w:pgMar w:left="380" w:top="610" w:right="359" w:bottom="1440" w:gutter="0" w:footer="0" w:header="0"/>
          <w:type w:val="continuous"/>
        </w:sectPr>
      </w:pPr>
    </w:p>
    <w:p>
      <w:pPr>
        <w:ind w:left="640"/>
        <w:spacing w:after="0"/>
        <w:rPr>
          <w:sz w:val="20"/>
          <w:szCs w:val="20"/>
          <w:color w:val="auto"/>
        </w:rPr>
      </w:pPr>
      <w:r>
        <w:rPr>
          <w:rFonts w:ascii="Arial" w:cs="Arial" w:eastAsia="Arial" w:hAnsi="Arial"/>
          <w:sz w:val="13"/>
          <w:szCs w:val="13"/>
          <w:color w:val="auto"/>
        </w:rPr>
        <w:t>(State or other jurisdiction of</w:t>
      </w:r>
    </w:p>
    <w:p>
      <w:pPr>
        <w:spacing w:after="0" w:line="38" w:lineRule="exact"/>
        <w:rPr>
          <w:sz w:val="24"/>
          <w:szCs w:val="24"/>
          <w:color w:val="auto"/>
        </w:rPr>
      </w:pPr>
    </w:p>
    <w:p>
      <w:pPr>
        <w:ind w:left="6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3">
            <w:col w:w="4120" w:space="720"/>
            <w:col w:w="2800" w:space="720"/>
            <w:col w:w="2800"/>
          </w:cols>
          <w:pgMar w:left="380" w:top="610" w:right="359" w:bottom="1440" w:gutter="0" w:footer="0" w:header="0"/>
          <w:type w:val="continuous"/>
        </w:sectPr>
      </w:pP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471 El Camino Real</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Suite 101</w:t>
      </w:r>
    </w:p>
    <w:p>
      <w:pPr>
        <w:jc w:val="center"/>
        <w:ind w:right="20"/>
        <w:spacing w:after="0"/>
        <w:rPr>
          <w:sz w:val="20"/>
          <w:szCs w:val="20"/>
          <w:color w:val="auto"/>
        </w:rPr>
      </w:pPr>
      <w:r>
        <w:rPr>
          <w:rFonts w:ascii="Arial" w:cs="Arial" w:eastAsia="Arial" w:hAnsi="Arial"/>
          <w:sz w:val="15"/>
          <w:szCs w:val="15"/>
          <w:b w:val="1"/>
          <w:bCs w:val="1"/>
          <w:color w:val="auto"/>
        </w:rPr>
        <w:t>Santa Clara, CA 95050</w:t>
      </w:r>
    </w:p>
    <w:p>
      <w:pPr>
        <w:jc w:val="center"/>
        <w:ind w:right="20"/>
        <w:spacing w:after="0"/>
        <w:rPr>
          <w:sz w:val="20"/>
          <w:szCs w:val="20"/>
          <w:color w:val="auto"/>
        </w:rPr>
      </w:pPr>
      <w:r>
        <w:rPr>
          <w:rFonts w:ascii="Arial" w:cs="Arial" w:eastAsia="Arial" w:hAnsi="Arial"/>
          <w:sz w:val="15"/>
          <w:szCs w:val="15"/>
          <w:color w:val="auto"/>
        </w:rPr>
        <w:t>(Address of principal executive offices) (Zip Code)</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(408) 207-0700</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(Registrant’s telephone number, include area code)</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N/A</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(Former Name or Former Address, if Changed Since Last Report)</w:t>
      </w:r>
    </w:p>
    <w:p>
      <w:pPr>
        <w:sectPr>
          <w:pgSz w:w="11900" w:h="16838" w:orient="portrait"/>
          <w:cols w:equalWidth="0" w:num="1">
            <w:col w:w="11160"/>
          </w:cols>
          <w:pgMar w:left="380" w:top="610" w:right="359" w:bottom="1440" w:gutter="0" w:footer="0" w:header="0"/>
          <w:type w:val="continuous"/>
        </w:sect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44" w:lineRule="exact"/>
        <w:rPr>
          <w:sz w:val="24"/>
          <w:szCs w:val="24"/>
          <w:color w:val="auto"/>
        </w:rPr>
      </w:pPr>
    </w:p>
    <w:p>
      <w:pPr>
        <w:ind w:left="1720" w:hanging="645"/>
        <w:spacing w:after="0"/>
        <w:tabs>
          <w:tab w:leader="none" w:pos="172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83" w:lineRule="exact"/>
        <w:rPr>
          <w:rFonts w:ascii="Arial" w:cs="Arial" w:eastAsia="Arial" w:hAnsi="Arial"/>
          <w:sz w:val="15"/>
          <w:szCs w:val="15"/>
          <w:color w:val="auto"/>
        </w:rPr>
      </w:pPr>
    </w:p>
    <w:p>
      <w:pPr>
        <w:ind w:left="1720" w:hanging="645"/>
        <w:spacing w:after="0"/>
        <w:tabs>
          <w:tab w:leader="none" w:pos="172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83" w:lineRule="exact"/>
        <w:rPr>
          <w:rFonts w:ascii="Arial" w:cs="Arial" w:eastAsia="Arial" w:hAnsi="Arial"/>
          <w:sz w:val="15"/>
          <w:szCs w:val="15"/>
          <w:color w:val="auto"/>
        </w:rPr>
      </w:pPr>
    </w:p>
    <w:p>
      <w:pPr>
        <w:ind w:left="1720" w:hanging="645"/>
        <w:spacing w:after="0"/>
        <w:tabs>
          <w:tab w:leader="none" w:pos="172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84" w:lineRule="exact"/>
        <w:rPr>
          <w:sz w:val="24"/>
          <w:szCs w:val="24"/>
          <w:color w:val="auto"/>
        </w:rPr>
      </w:pPr>
    </w:p>
    <w:p>
      <w:pPr>
        <w:ind w:left="3880" w:right="2840" w:hanging="2786"/>
        <w:spacing w:after="0" w:line="644" w:lineRule="auto"/>
        <w:tabs>
          <w:tab w:leader="none" w:pos="1739"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41" w:lineRule="exact"/>
        <w:rPr>
          <w:sz w:val="24"/>
          <w:szCs w:val="24"/>
          <w:color w:val="auto"/>
        </w:rPr>
      </w:pPr>
    </w:p>
    <w:tbl>
      <w:tblPr>
        <w:tblLayout w:type="fixed"/>
        <w:tblInd w:w="1180" w:type="dxa"/>
        <w:tblCellMar>
          <w:top w:w="0" w:type="dxa"/>
          <w:left w:w="0" w:type="dxa"/>
          <w:bottom w:w="0" w:type="dxa"/>
          <w:right w:w="0" w:type="dxa"/>
        </w:tblCellMar>
      </w:tblPr>
      <w:tr>
        <w:trPr>
          <w:trHeight w:val="172"/>
        </w:trPr>
        <w:tc>
          <w:tcPr>
            <w:tcW w:w="7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Title of each class</w:t>
            </w: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Trading Symbol(s)</w:t>
            </w:r>
          </w:p>
        </w:tc>
        <w:tc>
          <w:tcPr>
            <w:tcW w:w="1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Name of each exchange on which registered</w:t>
            </w:r>
          </w:p>
        </w:tc>
      </w:tr>
      <w:tr>
        <w:trPr>
          <w:trHeight w:val="245"/>
        </w:trPr>
        <w:tc>
          <w:tcPr>
            <w:tcW w:w="3200" w:type="dxa"/>
            <w:vAlign w:val="bottom"/>
            <w:gridSpan w:val="3"/>
          </w:tcPr>
          <w:p>
            <w:pPr>
              <w:jc w:val="center"/>
              <w:ind w:right="560"/>
              <w:spacing w:after="0"/>
              <w:rPr>
                <w:sz w:val="20"/>
                <w:szCs w:val="20"/>
                <w:color w:val="auto"/>
              </w:rPr>
            </w:pPr>
            <w:r>
              <w:rPr>
                <w:rFonts w:ascii="Arial" w:cs="Arial" w:eastAsia="Arial" w:hAnsi="Arial"/>
                <w:sz w:val="15"/>
                <w:szCs w:val="15"/>
                <w:color w:val="auto"/>
                <w:w w:val="88"/>
              </w:rPr>
              <w:t>Common Stock, par value $0.0001 per share</w:t>
            </w:r>
          </w:p>
        </w:tc>
        <w:tc>
          <w:tcPr>
            <w:tcW w:w="560" w:type="dxa"/>
            <w:vAlign w:val="bottom"/>
          </w:tcPr>
          <w:p>
            <w:pPr>
              <w:spacing w:after="0"/>
              <w:rPr>
                <w:sz w:val="21"/>
                <w:szCs w:val="21"/>
                <w:color w:val="auto"/>
              </w:rPr>
            </w:pPr>
          </w:p>
        </w:tc>
        <w:tc>
          <w:tcPr>
            <w:tcW w:w="2300" w:type="dxa"/>
            <w:vAlign w:val="bottom"/>
            <w:gridSpan w:val="2"/>
          </w:tcPr>
          <w:p>
            <w:pPr>
              <w:jc w:val="center"/>
              <w:ind w:right="1120"/>
              <w:spacing w:after="0"/>
              <w:rPr>
                <w:sz w:val="20"/>
                <w:szCs w:val="20"/>
                <w:color w:val="auto"/>
              </w:rPr>
            </w:pPr>
            <w:r>
              <w:rPr>
                <w:rFonts w:ascii="Arial" w:cs="Arial" w:eastAsia="Arial" w:hAnsi="Arial"/>
                <w:sz w:val="15"/>
                <w:szCs w:val="15"/>
                <w:color w:val="auto"/>
                <w:w w:val="96"/>
              </w:rPr>
              <w:t>SIBN</w:t>
            </w:r>
          </w:p>
        </w:tc>
        <w:tc>
          <w:tcPr>
            <w:tcW w:w="2740" w:type="dxa"/>
            <w:vAlign w:val="bottom"/>
          </w:tcPr>
          <w:p>
            <w:pPr>
              <w:jc w:val="center"/>
              <w:spacing w:after="0"/>
              <w:rPr>
                <w:sz w:val="20"/>
                <w:szCs w:val="20"/>
                <w:color w:val="auto"/>
              </w:rPr>
            </w:pPr>
            <w:r>
              <w:rPr>
                <w:rFonts w:ascii="Arial" w:cs="Arial" w:eastAsia="Arial" w:hAnsi="Arial"/>
                <w:sz w:val="15"/>
                <w:szCs w:val="15"/>
                <w:color w:val="auto"/>
                <w:w w:val="89"/>
              </w:rPr>
              <w:t>The Nasdaq Global Market</w:t>
            </w:r>
          </w:p>
        </w:tc>
      </w:tr>
    </w:tbl>
    <w:p>
      <w:pPr>
        <w:spacing w:after="0" w:line="218" w:lineRule="exact"/>
        <w:rPr>
          <w:sz w:val="24"/>
          <w:szCs w:val="24"/>
          <w:color w:val="auto"/>
        </w:rPr>
      </w:pPr>
    </w:p>
    <w:p>
      <w:pPr>
        <w:jc w:val="center"/>
        <w:spacing w:after="0" w:line="260"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jc w:val="center"/>
        <w:ind w:right="20"/>
        <w:spacing w:after="0" w:line="173" w:lineRule="exact"/>
        <w:tabs>
          <w:tab w:leader="none" w:pos="160" w:val="left"/>
        </w:tabs>
        <w:rPr>
          <w:sz w:val="20"/>
          <w:szCs w:val="20"/>
          <w:color w:val="auto"/>
        </w:rPr>
      </w:pPr>
      <w:r>
        <w:rPr>
          <w:rFonts w:ascii="Arial" w:cs="Arial" w:eastAsia="Arial" w:hAnsi="Arial"/>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24" w:lineRule="exact"/>
        <w:rPr>
          <w:sz w:val="24"/>
          <w:szCs w:val="24"/>
          <w:color w:val="auto"/>
        </w:rPr>
      </w:pPr>
    </w:p>
    <w:p>
      <w:pPr>
        <w:jc w:val="center"/>
        <w:ind w:right="20"/>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160"/>
          </w:cols>
          <w:pgMar w:left="380" w:top="61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Information.</w:t>
      </w:r>
    </w:p>
    <w:p>
      <w:pPr>
        <w:spacing w:after="0" w:line="312" w:lineRule="exact"/>
        <w:rPr>
          <w:sz w:val="20"/>
          <w:szCs w:val="20"/>
          <w:color w:val="auto"/>
        </w:rPr>
      </w:pPr>
    </w:p>
    <w:p>
      <w:pPr>
        <w:jc w:val="both"/>
        <w:ind w:firstLine="369"/>
        <w:spacing w:after="0" w:line="261" w:lineRule="auto"/>
        <w:rPr>
          <w:sz w:val="20"/>
          <w:szCs w:val="20"/>
          <w:color w:val="auto"/>
        </w:rPr>
      </w:pPr>
      <w:r>
        <w:rPr>
          <w:rFonts w:ascii="Arial" w:cs="Arial" w:eastAsia="Arial" w:hAnsi="Arial"/>
          <w:sz w:val="16"/>
          <w:szCs w:val="16"/>
          <w:color w:val="auto"/>
        </w:rPr>
        <w:t>On January 22, 2020, SI-BONE, Inc. (the “Company”) entered into an Underwriting Agreement (the “Underwriting Agreement”) with Morgan Stanley &amp; Co. LLC and BofA Securities, Inc., representatives of the several underwriters (the “Underwriters”), and certain shareholders of the Company (the “Selling Shareholders”) relating to the offering and sale (the “Offering”) of 4,300,000 shares of the Company’s common stock, par value $0.0001 per share. Of these shares, 1,809,947 shares were offered by the Selling Shareholders, and 2,490,053 shares were offered by the Company. The price to the public in the Offering is $21.50 per share of common stock. Pursuant to the Underwriting Agreement, the Underwriters have a 30-day option to purchase up to an additional 645,000 shares of common stock from the Company on the same terms and conditions. The Offering is scheduled to close on January 27, 2020, subject to the satisfaction of customary closing conditions. The shares of common stock are listed on The Nasdaq Global Market.</w:t>
      </w:r>
    </w:p>
    <w:p>
      <w:pPr>
        <w:spacing w:after="0" w:line="173"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5"/>
          <w:szCs w:val="15"/>
          <w:color w:val="auto"/>
        </w:rPr>
        <w:t>The Offering is being made pursuant to the Company’s effective shelf registration statement on Form S-3 (Registration No. 333-235714) filed with the Securities and Exchange Commission (the “SEC”) on December 27, 2019, and declared effective on January 2, 2020. The Company filed with the SEC a preliminary prospectus supplement, dated January 21, 2020, and a final prospectus supplement, dated January 22, 2020, relating to the offer and sale of the shares.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Morgan Stanley and BofA Securities are acting as joint book-running managers. Canaccord Genuity LLC and JMP Securities LLC are acting as co-managers.</w:t>
      </w:r>
    </w:p>
    <w:p>
      <w:pPr>
        <w:spacing w:after="0" w:line="221"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6"/>
          <w:szCs w:val="16"/>
          <w:color w:val="auto"/>
        </w:rPr>
        <w:t>The Underwriting Agreement contains customary representations, warranties and agreements by the Company and the Selling Shareholders, customary conditions to closing, indemnification obligations of the Company, the Selling Shareholders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68" w:lineRule="exact"/>
        <w:rPr>
          <w:sz w:val="20"/>
          <w:szCs w:val="20"/>
          <w:color w:val="auto"/>
        </w:rPr>
      </w:pPr>
    </w:p>
    <w:p>
      <w:pPr>
        <w:jc w:val="both"/>
        <w:ind w:firstLine="369"/>
        <w:spacing w:after="0" w:line="287" w:lineRule="auto"/>
        <w:rPr>
          <w:sz w:val="20"/>
          <w:szCs w:val="20"/>
          <w:color w:val="auto"/>
        </w:rPr>
      </w:pPr>
      <w:r>
        <w:rPr>
          <w:rFonts w:ascii="Arial" w:cs="Arial" w:eastAsia="Arial" w:hAnsi="Arial"/>
          <w:sz w:val="16"/>
          <w:szCs w:val="16"/>
          <w:color w:val="auto"/>
        </w:rPr>
        <w:t>The Underwriting Agreement is filed as Exhibit 1.1 hereto. The foregoing description of the terms of the Underwriting Agreement is qualified in its entirety by reference to such exhibit. A copy of the opinion of Cooley LLP relating to the shares in the Offering is attached as Exhibit 5.1 hereto.</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 Financial Statements and Exhibits.</w:t>
      </w:r>
    </w:p>
    <w:p>
      <w:pPr>
        <w:sectPr>
          <w:pgSz w:w="11900" w:h="16838" w:orient="portrait"/>
          <w:cols w:equalWidth="0" w:num="1">
            <w:col w:w="11420"/>
          </w:cols>
          <w:pgMar w:left="240" w:top="516" w:right="239" w:bottom="1440" w:gutter="0" w:footer="0" w:header="0"/>
        </w:sect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5461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6100"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1.1</w:t>
      </w: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5.1</w:t>
      </w:r>
    </w:p>
    <w:p>
      <w:pPr>
        <w:spacing w:after="0" w:line="2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58540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4065" cy="7620"/>
                    </a:xfrm>
                    <a:prstGeom prst="rect">
                      <a:avLst/>
                    </a:prstGeom>
                    <a:noFill/>
                  </pic:spPr>
                </pic:pic>
              </a:graphicData>
            </a:graphic>
          </wp:anchor>
        </w:drawing>
      </w:r>
    </w:p>
    <w:p>
      <w:pPr>
        <w:spacing w:after="0" w:line="304" w:lineRule="exact"/>
        <w:rPr>
          <w:sz w:val="20"/>
          <w:szCs w:val="20"/>
          <w:color w:val="auto"/>
        </w:rPr>
      </w:pPr>
    </w:p>
    <w:p>
      <w:pPr>
        <w:jc w:val="both"/>
        <w:ind w:right="1340"/>
        <w:spacing w:after="0" w:line="272" w:lineRule="auto"/>
        <w:rPr>
          <w:rFonts w:ascii="Arial" w:cs="Arial" w:eastAsia="Arial" w:hAnsi="Arial"/>
          <w:sz w:val="16"/>
          <w:szCs w:val="16"/>
          <w:color w:val="0000FF"/>
        </w:rPr>
      </w:pPr>
      <w:hyperlink w:anchor="page4">
        <w:r>
          <w:rPr>
            <w:rFonts w:ascii="Arial" w:cs="Arial" w:eastAsia="Arial" w:hAnsi="Arial"/>
            <w:sz w:val="16"/>
            <w:szCs w:val="16"/>
            <w:u w:val="single" w:color="auto"/>
            <w:color w:val="0000FF"/>
          </w:rPr>
          <w:t>Underwriting Agreement, dated January 22, 2020</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by and among the Company, Morgan Stanley &amp; Co. LLC and BofA Securities, Inc., as</w:t>
      </w:r>
      <w:r>
        <w:rPr>
          <w:rFonts w:ascii="Arial" w:cs="Arial" w:eastAsia="Arial" w:hAnsi="Arial"/>
          <w:sz w:val="16"/>
          <w:szCs w:val="16"/>
          <w:color w:val="0000FF"/>
        </w:rPr>
        <w:t xml:space="preserve"> </w:t>
      </w:r>
      <w:r>
        <w:rPr>
          <w:rFonts w:ascii="Arial" w:cs="Arial" w:eastAsia="Arial" w:hAnsi="Arial"/>
          <w:sz w:val="16"/>
          <w:szCs w:val="16"/>
          <w:color w:val="000000"/>
        </w:rPr>
        <w:t>representatives of the several underwriters named on Schedule II thereto, and certain shareholders of the Company named on Schedule I thereto.</w:t>
      </w:r>
    </w:p>
    <w:p>
      <w:pPr>
        <w:spacing w:after="0" w:line="14"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Opinion of Cooley LLP</w:t>
        </w:r>
      </w:hyperlink>
    </w:p>
    <w:p>
      <w:pPr>
        <w:spacing w:after="0" w:line="259" w:lineRule="exact"/>
        <w:rPr>
          <w:sz w:val="20"/>
          <w:szCs w:val="20"/>
          <w:color w:val="auto"/>
        </w:rPr>
      </w:pPr>
    </w:p>
    <w:p>
      <w:pPr>
        <w:spacing w:after="0"/>
        <w:rPr>
          <w:rFonts w:ascii="Arial" w:cs="Arial" w:eastAsia="Arial" w:hAnsi="Arial"/>
          <w:sz w:val="16"/>
          <w:szCs w:val="16"/>
          <w:color w:val="0000FF"/>
        </w:rPr>
      </w:pPr>
      <w:hyperlink w:anchor="page25">
        <w:r>
          <w:rPr>
            <w:rFonts w:ascii="Arial" w:cs="Arial" w:eastAsia="Arial" w:hAnsi="Arial"/>
            <w:sz w:val="16"/>
            <w:szCs w:val="16"/>
            <w:u w:val="single" w:color="auto"/>
            <w:color w:val="0000FF"/>
          </w:rPr>
          <w:t>Consent of Cooley LLP</w:t>
        </w:r>
        <w:r>
          <w:rPr>
            <w:rFonts w:ascii="Arial" w:cs="Arial" w:eastAsia="Arial" w:hAnsi="Arial"/>
            <w:sz w:val="16"/>
            <w:szCs w:val="16"/>
            <w:color w:val="0000FF"/>
          </w:rPr>
          <w:t xml:space="preserve"> </w:t>
        </w:r>
      </w:hyperlink>
      <w:r>
        <w:rPr>
          <w:rFonts w:ascii="Arial" w:cs="Arial" w:eastAsia="Arial" w:hAnsi="Arial"/>
          <w:sz w:val="16"/>
          <w:szCs w:val="16"/>
          <w:color w:val="000000"/>
        </w:rPr>
        <w:t>(contained</w:t>
      </w:r>
      <w:r>
        <w:rPr>
          <w:rFonts w:ascii="Arial" w:cs="Arial" w:eastAsia="Arial" w:hAnsi="Arial"/>
          <w:sz w:val="16"/>
          <w:szCs w:val="16"/>
          <w:color w:val="0000FF"/>
        </w:rPr>
        <w:t xml:space="preserve"> </w:t>
      </w:r>
      <w:r>
        <w:rPr>
          <w:rFonts w:ascii="Arial" w:cs="Arial" w:eastAsia="Arial" w:hAnsi="Arial"/>
          <w:sz w:val="16"/>
          <w:szCs w:val="16"/>
          <w:color w:val="000000"/>
        </w:rPr>
        <w:t>in Exhibit 5.1)</w:t>
      </w:r>
    </w:p>
    <w:p>
      <w:pPr>
        <w:sectPr>
          <w:pgSz w:w="11900" w:h="16838" w:orient="portrait"/>
          <w:cols w:equalWidth="0" w:num="2">
            <w:col w:w="820" w:space="240"/>
            <w:col w:w="10360"/>
          </w:cols>
          <w:pgMar w:left="240" w:top="516" w:right="23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firstLine="393"/>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520" w:type="dxa"/>
            <w:vAlign w:val="bottom"/>
            <w:gridSpan w:val="2"/>
          </w:tcPr>
          <w:p>
            <w:pPr>
              <w:ind w:left="1280"/>
              <w:spacing w:after="0"/>
              <w:rPr>
                <w:sz w:val="20"/>
                <w:szCs w:val="20"/>
                <w:color w:val="auto"/>
              </w:rPr>
            </w:pPr>
            <w:r>
              <w:rPr>
                <w:rFonts w:ascii="Arial" w:cs="Arial" w:eastAsia="Arial" w:hAnsi="Arial"/>
                <w:sz w:val="16"/>
                <w:szCs w:val="16"/>
                <w:b w:val="1"/>
                <w:bCs w:val="1"/>
                <w:color w:val="auto"/>
              </w:rPr>
              <w:t>SI-BONE, INC.</w:t>
            </w:r>
          </w:p>
        </w:tc>
      </w:tr>
      <w:tr>
        <w:trPr>
          <w:trHeight w:val="492"/>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2660" w:type="dxa"/>
            <w:vAlign w:val="bottom"/>
          </w:tcPr>
          <w:p>
            <w:pPr>
              <w:ind w:left="260"/>
              <w:spacing w:after="0"/>
              <w:rPr>
                <w:sz w:val="20"/>
                <w:szCs w:val="20"/>
                <w:color w:val="auto"/>
              </w:rPr>
            </w:pPr>
            <w:r>
              <w:rPr>
                <w:rFonts w:ascii="Arial" w:cs="Arial" w:eastAsia="Arial" w:hAnsi="Arial"/>
                <w:sz w:val="16"/>
                <w:szCs w:val="16"/>
                <w:color w:val="auto"/>
              </w:rPr>
              <w:t>January 24, 2020</w:t>
            </w:r>
          </w:p>
        </w:tc>
        <w:tc>
          <w:tcPr>
            <w:tcW w:w="1900" w:type="dxa"/>
            <w:vAlign w:val="bottom"/>
          </w:tcPr>
          <w:p>
            <w:pPr>
              <w:ind w:left="1280"/>
              <w:spacing w:after="0"/>
              <w:rPr>
                <w:sz w:val="20"/>
                <w:szCs w:val="20"/>
                <w:color w:val="auto"/>
              </w:rPr>
            </w:pPr>
            <w:r>
              <w:rPr>
                <w:rFonts w:ascii="Arial" w:cs="Arial" w:eastAsia="Arial" w:hAnsi="Arial"/>
                <w:sz w:val="16"/>
                <w:szCs w:val="16"/>
                <w:color w:val="auto"/>
              </w:rPr>
              <w:t>By:</w:t>
            </w:r>
          </w:p>
        </w:tc>
        <w:tc>
          <w:tcPr>
            <w:tcW w:w="5620" w:type="dxa"/>
            <w:vAlign w:val="bottom"/>
          </w:tcPr>
          <w:p>
            <w:pPr>
              <w:ind w:left="20"/>
              <w:spacing w:after="0"/>
              <w:rPr>
                <w:sz w:val="20"/>
                <w:szCs w:val="20"/>
                <w:color w:val="auto"/>
              </w:rPr>
            </w:pPr>
            <w:r>
              <w:rPr>
                <w:rFonts w:ascii="Arial" w:cs="Arial" w:eastAsia="Arial" w:hAnsi="Arial"/>
                <w:sz w:val="16"/>
                <w:szCs w:val="16"/>
                <w:color w:val="auto"/>
              </w:rPr>
              <w:t>/s/ Laura A. Francis</w:t>
            </w:r>
          </w:p>
        </w:tc>
      </w:tr>
      <w:tr>
        <w:trPr>
          <w:trHeight w:val="26"/>
        </w:trPr>
        <w:tc>
          <w:tcPr>
            <w:tcW w:w="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2"/>
        </w:trPr>
        <w:tc>
          <w:tcPr>
            <w:tcW w:w="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6"/>
                <w:szCs w:val="16"/>
                <w:color w:val="auto"/>
              </w:rPr>
              <w:t>Laura A. Francis</w:t>
            </w:r>
          </w:p>
        </w:tc>
      </w:tr>
    </w:tbl>
    <w:p>
      <w:pPr>
        <w:spacing w:after="0" w:line="3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Chief Operating Officer and Chief Financial Officer</w:t>
      </w:r>
    </w:p>
    <w:p>
      <w:pPr>
        <w:spacing w:after="0" w:line="6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00"/>
          </w:cols>
          <w:pgMar w:left="240" w:top="516"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4,300,000 Shares</w:t>
      </w:r>
    </w:p>
    <w:p>
      <w:pPr>
        <w:spacing w:after="0" w:line="200" w:lineRule="exact"/>
        <w:rPr>
          <w:sz w:val="20"/>
          <w:szCs w:val="20"/>
          <w:color w:val="auto"/>
        </w:rPr>
      </w:pPr>
    </w:p>
    <w:p>
      <w:pPr>
        <w:spacing w:after="0" w:line="206" w:lineRule="exact"/>
        <w:rPr>
          <w:sz w:val="20"/>
          <w:szCs w:val="20"/>
          <w:color w:val="auto"/>
        </w:rPr>
      </w:pPr>
    </w:p>
    <w:p>
      <w:pPr>
        <w:jc w:val="center"/>
        <w:ind w:right="1240"/>
        <w:spacing w:after="0" w:line="184" w:lineRule="exact"/>
        <w:rPr>
          <w:sz w:val="20"/>
          <w:szCs w:val="20"/>
          <w:color w:val="auto"/>
        </w:rPr>
      </w:pPr>
      <w:r>
        <w:rPr>
          <w:rFonts w:ascii="Arial" w:cs="Arial" w:eastAsia="Arial" w:hAnsi="Arial"/>
          <w:sz w:val="16"/>
          <w:szCs w:val="16"/>
          <w:b w:val="1"/>
          <w:bCs w:val="1"/>
          <w:color w:val="auto"/>
        </w:rPr>
        <w:t>SI</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BONE, INC.</w:t>
      </w:r>
    </w:p>
    <w:p>
      <w:pPr>
        <w:spacing w:after="0" w:line="209"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January 22, 2020</w:t>
      </w:r>
    </w:p>
    <w:p>
      <w:pPr>
        <w:sectPr>
          <w:pgSz w:w="11900" w:h="16838" w:orient="portrait"/>
          <w:cols w:equalWidth="0" w:num="1">
            <w:col w:w="10220"/>
          </w:cols>
          <w:pgMar w:left="1440" w:top="12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t>January 22,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LLC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BofA Securities, Inc.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c/o Morgan Stanley &amp; Co. LLC</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1585 Broadway</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New York, New York 10036</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c/o BofA Securities, Inc.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One Bryant Park</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5" w:lineRule="exact"/>
        <w:rPr>
          <w:sz w:val="20"/>
          <w:szCs w:val="20"/>
          <w:color w:val="auto"/>
        </w:rPr>
      </w:pPr>
    </w:p>
    <w:p>
      <w:pPr>
        <w:jc w:val="both"/>
        <w:ind w:firstLine="590"/>
        <w:spacing w:after="0" w:line="200" w:lineRule="exact"/>
        <w:rPr>
          <w:sz w:val="20"/>
          <w:szCs w:val="20"/>
          <w:color w:val="auto"/>
        </w:rPr>
      </w:pPr>
      <w:r>
        <w:rPr>
          <w:rFonts w:ascii="Arial" w:cs="Arial" w:eastAsia="Arial" w:hAnsi="Arial"/>
          <w:sz w:val="15"/>
          <w:szCs w:val="15"/>
          <w:color w:val="auto"/>
        </w:rPr>
        <w:t>SI</w:t>
      </w:r>
      <w:r>
        <w:rPr>
          <w:rFonts w:ascii="MS PGothic" w:cs="MS PGothic" w:eastAsia="MS PGothic" w:hAnsi="MS PGothic"/>
          <w:sz w:val="15"/>
          <w:szCs w:val="15"/>
          <w:color w:val="auto"/>
        </w:rPr>
        <w:t>‑</w:t>
      </w:r>
      <w:r>
        <w:rPr>
          <w:rFonts w:ascii="Arial" w:cs="Arial" w:eastAsia="Arial" w:hAnsi="Arial"/>
          <w:sz w:val="15"/>
          <w:szCs w:val="15"/>
          <w:color w:val="auto"/>
        </w:rPr>
        <w:t>BONE,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proposes to issue and sell to the several Underwriters named in Schedule II hereto (the “</w:t>
      </w:r>
      <w:r>
        <w:rPr>
          <w:rFonts w:ascii="Arial" w:cs="Arial" w:eastAsia="Arial" w:hAnsi="Arial"/>
          <w:sz w:val="15"/>
          <w:szCs w:val="15"/>
          <w:b w:val="1"/>
          <w:bCs w:val="1"/>
          <w:color w:val="auto"/>
        </w:rPr>
        <w:t>Underwriters</w:t>
      </w:r>
      <w:r>
        <w:rPr>
          <w:rFonts w:ascii="Arial" w:cs="Arial" w:eastAsia="Arial" w:hAnsi="Arial"/>
          <w:sz w:val="15"/>
          <w:szCs w:val="15"/>
          <w:color w:val="auto"/>
        </w:rPr>
        <w:t>”), for which Morgan Stanley &amp; Co. LLC and BofA Securities, Inc. are acting as representatives (the “</w:t>
      </w:r>
      <w:r>
        <w:rPr>
          <w:rFonts w:ascii="Arial" w:cs="Arial" w:eastAsia="Arial" w:hAnsi="Arial"/>
          <w:sz w:val="15"/>
          <w:szCs w:val="15"/>
          <w:b w:val="1"/>
          <w:bCs w:val="1"/>
          <w:color w:val="auto"/>
        </w:rPr>
        <w:t>Representatives</w:t>
      </w:r>
      <w:r>
        <w:rPr>
          <w:rFonts w:ascii="Arial" w:cs="Arial" w:eastAsia="Arial" w:hAnsi="Arial"/>
          <w:sz w:val="15"/>
          <w:szCs w:val="15"/>
          <w:color w:val="auto"/>
        </w:rPr>
        <w:t>” or “</w:t>
      </w:r>
      <w:r>
        <w:rPr>
          <w:rFonts w:ascii="Arial" w:cs="Arial" w:eastAsia="Arial" w:hAnsi="Arial"/>
          <w:sz w:val="15"/>
          <w:szCs w:val="15"/>
          <w:b w:val="1"/>
          <w:bCs w:val="1"/>
          <w:color w:val="auto"/>
        </w:rPr>
        <w:t>you</w:t>
      </w:r>
      <w:r>
        <w:rPr>
          <w:rFonts w:ascii="Arial" w:cs="Arial" w:eastAsia="Arial" w:hAnsi="Arial"/>
          <w:sz w:val="15"/>
          <w:szCs w:val="15"/>
          <w:color w:val="auto"/>
        </w:rPr>
        <w:t>”), and certain shareholders of the Company (the “</w:t>
      </w:r>
      <w:r>
        <w:rPr>
          <w:rFonts w:ascii="Arial" w:cs="Arial" w:eastAsia="Arial" w:hAnsi="Arial"/>
          <w:sz w:val="15"/>
          <w:szCs w:val="15"/>
          <w:b w:val="1"/>
          <w:bCs w:val="1"/>
          <w:color w:val="auto"/>
        </w:rPr>
        <w:t>Selling Shareholders</w:t>
      </w:r>
      <w:r>
        <w:rPr>
          <w:rFonts w:ascii="Arial" w:cs="Arial" w:eastAsia="Arial" w:hAnsi="Arial"/>
          <w:sz w:val="15"/>
          <w:szCs w:val="15"/>
          <w:color w:val="auto"/>
        </w:rPr>
        <w:t>”) named in Schedule I hereto severally propose to sell to the several Underwriters, an aggregate of 4,300,000 shares of its common stock, par value $.0001 per share (the “</w:t>
      </w:r>
      <w:r>
        <w:rPr>
          <w:rFonts w:ascii="Arial" w:cs="Arial" w:eastAsia="Arial" w:hAnsi="Arial"/>
          <w:sz w:val="15"/>
          <w:szCs w:val="15"/>
          <w:b w:val="1"/>
          <w:bCs w:val="1"/>
          <w:color w:val="auto"/>
        </w:rPr>
        <w:t>Firm Shares</w:t>
      </w:r>
      <w:r>
        <w:rPr>
          <w:rFonts w:ascii="Arial" w:cs="Arial" w:eastAsia="Arial" w:hAnsi="Arial"/>
          <w:sz w:val="15"/>
          <w:szCs w:val="15"/>
          <w:color w:val="auto"/>
        </w:rPr>
        <w:t>”), of which 2,490,053 shares are to be issued and sold by the Company and 1,809,947 shares are to be sold by the Selling Shareholders, each Selling Shareholder selling the amount set forth opposite such Selling Shareholder’s name in Schedule I hereto.</w:t>
      </w:r>
    </w:p>
    <w:p>
      <w:pPr>
        <w:spacing w:after="0" w:line="189"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The Company also proposes to issue and sell to the several Underwriters not more than an additional 645,000 shares of its common stock, par value $.0001 per share (the “</w:t>
      </w:r>
      <w:r>
        <w:rPr>
          <w:rFonts w:ascii="Arial" w:cs="Arial" w:eastAsia="Arial" w:hAnsi="Arial"/>
          <w:sz w:val="15"/>
          <w:szCs w:val="15"/>
          <w:b w:val="1"/>
          <w:bCs w:val="1"/>
          <w:color w:val="auto"/>
        </w:rPr>
        <w:t>Additional Shares</w:t>
      </w:r>
      <w:r>
        <w:rPr>
          <w:rFonts w:ascii="Arial" w:cs="Arial" w:eastAsia="Arial" w:hAnsi="Arial"/>
          <w:sz w:val="15"/>
          <w:szCs w:val="15"/>
          <w:color w:val="auto"/>
        </w:rPr>
        <w:t>”), if and to the extent that you, as Representatives, shall have determined to exercise, on behalf of the Underwriters, the right to purchase such shares of common stock granted to the Underwriters in Section 3 hereof. The Firm Shares and the Additional Shares are hereinafter collectively referred to as the “</w:t>
      </w:r>
      <w:r>
        <w:rPr>
          <w:rFonts w:ascii="Arial" w:cs="Arial" w:eastAsia="Arial" w:hAnsi="Arial"/>
          <w:sz w:val="15"/>
          <w:szCs w:val="15"/>
          <w:b w:val="1"/>
          <w:bCs w:val="1"/>
          <w:color w:val="auto"/>
        </w:rPr>
        <w:t>Shares</w:t>
      </w:r>
      <w:r>
        <w:rPr>
          <w:rFonts w:ascii="Arial" w:cs="Arial" w:eastAsia="Arial" w:hAnsi="Arial"/>
          <w:sz w:val="15"/>
          <w:szCs w:val="15"/>
          <w:color w:val="auto"/>
        </w:rPr>
        <w:t>.” The shares of common stock, par value $.0001 per share, of the Company to be outstanding after giving effect to the sales contemplated hereby are hereinafter referred to as the “</w:t>
      </w:r>
      <w:r>
        <w:rPr>
          <w:rFonts w:ascii="Arial" w:cs="Arial" w:eastAsia="Arial" w:hAnsi="Arial"/>
          <w:sz w:val="15"/>
          <w:szCs w:val="15"/>
          <w:b w:val="1"/>
          <w:bCs w:val="1"/>
          <w:color w:val="auto"/>
        </w:rPr>
        <w:t>Common Stock</w:t>
      </w:r>
      <w:r>
        <w:rPr>
          <w:rFonts w:ascii="Arial" w:cs="Arial" w:eastAsia="Arial" w:hAnsi="Arial"/>
          <w:sz w:val="15"/>
          <w:szCs w:val="15"/>
          <w:color w:val="auto"/>
        </w:rPr>
        <w:t>.” The Company and the Selling Shareholders are hereinafter sometimes collectively referred to as the “</w:t>
      </w:r>
      <w:r>
        <w:rPr>
          <w:rFonts w:ascii="Arial" w:cs="Arial" w:eastAsia="Arial" w:hAnsi="Arial"/>
          <w:sz w:val="15"/>
          <w:szCs w:val="15"/>
          <w:b w:val="1"/>
          <w:bCs w:val="1"/>
          <w:color w:val="auto"/>
        </w:rPr>
        <w:t>Sellers</w:t>
      </w:r>
      <w:r>
        <w:rPr>
          <w:rFonts w:ascii="Arial" w:cs="Arial" w:eastAsia="Arial" w:hAnsi="Arial"/>
          <w:sz w:val="15"/>
          <w:szCs w:val="15"/>
          <w:color w:val="auto"/>
        </w:rPr>
        <w:t>.”</w:t>
      </w:r>
    </w:p>
    <w:p>
      <w:pPr>
        <w:spacing w:after="0" w:line="148"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5"/>
          <w:szCs w:val="15"/>
          <w:color w:val="auto"/>
        </w:rPr>
        <w:t>The Company has filed with the Securities and Exchange Commission (the “</w:t>
      </w:r>
      <w:r>
        <w:rPr>
          <w:rFonts w:ascii="Arial" w:cs="Arial" w:eastAsia="Arial" w:hAnsi="Arial"/>
          <w:sz w:val="15"/>
          <w:szCs w:val="15"/>
          <w:b w:val="1"/>
          <w:bCs w:val="1"/>
          <w:color w:val="auto"/>
        </w:rPr>
        <w:t>Commission</w:t>
      </w:r>
      <w:r>
        <w:rPr>
          <w:rFonts w:ascii="Arial" w:cs="Arial" w:eastAsia="Arial" w:hAnsi="Arial"/>
          <w:sz w:val="15"/>
          <w:szCs w:val="15"/>
          <w:color w:val="auto"/>
        </w:rPr>
        <w:t>”) a registration statement, including a prospectus, (File No. 333-235714) on Form S-3, relating to the securities (the “</w:t>
      </w:r>
      <w:r>
        <w:rPr>
          <w:rFonts w:ascii="Arial" w:cs="Arial" w:eastAsia="Arial" w:hAnsi="Arial"/>
          <w:sz w:val="15"/>
          <w:szCs w:val="15"/>
          <w:b w:val="1"/>
          <w:bCs w:val="1"/>
          <w:color w:val="auto"/>
        </w:rPr>
        <w:t>Shelf Securities</w:t>
      </w:r>
      <w:r>
        <w:rPr>
          <w:rFonts w:ascii="Arial" w:cs="Arial" w:eastAsia="Arial" w:hAnsi="Arial"/>
          <w:sz w:val="15"/>
          <w:szCs w:val="15"/>
          <w:color w:val="auto"/>
        </w:rPr>
        <w:t>”), including the Shares, to be issued and sold from time to time by the Company and to be sold from time to time by the Selling Shareholders. The registration statement as amended to the date of this Agreement, including the information (if any) deemed to be part of the registration statement at the time of effectiveness pursuant to Rule 430A or Rule 430 B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is hereinafter referred to as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and the related prospectus covering the Shelf Securities dated January 2, 2020 in the form first used to confirm 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5"/>
          <w:szCs w:val="15"/>
          <w:b w:val="1"/>
          <w:bCs w:val="1"/>
          <w:color w:val="auto"/>
        </w:rPr>
        <w:t>Basic Prospectus</w:t>
      </w:r>
      <w:r>
        <w:rPr>
          <w:rFonts w:ascii="Arial" w:cs="Arial" w:eastAsia="Arial" w:hAnsi="Arial"/>
          <w:sz w:val="15"/>
          <w:szCs w:val="15"/>
          <w:color w:val="auto"/>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5"/>
          <w:szCs w:val="15"/>
          <w:b w:val="1"/>
          <w:bCs w:val="1"/>
          <w:color w:val="auto"/>
        </w:rPr>
        <w:t>Prospectus</w:t>
      </w:r>
      <w:r>
        <w:rPr>
          <w:rFonts w:ascii="Arial" w:cs="Arial" w:eastAsia="Arial" w:hAnsi="Arial"/>
          <w:sz w:val="15"/>
          <w:szCs w:val="15"/>
          <w:color w:val="auto"/>
        </w:rPr>
        <w:t>,” and the term “</w:t>
      </w:r>
      <w:r>
        <w:rPr>
          <w:rFonts w:ascii="Arial" w:cs="Arial" w:eastAsia="Arial" w:hAnsi="Arial"/>
          <w:sz w:val="15"/>
          <w:szCs w:val="15"/>
          <w:b w:val="1"/>
          <w:bCs w:val="1"/>
          <w:color w:val="auto"/>
        </w:rPr>
        <w:t>preliminary prospectus</w:t>
      </w:r>
      <w:r>
        <w:rPr>
          <w:rFonts w:ascii="Arial" w:cs="Arial" w:eastAsia="Arial" w:hAnsi="Arial"/>
          <w:sz w:val="15"/>
          <w:szCs w:val="15"/>
          <w:color w:val="auto"/>
        </w:rPr>
        <w:t>” means any preliminary form of the Prospectus. For purposes of this Agreement, “</w:t>
      </w:r>
      <w:r>
        <w:rPr>
          <w:rFonts w:ascii="Arial" w:cs="Arial" w:eastAsia="Arial" w:hAnsi="Arial"/>
          <w:sz w:val="15"/>
          <w:szCs w:val="15"/>
          <w:b w:val="1"/>
          <w:bCs w:val="1"/>
          <w:color w:val="auto"/>
        </w:rPr>
        <w:t>free writing</w:t>
      </w:r>
      <w:r>
        <w:rPr>
          <w:rFonts w:ascii="Arial" w:cs="Arial" w:eastAsia="Arial" w:hAnsi="Arial"/>
          <w:sz w:val="15"/>
          <w:szCs w:val="15"/>
          <w:color w:val="auto"/>
        </w:rPr>
        <w:t xml:space="preserve"> </w:t>
      </w:r>
      <w:r>
        <w:rPr>
          <w:rFonts w:ascii="Arial" w:cs="Arial" w:eastAsia="Arial" w:hAnsi="Arial"/>
          <w:sz w:val="15"/>
          <w:szCs w:val="15"/>
          <w:b w:val="1"/>
          <w:bCs w:val="1"/>
          <w:color w:val="auto"/>
        </w:rPr>
        <w:t>prospectus</w:t>
      </w:r>
      <w:r>
        <w:rPr>
          <w:rFonts w:ascii="Arial" w:cs="Arial" w:eastAsia="Arial" w:hAnsi="Arial"/>
          <w:sz w:val="15"/>
          <w:szCs w:val="15"/>
          <w:color w:val="auto"/>
        </w:rPr>
        <w:t>” has the meaning set forth in Rule 405 under the Securities Act, “</w:t>
      </w:r>
      <w:r>
        <w:rPr>
          <w:rFonts w:ascii="Arial" w:cs="Arial" w:eastAsia="Arial" w:hAnsi="Arial"/>
          <w:sz w:val="15"/>
          <w:szCs w:val="15"/>
          <w:b w:val="1"/>
          <w:bCs w:val="1"/>
          <w:color w:val="auto"/>
        </w:rPr>
        <w:t>Time of Sale Prospectus</w:t>
      </w:r>
      <w:r>
        <w:rPr>
          <w:rFonts w:ascii="Arial" w:cs="Arial" w:eastAsia="Arial" w:hAnsi="Arial"/>
          <w:sz w:val="15"/>
          <w:szCs w:val="15"/>
          <w:color w:val="auto"/>
        </w:rPr>
        <w:t>” means the documents and pricing information set forth opposite the</w:t>
      </w:r>
      <w:r>
        <w:rPr>
          <w:rFonts w:ascii="Arial" w:cs="Arial" w:eastAsia="Arial" w:hAnsi="Arial"/>
          <w:sz w:val="15"/>
          <w:szCs w:val="15"/>
          <w:b w:val="1"/>
          <w:bCs w:val="1"/>
          <w:color w:val="auto"/>
        </w:rPr>
        <w:t xml:space="preserve"> </w:t>
      </w:r>
      <w:r>
        <w:rPr>
          <w:rFonts w:ascii="Arial" w:cs="Arial" w:eastAsia="Arial" w:hAnsi="Arial"/>
          <w:sz w:val="15"/>
          <w:szCs w:val="15"/>
          <w:color w:val="auto"/>
        </w:rPr>
        <w:t>caption “Time of Sale Prospectus” in Schedule III hereto, and “</w:t>
      </w:r>
      <w:r>
        <w:rPr>
          <w:rFonts w:ascii="Arial" w:cs="Arial" w:eastAsia="Arial" w:hAnsi="Arial"/>
          <w:sz w:val="15"/>
          <w:szCs w:val="15"/>
          <w:b w:val="1"/>
          <w:bCs w:val="1"/>
          <w:color w:val="auto"/>
        </w:rPr>
        <w:t>broadly available road show</w:t>
      </w:r>
      <w:r>
        <w:rPr>
          <w:rFonts w:ascii="Arial" w:cs="Arial" w:eastAsia="Arial" w:hAnsi="Arial"/>
          <w:sz w:val="15"/>
          <w:szCs w:val="15"/>
          <w:color w:val="auto"/>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Arial" w:cs="Arial" w:eastAsia="Arial" w:hAnsi="Arial"/>
          <w:sz w:val="15"/>
          <w:szCs w:val="15"/>
          <w:b w:val="1"/>
          <w:bCs w:val="1"/>
          <w:color w:val="auto"/>
        </w:rPr>
        <w:t>supplement</w:t>
      </w:r>
      <w:r>
        <w:rPr>
          <w:rFonts w:ascii="Arial" w:cs="Arial" w:eastAsia="Arial" w:hAnsi="Arial"/>
          <w:sz w:val="15"/>
          <w:szCs w:val="15"/>
          <w:color w:val="auto"/>
        </w:rPr>
        <w:t>,” “</w:t>
      </w:r>
      <w:r>
        <w:rPr>
          <w:rFonts w:ascii="Arial" w:cs="Arial" w:eastAsia="Arial" w:hAnsi="Arial"/>
          <w:sz w:val="15"/>
          <w:szCs w:val="15"/>
          <w:b w:val="1"/>
          <w:bCs w:val="1"/>
          <w:color w:val="auto"/>
        </w:rPr>
        <w:t>amendment</w:t>
      </w:r>
      <w:r>
        <w:rPr>
          <w:rFonts w:ascii="Arial" w:cs="Arial" w:eastAsia="Arial" w:hAnsi="Arial"/>
          <w:sz w:val="15"/>
          <w:szCs w:val="15"/>
          <w:color w:val="auto"/>
        </w:rPr>
        <w:t>,” and “</w:t>
      </w:r>
      <w:r>
        <w:rPr>
          <w:rFonts w:ascii="Arial" w:cs="Arial" w:eastAsia="Arial" w:hAnsi="Arial"/>
          <w:sz w:val="15"/>
          <w:szCs w:val="15"/>
          <w:b w:val="1"/>
          <w:bCs w:val="1"/>
          <w:color w:val="auto"/>
        </w:rPr>
        <w:t>amend</w:t>
      </w:r>
      <w:r>
        <w:rPr>
          <w:rFonts w:ascii="Arial" w:cs="Arial" w:eastAsia="Arial" w:hAnsi="Arial"/>
          <w:sz w:val="15"/>
          <w:szCs w:val="15"/>
          <w:color w:val="auto"/>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that are deemed to be incorporated by reference therein.</w:t>
      </w:r>
    </w:p>
    <w:p>
      <w:pPr>
        <w:spacing w:after="0" w:line="162" w:lineRule="exact"/>
        <w:rPr>
          <w:sz w:val="20"/>
          <w:szCs w:val="20"/>
          <w:color w:val="auto"/>
        </w:rPr>
      </w:pPr>
    </w:p>
    <w:p>
      <w:pPr>
        <w:ind w:left="1300" w:hanging="712"/>
        <w:spacing w:after="0"/>
        <w:tabs>
          <w:tab w:leader="none" w:pos="1300" w:val="left"/>
        </w:tabs>
        <w:numPr>
          <w:ilvl w:val="0"/>
          <w:numId w:val="3"/>
        </w:numPr>
        <w:rPr>
          <w:rFonts w:ascii="Arial" w:cs="Arial" w:eastAsia="Arial" w:hAnsi="Arial"/>
          <w:sz w:val="16"/>
          <w:szCs w:val="16"/>
          <w:color w:val="010000"/>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209" w:lineRule="exact"/>
        <w:rPr>
          <w:sz w:val="20"/>
          <w:szCs w:val="20"/>
          <w:color w:val="auto"/>
        </w:rPr>
      </w:pPr>
    </w:p>
    <w:p>
      <w:pPr>
        <w:ind w:firstLine="588"/>
        <w:spacing w:after="0" w:line="287" w:lineRule="auto"/>
        <w:tabs>
          <w:tab w:leader="none" w:pos="955" w:val="left"/>
        </w:tabs>
        <w:numPr>
          <w:ilvl w:val="0"/>
          <w:numId w:val="4"/>
        </w:numPr>
        <w:rPr>
          <w:rFonts w:ascii="Arial" w:cs="Arial" w:eastAsia="Arial" w:hAnsi="Arial"/>
          <w:sz w:val="16"/>
          <w:szCs w:val="16"/>
          <w:color w:val="010000"/>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149" w:lineRule="exact"/>
        <w:rPr>
          <w:rFonts w:ascii="Arial" w:cs="Arial" w:eastAsia="Arial" w:hAnsi="Arial"/>
          <w:sz w:val="16"/>
          <w:szCs w:val="16"/>
          <w:color w:val="010000"/>
        </w:rPr>
      </w:pPr>
    </w:p>
    <w:p>
      <w:pPr>
        <w:jc w:val="both"/>
        <w:ind w:firstLine="588"/>
        <w:spacing w:after="0" w:line="297" w:lineRule="auto"/>
        <w:tabs>
          <w:tab w:leader="none" w:pos="992" w:val="left"/>
        </w:tabs>
        <w:numPr>
          <w:ilvl w:val="0"/>
          <w:numId w:val="4"/>
        </w:numPr>
        <w:rPr>
          <w:rFonts w:ascii="Arial" w:cs="Arial" w:eastAsia="Arial" w:hAnsi="Arial"/>
          <w:sz w:val="14"/>
          <w:szCs w:val="14"/>
          <w:color w:val="010000"/>
        </w:rPr>
      </w:pPr>
      <w:r>
        <w:rPr>
          <w:rFonts w:ascii="Arial" w:cs="Arial" w:eastAsia="Arial" w:hAnsi="Arial"/>
          <w:sz w:val="14"/>
          <w:szCs w:val="14"/>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the date hereof does not contain and, as amended or supplemented, if applicable, will not contain as of its date and as of the Closing Date (as defined in Section 5),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155" w:lineRule="exact"/>
        <w:rPr>
          <w:rFonts w:ascii="Arial" w:cs="Arial" w:eastAsia="Arial" w:hAnsi="Arial"/>
          <w:sz w:val="14"/>
          <w:szCs w:val="14"/>
          <w:color w:val="010000"/>
        </w:rPr>
      </w:pPr>
    </w:p>
    <w:p>
      <w:pPr>
        <w:jc w:val="both"/>
        <w:ind w:firstLine="588"/>
        <w:spacing w:after="0" w:line="281" w:lineRule="auto"/>
        <w:tabs>
          <w:tab w:leader="none" w:pos="1004" w:val="left"/>
        </w:tabs>
        <w:numPr>
          <w:ilvl w:val="0"/>
          <w:numId w:val="4"/>
        </w:numPr>
        <w:rPr>
          <w:rFonts w:ascii="Arial" w:cs="Arial" w:eastAsia="Arial" w:hAnsi="Arial"/>
          <w:sz w:val="15"/>
          <w:szCs w:val="15"/>
          <w:color w:val="010000"/>
        </w:rPr>
      </w:pPr>
      <w:r>
        <w:rPr>
          <w:rFonts w:ascii="Arial" w:cs="Arial" w:eastAsia="Arial" w:hAnsi="Arial"/>
          <w:sz w:val="15"/>
          <w:szCs w:val="15"/>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as of the date of such filing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159" w:lineRule="exact"/>
        <w:rPr>
          <w:rFonts w:ascii="Arial" w:cs="Arial" w:eastAsia="Arial" w:hAnsi="Arial"/>
          <w:sz w:val="15"/>
          <w:szCs w:val="15"/>
          <w:color w:val="010000"/>
        </w:rPr>
      </w:pPr>
    </w:p>
    <w:p>
      <w:pPr>
        <w:jc w:val="both"/>
        <w:ind w:firstLine="588"/>
        <w:spacing w:after="0" w:line="261" w:lineRule="auto"/>
        <w:tabs>
          <w:tab w:leader="none" w:pos="1003" w:val="left"/>
        </w:tabs>
        <w:numPr>
          <w:ilvl w:val="0"/>
          <w:numId w:val="4"/>
        </w:numPr>
        <w:rPr>
          <w:rFonts w:ascii="Arial" w:cs="Arial" w:eastAsia="Arial" w:hAnsi="Arial"/>
          <w:sz w:val="16"/>
          <w:szCs w:val="16"/>
          <w:color w:val="010000"/>
        </w:rPr>
      </w:pPr>
      <w:r>
        <w:rPr>
          <w:rFonts w:ascii="Arial" w:cs="Arial" w:eastAsia="Arial" w:hAnsi="Arial"/>
          <w:sz w:val="16"/>
          <w:szCs w:val="16"/>
          <w:color w:val="auto"/>
        </w:rPr>
        <w:t>The Company has been duly incorporated, is validly existing as a corporation in good standing under the laws of the State of Delaware, has the corporate power and authority to own or lease its property and to conduct its business as described in the Time of Sale Prospectus and to enter into and perform its obligations under this Agreement,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business, properties, management, financial position, stockholders’ equity, results of operations or prospects of the Company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and its subsidiaries, taken as a whole, or on the performance by the Company of its obligations under this Agreement or to consummate the transactions contemplated by Time of Sale Prospectus.</w:t>
      </w:r>
    </w:p>
    <w:p>
      <w:pPr>
        <w:sectPr>
          <w:pgSz w:w="11900" w:h="16838" w:orient="portrait"/>
          <w:cols w:equalWidth="0" w:num="1">
            <w:col w:w="11420"/>
          </w:cols>
          <w:pgMar w:left="240" w:top="557" w:right="239" w:bottom="0" w:gutter="0" w:footer="0" w:header="0"/>
        </w:sectPr>
      </w:pPr>
    </w:p>
    <w:bookmarkStart w:id="5" w:name="page6"/>
    <w:bookmarkEnd w:id="5"/>
    <w:p>
      <w:pPr>
        <w:spacing w:after="0" w:line="19" w:lineRule="exact"/>
        <w:rPr>
          <w:sz w:val="20"/>
          <w:szCs w:val="20"/>
          <w:color w:val="auto"/>
        </w:rPr>
      </w:pPr>
    </w:p>
    <w:p>
      <w:pPr>
        <w:jc w:val="both"/>
        <w:ind w:left="-588" w:firstLine="588"/>
        <w:spacing w:after="0" w:line="198" w:lineRule="exact"/>
        <w:tabs>
          <w:tab w:leader="none" w:pos="370" w:val="left"/>
        </w:tabs>
        <w:numPr>
          <w:ilvl w:val="0"/>
          <w:numId w:val="5"/>
        </w:numPr>
        <w:rPr>
          <w:rFonts w:ascii="Arial" w:cs="Arial" w:eastAsia="Arial" w:hAnsi="Arial"/>
          <w:sz w:val="16"/>
          <w:szCs w:val="16"/>
          <w:color w:val="010000"/>
        </w:rPr>
      </w:pPr>
      <w:r>
        <w:rPr>
          <w:rFonts w:ascii="Arial" w:cs="Arial" w:eastAsia="Arial" w:hAnsi="Arial"/>
          <w:sz w:val="16"/>
          <w:szCs w:val="16"/>
          <w:color w:val="auto"/>
        </w:rPr>
        <w:t>Each subsidiary of the Company has been duly organized, is validly existing and in good standing under the laws of the jurisdiction of its organization (to the extent the concept of good standing or an equivalent concept is applicable under the laws of such jurisdiction), has the corporate or other organizational power and authority to own, lease and operate its property and to conduct its business as described in the Time of Sale Prospectus and is duly qualified to transact business and is in good standing in each jurisdiction (to the extent the concept of good standing or an equivalent concept is applicable under the laws of such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equity securities of each subsidiary of the Company have been duly and validly authorized and issued, are fully paid and non</w:t>
      </w:r>
      <w:r>
        <w:rPr>
          <w:rFonts w:ascii="MS PGothic" w:cs="MS PGothic" w:eastAsia="MS PGothic" w:hAnsi="MS PGothic"/>
          <w:sz w:val="16"/>
          <w:szCs w:val="16"/>
          <w:color w:val="auto"/>
        </w:rPr>
        <w:t>‑</w:t>
      </w:r>
      <w:r>
        <w:rPr>
          <w:rFonts w:ascii="Arial" w:cs="Arial" w:eastAsia="Arial" w:hAnsi="Arial"/>
          <w:sz w:val="16"/>
          <w:szCs w:val="16"/>
          <w:color w:val="auto"/>
        </w:rPr>
        <w:t>assessable (to the extent that such concepts are applicable in such jurisdiction) and are owned directly or indirectly by the Company, free and clear of all liens, encumbrances, equities or claims.</w:t>
      </w:r>
    </w:p>
    <w:p>
      <w:pPr>
        <w:spacing w:after="0" w:line="187" w:lineRule="exact"/>
        <w:rPr>
          <w:rFonts w:ascii="Arial" w:cs="Arial" w:eastAsia="Arial" w:hAnsi="Arial"/>
          <w:sz w:val="16"/>
          <w:szCs w:val="16"/>
          <w:color w:val="010000"/>
        </w:rPr>
      </w:pPr>
    </w:p>
    <w:p>
      <w:pPr>
        <w:jc w:val="both"/>
        <w:ind w:left="-588" w:firstLine="588"/>
        <w:spacing w:after="0" w:line="266" w:lineRule="auto"/>
        <w:tabs>
          <w:tab w:leader="none" w:pos="410" w:val="left"/>
        </w:tabs>
        <w:numPr>
          <w:ilvl w:val="0"/>
          <w:numId w:val="5"/>
        </w:numPr>
        <w:rPr>
          <w:rFonts w:ascii="Arial" w:cs="Arial" w:eastAsia="Arial" w:hAnsi="Arial"/>
          <w:sz w:val="16"/>
          <w:szCs w:val="16"/>
          <w:color w:val="010000"/>
        </w:rPr>
      </w:pPr>
      <w:r>
        <w:rPr>
          <w:rFonts w:ascii="Arial" w:cs="Arial" w:eastAsia="Arial" w:hAnsi="Arial"/>
          <w:sz w:val="16"/>
          <w:szCs w:val="16"/>
          <w:color w:val="auto"/>
        </w:rPr>
        <w:t>PricewaterhouseCoopers LLP, which has expressed an opinion with respect to the financial statements of the Company and its subsidiaries filed with the Commission as a part of the Registration Statement, and included in each of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67" w:lineRule="exact"/>
        <w:rPr>
          <w:rFonts w:ascii="Arial" w:cs="Arial" w:eastAsia="Arial" w:hAnsi="Arial"/>
          <w:sz w:val="16"/>
          <w:szCs w:val="16"/>
          <w:color w:val="010000"/>
        </w:rPr>
      </w:pPr>
    </w:p>
    <w:p>
      <w:pPr>
        <w:jc w:val="both"/>
        <w:ind w:left="-588" w:firstLine="588"/>
        <w:spacing w:after="0" w:line="304" w:lineRule="auto"/>
        <w:tabs>
          <w:tab w:leader="none" w:pos="367" w:val="left"/>
        </w:tabs>
        <w:numPr>
          <w:ilvl w:val="0"/>
          <w:numId w:val="5"/>
        </w:numPr>
        <w:rPr>
          <w:rFonts w:ascii="Arial" w:cs="Arial" w:eastAsia="Arial" w:hAnsi="Arial"/>
          <w:sz w:val="14"/>
          <w:szCs w:val="14"/>
          <w:color w:val="010000"/>
        </w:rPr>
      </w:pPr>
      <w:r>
        <w:rPr>
          <w:rFonts w:ascii="Arial" w:cs="Arial" w:eastAsia="Arial" w:hAnsi="Arial"/>
          <w:sz w:val="14"/>
          <w:szCs w:val="14"/>
          <w:color w:val="auto"/>
        </w:rPr>
        <w:t>The financial statements included in the Registration Statement, the Time of Sale Prospectus and the Prospectus, together with the related schedules and notes, present fairly in all material respects the financial position of the Company and its subsidiaries at the dates indicated and the statement of comprehensive loss, stockholders’ equity and cash flows of the Company and its subsidiaries for the periods specified; said financial statements have been prepared in conformity with U.S. generally accepted accounting principles (“</w:t>
      </w:r>
      <w:r>
        <w:rPr>
          <w:rFonts w:ascii="Arial" w:cs="Arial" w:eastAsia="Arial" w:hAnsi="Arial"/>
          <w:sz w:val="14"/>
          <w:szCs w:val="14"/>
          <w:b w:val="1"/>
          <w:bCs w:val="1"/>
          <w:color w:val="auto"/>
        </w:rPr>
        <w:t>GAAP</w:t>
      </w:r>
      <w:r>
        <w:rPr>
          <w:rFonts w:ascii="Arial" w:cs="Arial" w:eastAsia="Arial" w:hAnsi="Arial"/>
          <w:sz w:val="14"/>
          <w:szCs w:val="14"/>
          <w:color w:val="auto"/>
        </w:rPr>
        <w:t>”) applied on a consistent basis throughout the periods involved. The selected financial data and the summary financial information included in the Registration Statement, the Time of Sale Prospectus and the Prospectus present fairly the information shown therein and have been compiled on a basis consistent with that of the audited financial statements included therein. Except as included therein, no historical financial statements or supporting schedules are required to be included in the Registration Statement, the Time of Sale Prospectus or the Prospectus under the Securities Act or any applicable rules and regulations of the Commission thereunder.</w:t>
      </w:r>
    </w:p>
    <w:p>
      <w:pPr>
        <w:spacing w:after="0" w:line="145" w:lineRule="exact"/>
        <w:rPr>
          <w:rFonts w:ascii="Arial" w:cs="Arial" w:eastAsia="Arial" w:hAnsi="Arial"/>
          <w:sz w:val="14"/>
          <w:szCs w:val="14"/>
          <w:color w:val="010000"/>
        </w:rPr>
      </w:pPr>
    </w:p>
    <w:p>
      <w:pPr>
        <w:ind w:left="352" w:hanging="352"/>
        <w:spacing w:after="0"/>
        <w:tabs>
          <w:tab w:leader="none" w:pos="352" w:val="left"/>
        </w:tabs>
        <w:numPr>
          <w:ilvl w:val="0"/>
          <w:numId w:val="5"/>
        </w:numPr>
        <w:rPr>
          <w:rFonts w:ascii="Arial" w:cs="Arial" w:eastAsia="Arial" w:hAnsi="Arial"/>
          <w:sz w:val="16"/>
          <w:szCs w:val="16"/>
          <w:color w:val="010000"/>
        </w:rPr>
      </w:pPr>
      <w:r>
        <w:rPr>
          <w:rFonts w:ascii="Arial" w:cs="Arial" w:eastAsia="Arial" w:hAnsi="Arial"/>
          <w:sz w:val="16"/>
          <w:szCs w:val="16"/>
          <w:color w:val="auto"/>
        </w:rPr>
        <w:t>This Agreement has been duly authorized, executed and delivered by the Company.</w:t>
      </w:r>
    </w:p>
    <w:p>
      <w:pPr>
        <w:spacing w:after="0" w:line="209" w:lineRule="exact"/>
        <w:rPr>
          <w:rFonts w:ascii="Arial" w:cs="Arial" w:eastAsia="Arial" w:hAnsi="Arial"/>
          <w:sz w:val="16"/>
          <w:szCs w:val="16"/>
          <w:color w:val="010000"/>
        </w:rPr>
      </w:pPr>
    </w:p>
    <w:p>
      <w:pPr>
        <w:ind w:left="-588" w:firstLine="588"/>
        <w:spacing w:after="0" w:line="287" w:lineRule="auto"/>
        <w:tabs>
          <w:tab w:leader="none" w:pos="317" w:val="left"/>
        </w:tabs>
        <w:numPr>
          <w:ilvl w:val="0"/>
          <w:numId w:val="5"/>
        </w:numPr>
        <w:rPr>
          <w:rFonts w:ascii="Arial" w:cs="Arial" w:eastAsia="Arial" w:hAnsi="Arial"/>
          <w:sz w:val="16"/>
          <w:szCs w:val="16"/>
          <w:color w:val="010000"/>
        </w:rPr>
      </w:pPr>
      <w:r>
        <w:rPr>
          <w:rFonts w:ascii="Arial" w:cs="Arial" w:eastAsia="Arial" w:hAnsi="Arial"/>
          <w:sz w:val="16"/>
          <w:szCs w:val="16"/>
          <w:color w:val="auto"/>
        </w:rPr>
        <w:t>The authorized capital stock of the Company conforms as to legal matters in all material respects to the description thereof contained in each of the Time of Sale Prospectus and the Prospectus.</w:t>
      </w:r>
    </w:p>
    <w:p>
      <w:pPr>
        <w:spacing w:after="0" w:line="149" w:lineRule="exact"/>
        <w:rPr>
          <w:rFonts w:ascii="Arial" w:cs="Arial" w:eastAsia="Arial" w:hAnsi="Arial"/>
          <w:sz w:val="16"/>
          <w:szCs w:val="16"/>
          <w:color w:val="010000"/>
        </w:rPr>
      </w:pPr>
    </w:p>
    <w:p>
      <w:pPr>
        <w:ind w:left="-588" w:firstLine="588"/>
        <w:spacing w:after="0" w:line="202" w:lineRule="exact"/>
        <w:tabs>
          <w:tab w:leader="none" w:pos="380" w:val="left"/>
        </w:tabs>
        <w:numPr>
          <w:ilvl w:val="0"/>
          <w:numId w:val="5"/>
        </w:numPr>
        <w:rPr>
          <w:rFonts w:ascii="Arial" w:cs="Arial" w:eastAsia="Arial" w:hAnsi="Arial"/>
          <w:sz w:val="16"/>
          <w:szCs w:val="16"/>
          <w:color w:val="010000"/>
        </w:rPr>
      </w:pPr>
      <w:r>
        <w:rPr>
          <w:rFonts w:ascii="Arial" w:cs="Arial" w:eastAsia="Arial" w:hAnsi="Arial"/>
          <w:sz w:val="16"/>
          <w:szCs w:val="16"/>
          <w:color w:val="auto"/>
        </w:rPr>
        <w:t>The shares of Common Stock (including the Shares to be sold by the Selling Shareholders) outstanding prior to the issuance of the Shares have been duly authorized and are validly issued, fully paid and non</w:t>
      </w:r>
      <w:r>
        <w:rPr>
          <w:rFonts w:ascii="MS PGothic" w:cs="MS PGothic" w:eastAsia="MS PGothic" w:hAnsi="MS PGothic"/>
          <w:sz w:val="16"/>
          <w:szCs w:val="16"/>
          <w:color w:val="auto"/>
        </w:rPr>
        <w:t>‑</w:t>
      </w:r>
      <w:r>
        <w:rPr>
          <w:rFonts w:ascii="Arial" w:cs="Arial" w:eastAsia="Arial" w:hAnsi="Arial"/>
          <w:sz w:val="16"/>
          <w:szCs w:val="16"/>
          <w:color w:val="auto"/>
        </w:rPr>
        <w:t>assessable.</w:t>
      </w:r>
    </w:p>
    <w:p>
      <w:pPr>
        <w:spacing w:after="0" w:line="186" w:lineRule="exact"/>
        <w:rPr>
          <w:rFonts w:ascii="Arial" w:cs="Arial" w:eastAsia="Arial" w:hAnsi="Arial"/>
          <w:sz w:val="16"/>
          <w:szCs w:val="16"/>
          <w:color w:val="010000"/>
        </w:rPr>
      </w:pPr>
    </w:p>
    <w:p>
      <w:pPr>
        <w:ind w:left="-588" w:firstLine="588"/>
        <w:spacing w:after="0" w:line="202" w:lineRule="exact"/>
        <w:tabs>
          <w:tab w:leader="none" w:pos="392" w:val="left"/>
        </w:tabs>
        <w:numPr>
          <w:ilvl w:val="0"/>
          <w:numId w:val="5"/>
        </w:numPr>
        <w:rPr>
          <w:rFonts w:ascii="Arial" w:cs="Arial" w:eastAsia="Arial" w:hAnsi="Arial"/>
          <w:sz w:val="16"/>
          <w:szCs w:val="16"/>
          <w:color w:val="010000"/>
        </w:rPr>
      </w:pPr>
      <w:r>
        <w:rPr>
          <w:rFonts w:ascii="Arial" w:cs="Arial" w:eastAsia="Arial" w:hAnsi="Arial"/>
          <w:sz w:val="16"/>
          <w:szCs w:val="16"/>
          <w:color w:val="auto"/>
        </w:rPr>
        <w:t>The Shares have been duly authorized and, when issued, delivered and paid for in accordance with the terms of this Agreement, will be validly issued, fully paid and non</w:t>
      </w:r>
      <w:r>
        <w:rPr>
          <w:rFonts w:ascii="MS PGothic" w:cs="MS PGothic" w:eastAsia="MS PGothic" w:hAnsi="MS PGothic"/>
          <w:sz w:val="16"/>
          <w:szCs w:val="16"/>
          <w:color w:val="auto"/>
        </w:rPr>
        <w:t>‑</w:t>
      </w:r>
      <w:r>
        <w:rPr>
          <w:rFonts w:ascii="Arial" w:cs="Arial" w:eastAsia="Arial" w:hAnsi="Arial"/>
          <w:sz w:val="16"/>
          <w:szCs w:val="16"/>
          <w:color w:val="auto"/>
        </w:rPr>
        <w:t>assessable, and the issuance of such Shares will not be subject to any preemptive or similar rights.</w:t>
      </w:r>
    </w:p>
    <w:p>
      <w:pPr>
        <w:spacing w:after="0" w:line="186" w:lineRule="exact"/>
        <w:rPr>
          <w:rFonts w:ascii="Arial" w:cs="Arial" w:eastAsia="Arial" w:hAnsi="Arial"/>
          <w:sz w:val="16"/>
          <w:szCs w:val="16"/>
          <w:color w:val="010000"/>
        </w:rPr>
      </w:pPr>
    </w:p>
    <w:p>
      <w:pPr>
        <w:jc w:val="both"/>
        <w:ind w:left="-588" w:firstLine="588"/>
        <w:spacing w:after="0" w:line="198" w:lineRule="exact"/>
        <w:tabs>
          <w:tab w:leader="none" w:pos="320" w:val="left"/>
        </w:tabs>
        <w:numPr>
          <w:ilvl w:val="0"/>
          <w:numId w:val="5"/>
        </w:numPr>
        <w:rPr>
          <w:rFonts w:ascii="Arial" w:cs="Arial" w:eastAsia="Arial" w:hAnsi="Arial"/>
          <w:sz w:val="16"/>
          <w:szCs w:val="16"/>
          <w:color w:val="010000"/>
        </w:rPr>
      </w:pPr>
      <w:r>
        <w:rPr>
          <w:rFonts w:ascii="Arial" w:cs="Arial" w:eastAsia="Arial" w:hAnsi="Arial"/>
          <w:sz w:val="16"/>
          <w:szCs w:val="16"/>
          <w:color w:val="auto"/>
        </w:rPr>
        <w:t>None of the Company nor any of its subsidiaries is (i) in violation of its charter, by</w:t>
      </w:r>
      <w:r>
        <w:rPr>
          <w:rFonts w:ascii="MS PGothic" w:cs="MS PGothic" w:eastAsia="MS PGothic" w:hAnsi="MS PGothic"/>
          <w:sz w:val="16"/>
          <w:szCs w:val="16"/>
          <w:color w:val="auto"/>
        </w:rPr>
        <w:t>‑</w:t>
      </w:r>
      <w:r>
        <w:rPr>
          <w:rFonts w:ascii="Arial" w:cs="Arial" w:eastAsia="Arial" w:hAnsi="Arial"/>
          <w:sz w:val="16"/>
          <w:szCs w:val="16"/>
          <w:color w:val="auto"/>
        </w:rPr>
        <w:t>laws or similar organizational document, (ii) in default in the performance or observance of any obligation, agreement, covenant or condition contained in any contract, indenture, mortgage, deed of trust, loan or credit agreement, note, lease or other agreement or instrument to which any of the Company or its subsidiaries is a party or by which it or any of them may be bound or to which any of the properties or assets of the Company or its subsidiaries is subject, or (iii) in violation of any law, statute, rule, regulation, judgment, order, writ or decree of any arbitrator, court, governmental body, regulatory body, administrative agency or other authority, body or agency having jurisdiction over the Company, any of its subsidiaries or any of their respective properties, assets or operations (each, a “</w:t>
      </w:r>
      <w:r>
        <w:rPr>
          <w:rFonts w:ascii="Arial" w:cs="Arial" w:eastAsia="Arial" w:hAnsi="Arial"/>
          <w:sz w:val="16"/>
          <w:szCs w:val="16"/>
          <w:b w:val="1"/>
          <w:bCs w:val="1"/>
          <w:color w:val="auto"/>
        </w:rPr>
        <w:t>Governmental Entity</w:t>
      </w:r>
      <w:r>
        <w:rPr>
          <w:rFonts w:ascii="Arial" w:cs="Arial" w:eastAsia="Arial" w:hAnsi="Arial"/>
          <w:sz w:val="16"/>
          <w:szCs w:val="16"/>
          <w:color w:val="auto"/>
        </w:rPr>
        <w:t>”), except with respect to clauses (ii) and (iii) for such violations and defaults that would not, individually or in the aggregate, reasonably be expected to result in a Material Adverse Effect.</w:t>
      </w:r>
    </w:p>
    <w:p>
      <w:pPr>
        <w:spacing w:after="0" w:line="188" w:lineRule="exact"/>
        <w:rPr>
          <w:rFonts w:ascii="Arial" w:cs="Arial" w:eastAsia="Arial" w:hAnsi="Arial"/>
          <w:sz w:val="16"/>
          <w:szCs w:val="16"/>
          <w:color w:val="010000"/>
        </w:rPr>
      </w:pPr>
    </w:p>
    <w:p>
      <w:pPr>
        <w:jc w:val="both"/>
        <w:ind w:left="-588" w:firstLine="588"/>
        <w:spacing w:after="0" w:line="198" w:lineRule="exact"/>
        <w:tabs>
          <w:tab w:leader="none" w:pos="409" w:val="left"/>
        </w:tabs>
        <w:numPr>
          <w:ilvl w:val="0"/>
          <w:numId w:val="5"/>
        </w:numPr>
        <w:rPr>
          <w:rFonts w:ascii="Arial" w:cs="Arial" w:eastAsia="Arial" w:hAnsi="Arial"/>
          <w:sz w:val="15"/>
          <w:szCs w:val="15"/>
          <w:color w:val="010000"/>
        </w:rPr>
      </w:pPr>
      <w:r>
        <w:rPr>
          <w:rFonts w:ascii="Arial" w:cs="Arial" w:eastAsia="Arial" w:hAnsi="Arial"/>
          <w:sz w:val="15"/>
          <w:szCs w:val="15"/>
          <w:color w:val="auto"/>
        </w:rPr>
        <w:t>The execution and delivery by the Company of, and the performance by the Company of its obligations under, this Agreement has been duly authorized by all necessary corporate action and does not and will not contravene (i) any provision of applicable law, (ii) the certificate of incorporation or by</w:t>
      </w:r>
      <w:r>
        <w:rPr>
          <w:rFonts w:ascii="MS PGothic" w:cs="MS PGothic" w:eastAsia="MS PGothic" w:hAnsi="MS PGothic"/>
          <w:sz w:val="15"/>
          <w:szCs w:val="15"/>
          <w:color w:val="auto"/>
        </w:rPr>
        <w:t>‑</w:t>
      </w:r>
      <w:r>
        <w:rPr>
          <w:rFonts w:ascii="Arial" w:cs="Arial" w:eastAsia="Arial" w:hAnsi="Arial"/>
          <w:sz w:val="15"/>
          <w:szCs w:val="15"/>
          <w:color w:val="auto"/>
        </w:rPr>
        <w:t>laws of the Company, (iii) any agreement or other instrument binding upon the Company or any of its subsidiaries that is material to the Company and its subsidiaries, taken as a whole, or (iv) any judgment, order or decree of any Governmental Entity, except that in the case of clauses (i), (iii) and (iv) as would not, individually or in the aggregate, have a Material Adverse Effect on the Company; and no consent, approval, authorization or order of, or qualification with, or filing with, any Governmental Entity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5"/>
          <w:szCs w:val="15"/>
          <w:b w:val="1"/>
          <w:bCs w:val="1"/>
          <w:color w:val="auto"/>
        </w:rPr>
        <w:t>FINRA</w:t>
      </w:r>
      <w:r>
        <w:rPr>
          <w:rFonts w:ascii="Arial" w:cs="Arial" w:eastAsia="Arial" w:hAnsi="Arial"/>
          <w:sz w:val="15"/>
          <w:szCs w:val="15"/>
          <w:color w:val="auto"/>
        </w:rPr>
        <w:t>”) in connection with the offer and sale of the Shares.</w:t>
      </w:r>
    </w:p>
    <w:p>
      <w:pPr>
        <w:spacing w:after="0" w:line="189" w:lineRule="exact"/>
        <w:rPr>
          <w:rFonts w:ascii="Arial" w:cs="Arial" w:eastAsia="Arial" w:hAnsi="Arial"/>
          <w:sz w:val="15"/>
          <w:szCs w:val="15"/>
          <w:color w:val="010000"/>
        </w:rPr>
      </w:pPr>
    </w:p>
    <w:p>
      <w:pPr>
        <w:ind w:left="-588" w:firstLine="588"/>
        <w:spacing w:after="0" w:line="323" w:lineRule="auto"/>
        <w:tabs>
          <w:tab w:leader="none" w:pos="442" w:val="left"/>
        </w:tabs>
        <w:numPr>
          <w:ilvl w:val="0"/>
          <w:numId w:val="5"/>
        </w:numPr>
        <w:rPr>
          <w:rFonts w:ascii="Arial" w:cs="Arial" w:eastAsia="Arial" w:hAnsi="Arial"/>
          <w:sz w:val="15"/>
          <w:szCs w:val="15"/>
          <w:color w:val="010000"/>
        </w:rPr>
      </w:pPr>
      <w:r>
        <w:rPr>
          <w:rFonts w:ascii="Arial" w:cs="Arial" w:eastAsia="Arial" w:hAnsi="Arial"/>
          <w:sz w:val="15"/>
          <w:szCs w:val="15"/>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25" w:lineRule="exact"/>
        <w:rPr>
          <w:rFonts w:ascii="Arial" w:cs="Arial" w:eastAsia="Arial" w:hAnsi="Arial"/>
          <w:sz w:val="15"/>
          <w:szCs w:val="15"/>
          <w:color w:val="010000"/>
        </w:rPr>
      </w:pPr>
    </w:p>
    <w:p>
      <w:pPr>
        <w:jc w:val="both"/>
        <w:ind w:left="-588" w:firstLine="588"/>
        <w:spacing w:after="0" w:line="262" w:lineRule="auto"/>
        <w:tabs>
          <w:tab w:leader="none" w:pos="358" w:val="left"/>
        </w:tabs>
        <w:numPr>
          <w:ilvl w:val="0"/>
          <w:numId w:val="5"/>
        </w:numPr>
        <w:rPr>
          <w:rFonts w:ascii="Arial" w:cs="Arial" w:eastAsia="Arial" w:hAnsi="Arial"/>
          <w:sz w:val="16"/>
          <w:szCs w:val="16"/>
          <w:color w:val="010000"/>
        </w:rPr>
      </w:pPr>
      <w:r>
        <w:rPr>
          <w:rFonts w:ascii="Arial" w:cs="Arial" w:eastAsia="Arial" w:hAnsi="Arial"/>
          <w:sz w:val="16"/>
          <w:szCs w:val="16"/>
          <w:color w:val="auto"/>
        </w:rPr>
        <w:t xml:space="preserve">There are no legal or governmental proceedings pending or, to the Company’s knowledge, threatened to which the Company or any of its subsidiaries is a party or to which any of the properties of the Company or any of its subsidiaries is subject </w:t>
      </w:r>
      <w:r>
        <w:rPr>
          <w:rFonts w:ascii="Arial" w:cs="Arial" w:eastAsia="Arial" w:hAnsi="Arial"/>
          <w:sz w:val="16"/>
          <w:szCs w:val="16"/>
          <w:color w:val="010000"/>
        </w:rPr>
        <w:t>(i)</w:t>
      </w:r>
      <w:r>
        <w:rPr>
          <w:rFonts w:ascii="Arial" w:cs="Arial" w:eastAsia="Arial" w:hAnsi="Arial"/>
          <w:sz w:val="16"/>
          <w:szCs w:val="16"/>
          <w:color w:val="auto"/>
        </w:rPr>
        <w:t xml:space="preserve"> other than proceedings accurately described in all material respects in the Time of Sale Prospectus and proceedings that would not have a Material Adverse Effect on the Company and its subsidiaries, taken as a whole or </w:t>
      </w:r>
      <w:r>
        <w:rPr>
          <w:rFonts w:ascii="Arial" w:cs="Arial" w:eastAsia="Arial" w:hAnsi="Arial"/>
          <w:sz w:val="16"/>
          <w:szCs w:val="16"/>
          <w:color w:val="010000"/>
        </w:rPr>
        <w:t>(i)</w:t>
      </w:r>
      <w:r>
        <w:rPr>
          <w:rFonts w:ascii="Arial" w:cs="Arial" w:eastAsia="Arial" w:hAnsi="Arial"/>
          <w:sz w:val="16"/>
          <w:szCs w:val="16"/>
          <w:color w:val="auto"/>
        </w:rPr>
        <w:t xml:space="preserve"> that are required to be described in the Registration Statement or the Prospectus and are not so described in all material respects; and there are no statutes, regulations, contracts or other documents to which the Company is subject or by which the Company is bound that are required to be described in the Registration Statement or the Prospectus or to be filed as exhibits to the Registration Statement that are not described in all material respects or filed as required.</w:t>
      </w:r>
    </w:p>
    <w:p>
      <w:pPr>
        <w:spacing w:after="0" w:line="171" w:lineRule="exact"/>
        <w:rPr>
          <w:rFonts w:ascii="Arial" w:cs="Arial" w:eastAsia="Arial" w:hAnsi="Arial"/>
          <w:sz w:val="16"/>
          <w:szCs w:val="16"/>
          <w:color w:val="010000"/>
        </w:rPr>
      </w:pPr>
    </w:p>
    <w:p>
      <w:pPr>
        <w:ind w:left="-588" w:firstLine="588"/>
        <w:spacing w:after="0" w:line="323" w:lineRule="auto"/>
        <w:tabs>
          <w:tab w:leader="none" w:pos="392" w:val="left"/>
        </w:tabs>
        <w:numPr>
          <w:ilvl w:val="0"/>
          <w:numId w:val="5"/>
        </w:numPr>
        <w:rPr>
          <w:rFonts w:ascii="Arial" w:cs="Arial" w:eastAsia="Arial" w:hAnsi="Arial"/>
          <w:sz w:val="15"/>
          <w:szCs w:val="15"/>
          <w:color w:val="010000"/>
        </w:rPr>
      </w:pPr>
      <w:r>
        <w:rPr>
          <w:rFonts w:ascii="Arial" w:cs="Arial" w:eastAsia="Arial" w:hAnsi="Arial"/>
          <w:sz w:val="15"/>
          <w:szCs w:val="15"/>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25" w:lineRule="exact"/>
        <w:rPr>
          <w:rFonts w:ascii="Arial" w:cs="Arial" w:eastAsia="Arial" w:hAnsi="Arial"/>
          <w:sz w:val="15"/>
          <w:szCs w:val="15"/>
          <w:color w:val="010000"/>
        </w:rPr>
      </w:pPr>
    </w:p>
    <w:p>
      <w:pPr>
        <w:ind w:left="-588" w:firstLine="588"/>
        <w:spacing w:after="0" w:line="287" w:lineRule="auto"/>
        <w:tabs>
          <w:tab w:leader="none" w:pos="358" w:val="left"/>
        </w:tabs>
        <w:numPr>
          <w:ilvl w:val="0"/>
          <w:numId w:val="5"/>
        </w:numPr>
        <w:rPr>
          <w:rFonts w:ascii="Arial" w:cs="Arial" w:eastAsia="Arial" w:hAnsi="Arial"/>
          <w:sz w:val="16"/>
          <w:szCs w:val="16"/>
          <w:color w:val="010000"/>
        </w:rPr>
      </w:pPr>
      <w:r>
        <w:rPr>
          <w:rFonts w:ascii="Arial" w:cs="Arial" w:eastAsia="Arial" w:hAnsi="Arial"/>
          <w:sz w:val="16"/>
          <w:szCs w:val="16"/>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49" w:lineRule="exact"/>
        <w:rPr>
          <w:rFonts w:ascii="Arial" w:cs="Arial" w:eastAsia="Arial" w:hAnsi="Arial"/>
          <w:sz w:val="16"/>
          <w:szCs w:val="16"/>
          <w:color w:val="010000"/>
        </w:rPr>
      </w:pPr>
    </w:p>
    <w:p>
      <w:pPr>
        <w:jc w:val="both"/>
        <w:ind w:left="-588" w:firstLine="588"/>
        <w:spacing w:after="0" w:line="262" w:lineRule="auto"/>
        <w:tabs>
          <w:tab w:leader="none" w:pos="423" w:val="left"/>
        </w:tabs>
        <w:numPr>
          <w:ilvl w:val="0"/>
          <w:numId w:val="5"/>
        </w:numPr>
        <w:rPr>
          <w:rFonts w:ascii="Arial" w:cs="Arial" w:eastAsia="Arial" w:hAnsi="Arial"/>
          <w:sz w:val="16"/>
          <w:szCs w:val="16"/>
          <w:color w:val="010000"/>
        </w:rPr>
      </w:pPr>
      <w:r>
        <w:rPr>
          <w:rFonts w:ascii="Arial" w:cs="Arial" w:eastAsia="Arial" w:hAnsi="Arial"/>
          <w:sz w:val="16"/>
          <w:szCs w:val="16"/>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spacing w:after="0" w:line="171" w:lineRule="exact"/>
        <w:rPr>
          <w:rFonts w:ascii="Arial" w:cs="Arial" w:eastAsia="Arial" w:hAnsi="Arial"/>
          <w:sz w:val="16"/>
          <w:szCs w:val="16"/>
          <w:color w:val="010000"/>
        </w:rPr>
      </w:pPr>
    </w:p>
    <w:p>
      <w:pPr>
        <w:jc w:val="both"/>
        <w:ind w:left="-588" w:firstLine="588"/>
        <w:spacing w:after="0" w:line="200" w:lineRule="exact"/>
        <w:tabs>
          <w:tab w:leader="none" w:pos="348" w:val="left"/>
        </w:tabs>
        <w:numPr>
          <w:ilvl w:val="0"/>
          <w:numId w:val="5"/>
        </w:numPr>
        <w:rPr>
          <w:rFonts w:ascii="Arial" w:cs="Arial" w:eastAsia="Arial" w:hAnsi="Arial"/>
          <w:sz w:val="15"/>
          <w:szCs w:val="15"/>
          <w:color w:val="010000"/>
        </w:rPr>
      </w:pPr>
      <w:r>
        <w:rPr>
          <w:rFonts w:ascii="Arial" w:cs="Arial" w:eastAsia="Arial" w:hAnsi="Arial"/>
          <w:sz w:val="15"/>
          <w:szCs w:val="15"/>
          <w:color w:val="auto"/>
        </w:rPr>
        <w:t>There are no costs or liabilities associated with Environmental Laws (including, without limitation, any capital or operating expenditures required for clean</w:t>
      </w:r>
      <w:r>
        <w:rPr>
          <w:rFonts w:ascii="MS PGothic" w:cs="MS PGothic" w:eastAsia="MS PGothic" w:hAnsi="MS PGothic"/>
          <w:sz w:val="15"/>
          <w:szCs w:val="15"/>
          <w:color w:val="auto"/>
        </w:rPr>
        <w:t>‑</w:t>
      </w:r>
      <w:r>
        <w:rPr>
          <w:rFonts w:ascii="Arial" w:cs="Arial" w:eastAsia="Arial" w:hAnsi="Arial"/>
          <w:sz w:val="15"/>
          <w:szCs w:val="15"/>
          <w:color w:val="auto"/>
        </w:rPr>
        <w:t>up, closure of properties or compliance with Environmental Laws or any permit, license or approval, any related constraints on operating activities and any potential liabilities to third parties) which would, individually or in the aggregate, have a Material Adverse Effect on the Company and its subsidiaries, taken as a whole.</w:t>
      </w:r>
    </w:p>
    <w:p>
      <w:pPr>
        <w:spacing w:after="0" w:line="187" w:lineRule="exact"/>
        <w:rPr>
          <w:rFonts w:ascii="Arial" w:cs="Arial" w:eastAsia="Arial" w:hAnsi="Arial"/>
          <w:sz w:val="15"/>
          <w:szCs w:val="15"/>
          <w:color w:val="010000"/>
        </w:rPr>
      </w:pPr>
    </w:p>
    <w:p>
      <w:pPr>
        <w:jc w:val="both"/>
        <w:ind w:left="-588" w:firstLine="588"/>
        <w:spacing w:after="0" w:line="328" w:lineRule="auto"/>
        <w:tabs>
          <w:tab w:leader="none" w:pos="368" w:val="left"/>
        </w:tabs>
        <w:numPr>
          <w:ilvl w:val="0"/>
          <w:numId w:val="5"/>
        </w:numPr>
        <w:rPr>
          <w:rFonts w:ascii="Arial" w:cs="Arial" w:eastAsia="Arial" w:hAnsi="Arial"/>
          <w:sz w:val="14"/>
          <w:szCs w:val="14"/>
          <w:color w:val="010000"/>
        </w:rPr>
      </w:pPr>
      <w:r>
        <w:rPr>
          <w:rFonts w:ascii="Arial" w:cs="Arial" w:eastAsia="Arial" w:hAnsi="Arial"/>
          <w:sz w:val="14"/>
          <w:szCs w:val="14"/>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such as have been duly waived or complied with in connection with the issuance and sale of the Shares contemplated hereby.</w:t>
      </w:r>
    </w:p>
    <w:p>
      <w:pPr>
        <w:spacing w:after="0" w:line="126" w:lineRule="exact"/>
        <w:rPr>
          <w:rFonts w:ascii="Arial" w:cs="Arial" w:eastAsia="Arial" w:hAnsi="Arial"/>
          <w:sz w:val="14"/>
          <w:szCs w:val="14"/>
          <w:color w:val="010000"/>
        </w:rPr>
      </w:pPr>
    </w:p>
    <w:p>
      <w:pPr>
        <w:jc w:val="both"/>
        <w:ind w:left="-588" w:firstLine="588"/>
        <w:spacing w:after="0" w:line="200" w:lineRule="exact"/>
        <w:tabs>
          <w:tab w:leader="none" w:pos="390" w:val="left"/>
        </w:tabs>
        <w:numPr>
          <w:ilvl w:val="0"/>
          <w:numId w:val="5"/>
        </w:numPr>
        <w:rPr>
          <w:rFonts w:ascii="Arial" w:cs="Arial" w:eastAsia="Arial" w:hAnsi="Arial"/>
          <w:sz w:val="15"/>
          <w:szCs w:val="15"/>
          <w:color w:val="010000"/>
        </w:rPr>
      </w:pPr>
      <w:r>
        <w:rPr>
          <w:rFonts w:ascii="Arial" w:cs="Arial" w:eastAsia="Arial" w:hAnsi="Arial"/>
          <w:sz w:val="15"/>
          <w:szCs w:val="15"/>
          <w:color w:val="auto"/>
        </w:rPr>
        <w:t>(i) Neither the Company nor any of its subsidiaries, nor any director or officer, nor, to the Company’s knowledge, any controlled affiliate of the Company or any employee, agent or representative of the Company or of any of its subsidiaries or affiliates, has taken or will take any action in furtherance of an offer, payment, promise to pay, or authorization or approval of the payment or giving or receipt of money, property, gifts or anything else of value, directly or indirectly, to any “government official” (including any officer or employee of a government or government</w:t>
      </w:r>
      <w:r>
        <w:rPr>
          <w:rFonts w:ascii="MS PGothic" w:cs="MS PGothic" w:eastAsia="MS PGothic" w:hAnsi="MS PGothic"/>
          <w:sz w:val="15"/>
          <w:szCs w:val="15"/>
          <w:color w:val="auto"/>
        </w:rPr>
        <w:t>‑</w:t>
      </w:r>
      <w:r>
        <w:rPr>
          <w:rFonts w:ascii="Arial" w:cs="Arial" w:eastAsia="Arial" w:hAnsi="Arial"/>
          <w:sz w:val="15"/>
          <w:szCs w:val="15"/>
          <w:color w:val="auto"/>
        </w:rPr>
        <w:t>owned or controlled entity or of a public international organization, or any person acting in an official</w:t>
      </w:r>
    </w:p>
    <w:p>
      <w:pPr>
        <w:sectPr>
          <w:pgSz w:w="11900" w:h="16857" w:orient="portrait"/>
          <w:cols w:equalWidth="0" w:num="1">
            <w:col w:w="10832"/>
          </w:cols>
          <w:pgMar w:left="828" w:top="127" w:right="239" w:bottom="0" w:gutter="0" w:footer="0" w:header="0"/>
        </w:sectPr>
      </w:pPr>
    </w:p>
    <w:bookmarkStart w:id="6" w:name="page7"/>
    <w:bookmarkEnd w:id="6"/>
    <w:p>
      <w:pPr>
        <w:jc w:val="both"/>
        <w:ind w:left="2"/>
        <w:spacing w:after="0" w:line="199" w:lineRule="exact"/>
        <w:rPr>
          <w:sz w:val="20"/>
          <w:szCs w:val="20"/>
          <w:color w:val="auto"/>
        </w:rPr>
      </w:pPr>
      <w:r>
        <w:rPr>
          <w:rFonts w:ascii="Arial" w:cs="Arial" w:eastAsia="Arial" w:hAnsi="Arial"/>
          <w:sz w:val="16"/>
          <w:szCs w:val="16"/>
          <w:color w:val="auto"/>
        </w:rPr>
        <w:t>capacity for or on behalf of any of the foregoing, or any political party or party official or candidate for political office) to improperly influence official action, or to any person in violation of any applicable anti-corruption laws; (ii); and the Company and its subsidiaries and controlled affiliates have conducted their businesses in compliance with applicable anti</w:t>
      </w:r>
      <w:r>
        <w:rPr>
          <w:rFonts w:ascii="MS PGothic" w:cs="MS PGothic" w:eastAsia="MS PGothic" w:hAnsi="MS PGothic"/>
          <w:sz w:val="16"/>
          <w:szCs w:val="16"/>
          <w:color w:val="auto"/>
        </w:rPr>
        <w:t>‑</w:t>
      </w:r>
      <w:r>
        <w:rPr>
          <w:rFonts w:ascii="Arial" w:cs="Arial" w:eastAsia="Arial" w:hAnsi="Arial"/>
          <w:sz w:val="16"/>
          <w:szCs w:val="16"/>
          <w:color w:val="auto"/>
        </w:rPr>
        <w:t>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85" w:lineRule="exact"/>
        <w:rPr>
          <w:sz w:val="20"/>
          <w:szCs w:val="20"/>
          <w:color w:val="auto"/>
        </w:rPr>
      </w:pPr>
    </w:p>
    <w:p>
      <w:pPr>
        <w:jc w:val="both"/>
        <w:ind w:left="2" w:firstLine="588"/>
        <w:spacing w:after="0" w:line="198" w:lineRule="exact"/>
        <w:tabs>
          <w:tab w:leader="none" w:pos="951" w:val="left"/>
        </w:tabs>
        <w:numPr>
          <w:ilvl w:val="0"/>
          <w:numId w:val="6"/>
        </w:numPr>
        <w:rPr>
          <w:rFonts w:ascii="Arial" w:cs="Arial" w:eastAsia="Arial" w:hAnsi="Arial"/>
          <w:sz w:val="16"/>
          <w:szCs w:val="16"/>
          <w:color w:val="010000"/>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w:t>
      </w:r>
      <w:r>
        <w:rPr>
          <w:rFonts w:ascii="MS PGothic" w:cs="MS PGothic" w:eastAsia="MS PGothic" w:hAnsi="MS PGothic"/>
          <w:sz w:val="16"/>
          <w:szCs w:val="16"/>
          <w:color w:val="auto"/>
        </w:rPr>
        <w:t>‑</w:t>
      </w:r>
      <w:r>
        <w:rPr>
          <w:rFonts w:ascii="Arial" w:cs="Arial" w:eastAsia="Arial" w:hAnsi="Arial"/>
          <w:sz w:val="16"/>
          <w:szCs w:val="16"/>
          <w:color w:val="auto"/>
        </w:rPr>
        <w:t>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is pending or, to the knowledge of the Company, threatened.</w:t>
      </w:r>
    </w:p>
    <w:p>
      <w:pPr>
        <w:spacing w:after="0" w:line="188" w:lineRule="exact"/>
        <w:rPr>
          <w:rFonts w:ascii="Arial" w:cs="Arial" w:eastAsia="Arial" w:hAnsi="Arial"/>
          <w:sz w:val="16"/>
          <w:szCs w:val="16"/>
          <w:color w:val="010000"/>
        </w:rPr>
      </w:pPr>
    </w:p>
    <w:p>
      <w:pPr>
        <w:ind w:left="2" w:firstLine="588"/>
        <w:spacing w:after="0" w:line="323" w:lineRule="auto"/>
        <w:tabs>
          <w:tab w:leader="none" w:pos="1032" w:val="left"/>
        </w:tabs>
        <w:numPr>
          <w:ilvl w:val="0"/>
          <w:numId w:val="6"/>
        </w:numPr>
        <w:rPr>
          <w:rFonts w:ascii="Arial" w:cs="Arial" w:eastAsia="Arial" w:hAnsi="Arial"/>
          <w:sz w:val="15"/>
          <w:szCs w:val="15"/>
          <w:color w:val="010000"/>
        </w:rPr>
      </w:pPr>
      <w:r>
        <w:rPr>
          <w:rFonts w:ascii="Arial" w:cs="Arial" w:eastAsia="Arial" w:hAnsi="Arial"/>
          <w:sz w:val="15"/>
          <w:szCs w:val="15"/>
          <w:color w:val="010000"/>
        </w:rPr>
        <w:t xml:space="preserve">(i) </w:t>
      </w:r>
      <w:r>
        <w:rPr>
          <w:rFonts w:ascii="Arial" w:cs="Arial" w:eastAsia="Arial" w:hAnsi="Arial"/>
          <w:sz w:val="15"/>
          <w:szCs w:val="15"/>
          <w:color w:val="000000"/>
        </w:rPr>
        <w:t>Neither the Company nor any of its subsidiaries, nor any director or officer thereof, nor, to the Company’s knowledge, any employee, agent, controlled</w:t>
      </w:r>
      <w:r>
        <w:rPr>
          <w:rFonts w:ascii="Arial" w:cs="Arial" w:eastAsia="Arial" w:hAnsi="Arial"/>
          <w:sz w:val="15"/>
          <w:szCs w:val="15"/>
          <w:color w:val="010000"/>
        </w:rPr>
        <w:t xml:space="preserve"> </w:t>
      </w:r>
      <w:r>
        <w:rPr>
          <w:rFonts w:ascii="Arial" w:cs="Arial" w:eastAsia="Arial" w:hAnsi="Arial"/>
          <w:sz w:val="15"/>
          <w:szCs w:val="15"/>
          <w:color w:val="000000"/>
        </w:rPr>
        <w:t>affiliate or representative of the Company or any of its subsidiaries, is an individual or entity (“</w:t>
      </w:r>
      <w:r>
        <w:rPr>
          <w:rFonts w:ascii="Arial" w:cs="Arial" w:eastAsia="Arial" w:hAnsi="Arial"/>
          <w:sz w:val="15"/>
          <w:szCs w:val="15"/>
          <w:b w:val="1"/>
          <w:bCs w:val="1"/>
          <w:color w:val="000000"/>
        </w:rPr>
        <w:t>Person</w:t>
      </w:r>
      <w:r>
        <w:rPr>
          <w:rFonts w:ascii="Arial" w:cs="Arial" w:eastAsia="Arial" w:hAnsi="Arial"/>
          <w:sz w:val="15"/>
          <w:szCs w:val="15"/>
          <w:color w:val="000000"/>
        </w:rPr>
        <w:t>”) that is, or is owned or controlled by a Person that is:</w:t>
      </w:r>
    </w:p>
    <w:p>
      <w:pPr>
        <w:spacing w:after="0" w:line="125" w:lineRule="exact"/>
        <w:rPr>
          <w:rFonts w:ascii="Arial" w:cs="Arial" w:eastAsia="Arial" w:hAnsi="Arial"/>
          <w:sz w:val="15"/>
          <w:szCs w:val="15"/>
          <w:color w:val="010000"/>
        </w:rPr>
      </w:pPr>
    </w:p>
    <w:p>
      <w:pPr>
        <w:ind w:left="1182" w:firstLine="588"/>
        <w:spacing w:after="0" w:line="323" w:lineRule="auto"/>
        <w:tabs>
          <w:tab w:leader="none" w:pos="2216" w:val="left"/>
        </w:tabs>
        <w:numPr>
          <w:ilvl w:val="2"/>
          <w:numId w:val="6"/>
        </w:numPr>
        <w:rPr>
          <w:rFonts w:ascii="Arial" w:cs="Arial" w:eastAsia="Arial" w:hAnsi="Arial"/>
          <w:sz w:val="15"/>
          <w:szCs w:val="15"/>
          <w:color w:val="010000"/>
        </w:rPr>
      </w:pPr>
      <w:r>
        <w:rPr>
          <w:rFonts w:ascii="Arial" w:cs="Arial" w:eastAsia="Arial" w:hAnsi="Arial"/>
          <w:sz w:val="15"/>
          <w:szCs w:val="15"/>
          <w:color w:val="auto"/>
        </w:rPr>
        <w:t>the subject of any sanctions administered or enforced by the U.S. Department of Treasury’s Office of Foreign Assets Control, the United Nations Security Council, the European Union (“</w:t>
      </w:r>
      <w:r>
        <w:rPr>
          <w:rFonts w:ascii="Arial" w:cs="Arial" w:eastAsia="Arial" w:hAnsi="Arial"/>
          <w:sz w:val="15"/>
          <w:szCs w:val="15"/>
          <w:b w:val="1"/>
          <w:bCs w:val="1"/>
          <w:color w:val="auto"/>
        </w:rPr>
        <w:t>EU</w:t>
      </w:r>
      <w:r>
        <w:rPr>
          <w:rFonts w:ascii="Arial" w:cs="Arial" w:eastAsia="Arial" w:hAnsi="Arial"/>
          <w:sz w:val="15"/>
          <w:szCs w:val="15"/>
          <w:color w:val="auto"/>
        </w:rPr>
        <w:t>”), Her Majesty’s Treasury, or other relevant sanctions authority (collectively, “</w:t>
      </w:r>
      <w:r>
        <w:rPr>
          <w:rFonts w:ascii="Arial" w:cs="Arial" w:eastAsia="Arial" w:hAnsi="Arial"/>
          <w:sz w:val="15"/>
          <w:szCs w:val="15"/>
          <w:b w:val="1"/>
          <w:bCs w:val="1"/>
          <w:color w:val="auto"/>
        </w:rPr>
        <w:t>Sanctions</w:t>
      </w:r>
      <w:r>
        <w:rPr>
          <w:rFonts w:ascii="Arial" w:cs="Arial" w:eastAsia="Arial" w:hAnsi="Arial"/>
          <w:sz w:val="15"/>
          <w:szCs w:val="15"/>
          <w:color w:val="auto"/>
        </w:rPr>
        <w:t>”), nor</w:t>
      </w:r>
    </w:p>
    <w:p>
      <w:pPr>
        <w:spacing w:after="0" w:line="125" w:lineRule="exact"/>
        <w:rPr>
          <w:rFonts w:ascii="Arial" w:cs="Arial" w:eastAsia="Arial" w:hAnsi="Arial"/>
          <w:sz w:val="15"/>
          <w:szCs w:val="15"/>
          <w:color w:val="010000"/>
        </w:rPr>
      </w:pPr>
    </w:p>
    <w:p>
      <w:pPr>
        <w:ind w:left="1182" w:firstLine="588"/>
        <w:spacing w:after="0" w:line="287" w:lineRule="auto"/>
        <w:tabs>
          <w:tab w:leader="none" w:pos="2215" w:val="left"/>
        </w:tabs>
        <w:numPr>
          <w:ilvl w:val="2"/>
          <w:numId w:val="6"/>
        </w:numPr>
        <w:rPr>
          <w:rFonts w:ascii="Arial" w:cs="Arial" w:eastAsia="Arial" w:hAnsi="Arial"/>
          <w:sz w:val="16"/>
          <w:szCs w:val="16"/>
          <w:color w:val="010000"/>
        </w:rPr>
      </w:pPr>
      <w:r>
        <w:rPr>
          <w:rFonts w:ascii="Arial" w:cs="Arial" w:eastAsia="Arial" w:hAnsi="Arial"/>
          <w:sz w:val="16"/>
          <w:szCs w:val="16"/>
          <w:color w:val="auto"/>
        </w:rPr>
        <w:t>located, organized or resident in a country or territory that is the subject of Sanctions (including, without limitation, Crimea, Cuba, Iran, North Korea, Sudan and Syria).</w:t>
      </w:r>
    </w:p>
    <w:p>
      <w:pPr>
        <w:spacing w:after="0" w:line="149" w:lineRule="exact"/>
        <w:rPr>
          <w:rFonts w:ascii="Arial" w:cs="Arial" w:eastAsia="Arial" w:hAnsi="Arial"/>
          <w:sz w:val="16"/>
          <w:szCs w:val="16"/>
          <w:color w:val="010000"/>
        </w:rPr>
      </w:pPr>
    </w:p>
    <w:p>
      <w:pPr>
        <w:ind w:left="582" w:firstLine="598"/>
        <w:spacing w:after="0" w:line="287" w:lineRule="auto"/>
        <w:tabs>
          <w:tab w:leader="none" w:pos="1571" w:val="left"/>
        </w:tabs>
        <w:numPr>
          <w:ilvl w:val="1"/>
          <w:numId w:val="6"/>
        </w:numPr>
        <w:rPr>
          <w:rFonts w:ascii="Arial" w:cs="Arial" w:eastAsia="Arial" w:hAnsi="Arial"/>
          <w:sz w:val="16"/>
          <w:szCs w:val="16"/>
          <w:color w:val="010000"/>
        </w:rPr>
      </w:pPr>
      <w:r>
        <w:rPr>
          <w:rFonts w:ascii="Arial" w:cs="Arial" w:eastAsia="Arial" w:hAnsi="Arial"/>
          <w:sz w:val="16"/>
          <w:szCs w:val="16"/>
          <w:color w:val="auto"/>
        </w:rPr>
        <w:t>The Company will not, directly or indirectly, use the proceeds of the offering, or lend, contribute or otherwise make available such proceeds to any subsidiary, joint venture partner or other Person:</w:t>
      </w:r>
    </w:p>
    <w:p>
      <w:pPr>
        <w:spacing w:after="0" w:line="149" w:lineRule="exact"/>
        <w:rPr>
          <w:rFonts w:ascii="Arial" w:cs="Arial" w:eastAsia="Arial" w:hAnsi="Arial"/>
          <w:sz w:val="16"/>
          <w:szCs w:val="16"/>
          <w:color w:val="010000"/>
        </w:rPr>
      </w:pPr>
    </w:p>
    <w:p>
      <w:pPr>
        <w:ind w:left="1182" w:firstLine="588"/>
        <w:spacing w:after="0" w:line="287" w:lineRule="auto"/>
        <w:tabs>
          <w:tab w:leader="none" w:pos="2248" w:val="left"/>
        </w:tabs>
        <w:numPr>
          <w:ilvl w:val="2"/>
          <w:numId w:val="6"/>
        </w:numPr>
        <w:rPr>
          <w:rFonts w:ascii="Arial" w:cs="Arial" w:eastAsia="Arial" w:hAnsi="Arial"/>
          <w:sz w:val="16"/>
          <w:szCs w:val="16"/>
          <w:color w:val="010000"/>
        </w:rPr>
      </w:pPr>
      <w:r>
        <w:rPr>
          <w:rFonts w:ascii="Arial" w:cs="Arial" w:eastAsia="Arial" w:hAnsi="Arial"/>
          <w:sz w:val="16"/>
          <w:szCs w:val="16"/>
          <w:color w:val="auto"/>
        </w:rPr>
        <w:t>to fund or facilitate any activities or business of or with any Person or in any country or territory that, at the time of such funding or facilitation, is the subject of Sanctions;</w:t>
      </w:r>
    </w:p>
    <w:p>
      <w:pPr>
        <w:spacing w:after="0" w:line="149" w:lineRule="exact"/>
        <w:rPr>
          <w:rFonts w:ascii="Arial" w:cs="Arial" w:eastAsia="Arial" w:hAnsi="Arial"/>
          <w:sz w:val="16"/>
          <w:szCs w:val="16"/>
          <w:color w:val="010000"/>
        </w:rPr>
      </w:pPr>
    </w:p>
    <w:p>
      <w:pPr>
        <w:ind w:left="1182" w:firstLine="588"/>
        <w:spacing w:after="0" w:line="287" w:lineRule="auto"/>
        <w:tabs>
          <w:tab w:leader="none" w:pos="2232" w:val="left"/>
        </w:tabs>
        <w:numPr>
          <w:ilvl w:val="2"/>
          <w:numId w:val="6"/>
        </w:numPr>
        <w:rPr>
          <w:rFonts w:ascii="Arial" w:cs="Arial" w:eastAsia="Arial" w:hAnsi="Arial"/>
          <w:sz w:val="16"/>
          <w:szCs w:val="16"/>
          <w:color w:val="010000"/>
        </w:rPr>
      </w:pPr>
      <w:r>
        <w:rPr>
          <w:rFonts w:ascii="Arial" w:cs="Arial" w:eastAsia="Arial" w:hAnsi="Arial"/>
          <w:sz w:val="16"/>
          <w:szCs w:val="16"/>
          <w:color w:val="auto"/>
        </w:rPr>
        <w:t>in or involving a country or territory which at the time of such funding is the subject of comprehensive country-wide or territory-wide Sanctions, other than Cuba or Iran; or</w:t>
      </w:r>
    </w:p>
    <w:p>
      <w:pPr>
        <w:spacing w:after="0" w:line="150" w:lineRule="exact"/>
        <w:rPr>
          <w:sz w:val="20"/>
          <w:szCs w:val="20"/>
          <w:color w:val="auto"/>
        </w:rPr>
      </w:pPr>
    </w:p>
    <w:p>
      <w:pPr>
        <w:ind w:left="1182" w:firstLine="588"/>
        <w:spacing w:after="0" w:line="287" w:lineRule="auto"/>
        <w:tabs>
          <w:tab w:leader="none" w:pos="2181" w:val="left"/>
        </w:tabs>
        <w:numPr>
          <w:ilvl w:val="3"/>
          <w:numId w:val="7"/>
        </w:numPr>
        <w:rPr>
          <w:rFonts w:ascii="Arial" w:cs="Arial" w:eastAsia="Arial" w:hAnsi="Arial"/>
          <w:sz w:val="16"/>
          <w:szCs w:val="16"/>
          <w:color w:val="010000"/>
        </w:rPr>
      </w:pPr>
      <w:r>
        <w:rPr>
          <w:rFonts w:ascii="Arial" w:cs="Arial" w:eastAsia="Arial" w:hAnsi="Arial"/>
          <w:sz w:val="16"/>
          <w:szCs w:val="16"/>
          <w:color w:val="auto"/>
        </w:rPr>
        <w:t>in any other manner that will result in a violation of Sanctions by any Person (including any Person participating in the offering, whether as underwriter, advisor, investor or otherwise).</w:t>
      </w:r>
    </w:p>
    <w:p>
      <w:pPr>
        <w:spacing w:after="0" w:line="149" w:lineRule="exact"/>
        <w:rPr>
          <w:rFonts w:ascii="Arial" w:cs="Arial" w:eastAsia="Arial" w:hAnsi="Arial"/>
          <w:sz w:val="16"/>
          <w:szCs w:val="16"/>
          <w:color w:val="010000"/>
        </w:rPr>
      </w:pPr>
    </w:p>
    <w:p>
      <w:pPr>
        <w:ind w:left="582" w:firstLine="598"/>
        <w:spacing w:after="0" w:line="323" w:lineRule="auto"/>
        <w:tabs>
          <w:tab w:leader="none" w:pos="1581" w:val="left"/>
        </w:tabs>
        <w:numPr>
          <w:ilvl w:val="2"/>
          <w:numId w:val="8"/>
        </w:numPr>
        <w:rPr>
          <w:rFonts w:ascii="Arial" w:cs="Arial" w:eastAsia="Arial" w:hAnsi="Arial"/>
          <w:sz w:val="15"/>
          <w:szCs w:val="15"/>
          <w:color w:val="010000"/>
        </w:rPr>
      </w:pPr>
      <w:r>
        <w:rPr>
          <w:rFonts w:ascii="Arial" w:cs="Arial" w:eastAsia="Arial" w:hAnsi="Arial"/>
          <w:sz w:val="15"/>
          <w:szCs w:val="15"/>
          <w:color w:val="auto"/>
        </w:rPr>
        <w:t>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25" w:lineRule="exact"/>
        <w:rPr>
          <w:rFonts w:ascii="Arial" w:cs="Arial" w:eastAsia="Arial" w:hAnsi="Arial"/>
          <w:sz w:val="15"/>
          <w:szCs w:val="15"/>
          <w:color w:val="010000"/>
        </w:rPr>
      </w:pPr>
    </w:p>
    <w:p>
      <w:pPr>
        <w:jc w:val="both"/>
        <w:ind w:left="582" w:firstLine="598"/>
        <w:spacing w:after="0" w:line="272" w:lineRule="auto"/>
        <w:tabs>
          <w:tab w:leader="none" w:pos="1612" w:val="left"/>
        </w:tabs>
        <w:numPr>
          <w:ilvl w:val="2"/>
          <w:numId w:val="8"/>
        </w:numPr>
        <w:rPr>
          <w:rFonts w:ascii="Arial" w:cs="Arial" w:eastAsia="Arial" w:hAnsi="Arial"/>
          <w:sz w:val="16"/>
          <w:szCs w:val="16"/>
          <w:color w:val="010000"/>
        </w:rPr>
      </w:pPr>
      <w:r>
        <w:rPr>
          <w:rFonts w:ascii="Arial" w:cs="Arial" w:eastAsia="Arial" w:hAnsi="Arial"/>
          <w:sz w:val="16"/>
          <w:szCs w:val="16"/>
          <w:color w:val="auto"/>
        </w:rPr>
        <w:t>The Company represents and covenants that, regardless of Sanctions, it will not, directly or indirectly, use the proceeds of the transaction, or lend, contribute or otherwise make available such proceeds to any subsidiary, joint venture partner or other Person, to fund any activities of or business in or involving Cuba or Iran.</w:t>
      </w:r>
    </w:p>
    <w:p>
      <w:pPr>
        <w:spacing w:after="0" w:line="161" w:lineRule="exact"/>
        <w:rPr>
          <w:rFonts w:ascii="Arial" w:cs="Arial" w:eastAsia="Arial" w:hAnsi="Arial"/>
          <w:sz w:val="16"/>
          <w:szCs w:val="16"/>
          <w:color w:val="010000"/>
        </w:rPr>
      </w:pPr>
    </w:p>
    <w:p>
      <w:pPr>
        <w:ind w:left="1002" w:hanging="412"/>
        <w:spacing w:after="0"/>
        <w:tabs>
          <w:tab w:leader="none" w:pos="1002" w:val="left"/>
        </w:tabs>
        <w:numPr>
          <w:ilvl w:val="1"/>
          <w:numId w:val="9"/>
        </w:numPr>
        <w:rPr>
          <w:rFonts w:ascii="Arial" w:cs="Arial" w:eastAsia="Arial" w:hAnsi="Arial"/>
          <w:sz w:val="15"/>
          <w:szCs w:val="15"/>
          <w:color w:val="010000"/>
        </w:rPr>
      </w:pPr>
      <w:r>
        <w:rPr>
          <w:rFonts w:ascii="Arial" w:cs="Arial" w:eastAsia="Arial" w:hAnsi="Arial"/>
          <w:sz w:val="15"/>
          <w:szCs w:val="15"/>
          <w:color w:val="auto"/>
        </w:rPr>
        <w:t>Subsequent to the respective dates as of which information is given in each of the Registration Statement, the Time of Sale Prospectus and the Prospectus,</w:t>
      </w:r>
    </w:p>
    <w:p>
      <w:pPr>
        <w:spacing w:after="0" w:line="35" w:lineRule="exact"/>
        <w:rPr>
          <w:rFonts w:ascii="Arial" w:cs="Arial" w:eastAsia="Arial" w:hAnsi="Arial"/>
          <w:sz w:val="15"/>
          <w:szCs w:val="15"/>
          <w:color w:val="010000"/>
        </w:rPr>
      </w:pPr>
    </w:p>
    <w:p>
      <w:pPr>
        <w:jc w:val="both"/>
        <w:ind w:left="2" w:hanging="2"/>
        <w:spacing w:after="0" w:line="197" w:lineRule="exact"/>
        <w:tabs>
          <w:tab w:leader="none" w:pos="198"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 and its subsidiaries have not incurred any material liability or obligation, direct or contingent, nor entered into any material transaction; (ii) the Company has not purchased any of its outstanding capital stock (except for acquisitions of capital stock by the Company pursuant to agreements that permit the Company to repurchase such shares upon the applicable party’s termination of service to the Company or in connection with the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equity compensation plans described in the Time of Sale Prospectus), short</w:t>
      </w:r>
      <w:r>
        <w:rPr>
          <w:rFonts w:ascii="MS PGothic" w:cs="MS PGothic" w:eastAsia="MS PGothic" w:hAnsi="MS PGothic"/>
          <w:sz w:val="15"/>
          <w:szCs w:val="15"/>
          <w:color w:val="auto"/>
        </w:rPr>
        <w:t>‑</w:t>
      </w:r>
      <w:r>
        <w:rPr>
          <w:rFonts w:ascii="Arial" w:cs="Arial" w:eastAsia="Arial" w:hAnsi="Arial"/>
          <w:sz w:val="15"/>
          <w:szCs w:val="15"/>
          <w:color w:val="auto"/>
        </w:rPr>
        <w:t>term debt or long</w:t>
      </w:r>
      <w:r>
        <w:rPr>
          <w:rFonts w:ascii="MS PGothic" w:cs="MS PGothic" w:eastAsia="MS PGothic" w:hAnsi="MS PGothic"/>
          <w:sz w:val="15"/>
          <w:szCs w:val="15"/>
          <w:color w:val="auto"/>
        </w:rPr>
        <w:t>‑</w:t>
      </w:r>
      <w:r>
        <w:rPr>
          <w:rFonts w:ascii="Arial" w:cs="Arial" w:eastAsia="Arial" w:hAnsi="Arial"/>
          <w:sz w:val="15"/>
          <w:szCs w:val="15"/>
          <w:color w:val="auto"/>
        </w:rPr>
        <w:t>term debt of the Company and its subsidiaries taken as a whole, except in each case as described in each of the Registration Statement, the Time of Sale Prospectus and the Prospectus, respectively.</w:t>
      </w:r>
    </w:p>
    <w:p>
      <w:pPr>
        <w:spacing w:after="0" w:line="189" w:lineRule="exact"/>
        <w:rPr>
          <w:rFonts w:ascii="Arial" w:cs="Arial" w:eastAsia="Arial" w:hAnsi="Arial"/>
          <w:sz w:val="15"/>
          <w:szCs w:val="15"/>
          <w:color w:val="auto"/>
        </w:rPr>
      </w:pPr>
    </w:p>
    <w:p>
      <w:pPr>
        <w:jc w:val="both"/>
        <w:ind w:left="2" w:firstLine="588"/>
        <w:spacing w:after="0" w:line="261" w:lineRule="auto"/>
        <w:tabs>
          <w:tab w:leader="none" w:pos="1001" w:val="left"/>
        </w:tabs>
        <w:numPr>
          <w:ilvl w:val="1"/>
          <w:numId w:val="10"/>
        </w:numPr>
        <w:rPr>
          <w:rFonts w:ascii="Arial" w:cs="Arial" w:eastAsia="Arial" w:hAnsi="Arial"/>
          <w:sz w:val="16"/>
          <w:szCs w:val="16"/>
          <w:color w:val="010000"/>
        </w:rPr>
      </w:pPr>
      <w:r>
        <w:rPr>
          <w:rFonts w:ascii="Arial" w:cs="Arial" w:eastAsia="Arial" w:hAnsi="Arial"/>
          <w:sz w:val="16"/>
          <w:szCs w:val="16"/>
          <w:color w:val="auto"/>
        </w:rPr>
        <w:t>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in any material respect;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172" w:lineRule="exact"/>
        <w:rPr>
          <w:rFonts w:ascii="Arial" w:cs="Arial" w:eastAsia="Arial" w:hAnsi="Arial"/>
          <w:sz w:val="16"/>
          <w:szCs w:val="16"/>
          <w:color w:val="010000"/>
        </w:rPr>
      </w:pPr>
    </w:p>
    <w:p>
      <w:pPr>
        <w:jc w:val="both"/>
        <w:ind w:left="2" w:firstLine="588"/>
        <w:spacing w:after="0" w:line="297" w:lineRule="auto"/>
        <w:tabs>
          <w:tab w:leader="none" w:pos="943" w:val="left"/>
        </w:tabs>
        <w:numPr>
          <w:ilvl w:val="1"/>
          <w:numId w:val="10"/>
        </w:numPr>
        <w:rPr>
          <w:rFonts w:ascii="Arial" w:cs="Arial" w:eastAsia="Arial" w:hAnsi="Arial"/>
          <w:sz w:val="14"/>
          <w:szCs w:val="14"/>
          <w:color w:val="010000"/>
        </w:rPr>
      </w:pPr>
      <w:r>
        <w:rPr>
          <w:rFonts w:ascii="Arial" w:cs="Arial" w:eastAsia="Arial" w:hAnsi="Arial"/>
          <w:sz w:val="14"/>
          <w:szCs w:val="14"/>
          <w:color w:val="auto"/>
        </w:rPr>
        <w:t>Except as described in the Registration Statement, the Time of Sale Prospectus or the Prospectus, the Company and its subsidiaries owns, possesses or licenses, or can acquire on commercially reasonable terms, valid and enforceable rights to use all patents, patent rights, licenses, inventions, copyrights, know-how (including trade secrets and other unpatented and/or unpatentable proprietary or confidential information, systems or procedures), trademarks, service marks, trade names, domain names and other intellectual property (including all registrations and applications for registration of any of the foregoing, as applicable) (collectively, “</w:t>
      </w:r>
      <w:r>
        <w:rPr>
          <w:rFonts w:ascii="Arial" w:cs="Arial" w:eastAsia="Arial" w:hAnsi="Arial"/>
          <w:sz w:val="14"/>
          <w:szCs w:val="14"/>
          <w:b w:val="1"/>
          <w:bCs w:val="1"/>
          <w:color w:val="auto"/>
        </w:rPr>
        <w:t>Intellectual Property</w:t>
      </w:r>
      <w:r>
        <w:rPr>
          <w:rFonts w:ascii="Arial" w:cs="Arial" w:eastAsia="Arial" w:hAnsi="Arial"/>
          <w:sz w:val="14"/>
          <w:szCs w:val="14"/>
          <w:color w:val="auto"/>
        </w:rPr>
        <w:t>”) currently employed by them in connection with, or necessary for, the business as currently operated by them, except where the failure to own, possess, license, have the right to use or the ability to acquire any of the foregoing would not result, individually or in the aggregate, in a Material Adverse Effect on the Company and its subsidiaries, taken as a whole. The Company has not received any notice of any claim, action, suit or proceeding (i) alleging infringement, misappropriation or other violation of, or conflict with, any Intellectual Property rights of others or (ii) challenging the validity, enforceability or scope of, or the rights of the Company and/or its subsidiaries in or to, any Intellectual Property owned by or licensed to the Company or its subsidiaries, in each case which action, suit, proceeding or claim, individually or in the aggregate, if the subject of an unfavorable decision, ruling or finding, would reasonably be expected to have a Material Adverse Effect on the Company and its subsidiaries taken as a whole, and the Company is unaware of any facts that provide a reasonable basis for any such claim, action, suit or proceeding described in the immediately preceding clause (i) or (ii), which would individually or in the aggregate, reasonably be expected to have a Material Adverse Effect on the Company and its subsidiaries, taken as a whole. Except as would not, individually or in the aggregate, reasonably be expected to have a Material Adverse Effect on the Company and its subsidiaries, taken as a whole, the Company has taken reasonable steps in accordance with customary industry practice to maintain the confidentiality of all Intellectual Property, the value of which to the Company and its subsidiaries is contingent upon maintaining the confidentiality thereof. Each agreement pursuant to which the Company or its subsidiaries obtains any license or other rights to any Intellectual Property is a valid and binding agreement of the Company or its subsidiaries, as applicable, and is in full force and effect, and none of the Company or its subsidiaries or, to the knowledge of the Company, any other party thereto is in default or breach under any terms of any such agreement and, to the knowledge of the Company, no event or circumstance has occurred that, with notice or lapse of time or both, would constitute any event of default thereunder.</w:t>
      </w:r>
    </w:p>
    <w:p>
      <w:pPr>
        <w:spacing w:after="0" w:line="350" w:lineRule="exact"/>
        <w:rPr>
          <w:sz w:val="20"/>
          <w:szCs w:val="20"/>
          <w:color w:val="auto"/>
        </w:rPr>
      </w:pPr>
    </w:p>
    <w:p>
      <w:pPr>
        <w:jc w:val="both"/>
        <w:ind w:left="2" w:firstLine="588"/>
        <w:spacing w:after="0" w:line="272" w:lineRule="auto"/>
        <w:tabs>
          <w:tab w:leader="none" w:pos="1020"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Any statistical and market-related data included or incorporated by reference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ectPr>
          <w:pgSz w:w="11900" w:h="16838" w:orient="portrait"/>
          <w:cols w:equalWidth="0" w:num="1">
            <w:col w:w="11422"/>
          </w:cols>
          <w:pgMar w:left="238" w:top="127" w:right="239" w:bottom="0" w:gutter="0" w:footer="0" w:header="0"/>
        </w:sectPr>
      </w:pPr>
    </w:p>
    <w:bookmarkStart w:id="7" w:name="page8"/>
    <w:bookmarkEnd w:id="7"/>
    <w:p>
      <w:pPr>
        <w:jc w:val="both"/>
        <w:ind w:left="-588" w:firstLine="588"/>
        <w:spacing w:after="0" w:line="280" w:lineRule="auto"/>
        <w:tabs>
          <w:tab w:leader="none" w:pos="501" w:val="left"/>
        </w:tabs>
        <w:numPr>
          <w:ilvl w:val="0"/>
          <w:numId w:val="12"/>
        </w:numPr>
        <w:rPr>
          <w:rFonts w:ascii="Arial" w:cs="Arial" w:eastAsia="Arial" w:hAnsi="Arial"/>
          <w:sz w:val="15"/>
          <w:szCs w:val="15"/>
          <w:color w:val="010000"/>
        </w:rPr>
      </w:pPr>
      <w:r>
        <w:rPr>
          <w:rFonts w:ascii="Arial" w:cs="Arial" w:eastAsia="Arial" w:hAnsi="Arial"/>
          <w:sz w:val="15"/>
          <w:szCs w:val="15"/>
          <w:color w:val="auto"/>
        </w:rPr>
        <w:t>Except as disclosed in the Registration Statement, the Time of Sale Prospectus and the Prospectus, there is no currently pending action, suit, proceeding, inquiry or investigation before or brought by any Governmental Entity (including, without limitation, any action, suit, proceeding, inquiry or investigation before or brought by the Food and Drug Administration (the “</w:t>
      </w:r>
      <w:r>
        <w:rPr>
          <w:rFonts w:ascii="Arial" w:cs="Arial" w:eastAsia="Arial" w:hAnsi="Arial"/>
          <w:sz w:val="15"/>
          <w:szCs w:val="15"/>
          <w:b w:val="1"/>
          <w:bCs w:val="1"/>
          <w:color w:val="auto"/>
        </w:rPr>
        <w:t>FDA</w:t>
      </w:r>
      <w:r>
        <w:rPr>
          <w:rFonts w:ascii="Arial" w:cs="Arial" w:eastAsia="Arial" w:hAnsi="Arial"/>
          <w:sz w:val="15"/>
          <w:szCs w:val="15"/>
          <w:color w:val="auto"/>
        </w:rPr>
        <w:t>”), the European Commission, any competent authorities of the Member States of the European Economic Area (collectively, the “</w:t>
      </w:r>
      <w:r>
        <w:rPr>
          <w:rFonts w:ascii="Arial" w:cs="Arial" w:eastAsia="Arial" w:hAnsi="Arial"/>
          <w:sz w:val="15"/>
          <w:szCs w:val="15"/>
          <w:b w:val="1"/>
          <w:bCs w:val="1"/>
          <w:color w:val="auto"/>
        </w:rPr>
        <w:t>EEA</w:t>
      </w:r>
      <w:r>
        <w:rPr>
          <w:rFonts w:ascii="Arial" w:cs="Arial" w:eastAsia="Arial" w:hAnsi="Arial"/>
          <w:sz w:val="15"/>
          <w:szCs w:val="15"/>
          <w:color w:val="auto"/>
        </w:rPr>
        <w:t>”) or any other Health Regulatory Agency (as defined below)), or any notified body now pending or, to the knowledge of the Company, threatened, against or affecting the Company or any of its subsidiaries, which would reasonably be expected to result in a Material Adverse Effect on the Company and its subsidiaries, taken as a whole; and the aggregate of all pending legal or governmental proceedings to which the Company or any of its subsidiaries is a party or of which any of their respective properties or assets is the subject which are not described in the Registration Statement, the Time of Sale Prospectus and the Prospectus, including ordinary routine litigation incidental to the business, would not reasonably be expected to result in a Material Adverse Effect on the Company and its subsidiaries, taken as a whole.</w:t>
      </w:r>
    </w:p>
    <w:p>
      <w:pPr>
        <w:spacing w:after="0" w:line="160" w:lineRule="exact"/>
        <w:rPr>
          <w:rFonts w:ascii="Arial" w:cs="Arial" w:eastAsia="Arial" w:hAnsi="Arial"/>
          <w:sz w:val="15"/>
          <w:szCs w:val="15"/>
          <w:color w:val="010000"/>
        </w:rPr>
      </w:pPr>
    </w:p>
    <w:p>
      <w:pPr>
        <w:jc w:val="both"/>
        <w:ind w:left="-588" w:firstLine="588"/>
        <w:spacing w:after="0" w:line="198" w:lineRule="exact"/>
        <w:tabs>
          <w:tab w:leader="none" w:pos="435" w:val="left"/>
        </w:tabs>
        <w:numPr>
          <w:ilvl w:val="0"/>
          <w:numId w:val="12"/>
        </w:numPr>
        <w:rPr>
          <w:rFonts w:ascii="Arial" w:cs="Arial" w:eastAsia="Arial" w:hAnsi="Arial"/>
          <w:sz w:val="16"/>
          <w:szCs w:val="16"/>
          <w:color w:val="010000"/>
        </w:rPr>
      </w:pPr>
      <w:r>
        <w:rPr>
          <w:rFonts w:ascii="Arial" w:cs="Arial" w:eastAsia="Arial" w:hAnsi="Arial"/>
          <w:sz w:val="16"/>
          <w:szCs w:val="16"/>
          <w:color w:val="auto"/>
        </w:rPr>
        <w:t>Each of the Company and its subsidiaries has submitted and possesses, or qualifies for applicable exemptions to, such valid and current registrations, listings, approvals, clearances, licenses, certificates, CE Certificates of Conformity, authorizations or permits and supplements or amendments thereto (collectively, “</w:t>
      </w:r>
      <w:r>
        <w:rPr>
          <w:rFonts w:ascii="Arial" w:cs="Arial" w:eastAsia="Arial" w:hAnsi="Arial"/>
          <w:sz w:val="16"/>
          <w:szCs w:val="16"/>
          <w:b w:val="1"/>
          <w:bCs w:val="1"/>
          <w:color w:val="auto"/>
        </w:rPr>
        <w:t>Health Care</w:t>
      </w:r>
      <w:r>
        <w:rPr>
          <w:rFonts w:ascii="Arial" w:cs="Arial" w:eastAsia="Arial" w:hAnsi="Arial"/>
          <w:sz w:val="16"/>
          <w:szCs w:val="16"/>
          <w:color w:val="auto"/>
        </w:rPr>
        <w:t xml:space="preserve"> </w:t>
      </w:r>
      <w:r>
        <w:rPr>
          <w:rFonts w:ascii="Arial" w:cs="Arial" w:eastAsia="Arial" w:hAnsi="Arial"/>
          <w:sz w:val="16"/>
          <w:szCs w:val="16"/>
          <w:b w:val="1"/>
          <w:bCs w:val="1"/>
          <w:color w:val="auto"/>
        </w:rPr>
        <w:t>Authorizations</w:t>
      </w:r>
      <w:r>
        <w:rPr>
          <w:rFonts w:ascii="Arial" w:cs="Arial" w:eastAsia="Arial" w:hAnsi="Arial"/>
          <w:sz w:val="16"/>
          <w:szCs w:val="16"/>
          <w:color w:val="auto"/>
        </w:rPr>
        <w:t>”) issued or required by the appropriate local, state, federal, national, supranational or foreign regulatory agencies, bodies, notified bodies, or self</w:t>
      </w:r>
      <w:r>
        <w:rPr>
          <w:rFonts w:ascii="MS PGothic" w:cs="MS PGothic" w:eastAsia="MS PGothic" w:hAnsi="MS PGothic"/>
          <w:sz w:val="16"/>
          <w:szCs w:val="16"/>
          <w:color w:val="auto"/>
        </w:rPr>
        <w:t>‑</w:t>
      </w:r>
      <w:r>
        <w:rPr>
          <w:rFonts w:ascii="Arial" w:cs="Arial" w:eastAsia="Arial" w:hAnsi="Arial"/>
          <w:sz w:val="16"/>
          <w:szCs w:val="16"/>
          <w:color w:val="auto"/>
        </w:rPr>
        <w:t>regulating</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(collectively, “</w:t>
      </w:r>
      <w:r>
        <w:rPr>
          <w:rFonts w:ascii="Arial" w:cs="Arial" w:eastAsia="Arial" w:hAnsi="Arial"/>
          <w:sz w:val="16"/>
          <w:szCs w:val="16"/>
          <w:b w:val="1"/>
          <w:bCs w:val="1"/>
          <w:color w:val="auto"/>
        </w:rPr>
        <w:t>Health Regulatory Agencies</w:t>
      </w:r>
      <w:r>
        <w:rPr>
          <w:rFonts w:ascii="Arial" w:cs="Arial" w:eastAsia="Arial" w:hAnsi="Arial"/>
          <w:sz w:val="16"/>
          <w:szCs w:val="16"/>
          <w:color w:val="auto"/>
        </w:rPr>
        <w:t>”) necessary to conduct its business as described in the Registration Statement, the Time of Sale Prospectus and the Prospectus, including, without limitation, all such Health Care Authorizations required by the FDA, the Department of Health and Human Services, the European Commission, any competent authorities of the Member States of the EEA or any other Health Regulatory Agencies engaged in the regulation of medical devices, except where failure to obtain such Health Care Authorizations would not, individually or in the aggregate, be reasonably likely to have a Material Adverse Effect on the Company and its subsidiaries, taken as a whole. None of the Company nor its subsidiaries has received any notice of proceedings relating to the revocation or modification of, or non</w:t>
      </w:r>
      <w:r>
        <w:rPr>
          <w:rFonts w:ascii="MS PGothic" w:cs="MS PGothic" w:eastAsia="MS PGothic" w:hAnsi="MS PGothic"/>
          <w:sz w:val="16"/>
          <w:szCs w:val="16"/>
          <w:color w:val="auto"/>
        </w:rPr>
        <w:t>‑</w:t>
      </w:r>
      <w:r>
        <w:rPr>
          <w:rFonts w:ascii="Arial" w:cs="Arial" w:eastAsia="Arial" w:hAnsi="Arial"/>
          <w:sz w:val="16"/>
          <w:szCs w:val="16"/>
          <w:color w:val="auto"/>
        </w:rPr>
        <w:t>compliance with, any such Health Care Authorization.</w:t>
      </w:r>
    </w:p>
    <w:p>
      <w:pPr>
        <w:spacing w:after="0" w:line="186" w:lineRule="exact"/>
        <w:rPr>
          <w:rFonts w:ascii="Arial" w:cs="Arial" w:eastAsia="Arial" w:hAnsi="Arial"/>
          <w:sz w:val="16"/>
          <w:szCs w:val="16"/>
          <w:color w:val="010000"/>
        </w:rPr>
      </w:pPr>
    </w:p>
    <w:p>
      <w:pPr>
        <w:jc w:val="both"/>
        <w:ind w:left="-588" w:firstLine="588"/>
        <w:spacing w:after="0" w:line="197" w:lineRule="exact"/>
        <w:tabs>
          <w:tab w:leader="none" w:pos="450" w:val="left"/>
        </w:tabs>
        <w:numPr>
          <w:ilvl w:val="0"/>
          <w:numId w:val="12"/>
        </w:numPr>
        <w:rPr>
          <w:rFonts w:ascii="Arial" w:cs="Arial" w:eastAsia="Arial" w:hAnsi="Arial"/>
          <w:sz w:val="15"/>
          <w:szCs w:val="15"/>
          <w:color w:val="010000"/>
        </w:rPr>
      </w:pPr>
      <w:r>
        <w:rPr>
          <w:rFonts w:ascii="Arial" w:cs="Arial" w:eastAsia="Arial" w:hAnsi="Arial"/>
          <w:sz w:val="15"/>
          <w:szCs w:val="15"/>
          <w:color w:val="auto"/>
        </w:rPr>
        <w:t>(i) To the Company’s knowledge, each of the Company and its subsidiaries is, and has been, in compliance with all applicable Health Care Laws, and has not engaged in activities which are, as applicable, cause for false claims liability, civil penalties, or mandatory or permissive exclusion from Medicare, Medicaid or any other local, state, federal, national or similar foreign health care program, except where Company’s activities or failure to comply with all applicable Health Care Laws would not, individually or in the aggregate, be reasonably likely to have a Material Adverse Effect on the Company and its subsidiaries, taken as a whole; (ii) none of the Company or its subsidiaries has received any written notice of adverse filing, warning letter, untitled letter or other correspondence or notice from the FDA, the European Commission, any competent authorities of the Member States of the EEA or any other Health Regulatory Agency, or any other court or arbitrator, alleging or asserting material noncompliance with the Health Care Laws; (iii) the Company and its subsidiaries, and, to the Company’s knowledge, their respective directors, officers, employees or agents, are and have been in compliance with the applicable Health Care Laws, except where failure to comply with all applicable Health Care Laws would not, individually or in the aggregate, be reasonably likely to have a Material Adverse Effect on the Company and its subsidiaries, taken as a whole; (iv) except as disclosed in the Registration Statement, the Time of Sale Prospectus and the Prospectus, none of the Company or its subsidiaries has received written notice of any ongoing claim, action, suit, proceeding, hearing, enforcement, investigation, arbitration or other action from any Health Regulatory Agency, court, arbitrator or third party alleging that any product operation or activity is in violation of any Health Care Laws or has any knowledge that any such Health Regulatory Agency or third party is considering any such claim, litigation, arbitration, action, suit, investigation or proceeding; (v) none of the Company or its subsidiaries has received written notice that the FDA, any competent authorities of the Member States of the EEA or any other Health Regulatory Agency has taken, is taking or intends to take action to limit, suspend, modify or revoke any applicable Health Care Authorization or has any knowledge that any such Health Regulatory Agency is considering such action; (vi) each of the Company and its subsidiaries has filed, obtained, maintained or submitted all reports, documents, forms, notices, applications, records, claims, submissions and supplements or amendments as required by the FDA, any competent authorities of the Member States of the EEA or any other Health Care Laws and that all such reports, documents, forms, notices, applications, records, claims, submissions and supplements or amendments were complete, correct and not misleading on the date filed (or were corrected or supplemented by a subsequent submission), except where failure to file, obtain, maintain or submit such reports, documents, forms, notices, applications, records, claims, submissions and supplements or amendments would not, individually or in the aggregate, be reasonably likely to have a Material Adverse Effect on the Company and its subsidiaries, taken as a whole; (vii) none of the Company or its subsidiaries has, either voluntarily or involuntarily, initiated, conducted or issued or caused to be initiated, conducted or issued, any recall, market withdrawal or replacement, safety alert, post</w:t>
      </w:r>
      <w:r>
        <w:rPr>
          <w:rFonts w:ascii="MS PGothic" w:cs="MS PGothic" w:eastAsia="MS PGothic" w:hAnsi="MS PGothic"/>
          <w:sz w:val="15"/>
          <w:szCs w:val="15"/>
          <w:color w:val="auto"/>
        </w:rPr>
        <w:t>‑</w:t>
      </w:r>
      <w:r>
        <w:rPr>
          <w:rFonts w:ascii="Arial" w:cs="Arial" w:eastAsia="Arial" w:hAnsi="Arial"/>
          <w:sz w:val="15"/>
          <w:szCs w:val="15"/>
          <w:color w:val="auto"/>
        </w:rPr>
        <w:t>sale warning, “dear doctor” letter, or other notice or action relating to the alleged lack of safety or efficacy of any product or any alleged product defect or violation (“</w:t>
      </w:r>
      <w:r>
        <w:rPr>
          <w:rFonts w:ascii="Arial" w:cs="Arial" w:eastAsia="Arial" w:hAnsi="Arial"/>
          <w:sz w:val="15"/>
          <w:szCs w:val="15"/>
          <w:b w:val="1"/>
          <w:bCs w:val="1"/>
          <w:color w:val="auto"/>
        </w:rPr>
        <w:t>Safety Notices</w:t>
      </w:r>
      <w:r>
        <w:rPr>
          <w:rFonts w:ascii="Arial" w:cs="Arial" w:eastAsia="Arial" w:hAnsi="Arial"/>
          <w:sz w:val="15"/>
          <w:szCs w:val="15"/>
          <w:color w:val="auto"/>
        </w:rPr>
        <w:t>”) and, to the Company’s knowledge, no third party has initiated or conducted any such notice or action; (viii) the Company is not aware of any Safety Notices with respect to any of the Company’s products or services, which would be reasonably likely to result in (A) a material change in labeling of any of the Company’s products, or (B) a termination or suspension of marketing or testing of any of the Company’s products; and (ix) none of the Company, any of its directors or officers, or to the Company’s knowledge, any of the Company’s employees or agents is or has been debarred, suspended or excluded from participation in any U.S. federal health care program or human research study or trial or equivalent foreign program, or has been convicted of any crime that would result in a debarment, suspension or exclusion from any foreign, federal or state government health care program or human research study or trial. For purposes of this Agreement, “</w:t>
      </w:r>
      <w:r>
        <w:rPr>
          <w:rFonts w:ascii="Arial" w:cs="Arial" w:eastAsia="Arial" w:hAnsi="Arial"/>
          <w:sz w:val="15"/>
          <w:szCs w:val="15"/>
          <w:b w:val="1"/>
          <w:bCs w:val="1"/>
          <w:color w:val="auto"/>
        </w:rPr>
        <w:t>Health Care Laws</w:t>
      </w:r>
      <w:r>
        <w:rPr>
          <w:rFonts w:ascii="Arial" w:cs="Arial" w:eastAsia="Arial" w:hAnsi="Arial"/>
          <w:sz w:val="15"/>
          <w:szCs w:val="15"/>
          <w:color w:val="auto"/>
        </w:rPr>
        <w:t>” means all health care laws applicable to the Company and necessary for the Company to conduct the business now operated or as proposed to be conducted by it as described in the Registration Statement, the Time of Sale Prospectus and the Prospectus, including, but not limited to: the Federal Food, Drug, and Cosmetic Act, the Anti</w:t>
      </w:r>
      <w:r>
        <w:rPr>
          <w:rFonts w:ascii="MS PGothic" w:cs="MS PGothic" w:eastAsia="MS PGothic" w:hAnsi="MS PGothic"/>
          <w:sz w:val="15"/>
          <w:szCs w:val="15"/>
          <w:color w:val="auto"/>
        </w:rPr>
        <w:t>‑</w:t>
      </w:r>
      <w:r>
        <w:rPr>
          <w:rFonts w:ascii="Arial" w:cs="Arial" w:eastAsia="Arial" w:hAnsi="Arial"/>
          <w:sz w:val="15"/>
          <w:szCs w:val="15"/>
          <w:color w:val="auto"/>
        </w:rPr>
        <w:t>Kickback Statute (42 U.S.C. Section 1320a</w:t>
      </w:r>
      <w:r>
        <w:rPr>
          <w:rFonts w:ascii="MS PGothic" w:cs="MS PGothic" w:eastAsia="MS PGothic" w:hAnsi="MS PGothic"/>
          <w:sz w:val="15"/>
          <w:szCs w:val="15"/>
          <w:color w:val="auto"/>
        </w:rPr>
        <w:t>‑</w:t>
      </w:r>
      <w:r>
        <w:rPr>
          <w:rFonts w:ascii="Arial" w:cs="Arial" w:eastAsia="Arial" w:hAnsi="Arial"/>
          <w:sz w:val="15"/>
          <w:szCs w:val="15"/>
          <w:color w:val="auto"/>
        </w:rPr>
        <w:t>7b(b)), the Civil Monetary Penalties Law (42 U.S.C. § 1320a</w:t>
      </w:r>
      <w:r>
        <w:rPr>
          <w:rFonts w:ascii="MS PGothic" w:cs="MS PGothic" w:eastAsia="MS PGothic" w:hAnsi="MS PGothic"/>
          <w:sz w:val="15"/>
          <w:szCs w:val="15"/>
          <w:color w:val="auto"/>
        </w:rPr>
        <w:t>‑</w:t>
      </w:r>
      <w:r>
        <w:rPr>
          <w:rFonts w:ascii="Arial" w:cs="Arial" w:eastAsia="Arial" w:hAnsi="Arial"/>
          <w:sz w:val="15"/>
          <w:szCs w:val="15"/>
          <w:color w:val="auto"/>
        </w:rPr>
        <w:t>7a), the Physician Payments Sunshine Act (42 U.S.C. § 1320a</w:t>
      </w:r>
      <w:r>
        <w:rPr>
          <w:rFonts w:ascii="MS PGothic" w:cs="MS PGothic" w:eastAsia="MS PGothic" w:hAnsi="MS PGothic"/>
          <w:sz w:val="15"/>
          <w:szCs w:val="15"/>
          <w:color w:val="auto"/>
        </w:rPr>
        <w:t>‑</w:t>
      </w:r>
      <w:r>
        <w:rPr>
          <w:rFonts w:ascii="Arial" w:cs="Arial" w:eastAsia="Arial" w:hAnsi="Arial"/>
          <w:sz w:val="15"/>
          <w:szCs w:val="15"/>
          <w:color w:val="auto"/>
        </w:rPr>
        <w:t>7h), the Civil False Claims Act (31 U.S.C. Section 3729 et seq.), the criminal False Claims Law (42 U.S.C. § 1320a</w:t>
      </w:r>
      <w:r>
        <w:rPr>
          <w:rFonts w:ascii="MS PGothic" w:cs="MS PGothic" w:eastAsia="MS PGothic" w:hAnsi="MS PGothic"/>
          <w:sz w:val="15"/>
          <w:szCs w:val="15"/>
          <w:color w:val="auto"/>
        </w:rPr>
        <w:t>‑</w:t>
      </w:r>
      <w:r>
        <w:rPr>
          <w:rFonts w:ascii="Arial" w:cs="Arial" w:eastAsia="Arial" w:hAnsi="Arial"/>
          <w:sz w:val="15"/>
          <w:szCs w:val="15"/>
          <w:color w:val="auto"/>
        </w:rPr>
        <w:t>7b(a)), all criminal laws relating to health care fraud and abuse, including but not limited to 18 U.S.C. Sections 286 and 287, and the health care fraud criminal provisions under the U.S. Health Insurance Portability and Accountability Act of 1996 (“</w:t>
      </w:r>
      <w:r>
        <w:rPr>
          <w:rFonts w:ascii="Arial" w:cs="Arial" w:eastAsia="Arial" w:hAnsi="Arial"/>
          <w:sz w:val="15"/>
          <w:szCs w:val="15"/>
          <w:b w:val="1"/>
          <w:bCs w:val="1"/>
          <w:color w:val="auto"/>
        </w:rPr>
        <w:t>HIPAA</w:t>
      </w:r>
      <w:r>
        <w:rPr>
          <w:rFonts w:ascii="Arial" w:cs="Arial" w:eastAsia="Arial" w:hAnsi="Arial"/>
          <w:sz w:val="15"/>
          <w:szCs w:val="15"/>
          <w:color w:val="auto"/>
        </w:rPr>
        <w:t>”) (42 U.S.C. Section 1320d et seq.), as amended by the Health Information Technology for Economic and Clinical Health Act (42 U.S.C. Section 17921 et seq.), the exclusions law (42 U.S.C. § 1320a</w:t>
      </w:r>
      <w:r>
        <w:rPr>
          <w:rFonts w:ascii="MS PGothic" w:cs="MS PGothic" w:eastAsia="MS PGothic" w:hAnsi="MS PGothic"/>
          <w:sz w:val="15"/>
          <w:szCs w:val="15"/>
          <w:color w:val="auto"/>
        </w:rPr>
        <w:t>‑</w:t>
      </w:r>
      <w:r>
        <w:rPr>
          <w:rFonts w:ascii="Arial" w:cs="Arial" w:eastAsia="Arial" w:hAnsi="Arial"/>
          <w:sz w:val="15"/>
          <w:szCs w:val="15"/>
          <w:color w:val="auto"/>
        </w:rPr>
        <w:t>7), the coverage and reimbursement provisions of Medicare (Title XVIII of the Social Security Act), Medicaid (Title XIX of the Social Security Act), any and all other applicable comparable local, state, federal, national, supranational and foreign health care laws and the regulations promulgated pursuant to such laws, each as amended from time to time.</w:t>
      </w:r>
    </w:p>
    <w:p>
      <w:pPr>
        <w:spacing w:after="0" w:line="187" w:lineRule="exact"/>
        <w:rPr>
          <w:rFonts w:ascii="Arial" w:cs="Arial" w:eastAsia="Arial" w:hAnsi="Arial"/>
          <w:sz w:val="15"/>
          <w:szCs w:val="15"/>
          <w:color w:val="010000"/>
        </w:rPr>
      </w:pPr>
    </w:p>
    <w:p>
      <w:pPr>
        <w:jc w:val="both"/>
        <w:ind w:left="-588" w:firstLine="588"/>
        <w:spacing w:after="0" w:line="277" w:lineRule="auto"/>
        <w:tabs>
          <w:tab w:leader="none" w:pos="421" w:val="left"/>
        </w:tabs>
        <w:numPr>
          <w:ilvl w:val="0"/>
          <w:numId w:val="12"/>
        </w:numPr>
        <w:rPr>
          <w:rFonts w:ascii="Arial" w:cs="Arial" w:eastAsia="Arial" w:hAnsi="Arial"/>
          <w:sz w:val="15"/>
          <w:szCs w:val="15"/>
          <w:color w:val="010000"/>
        </w:rPr>
      </w:pPr>
      <w:r>
        <w:rPr>
          <w:rFonts w:ascii="Arial" w:cs="Arial" w:eastAsia="Arial" w:hAnsi="Arial"/>
          <w:sz w:val="15"/>
          <w:szCs w:val="15"/>
          <w:color w:val="auto"/>
        </w:rPr>
        <w:t>(i) The research studies and trials conducted by or on behalf of, or sponsored by, the Company, or in which the Company has participated, that are described in the Registration Statement, the Time of Sale Prospectus or the Prospectus, or the results of which are referred to in the Registration Statement, the Time of Sale Prospectus or the Prospectus, as applicable, were and, if still pending, are being, conducted in accordance with applicable law, standard medical and experimental protocols, procedures and controls pursuant to, where applicable, accepted professional and scientific standards for products or product candidates comparable to those being developed by the Company; (ii) the descriptions of the results of such studies and trials contained in the Registration Statement, the Time of Sale Prospectus or the Prospectus do not contain any misstatement of a material fact or omit to state a material fact necessary to make such statements not misleading; (iii) the Company has no knowledge of any research studies or trials not described in the Time of Sale Prospectus and the Prospectus the results of which reasonably call into question in any material respect the results of the research studies and trials described in the Registration Statement, the Time of Sale Prospectus or Prospectus; (iv) the Company has not received any written notices or correspondence from the FDA, the European Commission, any competent authorities of the Member States of the EEA or any Health Regulatory Agency or any institutional review board or comparable authority requiring or threatening the premature termination, suspension, material modification or clinical hold of any research studies or trials conducted by or on behalf of, or sponsored by, the Company or in which the Company has participated that are described in the Registration Statement, the Time of Sale Prospectus or the Prospectus, and there are no reasonable grounds for the same; and (v) there has not been any violation of applicable law or regulation by the Company in its product development efforts, submissions or reports to the FDA, the European Commission, any competent authorities of the Member States of the EEA or any other Health Regulatory Agency that could reasonably be expected to require investigation, corrective action or result in enforcement action which would reasonably be likely to have a Material Adverse Effect on the Company and its subsidiaries, taken as a whole.</w:t>
      </w:r>
    </w:p>
    <w:p>
      <w:pPr>
        <w:spacing w:after="0" w:line="160" w:lineRule="exact"/>
        <w:rPr>
          <w:rFonts w:ascii="Arial" w:cs="Arial" w:eastAsia="Arial" w:hAnsi="Arial"/>
          <w:sz w:val="15"/>
          <w:szCs w:val="15"/>
          <w:color w:val="010000"/>
        </w:rPr>
      </w:pPr>
    </w:p>
    <w:p>
      <w:pPr>
        <w:jc w:val="both"/>
        <w:ind w:left="-588" w:firstLine="588"/>
        <w:spacing w:after="0" w:line="300" w:lineRule="auto"/>
        <w:tabs>
          <w:tab w:leader="none" w:pos="474" w:val="left"/>
        </w:tabs>
        <w:numPr>
          <w:ilvl w:val="0"/>
          <w:numId w:val="12"/>
        </w:numPr>
        <w:rPr>
          <w:rFonts w:ascii="Arial" w:cs="Arial" w:eastAsia="Arial" w:hAnsi="Arial"/>
          <w:sz w:val="14"/>
          <w:szCs w:val="14"/>
          <w:color w:val="010000"/>
        </w:rPr>
      </w:pPr>
      <w:r>
        <w:rPr>
          <w:rFonts w:ascii="Arial" w:cs="Arial" w:eastAsia="Arial" w:hAnsi="Arial"/>
          <w:sz w:val="14"/>
          <w:szCs w:val="14"/>
          <w:color w:val="auto"/>
        </w:rPr>
        <w:t>The manufacture of the Company’s products by or on behalf of the Company is being conducted in compliance with all applicable Health Care Laws, including, without limitation, the FDA’s current good manufacturing practice regulations at 21 CFR Part 820, and, to the extent applicable, the respective counterparts thereof promulgated by the EU, European Commission, any competent authorities of the Member States of the EEA or other Health Regulatory Agencies, except where the failure to so be in compliance would reasonably likely to have a Material Adverse Effect on the Company and its subsidiaries, taken as a whole. The Company has not had any manufacturing site (whether owned by the Company or that of a third party manufacturer for the Company’s products) subject to an FDA, European Commission, any competent authorities of the Member States of the EEA or other Health Regulatory Agency shutdown or import or export prohibition, nor received any FDA, European Commission, any competent authorities of the Member States of the EEA or other Health Regulatory Agency “warning letters,” or “untitled letters” requests to make material changes to the Company’s products, processes or operations, or similar correspondence or notice from the FDA, the European Commission, any competent authorities of the Member States of the EEA or other Health Regulatory Agency alleging or asserting material noncompliance with any applicable Health Care Laws, other than those that have been satisfactorily addressed and/or closed with the FDA, the European Commission, any competent authorities of the Member States of the EEA or other Health Regulatory</w:t>
      </w:r>
    </w:p>
    <w:p>
      <w:pPr>
        <w:sectPr>
          <w:pgSz w:w="11900" w:h="16838" w:orient="portrait"/>
          <w:cols w:equalWidth="0" w:num="1">
            <w:col w:w="10832"/>
          </w:cols>
          <w:pgMar w:left="828" w:top="127" w:right="239" w:bottom="0" w:gutter="0" w:footer="0" w:header="0"/>
        </w:sectPr>
      </w:pPr>
    </w:p>
    <w:bookmarkStart w:id="8" w:name="page9"/>
    <w:bookmarkEnd w:id="8"/>
    <w:p>
      <w:pPr>
        <w:ind w:left="2"/>
        <w:spacing w:after="0" w:line="287" w:lineRule="auto"/>
        <w:rPr>
          <w:sz w:val="20"/>
          <w:szCs w:val="20"/>
          <w:color w:val="auto"/>
        </w:rPr>
      </w:pPr>
      <w:r>
        <w:rPr>
          <w:rFonts w:ascii="Arial" w:cs="Arial" w:eastAsia="Arial" w:hAnsi="Arial"/>
          <w:sz w:val="16"/>
          <w:szCs w:val="16"/>
          <w:color w:val="auto"/>
        </w:rPr>
        <w:t>Agency. To the knowledge of the Company, none of the FDA, the European Commission, any competent authorities of the Member States of the EEA or any other Health Regulatory Agency is considering such action.</w:t>
      </w:r>
    </w:p>
    <w:p>
      <w:pPr>
        <w:spacing w:after="0" w:line="150" w:lineRule="exact"/>
        <w:rPr>
          <w:sz w:val="20"/>
          <w:szCs w:val="20"/>
          <w:color w:val="auto"/>
        </w:rPr>
      </w:pPr>
    </w:p>
    <w:p>
      <w:pPr>
        <w:jc w:val="both"/>
        <w:ind w:left="2" w:firstLine="588"/>
        <w:spacing w:after="0" w:line="200" w:lineRule="exact"/>
        <w:tabs>
          <w:tab w:leader="none" w:pos="1099"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The Company has taken all necessary actions to ensure that it is in compliance with all provisions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and all rules and regulations promulgated thereunder or implementing the provisions thereof (the “</w:t>
      </w:r>
      <w:r>
        <w:rPr>
          <w:rFonts w:ascii="Arial" w:cs="Arial" w:eastAsia="Arial" w:hAnsi="Arial"/>
          <w:sz w:val="16"/>
          <w:szCs w:val="16"/>
          <w:b w:val="1"/>
          <w:bCs w:val="1"/>
          <w:color w:val="auto"/>
        </w:rPr>
        <w:t>Sarbanes</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Oxley Act</w:t>
      </w:r>
      <w:r>
        <w:rPr>
          <w:rFonts w:ascii="Arial" w:cs="Arial" w:eastAsia="Arial" w:hAnsi="Arial"/>
          <w:sz w:val="16"/>
          <w:szCs w:val="16"/>
          <w:color w:val="auto"/>
        </w:rPr>
        <w:t>”) that are then in effect and with which the Company is required to comply, and is actively taking steps to ensure that it will be in compliance with other provisions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not currently in effect, upon the effectiveness of such provisions.</w:t>
      </w:r>
    </w:p>
    <w:p>
      <w:pPr>
        <w:spacing w:after="0" w:line="186" w:lineRule="exact"/>
        <w:rPr>
          <w:rFonts w:ascii="Arial" w:cs="Arial" w:eastAsia="Arial" w:hAnsi="Arial"/>
          <w:sz w:val="16"/>
          <w:szCs w:val="16"/>
          <w:color w:val="010000"/>
        </w:rPr>
      </w:pPr>
    </w:p>
    <w:p>
      <w:pPr>
        <w:jc w:val="both"/>
        <w:ind w:left="2" w:firstLine="588"/>
        <w:spacing w:after="0" w:line="272" w:lineRule="auto"/>
        <w:tabs>
          <w:tab w:leader="none" w:pos="1077"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 on the Company and its subsidiaries, taken as a whole.</w:t>
      </w:r>
    </w:p>
    <w:p>
      <w:pPr>
        <w:spacing w:after="0" w:line="161" w:lineRule="exact"/>
        <w:rPr>
          <w:rFonts w:ascii="Arial" w:cs="Arial" w:eastAsia="Arial" w:hAnsi="Arial"/>
          <w:sz w:val="16"/>
          <w:szCs w:val="16"/>
          <w:color w:val="010000"/>
        </w:rPr>
      </w:pPr>
    </w:p>
    <w:p>
      <w:pPr>
        <w:jc w:val="both"/>
        <w:ind w:left="2" w:firstLine="588"/>
        <w:spacing w:after="0" w:line="286" w:lineRule="auto"/>
        <w:tabs>
          <w:tab w:leader="none" w:pos="989" w:val="left"/>
        </w:tabs>
        <w:numPr>
          <w:ilvl w:val="1"/>
          <w:numId w:val="13"/>
        </w:numPr>
        <w:rPr>
          <w:rFonts w:ascii="Arial" w:cs="Arial" w:eastAsia="Arial" w:hAnsi="Arial"/>
          <w:sz w:val="15"/>
          <w:szCs w:val="15"/>
          <w:color w:val="010000"/>
        </w:rPr>
      </w:pPr>
      <w:r>
        <w:rPr>
          <w:rFonts w:ascii="Arial" w:cs="Arial" w:eastAsia="Arial" w:hAnsi="Arial"/>
          <w:sz w:val="15"/>
          <w:szCs w:val="15"/>
          <w:color w:val="auto"/>
        </w:rPr>
        <w:t>The Company and each of its subsidiaries are insured by insurers of recognized financial responsibility against such losses and risks and in such amounts as are, in the Company’s reasonable judgment,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152" w:lineRule="exact"/>
        <w:rPr>
          <w:rFonts w:ascii="Arial" w:cs="Arial" w:eastAsia="Arial" w:hAnsi="Arial"/>
          <w:sz w:val="15"/>
          <w:szCs w:val="15"/>
          <w:color w:val="010000"/>
        </w:rPr>
      </w:pPr>
    </w:p>
    <w:p>
      <w:pPr>
        <w:jc w:val="both"/>
        <w:ind w:left="2" w:firstLine="588"/>
        <w:spacing w:after="0" w:line="262" w:lineRule="auto"/>
        <w:tabs>
          <w:tab w:leader="none" w:pos="991"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The Company and its subsidiaries possess all certificates, authorizations and permits issued by the appropriate federal, state or foreign regulatory authorities necessary to conduct their respective businesses, except where the failure to obtain such certificates, authorizations and permits would not, individually or in the aggregate, be reasonably likely to have a Material Adverse Effect on the Company and its subsidiaries, taken as a whole, and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have a Material Adverse Effect on the Company and its subsidiaries, taken as a whole, except as described in the Time of Sale Prospectus.</w:t>
      </w:r>
    </w:p>
    <w:p>
      <w:pPr>
        <w:spacing w:after="0" w:line="171" w:lineRule="exact"/>
        <w:rPr>
          <w:rFonts w:ascii="Arial" w:cs="Arial" w:eastAsia="Arial" w:hAnsi="Arial"/>
          <w:sz w:val="16"/>
          <w:szCs w:val="16"/>
          <w:color w:val="010000"/>
        </w:rPr>
      </w:pPr>
    </w:p>
    <w:p>
      <w:pPr>
        <w:ind w:left="1122" w:hanging="532"/>
        <w:spacing w:after="0"/>
        <w:tabs>
          <w:tab w:leader="none" w:pos="1122" w:val="left"/>
        </w:tabs>
        <w:numPr>
          <w:ilvl w:val="1"/>
          <w:numId w:val="13"/>
        </w:numPr>
        <w:rPr>
          <w:rFonts w:ascii="Arial" w:cs="Arial" w:eastAsia="Arial" w:hAnsi="Arial"/>
          <w:sz w:val="15"/>
          <w:szCs w:val="15"/>
          <w:color w:val="010000"/>
        </w:rPr>
      </w:pPr>
      <w:r>
        <w:rPr>
          <w:rFonts w:ascii="Arial" w:cs="Arial" w:eastAsia="Arial" w:hAnsi="Arial"/>
          <w:sz w:val="15"/>
          <w:szCs w:val="15"/>
          <w:color w:val="auto"/>
        </w:rPr>
        <w:t>The Company and its subsidiaries, taken as a whole, maintain a system of internal accounting controls sufficient to provide reasonable assurance that</w:t>
      </w:r>
    </w:p>
    <w:p>
      <w:pPr>
        <w:spacing w:after="0" w:line="35" w:lineRule="exact"/>
        <w:rPr>
          <w:rFonts w:ascii="Arial" w:cs="Arial" w:eastAsia="Arial" w:hAnsi="Arial"/>
          <w:sz w:val="15"/>
          <w:szCs w:val="15"/>
          <w:color w:val="010000"/>
        </w:rPr>
      </w:pPr>
    </w:p>
    <w:p>
      <w:pPr>
        <w:jc w:val="both"/>
        <w:ind w:left="2" w:hanging="2"/>
        <w:spacing w:after="0" w:line="259" w:lineRule="auto"/>
        <w:tabs>
          <w:tab w:leader="none" w:pos="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72" w:lineRule="exact"/>
        <w:rPr>
          <w:rFonts w:ascii="Arial" w:cs="Arial" w:eastAsia="Arial" w:hAnsi="Arial"/>
          <w:sz w:val="16"/>
          <w:szCs w:val="16"/>
          <w:color w:val="auto"/>
        </w:rPr>
      </w:pPr>
    </w:p>
    <w:p>
      <w:pPr>
        <w:jc w:val="both"/>
        <w:ind w:left="2" w:firstLine="588"/>
        <w:spacing w:after="0" w:line="200" w:lineRule="exact"/>
        <w:tabs>
          <w:tab w:leader="none" w:pos="957" w:val="left"/>
        </w:tabs>
        <w:numPr>
          <w:ilvl w:val="1"/>
          <w:numId w:val="14"/>
        </w:numPr>
        <w:rPr>
          <w:rFonts w:ascii="Arial" w:cs="Arial" w:eastAsia="Arial" w:hAnsi="Arial"/>
          <w:sz w:val="15"/>
          <w:szCs w:val="15"/>
          <w:color w:val="010000"/>
        </w:rPr>
      </w:pPr>
      <w:r>
        <w:rPr>
          <w:rFonts w:ascii="Arial" w:cs="Arial" w:eastAsia="Arial" w:hAnsi="Arial"/>
          <w:sz w:val="15"/>
          <w:szCs w:val="15"/>
          <w:color w:val="auto"/>
        </w:rPr>
        <w:t>Except as described in the Time of Sale Prospectus or the Registration Statement, the Company has not sold, issued or distributed any shares of Common Stock during the six</w:t>
      </w:r>
      <w:r>
        <w:rPr>
          <w:rFonts w:ascii="MS PGothic" w:cs="MS PGothic" w:eastAsia="MS PGothic" w:hAnsi="MS PGothic"/>
          <w:sz w:val="15"/>
          <w:szCs w:val="15"/>
          <w:color w:val="auto"/>
        </w:rPr>
        <w:t>‑</w:t>
      </w:r>
      <w:r>
        <w:rPr>
          <w:rFonts w:ascii="Arial" w:cs="Arial" w:eastAsia="Arial" w:hAnsi="Arial"/>
          <w:sz w:val="15"/>
          <w:szCs w:val="15"/>
          <w:color w:val="auto"/>
        </w:rPr>
        <w:t>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87" w:lineRule="exact"/>
        <w:rPr>
          <w:rFonts w:ascii="Arial" w:cs="Arial" w:eastAsia="Arial" w:hAnsi="Arial"/>
          <w:sz w:val="15"/>
          <w:szCs w:val="15"/>
          <w:color w:val="010000"/>
        </w:rPr>
      </w:pPr>
    </w:p>
    <w:p>
      <w:pPr>
        <w:jc w:val="both"/>
        <w:ind w:left="2" w:firstLine="588"/>
        <w:spacing w:after="0" w:line="307" w:lineRule="auto"/>
        <w:tabs>
          <w:tab w:leader="none" w:pos="1126" w:val="left"/>
        </w:tabs>
        <w:numPr>
          <w:ilvl w:val="1"/>
          <w:numId w:val="14"/>
        </w:numPr>
        <w:rPr>
          <w:rFonts w:ascii="Arial" w:cs="Arial" w:eastAsia="Arial" w:hAnsi="Arial"/>
          <w:sz w:val="14"/>
          <w:szCs w:val="14"/>
          <w:color w:val="010000"/>
        </w:rPr>
      </w:pPr>
      <w:r>
        <w:rPr>
          <w:rFonts w:ascii="Arial" w:cs="Arial" w:eastAsia="Arial" w:hAnsi="Arial"/>
          <w:sz w:val="14"/>
          <w:szCs w:val="14"/>
          <w:color w:val="auto"/>
        </w:rPr>
        <w:t>The Company and each of its subsidiaries have filed all federal, state, local and foreign tax returns required to be filed through the date of this Agreement or have requested extensions thereof and have paid all taxes required to be paid thereon or pursuant to any assessment (except for cases in which the failure to file or pay would not have a Material Adverse Effect on the Company and its subsidiaries, taken as a whole, or, except as currently being contested in good faith and for which adequate reserves required by U.S. GAAP have been established),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141" w:lineRule="exact"/>
        <w:rPr>
          <w:rFonts w:ascii="Arial" w:cs="Arial" w:eastAsia="Arial" w:hAnsi="Arial"/>
          <w:sz w:val="14"/>
          <w:szCs w:val="14"/>
          <w:color w:val="010000"/>
        </w:rPr>
      </w:pPr>
    </w:p>
    <w:p>
      <w:pPr>
        <w:jc w:val="both"/>
        <w:ind w:left="2" w:firstLine="588"/>
        <w:spacing w:after="0" w:line="200" w:lineRule="exact"/>
        <w:tabs>
          <w:tab w:leader="none" w:pos="1046"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From the time of initial confidential submission of the Registration Statement to the Commission (or, if earlier, the first date on which the Company engaged directly or through any person authorized to act on its behalf in any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 “</w:t>
      </w:r>
      <w:r>
        <w:rPr>
          <w:rFonts w:ascii="Arial" w:cs="Arial" w:eastAsia="Arial" w:hAnsi="Arial"/>
          <w:sz w:val="16"/>
          <w:szCs w:val="16"/>
          <w:b w:val="1"/>
          <w:bCs w:val="1"/>
          <w:color w:val="auto"/>
        </w:rPr>
        <w:t>Testing</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the</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Waters Communication</w:t>
      </w:r>
      <w:r>
        <w:rPr>
          <w:rFonts w:ascii="Arial" w:cs="Arial" w:eastAsia="Arial" w:hAnsi="Arial"/>
          <w:sz w:val="16"/>
          <w:szCs w:val="16"/>
          <w:color w:val="auto"/>
        </w:rPr>
        <w:t>” means any oral or written communication with potential investors undertaken in reliance on Section 5(d) of the Securities Act.</w:t>
      </w:r>
    </w:p>
    <w:p>
      <w:pPr>
        <w:spacing w:after="0" w:line="186" w:lineRule="exact"/>
        <w:rPr>
          <w:rFonts w:ascii="Arial" w:cs="Arial" w:eastAsia="Arial" w:hAnsi="Arial"/>
          <w:sz w:val="16"/>
          <w:szCs w:val="16"/>
          <w:color w:val="010000"/>
        </w:rPr>
      </w:pPr>
    </w:p>
    <w:p>
      <w:pPr>
        <w:jc w:val="both"/>
        <w:ind w:left="2" w:firstLine="588"/>
        <w:spacing w:after="0" w:line="199" w:lineRule="exact"/>
        <w:tabs>
          <w:tab w:leader="none" w:pos="1074"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The Company (i) has not alone engaged in any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 other than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Communications. The Company reconfirms that the Representatives have been authorized to act on its behalf in undertaking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Communications. The Company has not distributed any Written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Communications. “</w:t>
      </w:r>
      <w:r>
        <w:rPr>
          <w:rFonts w:ascii="Arial" w:cs="Arial" w:eastAsia="Arial" w:hAnsi="Arial"/>
          <w:sz w:val="16"/>
          <w:szCs w:val="16"/>
          <w:b w:val="1"/>
          <w:bCs w:val="1"/>
          <w:color w:val="auto"/>
        </w:rPr>
        <w:t>Written Testing</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the</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Waters Communication</w:t>
      </w:r>
      <w:r>
        <w:rPr>
          <w:rFonts w:ascii="Arial" w:cs="Arial" w:eastAsia="Arial" w:hAnsi="Arial"/>
          <w:sz w:val="16"/>
          <w:szCs w:val="16"/>
          <w:color w:val="auto"/>
        </w:rPr>
        <w:t>” means any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 that is a written communication within the meaning of Rule 405 under the Securities Act.</w:t>
      </w:r>
    </w:p>
    <w:p>
      <w:pPr>
        <w:spacing w:after="0" w:line="185" w:lineRule="exact"/>
        <w:rPr>
          <w:rFonts w:ascii="Arial" w:cs="Arial" w:eastAsia="Arial" w:hAnsi="Arial"/>
          <w:sz w:val="16"/>
          <w:szCs w:val="16"/>
          <w:color w:val="010000"/>
        </w:rPr>
      </w:pPr>
    </w:p>
    <w:p>
      <w:pPr>
        <w:jc w:val="both"/>
        <w:ind w:left="2" w:firstLine="588"/>
        <w:spacing w:after="0" w:line="200" w:lineRule="exact"/>
        <w:tabs>
          <w:tab w:leader="none" w:pos="1059" w:val="left"/>
        </w:tabs>
        <w:numPr>
          <w:ilvl w:val="1"/>
          <w:numId w:val="14"/>
        </w:numPr>
        <w:rPr>
          <w:rFonts w:ascii="Arial" w:cs="Arial" w:eastAsia="Arial" w:hAnsi="Arial"/>
          <w:sz w:val="15"/>
          <w:szCs w:val="15"/>
          <w:color w:val="010000"/>
        </w:rPr>
      </w:pPr>
      <w:r>
        <w:rPr>
          <w:rFonts w:ascii="Arial" w:cs="Arial" w:eastAsia="Arial" w:hAnsi="Arial"/>
          <w:sz w:val="15"/>
          <w:szCs w:val="15"/>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w:t>
      </w:r>
      <w:r>
        <w:rPr>
          <w:rFonts w:ascii="MS PGothic" w:cs="MS PGothic" w:eastAsia="MS PGothic" w:hAnsi="MS PGothic"/>
          <w:sz w:val="15"/>
          <w:szCs w:val="15"/>
          <w:color w:val="auto"/>
        </w:rPr>
        <w:t>‑</w:t>
      </w:r>
      <w:r>
        <w:rPr>
          <w:rFonts w:ascii="Arial" w:cs="Arial" w:eastAsia="Arial" w:hAnsi="Arial"/>
          <w:sz w:val="15"/>
          <w:szCs w:val="15"/>
          <w:color w:val="auto"/>
        </w:rPr>
        <w:t>the</w:t>
      </w:r>
      <w:r>
        <w:rPr>
          <w:rFonts w:ascii="MS PGothic" w:cs="MS PGothic" w:eastAsia="MS PGothic" w:hAnsi="MS PGothic"/>
          <w:sz w:val="15"/>
          <w:szCs w:val="15"/>
          <w:color w:val="auto"/>
        </w:rPr>
        <w:t>‑</w:t>
      </w:r>
      <w:r>
        <w:rPr>
          <w:rFonts w:ascii="Arial" w:cs="Arial" w:eastAsia="Arial" w:hAnsi="Arial"/>
          <w:sz w:val="15"/>
          <w:szCs w:val="15"/>
          <w:color w:val="auto"/>
        </w:rPr>
        <w:t>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7" w:lineRule="exact"/>
        <w:rPr>
          <w:rFonts w:ascii="Arial" w:cs="Arial" w:eastAsia="Arial" w:hAnsi="Arial"/>
          <w:sz w:val="15"/>
          <w:szCs w:val="15"/>
          <w:color w:val="010000"/>
        </w:rPr>
      </w:pPr>
    </w:p>
    <w:p>
      <w:pPr>
        <w:jc w:val="both"/>
        <w:ind w:left="2" w:firstLine="588"/>
        <w:spacing w:after="0" w:line="278" w:lineRule="auto"/>
        <w:tabs>
          <w:tab w:leader="none" w:pos="1075" w:val="left"/>
        </w:tabs>
        <w:numPr>
          <w:ilvl w:val="1"/>
          <w:numId w:val="14"/>
        </w:numPr>
        <w:rPr>
          <w:rFonts w:ascii="Arial" w:cs="Arial" w:eastAsia="Arial" w:hAnsi="Arial"/>
          <w:sz w:val="15"/>
          <w:szCs w:val="15"/>
          <w:color w:val="010000"/>
        </w:rPr>
      </w:pPr>
      <w:r>
        <w:rPr>
          <w:rFonts w:ascii="Arial" w:cs="Arial" w:eastAsia="Arial" w:hAnsi="Arial"/>
          <w:sz w:val="15"/>
          <w:szCs w:val="15"/>
          <w:color w:val="auto"/>
        </w:rPr>
        <w:t>(i) Except as described in the Time of Sale Prospectus or the Registration Statement,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Arial" w:cs="Arial" w:eastAsia="Arial" w:hAnsi="Arial"/>
          <w:sz w:val="15"/>
          <w:szCs w:val="15"/>
          <w:b w:val="1"/>
          <w:bCs w:val="1"/>
          <w:color w:val="auto"/>
        </w:rPr>
        <w:t>IT Systems and Data</w:t>
      </w:r>
      <w:r>
        <w:rPr>
          <w:rFonts w:ascii="Arial" w:cs="Arial" w:eastAsia="Arial" w:hAnsi="Arial"/>
          <w:sz w:val="15"/>
          <w:szCs w:val="15"/>
          <w:color w:val="auto"/>
        </w:rPr>
        <w:t>”), except for those that have been remedied without material cost or liability; (ii)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as a whole,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Governmental Entity, internal policies and contractual obligations relating to the privacy and security of IT Systems and Data and to the protection of such IT Systems and Data from unauthorized use, access, misappropriation or modification.</w:t>
      </w:r>
    </w:p>
    <w:p>
      <w:pPr>
        <w:spacing w:after="0" w:line="162" w:lineRule="exact"/>
        <w:rPr>
          <w:rFonts w:ascii="Arial" w:cs="Arial" w:eastAsia="Arial" w:hAnsi="Arial"/>
          <w:sz w:val="15"/>
          <w:szCs w:val="15"/>
          <w:color w:val="010000"/>
        </w:rPr>
      </w:pPr>
    </w:p>
    <w:p>
      <w:pPr>
        <w:ind w:left="2" w:firstLine="588"/>
        <w:spacing w:after="0" w:line="287" w:lineRule="auto"/>
        <w:tabs>
          <w:tab w:leader="none" w:pos="1035"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There are no debt securities or preferred stock issued, or guaranteed by, the Company or any of its subsidiaries that are rated by a “nationally recognized statistical rating organization,” as such term is defined in Section 3(a)(62) of the Exchange Act.</w:t>
      </w:r>
    </w:p>
    <w:p>
      <w:pPr>
        <w:spacing w:after="0" w:line="149" w:lineRule="exact"/>
        <w:rPr>
          <w:rFonts w:ascii="Arial" w:cs="Arial" w:eastAsia="Arial" w:hAnsi="Arial"/>
          <w:sz w:val="16"/>
          <w:szCs w:val="16"/>
          <w:color w:val="010000"/>
        </w:rPr>
      </w:pPr>
    </w:p>
    <w:p>
      <w:pPr>
        <w:ind w:left="2" w:firstLine="588"/>
        <w:spacing w:after="0" w:line="287" w:lineRule="auto"/>
        <w:tabs>
          <w:tab w:leader="none" w:pos="1085"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50" w:lineRule="exact"/>
        <w:rPr>
          <w:sz w:val="20"/>
          <w:szCs w:val="20"/>
          <w:color w:val="auto"/>
        </w:rPr>
      </w:pPr>
    </w:p>
    <w:p>
      <w:pPr>
        <w:ind w:left="882" w:hanging="292"/>
        <w:spacing w:after="0"/>
        <w:tabs>
          <w:tab w:leader="none" w:pos="882" w:val="left"/>
        </w:tabs>
        <w:numPr>
          <w:ilvl w:val="0"/>
          <w:numId w:val="15"/>
        </w:numPr>
        <w:rPr>
          <w:rFonts w:ascii="Arial" w:cs="Arial" w:eastAsia="Arial" w:hAnsi="Arial"/>
          <w:sz w:val="14"/>
          <w:szCs w:val="14"/>
          <w:color w:val="010000"/>
        </w:rPr>
      </w:pPr>
      <w:r>
        <w:rPr>
          <w:rFonts w:ascii="Arial" w:cs="Arial" w:eastAsia="Arial" w:hAnsi="Arial"/>
          <w:sz w:val="14"/>
          <w:szCs w:val="14"/>
          <w:i w:val="1"/>
          <w:iCs w:val="1"/>
          <w:color w:val="auto"/>
        </w:rPr>
        <w:t xml:space="preserve">Representations and Warranties of the Selling Shareholders. </w:t>
      </w:r>
      <w:r>
        <w:rPr>
          <w:rFonts w:ascii="Arial" w:cs="Arial" w:eastAsia="Arial" w:hAnsi="Arial"/>
          <w:sz w:val="14"/>
          <w:szCs w:val="14"/>
          <w:color w:val="auto"/>
        </w:rPr>
        <w:t>Each Selling Shareholder represents and warrants to and agrees with each of the Underwriters that:</w:t>
      </w:r>
    </w:p>
    <w:p>
      <w:pPr>
        <w:spacing w:after="0" w:line="232" w:lineRule="exact"/>
        <w:rPr>
          <w:sz w:val="20"/>
          <w:szCs w:val="20"/>
          <w:color w:val="auto"/>
        </w:rPr>
      </w:pPr>
    </w:p>
    <w:p>
      <w:pPr>
        <w:ind w:left="942" w:hanging="352"/>
        <w:spacing w:after="0"/>
        <w:tabs>
          <w:tab w:leader="none" w:pos="942" w:val="left"/>
        </w:tabs>
        <w:numPr>
          <w:ilvl w:val="0"/>
          <w:numId w:val="16"/>
        </w:numPr>
        <w:rPr>
          <w:rFonts w:ascii="Arial" w:cs="Arial" w:eastAsia="Arial" w:hAnsi="Arial"/>
          <w:sz w:val="16"/>
          <w:szCs w:val="16"/>
          <w:color w:val="010000"/>
        </w:rPr>
      </w:pPr>
      <w:r>
        <w:rPr>
          <w:rFonts w:ascii="Arial" w:cs="Arial" w:eastAsia="Arial" w:hAnsi="Arial"/>
          <w:sz w:val="16"/>
          <w:szCs w:val="16"/>
          <w:color w:val="auto"/>
        </w:rPr>
        <w:t>This Agreement has been duly authorized, executed and delivered by or on behalf of such Selling Shareholder.</w:t>
      </w:r>
    </w:p>
    <w:p>
      <w:pPr>
        <w:sectPr>
          <w:pgSz w:w="11900" w:h="16838" w:orient="portrait"/>
          <w:cols w:equalWidth="0" w:num="1">
            <w:col w:w="11422"/>
          </w:cols>
          <w:pgMar w:left="238" w:top="127" w:right="239" w:bottom="0" w:gutter="0" w:footer="0" w:header="0"/>
        </w:sectPr>
      </w:pPr>
    </w:p>
    <w:bookmarkStart w:id="9" w:name="page10"/>
    <w:bookmarkEnd w:id="9"/>
    <w:p>
      <w:pPr>
        <w:jc w:val="both"/>
        <w:ind w:left="-588" w:firstLine="588"/>
        <w:spacing w:after="0" w:line="198" w:lineRule="exact"/>
        <w:tabs>
          <w:tab w:leader="none" w:pos="416" w:val="left"/>
        </w:tabs>
        <w:numPr>
          <w:ilvl w:val="0"/>
          <w:numId w:val="17"/>
        </w:numPr>
        <w:rPr>
          <w:rFonts w:ascii="Arial" w:cs="Arial" w:eastAsia="Arial" w:hAnsi="Arial"/>
          <w:sz w:val="15"/>
          <w:szCs w:val="15"/>
          <w:color w:val="010000"/>
        </w:rPr>
      </w:pPr>
      <w:r>
        <w:rPr>
          <w:rFonts w:ascii="Arial" w:cs="Arial" w:eastAsia="Arial" w:hAnsi="Arial"/>
          <w:sz w:val="15"/>
          <w:szCs w:val="15"/>
          <w:color w:val="auto"/>
        </w:rPr>
        <w:t>The execution and delivery by such Selling Shareholder of, and the performance by such Selling Shareholder of its obligations under, this Agreement, the Custody Agreement signed by such Selling Shareholder and American Stock Transfer &amp; Trust Company, LLC, as Custodian, relating to the deposit of the Shares to be sold by such Selling Shareholder (the “</w:t>
      </w:r>
      <w:r>
        <w:rPr>
          <w:rFonts w:ascii="Arial" w:cs="Arial" w:eastAsia="Arial" w:hAnsi="Arial"/>
          <w:sz w:val="15"/>
          <w:szCs w:val="15"/>
          <w:b w:val="1"/>
          <w:bCs w:val="1"/>
          <w:color w:val="auto"/>
        </w:rPr>
        <w:t>Custody Agreement</w:t>
      </w:r>
      <w:r>
        <w:rPr>
          <w:rFonts w:ascii="Arial" w:cs="Arial" w:eastAsia="Arial" w:hAnsi="Arial"/>
          <w:sz w:val="15"/>
          <w:szCs w:val="15"/>
          <w:color w:val="auto"/>
        </w:rPr>
        <w:t>”) and the Power of Attorney appointing certain individuals as such Selling Shareholder’s attorneys</w:t>
      </w:r>
      <w:r>
        <w:rPr>
          <w:rFonts w:ascii="MS PGothic" w:cs="MS PGothic" w:eastAsia="MS PGothic" w:hAnsi="MS PGothic"/>
          <w:sz w:val="15"/>
          <w:szCs w:val="15"/>
          <w:color w:val="auto"/>
        </w:rPr>
        <w:t>‑</w:t>
      </w:r>
      <w:r>
        <w:rPr>
          <w:rFonts w:ascii="Arial" w:cs="Arial" w:eastAsia="Arial" w:hAnsi="Arial"/>
          <w:sz w:val="15"/>
          <w:szCs w:val="15"/>
          <w:color w:val="auto"/>
        </w:rPr>
        <w:t>in</w:t>
      </w:r>
      <w:r>
        <w:rPr>
          <w:rFonts w:ascii="MS PGothic" w:cs="MS PGothic" w:eastAsia="MS PGothic" w:hAnsi="MS PGothic"/>
          <w:sz w:val="15"/>
          <w:szCs w:val="15"/>
          <w:color w:val="auto"/>
        </w:rPr>
        <w:t>‑</w:t>
      </w:r>
      <w:r>
        <w:rPr>
          <w:rFonts w:ascii="Arial" w:cs="Arial" w:eastAsia="Arial" w:hAnsi="Arial"/>
          <w:sz w:val="15"/>
          <w:szCs w:val="15"/>
          <w:color w:val="auto"/>
        </w:rPr>
        <w:t>fact to the extent set forth therein, relating to the transactions contemplated hereby and by the Registration Statement (the “</w:t>
      </w:r>
      <w:r>
        <w:rPr>
          <w:rFonts w:ascii="Arial" w:cs="Arial" w:eastAsia="Arial" w:hAnsi="Arial"/>
          <w:sz w:val="15"/>
          <w:szCs w:val="15"/>
          <w:b w:val="1"/>
          <w:bCs w:val="1"/>
          <w:color w:val="auto"/>
        </w:rPr>
        <w:t>Power of Attorney</w:t>
      </w:r>
      <w:r>
        <w:rPr>
          <w:rFonts w:ascii="Arial" w:cs="Arial" w:eastAsia="Arial" w:hAnsi="Arial"/>
          <w:sz w:val="15"/>
          <w:szCs w:val="15"/>
          <w:color w:val="auto"/>
        </w:rPr>
        <w:t>”) will not contravene any provision of applicable law, or the certificate of incorporation or by</w:t>
      </w:r>
      <w:r>
        <w:rPr>
          <w:rFonts w:ascii="MS PGothic" w:cs="MS PGothic" w:eastAsia="MS PGothic" w:hAnsi="MS PGothic"/>
          <w:sz w:val="15"/>
          <w:szCs w:val="15"/>
          <w:color w:val="auto"/>
        </w:rPr>
        <w:t>‑</w:t>
      </w:r>
      <w:r>
        <w:rPr>
          <w:rFonts w:ascii="Arial" w:cs="Arial" w:eastAsia="Arial" w:hAnsi="Arial"/>
          <w:sz w:val="15"/>
          <w:szCs w:val="15"/>
          <w:color w:val="auto"/>
        </w:rPr>
        <w:t>laws of such Selling Shareholder (if such Selling Shareholder is a corporation), or any agreement or other instrument binding upon such Selling Shareholder or any judgment, order or decree of any governmental body, agency or court having jurisdiction over such Selling Shareholder, and no consent, approval, authorization or order of, or qualification with, any governmental body or agency is required for the performance by such Selling Shareholder of its obligations under this Agreement or the Custody Agreement or Power of Attorney of such Selling Shareholder, except such as may be required by the securities or Blue Sky laws of the various states in connection with the offer and sale of the Shares.</w:t>
      </w:r>
    </w:p>
    <w:p>
      <w:pPr>
        <w:spacing w:after="0" w:line="187" w:lineRule="exact"/>
        <w:rPr>
          <w:rFonts w:ascii="Arial" w:cs="Arial" w:eastAsia="Arial" w:hAnsi="Arial"/>
          <w:sz w:val="15"/>
          <w:szCs w:val="15"/>
          <w:color w:val="010000"/>
        </w:rPr>
      </w:pPr>
    </w:p>
    <w:p>
      <w:pPr>
        <w:jc w:val="both"/>
        <w:ind w:left="-588" w:firstLine="588"/>
        <w:spacing w:after="0" w:line="200" w:lineRule="exact"/>
        <w:tabs>
          <w:tab w:leader="none" w:pos="393" w:val="left"/>
        </w:tabs>
        <w:numPr>
          <w:ilvl w:val="0"/>
          <w:numId w:val="17"/>
        </w:numPr>
        <w:rPr>
          <w:rFonts w:ascii="Arial" w:cs="Arial" w:eastAsia="Arial" w:hAnsi="Arial"/>
          <w:sz w:val="15"/>
          <w:szCs w:val="15"/>
          <w:color w:val="010000"/>
        </w:rPr>
      </w:pPr>
      <w:r>
        <w:rPr>
          <w:rFonts w:ascii="Arial" w:cs="Arial" w:eastAsia="Arial" w:hAnsi="Arial"/>
          <w:sz w:val="15"/>
          <w:szCs w:val="15"/>
          <w:color w:val="auto"/>
        </w:rPr>
        <w:t>Such Selling Shareholder has, and on the Closing Date will have, valid title to, or a valid “security entitlement” within the meaning of Section 8</w:t>
      </w:r>
      <w:r>
        <w:rPr>
          <w:rFonts w:ascii="MS PGothic" w:cs="MS PGothic" w:eastAsia="MS PGothic" w:hAnsi="MS PGothic"/>
          <w:sz w:val="15"/>
          <w:szCs w:val="15"/>
          <w:color w:val="auto"/>
        </w:rPr>
        <w:t>‑</w:t>
      </w:r>
      <w:r>
        <w:rPr>
          <w:rFonts w:ascii="Arial" w:cs="Arial" w:eastAsia="Arial" w:hAnsi="Arial"/>
          <w:sz w:val="15"/>
          <w:szCs w:val="15"/>
          <w:color w:val="auto"/>
        </w:rPr>
        <w:t>501 of the New York Uniform Commercial Code in respect of, the Shares to be sold by such Selling Shareholder free and clear of all security interests, claims, liens, equities or other encumbrances and the legal right and power, and all authorization and approval required by law, to enter into this Agreement, the Custody Agreement and the Power of Attorney and to sell, transfer and deliver the Shares to be sold by such Selling Shareholder or a security entitlement in respect of such Shares.</w:t>
      </w:r>
    </w:p>
    <w:p>
      <w:pPr>
        <w:spacing w:after="0" w:line="187" w:lineRule="exact"/>
        <w:rPr>
          <w:rFonts w:ascii="Arial" w:cs="Arial" w:eastAsia="Arial" w:hAnsi="Arial"/>
          <w:sz w:val="15"/>
          <w:szCs w:val="15"/>
          <w:color w:val="010000"/>
        </w:rPr>
      </w:pPr>
    </w:p>
    <w:p>
      <w:pPr>
        <w:ind w:left="-588" w:firstLine="588"/>
        <w:spacing w:after="0" w:line="287" w:lineRule="auto"/>
        <w:tabs>
          <w:tab w:leader="none" w:pos="375" w:val="left"/>
        </w:tabs>
        <w:numPr>
          <w:ilvl w:val="0"/>
          <w:numId w:val="17"/>
        </w:numPr>
        <w:rPr>
          <w:rFonts w:ascii="Arial" w:cs="Arial" w:eastAsia="Arial" w:hAnsi="Arial"/>
          <w:sz w:val="16"/>
          <w:szCs w:val="16"/>
          <w:color w:val="010000"/>
        </w:rPr>
      </w:pPr>
      <w:r>
        <w:rPr>
          <w:rFonts w:ascii="Arial" w:cs="Arial" w:eastAsia="Arial" w:hAnsi="Arial"/>
          <w:sz w:val="16"/>
          <w:szCs w:val="16"/>
          <w:color w:val="auto"/>
        </w:rPr>
        <w:t>The Custody Agreement and the Power of Attorney have been duly authorized, executed and delivered by such Selling Shareholder and are valid and binding agreements of such Selling Shareholder.</w:t>
      </w:r>
    </w:p>
    <w:p>
      <w:pPr>
        <w:spacing w:after="0" w:line="149" w:lineRule="exact"/>
        <w:rPr>
          <w:rFonts w:ascii="Arial" w:cs="Arial" w:eastAsia="Arial" w:hAnsi="Arial"/>
          <w:sz w:val="16"/>
          <w:szCs w:val="16"/>
          <w:color w:val="010000"/>
        </w:rPr>
      </w:pPr>
    </w:p>
    <w:p>
      <w:pPr>
        <w:jc w:val="both"/>
        <w:ind w:left="-588" w:firstLine="588"/>
        <w:spacing w:after="0" w:line="198" w:lineRule="exact"/>
        <w:tabs>
          <w:tab w:leader="none" w:pos="377" w:val="left"/>
        </w:tabs>
        <w:numPr>
          <w:ilvl w:val="0"/>
          <w:numId w:val="17"/>
        </w:numPr>
        <w:rPr>
          <w:rFonts w:ascii="Arial" w:cs="Arial" w:eastAsia="Arial" w:hAnsi="Arial"/>
          <w:sz w:val="15"/>
          <w:szCs w:val="15"/>
          <w:color w:val="010000"/>
        </w:rPr>
      </w:pPr>
      <w:r>
        <w:rPr>
          <w:rFonts w:ascii="Arial" w:cs="Arial" w:eastAsia="Arial" w:hAnsi="Arial"/>
          <w:sz w:val="15"/>
          <w:szCs w:val="15"/>
          <w:color w:val="auto"/>
        </w:rPr>
        <w:t>Upon payment for the Shares to be sold by such Selling Shareholder pursuant to this Agreement, delivery of such Shares, as directed by the Underwriters, to Cede &amp; Co. (“</w:t>
      </w:r>
      <w:r>
        <w:rPr>
          <w:rFonts w:ascii="Arial" w:cs="Arial" w:eastAsia="Arial" w:hAnsi="Arial"/>
          <w:sz w:val="15"/>
          <w:szCs w:val="15"/>
          <w:b w:val="1"/>
          <w:bCs w:val="1"/>
          <w:color w:val="auto"/>
        </w:rPr>
        <w:t>Cede</w:t>
      </w:r>
      <w:r>
        <w:rPr>
          <w:rFonts w:ascii="Arial" w:cs="Arial" w:eastAsia="Arial" w:hAnsi="Arial"/>
          <w:sz w:val="15"/>
          <w:szCs w:val="15"/>
          <w:color w:val="auto"/>
        </w:rPr>
        <w:t>”) or such other nominee as may be designated by the Depository Trust Company (“</w:t>
      </w:r>
      <w:r>
        <w:rPr>
          <w:rFonts w:ascii="Arial" w:cs="Arial" w:eastAsia="Arial" w:hAnsi="Arial"/>
          <w:sz w:val="15"/>
          <w:szCs w:val="15"/>
          <w:b w:val="1"/>
          <w:bCs w:val="1"/>
          <w:color w:val="auto"/>
        </w:rPr>
        <w:t>DTC</w:t>
      </w:r>
      <w:r>
        <w:rPr>
          <w:rFonts w:ascii="Arial" w:cs="Arial" w:eastAsia="Arial" w:hAnsi="Arial"/>
          <w:sz w:val="15"/>
          <w:szCs w:val="15"/>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w:t>
      </w:r>
      <w:r>
        <w:rPr>
          <w:rFonts w:ascii="MS PGothic" w:cs="MS PGothic" w:eastAsia="MS PGothic" w:hAnsi="MS PGothic"/>
          <w:sz w:val="15"/>
          <w:szCs w:val="15"/>
          <w:color w:val="auto"/>
        </w:rPr>
        <w:t>‑</w:t>
      </w:r>
      <w:r>
        <w:rPr>
          <w:rFonts w:ascii="Arial" w:cs="Arial" w:eastAsia="Arial" w:hAnsi="Arial"/>
          <w:sz w:val="15"/>
          <w:szCs w:val="15"/>
          <w:color w:val="auto"/>
        </w:rPr>
        <w:t>105 of the New York Uniform Commercial Code (the “</w:t>
      </w:r>
      <w:r>
        <w:rPr>
          <w:rFonts w:ascii="Arial" w:cs="Arial" w:eastAsia="Arial" w:hAnsi="Arial"/>
          <w:sz w:val="15"/>
          <w:szCs w:val="15"/>
          <w:b w:val="1"/>
          <w:bCs w:val="1"/>
          <w:color w:val="auto"/>
        </w:rPr>
        <w:t>UCC</w:t>
      </w:r>
      <w:r>
        <w:rPr>
          <w:rFonts w:ascii="Arial" w:cs="Arial" w:eastAsia="Arial" w:hAnsi="Arial"/>
          <w:sz w:val="15"/>
          <w:szCs w:val="15"/>
          <w:color w:val="auto"/>
        </w:rPr>
        <w:t>”)) to such Shares), (A) DTC shall be a “protected purchaser” of such Shares within the meaning of Section 8</w:t>
      </w:r>
      <w:r>
        <w:rPr>
          <w:rFonts w:ascii="MS PGothic" w:cs="MS PGothic" w:eastAsia="MS PGothic" w:hAnsi="MS PGothic"/>
          <w:sz w:val="15"/>
          <w:szCs w:val="15"/>
          <w:color w:val="auto"/>
        </w:rPr>
        <w:t>‑</w:t>
      </w:r>
      <w:r>
        <w:rPr>
          <w:rFonts w:ascii="Arial" w:cs="Arial" w:eastAsia="Arial" w:hAnsi="Arial"/>
          <w:sz w:val="15"/>
          <w:szCs w:val="15"/>
          <w:color w:val="auto"/>
        </w:rPr>
        <w:t>303 of the UCC, (B) under Section 8</w:t>
      </w:r>
      <w:r>
        <w:rPr>
          <w:rFonts w:ascii="MS PGothic" w:cs="MS PGothic" w:eastAsia="MS PGothic" w:hAnsi="MS PGothic"/>
          <w:sz w:val="15"/>
          <w:szCs w:val="15"/>
          <w:color w:val="auto"/>
        </w:rPr>
        <w:t>‑</w:t>
      </w:r>
      <w:r>
        <w:rPr>
          <w:rFonts w:ascii="Arial" w:cs="Arial" w:eastAsia="Arial" w:hAnsi="Arial"/>
          <w:sz w:val="15"/>
          <w:szCs w:val="15"/>
          <w:color w:val="auto"/>
        </w:rPr>
        <w:t>501 of the UCC, the Underwriters will acquire a valid security entitlement in respect of such Shares and (C) no action based on any “adverse claim”, within the meaning of Section 8</w:t>
      </w:r>
      <w:r>
        <w:rPr>
          <w:rFonts w:ascii="MS PGothic" w:cs="MS PGothic" w:eastAsia="MS PGothic" w:hAnsi="MS PGothic"/>
          <w:sz w:val="15"/>
          <w:szCs w:val="15"/>
          <w:color w:val="auto"/>
        </w:rPr>
        <w:t>‑</w:t>
      </w:r>
      <w:r>
        <w:rPr>
          <w:rFonts w:ascii="Arial" w:cs="Arial" w:eastAsia="Arial" w:hAnsi="Arial"/>
          <w:sz w:val="15"/>
          <w:szCs w:val="15"/>
          <w:color w:val="auto"/>
        </w:rPr>
        <w:t>102 of the UCC, to such Shares may be asserted against the Underwriters with respect to such security entitlement; for purposes of this representation, such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w:t>
      </w:r>
      <w:r>
        <w:rPr>
          <w:rFonts w:ascii="MS PGothic" w:cs="MS PGothic" w:eastAsia="MS PGothic" w:hAnsi="MS PGothic"/>
          <w:sz w:val="15"/>
          <w:szCs w:val="15"/>
          <w:color w:val="auto"/>
        </w:rPr>
        <w:t>‑</w:t>
      </w:r>
      <w:r>
        <w:rPr>
          <w:rFonts w:ascii="Arial" w:cs="Arial" w:eastAsia="Arial" w:hAnsi="Arial"/>
          <w:sz w:val="15"/>
          <w:szCs w:val="15"/>
          <w:color w:val="auto"/>
        </w:rPr>
        <w:t>102 of the UCC and (z) appropriate entries to the accounts of the several Underwriters on the records of DTC will have been made pursuant to the UCC.</w:t>
      </w:r>
    </w:p>
    <w:p>
      <w:pPr>
        <w:spacing w:after="0" w:line="186" w:lineRule="exact"/>
        <w:rPr>
          <w:rFonts w:ascii="Arial" w:cs="Arial" w:eastAsia="Arial" w:hAnsi="Arial"/>
          <w:sz w:val="15"/>
          <w:szCs w:val="15"/>
          <w:color w:val="010000"/>
        </w:rPr>
      </w:pPr>
    </w:p>
    <w:p>
      <w:pPr>
        <w:jc w:val="both"/>
        <w:ind w:left="-588" w:firstLine="588"/>
        <w:spacing w:after="0" w:line="264" w:lineRule="auto"/>
        <w:tabs>
          <w:tab w:leader="none" w:pos="373" w:val="left"/>
        </w:tabs>
        <w:numPr>
          <w:ilvl w:val="0"/>
          <w:numId w:val="17"/>
        </w:numPr>
        <w:rPr>
          <w:rFonts w:ascii="Arial" w:cs="Arial" w:eastAsia="Arial" w:hAnsi="Arial"/>
          <w:sz w:val="16"/>
          <w:szCs w:val="16"/>
          <w:color w:val="010000"/>
        </w:rPr>
      </w:pPr>
      <w:r>
        <w:rPr>
          <w:rFonts w:ascii="Arial" w:cs="Arial" w:eastAsia="Arial" w:hAnsi="Arial"/>
          <w:sz w:val="16"/>
          <w:szCs w:val="16"/>
          <w:color w:val="auto"/>
        </w:rPr>
        <w:t>Such Selling Shareholder has no reason to believe that the representations and warranties of the Company contained in Section 2 are not true and correct, is familiar with the Registration Statement, the Time of Sale Prospectus and the Prospectus and has no knowledge of any material fact, condition or information not disclosed in the Time of Sale Prospectus or the Prospectus that has had, or may have, a material adverse effect on the Company and its subsidiaries, taken as a whole. Such Selling Shareholder is not prompted by any information concerning the Company or its subsidiaries which is not set forth in the Time of Sale Prospectus to sell its Shares pursuant to this Agreement.</w:t>
      </w:r>
    </w:p>
    <w:p>
      <w:pPr>
        <w:spacing w:after="0" w:line="168" w:lineRule="exact"/>
        <w:rPr>
          <w:rFonts w:ascii="Arial" w:cs="Arial" w:eastAsia="Arial" w:hAnsi="Arial"/>
          <w:sz w:val="16"/>
          <w:szCs w:val="16"/>
          <w:color w:val="010000"/>
        </w:rPr>
      </w:pPr>
    </w:p>
    <w:p>
      <w:pPr>
        <w:jc w:val="both"/>
        <w:ind w:left="-588" w:firstLine="588"/>
        <w:spacing w:after="0" w:line="277" w:lineRule="auto"/>
        <w:tabs>
          <w:tab w:leader="none" w:pos="371" w:val="left"/>
        </w:tabs>
        <w:numPr>
          <w:ilvl w:val="0"/>
          <w:numId w:val="17"/>
        </w:numPr>
        <w:rPr>
          <w:rFonts w:ascii="Arial" w:cs="Arial" w:eastAsia="Arial" w:hAnsi="Arial"/>
          <w:sz w:val="15"/>
          <w:szCs w:val="15"/>
          <w:color w:val="010000"/>
        </w:rPr>
      </w:pPr>
      <w:r>
        <w:rPr>
          <w:rFonts w:ascii="Arial" w:cs="Arial" w:eastAsia="Arial" w:hAnsi="Arial"/>
          <w:sz w:val="15"/>
          <w:szCs w:val="15"/>
          <w:color w:val="auto"/>
        </w:rPr>
        <w:t xml:space="preserve">(i)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representations and warranties set forth in this paragraph 2(g) are limited to statements or omissions made in reliance upon information relating to such Selling Shareholder furnished to the Company in writing by such Selling Shareholder expressly for use in the Registration Statement, the Time of Sale Prospectus, the Prospectus or any amendments or supplements thereto.</w:t>
      </w:r>
    </w:p>
    <w:p>
      <w:pPr>
        <w:spacing w:after="0" w:line="165" w:lineRule="exact"/>
        <w:rPr>
          <w:rFonts w:ascii="Arial" w:cs="Arial" w:eastAsia="Arial" w:hAnsi="Arial"/>
          <w:sz w:val="15"/>
          <w:szCs w:val="15"/>
          <w:color w:val="010000"/>
        </w:rPr>
      </w:pPr>
    </w:p>
    <w:p>
      <w:pPr>
        <w:ind w:left="-588" w:firstLine="588"/>
        <w:spacing w:after="0" w:line="287" w:lineRule="auto"/>
        <w:tabs>
          <w:tab w:leader="none" w:pos="444" w:val="left"/>
        </w:tabs>
        <w:numPr>
          <w:ilvl w:val="0"/>
          <w:numId w:val="17"/>
        </w:numPr>
        <w:rPr>
          <w:rFonts w:ascii="Arial" w:cs="Arial" w:eastAsia="Arial" w:hAnsi="Arial"/>
          <w:sz w:val="16"/>
          <w:szCs w:val="16"/>
          <w:color w:val="010000"/>
        </w:rPr>
      </w:pPr>
      <w:r>
        <w:rPr>
          <w:rFonts w:ascii="Arial" w:cs="Arial" w:eastAsia="Arial" w:hAnsi="Arial"/>
          <w:sz w:val="16"/>
          <w:szCs w:val="16"/>
          <w:color w:val="auto"/>
        </w:rPr>
        <w:t>(i) None of such Selling Shareholder or any of its subsidiaries, or, to the knowledge of such Selling Shareholder, any director, officer, employee, agent, representative, or affiliate thereof, is a Person that is, or is owned or controlled by one or more Persons that are:</w:t>
      </w:r>
    </w:p>
    <w:p>
      <w:pPr>
        <w:spacing w:after="0" w:line="149" w:lineRule="exact"/>
        <w:rPr>
          <w:rFonts w:ascii="Arial" w:cs="Arial" w:eastAsia="Arial" w:hAnsi="Arial"/>
          <w:sz w:val="16"/>
          <w:szCs w:val="16"/>
          <w:color w:val="010000"/>
        </w:rPr>
      </w:pPr>
    </w:p>
    <w:p>
      <w:pPr>
        <w:ind w:left="1572" w:hanging="392"/>
        <w:spacing w:after="0"/>
        <w:tabs>
          <w:tab w:leader="none" w:pos="1572" w:val="left"/>
        </w:tabs>
        <w:numPr>
          <w:ilvl w:val="2"/>
          <w:numId w:val="17"/>
        </w:numPr>
        <w:rPr>
          <w:rFonts w:ascii="Arial" w:cs="Arial" w:eastAsia="Arial" w:hAnsi="Arial"/>
          <w:sz w:val="16"/>
          <w:szCs w:val="16"/>
          <w:color w:val="010000"/>
        </w:rPr>
      </w:pPr>
      <w:r>
        <w:rPr>
          <w:rFonts w:ascii="Arial" w:cs="Arial" w:eastAsia="Arial" w:hAnsi="Arial"/>
          <w:sz w:val="16"/>
          <w:szCs w:val="16"/>
          <w:color w:val="auto"/>
        </w:rPr>
        <w:t>the subject of any Sanctions, or</w:t>
      </w:r>
    </w:p>
    <w:p>
      <w:pPr>
        <w:spacing w:after="0" w:line="209" w:lineRule="exact"/>
        <w:rPr>
          <w:rFonts w:ascii="Arial" w:cs="Arial" w:eastAsia="Arial" w:hAnsi="Arial"/>
          <w:sz w:val="16"/>
          <w:szCs w:val="16"/>
          <w:color w:val="010000"/>
        </w:rPr>
      </w:pPr>
    </w:p>
    <w:p>
      <w:pPr>
        <w:ind w:left="592" w:firstLine="588"/>
        <w:spacing w:after="0" w:line="287" w:lineRule="auto"/>
        <w:tabs>
          <w:tab w:leader="none" w:pos="1625" w:val="left"/>
        </w:tabs>
        <w:numPr>
          <w:ilvl w:val="2"/>
          <w:numId w:val="17"/>
        </w:numPr>
        <w:rPr>
          <w:rFonts w:ascii="Arial" w:cs="Arial" w:eastAsia="Arial" w:hAnsi="Arial"/>
          <w:sz w:val="16"/>
          <w:szCs w:val="16"/>
          <w:color w:val="010000"/>
        </w:rPr>
      </w:pPr>
      <w:r>
        <w:rPr>
          <w:rFonts w:ascii="Arial" w:cs="Arial" w:eastAsia="Arial" w:hAnsi="Arial"/>
          <w:sz w:val="16"/>
          <w:szCs w:val="16"/>
          <w:color w:val="auto"/>
        </w:rPr>
        <w:t>located, organized or resident in a country or territory that is the subject of Sanctions (including, without limitation, Crimea, Cuba, Iran, North Korea and Syria).</w:t>
      </w:r>
    </w:p>
    <w:p>
      <w:pPr>
        <w:spacing w:after="0" w:line="149" w:lineRule="exact"/>
        <w:rPr>
          <w:rFonts w:ascii="Arial" w:cs="Arial" w:eastAsia="Arial" w:hAnsi="Arial"/>
          <w:sz w:val="16"/>
          <w:szCs w:val="16"/>
          <w:color w:val="010000"/>
        </w:rPr>
      </w:pPr>
    </w:p>
    <w:p>
      <w:pPr>
        <w:ind w:left="-8" w:firstLine="598"/>
        <w:spacing w:after="0" w:line="287" w:lineRule="auto"/>
        <w:tabs>
          <w:tab w:leader="none" w:pos="1040" w:val="left"/>
        </w:tabs>
        <w:numPr>
          <w:ilvl w:val="1"/>
          <w:numId w:val="17"/>
        </w:numPr>
        <w:rPr>
          <w:rFonts w:ascii="Arial" w:cs="Arial" w:eastAsia="Arial" w:hAnsi="Arial"/>
          <w:sz w:val="16"/>
          <w:szCs w:val="16"/>
          <w:color w:val="010000"/>
        </w:rPr>
      </w:pPr>
      <w:r>
        <w:rPr>
          <w:rFonts w:ascii="Arial" w:cs="Arial" w:eastAsia="Arial" w:hAnsi="Arial"/>
          <w:sz w:val="16"/>
          <w:szCs w:val="16"/>
          <w:color w:val="auto"/>
        </w:rPr>
        <w:t>Such Selling Shareholder will not, directly or indirectly, use the proceeds of the offering, or lend, contribute or otherwise make available such proceeds to any subsidiary, joint venture partner or other Person:</w:t>
      </w:r>
    </w:p>
    <w:p>
      <w:pPr>
        <w:spacing w:after="0" w:line="149" w:lineRule="exact"/>
        <w:rPr>
          <w:rFonts w:ascii="Arial" w:cs="Arial" w:eastAsia="Arial" w:hAnsi="Arial"/>
          <w:sz w:val="16"/>
          <w:szCs w:val="16"/>
          <w:color w:val="010000"/>
        </w:rPr>
      </w:pPr>
    </w:p>
    <w:p>
      <w:pPr>
        <w:ind w:left="592" w:firstLine="588"/>
        <w:spacing w:after="0" w:line="287" w:lineRule="auto"/>
        <w:tabs>
          <w:tab w:leader="none" w:pos="1658" w:val="left"/>
        </w:tabs>
        <w:numPr>
          <w:ilvl w:val="2"/>
          <w:numId w:val="17"/>
        </w:numPr>
        <w:rPr>
          <w:rFonts w:ascii="Arial" w:cs="Arial" w:eastAsia="Arial" w:hAnsi="Arial"/>
          <w:sz w:val="16"/>
          <w:szCs w:val="16"/>
          <w:color w:val="010000"/>
        </w:rPr>
      </w:pPr>
      <w:r>
        <w:rPr>
          <w:rFonts w:ascii="Arial" w:cs="Arial" w:eastAsia="Arial" w:hAnsi="Arial"/>
          <w:sz w:val="16"/>
          <w:szCs w:val="16"/>
          <w:color w:val="auto"/>
        </w:rPr>
        <w:t>to fund or facilitate any activities or business of or with any Person or in any country or territory that, at the time of such funding or facilitation, is the subject of Sanctions; or</w:t>
      </w:r>
    </w:p>
    <w:p>
      <w:pPr>
        <w:spacing w:after="0" w:line="149" w:lineRule="exact"/>
        <w:rPr>
          <w:rFonts w:ascii="Arial" w:cs="Arial" w:eastAsia="Arial" w:hAnsi="Arial"/>
          <w:sz w:val="16"/>
          <w:szCs w:val="16"/>
          <w:color w:val="010000"/>
        </w:rPr>
      </w:pPr>
    </w:p>
    <w:p>
      <w:pPr>
        <w:ind w:left="592" w:firstLine="588"/>
        <w:spacing w:after="0" w:line="287" w:lineRule="auto"/>
        <w:tabs>
          <w:tab w:leader="none" w:pos="1584" w:val="left"/>
        </w:tabs>
        <w:numPr>
          <w:ilvl w:val="2"/>
          <w:numId w:val="17"/>
        </w:numPr>
        <w:rPr>
          <w:rFonts w:ascii="Arial" w:cs="Arial" w:eastAsia="Arial" w:hAnsi="Arial"/>
          <w:sz w:val="16"/>
          <w:szCs w:val="16"/>
          <w:color w:val="010000"/>
        </w:rPr>
      </w:pPr>
      <w:r>
        <w:rPr>
          <w:rFonts w:ascii="Arial" w:cs="Arial" w:eastAsia="Arial" w:hAnsi="Arial"/>
          <w:sz w:val="16"/>
          <w:szCs w:val="16"/>
          <w:color w:val="auto"/>
        </w:rPr>
        <w:t>in any other manner that will result in a violation of Sanctions by any Person (including any Person participating in the offering, whether as underwriter, advisor, investor or otherwise).</w:t>
      </w:r>
    </w:p>
    <w:p>
      <w:pPr>
        <w:spacing w:after="0" w:line="149" w:lineRule="exact"/>
        <w:rPr>
          <w:rFonts w:ascii="Arial" w:cs="Arial" w:eastAsia="Arial" w:hAnsi="Arial"/>
          <w:sz w:val="16"/>
          <w:szCs w:val="16"/>
          <w:color w:val="010000"/>
        </w:rPr>
      </w:pPr>
    </w:p>
    <w:p>
      <w:pPr>
        <w:ind w:left="-8" w:firstLine="598"/>
        <w:spacing w:after="0" w:line="287" w:lineRule="auto"/>
        <w:tabs>
          <w:tab w:leader="none" w:pos="1008" w:val="left"/>
        </w:tabs>
        <w:numPr>
          <w:ilvl w:val="1"/>
          <w:numId w:val="17"/>
        </w:numPr>
        <w:rPr>
          <w:rFonts w:ascii="Arial" w:cs="Arial" w:eastAsia="Arial" w:hAnsi="Arial"/>
          <w:sz w:val="16"/>
          <w:szCs w:val="16"/>
          <w:color w:val="010000"/>
        </w:rPr>
      </w:pPr>
      <w:r>
        <w:rPr>
          <w:rFonts w:ascii="Arial" w:cs="Arial" w:eastAsia="Arial" w:hAnsi="Arial"/>
          <w:sz w:val="16"/>
          <w:szCs w:val="16"/>
          <w:color w:val="auto"/>
        </w:rPr>
        <w:t>For the past 5 years, such Selling Shareholder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149" w:lineRule="exact"/>
        <w:rPr>
          <w:rFonts w:ascii="Arial" w:cs="Arial" w:eastAsia="Arial" w:hAnsi="Arial"/>
          <w:sz w:val="16"/>
          <w:szCs w:val="16"/>
          <w:color w:val="010000"/>
        </w:rPr>
      </w:pPr>
    </w:p>
    <w:p>
      <w:pPr>
        <w:jc w:val="both"/>
        <w:ind w:left="-8" w:firstLine="598"/>
        <w:spacing w:after="0" w:line="261" w:lineRule="auto"/>
        <w:tabs>
          <w:tab w:leader="none" w:pos="1043" w:val="left"/>
        </w:tabs>
        <w:numPr>
          <w:ilvl w:val="1"/>
          <w:numId w:val="17"/>
        </w:numPr>
        <w:rPr>
          <w:rFonts w:ascii="Arial" w:cs="Arial" w:eastAsia="Arial" w:hAnsi="Arial"/>
          <w:sz w:val="16"/>
          <w:szCs w:val="16"/>
          <w:color w:val="010000"/>
        </w:rPr>
      </w:pPr>
      <w:r>
        <w:rPr>
          <w:rFonts w:ascii="Arial" w:cs="Arial" w:eastAsia="Arial" w:hAnsi="Arial"/>
          <w:sz w:val="16"/>
          <w:szCs w:val="16"/>
          <w:color w:val="auto"/>
        </w:rPr>
        <w:t>(a) None of such Selling Shareholder or its subsidiaries, or, to the knowledge of such Selling Shareholder, any director, officer, employee, agent, representative, or affiliate thereof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(b) such Selling Shareholder and its subsidiaries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neither the Selling Shareholder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69" w:lineRule="exact"/>
        <w:rPr>
          <w:rFonts w:ascii="Arial" w:cs="Arial" w:eastAsia="Arial" w:hAnsi="Arial"/>
          <w:sz w:val="16"/>
          <w:szCs w:val="16"/>
          <w:color w:val="010000"/>
        </w:rPr>
      </w:pPr>
    </w:p>
    <w:p>
      <w:pPr>
        <w:jc w:val="both"/>
        <w:ind w:left="-8" w:firstLine="598"/>
        <w:spacing w:after="0" w:line="266" w:lineRule="auto"/>
        <w:tabs>
          <w:tab w:leader="none" w:pos="977" w:val="left"/>
        </w:tabs>
        <w:numPr>
          <w:ilvl w:val="1"/>
          <w:numId w:val="17"/>
        </w:numPr>
        <w:rPr>
          <w:rFonts w:ascii="Arial" w:cs="Arial" w:eastAsia="Arial" w:hAnsi="Arial"/>
          <w:sz w:val="16"/>
          <w:szCs w:val="16"/>
          <w:color w:val="010000"/>
        </w:rPr>
      </w:pPr>
      <w:r>
        <w:rPr>
          <w:rFonts w:ascii="Arial" w:cs="Arial" w:eastAsia="Arial" w:hAnsi="Arial"/>
          <w:sz w:val="16"/>
          <w:szCs w:val="16"/>
          <w:color w:val="auto"/>
        </w:rPr>
        <w:t>The operations of such Selling Shareholder and its subsidiaries are and have been conducted at all times in material compliance with all applicable Anti-Money Laundering Laws, and no action, suit or proceeding by or before any court or governmental agency, authority or body or any arbitrator involving such Selling Shareholder or any of its subsidiaries with respect to the Anti-Money Laundering Laws is pending or, to the best knowledge of the Selling Shareholder, threatened.</w:t>
      </w:r>
    </w:p>
    <w:p>
      <w:pPr>
        <w:sectPr>
          <w:pgSz w:w="11900" w:h="16838" w:orient="portrait"/>
          <w:cols w:equalWidth="0" w:num="1">
            <w:col w:w="10832"/>
          </w:cols>
          <w:pgMar w:left="828" w:top="127" w:right="239" w:bottom="0" w:gutter="0" w:footer="0" w:header="0"/>
        </w:sectPr>
      </w:pPr>
    </w:p>
    <w:bookmarkStart w:id="10" w:name="page11"/>
    <w:bookmarkEnd w:id="10"/>
    <w:p>
      <w:pPr>
        <w:jc w:val="both"/>
        <w:ind w:firstLine="588"/>
        <w:spacing w:after="0" w:line="272" w:lineRule="auto"/>
        <w:tabs>
          <w:tab w:leader="none" w:pos="930" w:val="left"/>
        </w:tabs>
        <w:numPr>
          <w:ilvl w:val="0"/>
          <w:numId w:val="18"/>
        </w:numPr>
        <w:rPr>
          <w:rFonts w:ascii="Arial" w:cs="Arial" w:eastAsia="Arial" w:hAnsi="Arial"/>
          <w:sz w:val="16"/>
          <w:szCs w:val="16"/>
          <w:color w:val="010000"/>
        </w:rPr>
      </w:pPr>
      <w:r>
        <w:rPr>
          <w:rFonts w:ascii="Arial" w:cs="Arial" w:eastAsia="Arial" w:hAnsi="Arial"/>
          <w:sz w:val="16"/>
          <w:szCs w:val="16"/>
          <w:color w:val="auto"/>
        </w:rPr>
        <w:t>Such Selling Shareholder represents and warrants that it is not (i) an employee benefit plan subject to Title I of the Employee Retirement Income Security Act of 1974, as amended (“ERISA”), (ii) a plan or account subject to Section 4975 of the Internal Revenue Code of 1986, as amended or (iii) an entity deemed to hold “plan assets” of any such plan or account under Section 3(42) of ERISA, 29 C.F.R. 2510.3-101, or otherwise.</w:t>
      </w:r>
    </w:p>
    <w:p>
      <w:pPr>
        <w:spacing w:after="0" w:line="161" w:lineRule="exact"/>
        <w:rPr>
          <w:sz w:val="20"/>
          <w:szCs w:val="20"/>
          <w:color w:val="auto"/>
        </w:rPr>
      </w:pPr>
    </w:p>
    <w:p>
      <w:pPr>
        <w:jc w:val="both"/>
        <w:ind w:firstLine="588"/>
        <w:spacing w:after="0" w:line="301" w:lineRule="auto"/>
        <w:tabs>
          <w:tab w:leader="none" w:pos="901" w:val="left"/>
        </w:tabs>
        <w:numPr>
          <w:ilvl w:val="0"/>
          <w:numId w:val="19"/>
        </w:numPr>
        <w:rPr>
          <w:rFonts w:ascii="Arial" w:cs="Arial" w:eastAsia="Arial" w:hAnsi="Arial"/>
          <w:sz w:val="14"/>
          <w:szCs w:val="14"/>
          <w:color w:val="010000"/>
        </w:rPr>
      </w:pPr>
      <w:r>
        <w:rPr>
          <w:rFonts w:ascii="Arial" w:cs="Arial" w:eastAsia="Arial" w:hAnsi="Arial"/>
          <w:sz w:val="14"/>
          <w:szCs w:val="14"/>
          <w:i w:val="1"/>
          <w:iCs w:val="1"/>
          <w:color w:val="auto"/>
        </w:rPr>
        <w:t>Agreements to Sell and Purchase</w:t>
      </w:r>
      <w:r>
        <w:rPr>
          <w:rFonts w:ascii="Arial" w:cs="Arial" w:eastAsia="Arial" w:hAnsi="Arial"/>
          <w:sz w:val="14"/>
          <w:szCs w:val="14"/>
          <w:color w:val="auto"/>
        </w:rPr>
        <w:t>. The Company hereby agrees to sell to the several Underwriters, and each Underwriter, upon the basis of the representations</w:t>
      </w:r>
      <w:r>
        <w:rPr>
          <w:rFonts w:ascii="Arial" w:cs="Arial" w:eastAsia="Arial" w:hAnsi="Arial"/>
          <w:sz w:val="14"/>
          <w:szCs w:val="14"/>
          <w:i w:val="1"/>
          <w:iCs w:val="1"/>
          <w:color w:val="auto"/>
        </w:rPr>
        <w:t xml:space="preserve"> </w:t>
      </w:r>
      <w:r>
        <w:rPr>
          <w:rFonts w:ascii="Arial" w:cs="Arial" w:eastAsia="Arial" w:hAnsi="Arial"/>
          <w:sz w:val="14"/>
          <w:szCs w:val="14"/>
          <w:color w:val="auto"/>
        </w:rPr>
        <w:t>and warranties herein contained, but subject to the conditions hereinafter stated, agrees, severally and not jointly, to purchase from the Company at $20.21 per share (the “</w:t>
      </w:r>
      <w:r>
        <w:rPr>
          <w:rFonts w:ascii="Arial" w:cs="Arial" w:eastAsia="Arial" w:hAnsi="Arial"/>
          <w:sz w:val="14"/>
          <w:szCs w:val="14"/>
          <w:b w:val="1"/>
          <w:bCs w:val="1"/>
          <w:color w:val="auto"/>
        </w:rPr>
        <w:t>Company Purchase Price</w:t>
      </w:r>
      <w:r>
        <w:rPr>
          <w:rFonts w:ascii="Arial" w:cs="Arial" w:eastAsia="Arial" w:hAnsi="Arial"/>
          <w:sz w:val="14"/>
          <w:szCs w:val="14"/>
          <w:color w:val="auto"/>
        </w:rPr>
        <w:t>”) the number of Firm Shares (subject to such adjustments to eliminate fractional shares as you may determine) that bears the same proportion to the number of Firm Shares to be sold by the Company as the number of Firm Shares set forth in Schedule II hereto opposite the name of such Underwriter bears to the total number of Firm Shares Each Selling Shareholder, severally and not jointly, hereby agrees to sell to the several Underwriters, and each Underwriter, upon the basis of the representations and warranties herein contained, but subject to the conditions hereinafter stated, agrees, severally and not jointly, to purchase from such Selling Shareholder at $20.425 a share (the “</w:t>
      </w:r>
      <w:r>
        <w:rPr>
          <w:rFonts w:ascii="Arial" w:cs="Arial" w:eastAsia="Arial" w:hAnsi="Arial"/>
          <w:sz w:val="14"/>
          <w:szCs w:val="14"/>
          <w:b w:val="1"/>
          <w:bCs w:val="1"/>
          <w:color w:val="auto"/>
        </w:rPr>
        <w:t>Selling Shareholder Purchase Price</w:t>
      </w:r>
      <w:r>
        <w:rPr>
          <w:rFonts w:ascii="Arial" w:cs="Arial" w:eastAsia="Arial" w:hAnsi="Arial"/>
          <w:sz w:val="14"/>
          <w:szCs w:val="14"/>
          <w:color w:val="auto"/>
        </w:rPr>
        <w:t>” and, together with the Company Purchase Price, the “</w:t>
      </w:r>
      <w:r>
        <w:rPr>
          <w:rFonts w:ascii="Arial" w:cs="Arial" w:eastAsia="Arial" w:hAnsi="Arial"/>
          <w:sz w:val="14"/>
          <w:szCs w:val="14"/>
          <w:b w:val="1"/>
          <w:bCs w:val="1"/>
          <w:color w:val="auto"/>
        </w:rPr>
        <w:t>Purchase Price</w:t>
      </w:r>
      <w:r>
        <w:rPr>
          <w:rFonts w:ascii="Arial" w:cs="Arial" w:eastAsia="Arial" w:hAnsi="Arial"/>
          <w:sz w:val="14"/>
          <w:szCs w:val="14"/>
          <w:color w:val="auto"/>
        </w:rPr>
        <w:t>”) the number of Firm Shares (subject to such adjustments to eliminate fractional shares as you may determine) that bears the same proportion to the number of Firm Shares to be sold by such Selling Shareholder as the number of Firm Shares set forth in Schedule II hereto opposite the name of such Underwriter bears to the total number of Firm Shares.</w:t>
      </w:r>
    </w:p>
    <w:p>
      <w:pPr>
        <w:spacing w:after="0" w:line="149" w:lineRule="exact"/>
        <w:rPr>
          <w:sz w:val="20"/>
          <w:szCs w:val="20"/>
          <w:color w:val="auto"/>
        </w:rPr>
      </w:pPr>
    </w:p>
    <w:p>
      <w:pPr>
        <w:jc w:val="both"/>
        <w:ind w:firstLine="590"/>
        <w:spacing w:after="0" w:line="278" w:lineRule="auto"/>
        <w:rPr>
          <w:sz w:val="20"/>
          <w:szCs w:val="20"/>
          <w:color w:val="auto"/>
        </w:rPr>
      </w:pPr>
      <w:r>
        <w:rPr>
          <w:rFonts w:ascii="Arial" w:cs="Arial" w:eastAsia="Arial" w:hAnsi="Arial"/>
          <w:sz w:val="15"/>
          <w:szCs w:val="15"/>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645,000 Additional Shares at the Company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5 hereof. On each day, if any, that Additional Shares are to be purchased (an “</w:t>
      </w:r>
      <w:r>
        <w:rPr>
          <w:rFonts w:ascii="Arial" w:cs="Arial" w:eastAsia="Arial" w:hAnsi="Arial"/>
          <w:sz w:val="15"/>
          <w:szCs w:val="15"/>
          <w:b w:val="1"/>
          <w:bCs w:val="1"/>
          <w:color w:val="auto"/>
        </w:rPr>
        <w:t>Option Closing Date</w:t>
      </w:r>
      <w:r>
        <w:rPr>
          <w:rFonts w:ascii="Arial" w:cs="Arial" w:eastAsia="Arial" w:hAnsi="Arial"/>
          <w:sz w:val="15"/>
          <w:szCs w:val="15"/>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162" w:lineRule="exact"/>
        <w:rPr>
          <w:sz w:val="20"/>
          <w:szCs w:val="20"/>
          <w:color w:val="auto"/>
        </w:rPr>
      </w:pPr>
    </w:p>
    <w:p>
      <w:pPr>
        <w:jc w:val="both"/>
        <w:ind w:firstLine="588"/>
        <w:spacing w:after="0" w:line="266" w:lineRule="auto"/>
        <w:tabs>
          <w:tab w:leader="none" w:pos="901" w:val="left"/>
        </w:tabs>
        <w:numPr>
          <w:ilvl w:val="0"/>
          <w:numId w:val="20"/>
        </w:numPr>
        <w:rPr>
          <w:rFonts w:ascii="Arial" w:cs="Arial" w:eastAsia="Arial" w:hAnsi="Arial"/>
          <w:sz w:val="16"/>
          <w:szCs w:val="16"/>
          <w:color w:val="010000"/>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Sellers are advised by you that the Underwriters propose to make a public offering of their respective portions of the Shares as</w:t>
      </w:r>
      <w:r>
        <w:rPr>
          <w:rFonts w:ascii="Arial" w:cs="Arial" w:eastAsia="Arial" w:hAnsi="Arial"/>
          <w:sz w:val="16"/>
          <w:szCs w:val="16"/>
          <w:i w:val="1"/>
          <w:iCs w:val="1"/>
          <w:color w:val="auto"/>
        </w:rPr>
        <w:t xml:space="preserve"> </w:t>
      </w:r>
      <w:r>
        <w:rPr>
          <w:rFonts w:ascii="Arial" w:cs="Arial" w:eastAsia="Arial" w:hAnsi="Arial"/>
          <w:sz w:val="16"/>
          <w:szCs w:val="16"/>
          <w:color w:val="auto"/>
        </w:rPr>
        <w:t>soon after this Agreement has become effective as in your judgment is advisable. The Sellers are further advised by you that the Shares are to be offered to the public initially at $21.50 per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you at a price that represents a concession not in excess of $0.7197 per share under the Public Offering Price.</w:t>
      </w:r>
    </w:p>
    <w:p>
      <w:pPr>
        <w:spacing w:after="0" w:line="167" w:lineRule="exact"/>
        <w:rPr>
          <w:rFonts w:ascii="Arial" w:cs="Arial" w:eastAsia="Arial" w:hAnsi="Arial"/>
          <w:sz w:val="16"/>
          <w:szCs w:val="16"/>
          <w:color w:val="010000"/>
        </w:rPr>
      </w:pPr>
    </w:p>
    <w:p>
      <w:pPr>
        <w:jc w:val="both"/>
        <w:ind w:firstLine="588"/>
        <w:spacing w:after="0" w:line="298" w:lineRule="auto"/>
        <w:tabs>
          <w:tab w:leader="none" w:pos="901" w:val="left"/>
        </w:tabs>
        <w:numPr>
          <w:ilvl w:val="0"/>
          <w:numId w:val="20"/>
        </w:numPr>
        <w:rPr>
          <w:rFonts w:ascii="Arial" w:cs="Arial" w:eastAsia="Arial" w:hAnsi="Arial"/>
          <w:sz w:val="15"/>
          <w:szCs w:val="15"/>
          <w:color w:val="010000"/>
        </w:rPr>
      </w:pPr>
      <w:r>
        <w:rPr>
          <w:rFonts w:ascii="Arial" w:cs="Arial" w:eastAsia="Arial" w:hAnsi="Arial"/>
          <w:sz w:val="15"/>
          <w:szCs w:val="15"/>
          <w:i w:val="1"/>
          <w:iCs w:val="1"/>
          <w:color w:val="auto"/>
        </w:rPr>
        <w:t>Payment and Delivery</w:t>
      </w:r>
      <w:r>
        <w:rPr>
          <w:rFonts w:ascii="Arial" w:cs="Arial" w:eastAsia="Arial" w:hAnsi="Arial"/>
          <w:sz w:val="15"/>
          <w:szCs w:val="15"/>
          <w:color w:val="auto"/>
        </w:rPr>
        <w:t>. Payment for the Firm Shares to be sold by each Seller shall be made to such Seller in Federal or other funds immediately available in</w:t>
      </w:r>
      <w:r>
        <w:rPr>
          <w:rFonts w:ascii="Arial" w:cs="Arial" w:eastAsia="Arial" w:hAnsi="Arial"/>
          <w:sz w:val="15"/>
          <w:szCs w:val="15"/>
          <w:i w:val="1"/>
          <w:iCs w:val="1"/>
          <w:color w:val="auto"/>
        </w:rPr>
        <w:t xml:space="preserve"> </w:t>
      </w:r>
      <w:r>
        <w:rPr>
          <w:rFonts w:ascii="Arial" w:cs="Arial" w:eastAsia="Arial" w:hAnsi="Arial"/>
          <w:sz w:val="15"/>
          <w:szCs w:val="15"/>
          <w:color w:val="auto"/>
        </w:rPr>
        <w:t>New York City against delivery of such Firm Shares for the respective accounts of the several Underwriters at 10:00 a.m., New York City time, on January 27, 2020, or at such other time as shall be designated in writing by you. The time and date of such payment are hereinafter referred to as the “</w:t>
      </w:r>
      <w:r>
        <w:rPr>
          <w:rFonts w:ascii="Arial" w:cs="Arial" w:eastAsia="Arial" w:hAnsi="Arial"/>
          <w:sz w:val="15"/>
          <w:szCs w:val="15"/>
          <w:b w:val="1"/>
          <w:bCs w:val="1"/>
          <w:color w:val="auto"/>
        </w:rPr>
        <w:t>Closing Date</w:t>
      </w:r>
      <w:r>
        <w:rPr>
          <w:rFonts w:ascii="Arial" w:cs="Arial" w:eastAsia="Arial" w:hAnsi="Arial"/>
          <w:sz w:val="15"/>
          <w:szCs w:val="15"/>
          <w:color w:val="auto"/>
        </w:rPr>
        <w:t>.”</w:t>
      </w:r>
    </w:p>
    <w:p>
      <w:pPr>
        <w:spacing w:after="0" w:line="144"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Payment for any Additional Shares to be sold by each Seller shall be made to such Seller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as shall be designated in writing by you.</w:t>
      </w:r>
    </w:p>
    <w:p>
      <w:pPr>
        <w:spacing w:after="0" w:line="161"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168" w:lineRule="exact"/>
        <w:rPr>
          <w:sz w:val="20"/>
          <w:szCs w:val="20"/>
          <w:color w:val="auto"/>
        </w:rPr>
      </w:pPr>
    </w:p>
    <w:p>
      <w:pPr>
        <w:ind w:firstLine="588"/>
        <w:spacing w:after="0" w:line="287" w:lineRule="auto"/>
        <w:tabs>
          <w:tab w:leader="none" w:pos="876" w:val="left"/>
        </w:tabs>
        <w:numPr>
          <w:ilvl w:val="0"/>
          <w:numId w:val="21"/>
        </w:numPr>
        <w:rPr>
          <w:rFonts w:ascii="Arial" w:cs="Arial" w:eastAsia="Arial" w:hAnsi="Arial"/>
          <w:sz w:val="16"/>
          <w:szCs w:val="16"/>
          <w:color w:val="010000"/>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obligations of the Sellers to sell the Shares to the Underwriters and the several obligations of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and pay for the Shares on the Closing Date are subject to the following conditions:</w:t>
      </w:r>
    </w:p>
    <w:p>
      <w:pPr>
        <w:spacing w:after="0" w:line="150" w:lineRule="exact"/>
        <w:rPr>
          <w:sz w:val="20"/>
          <w:szCs w:val="20"/>
          <w:color w:val="auto"/>
        </w:rPr>
      </w:pPr>
    </w:p>
    <w:p>
      <w:pPr>
        <w:jc w:val="both"/>
        <w:ind w:firstLine="588"/>
        <w:spacing w:after="0" w:line="286" w:lineRule="auto"/>
        <w:tabs>
          <w:tab w:leader="none" w:pos="1034" w:val="left"/>
        </w:tabs>
        <w:numPr>
          <w:ilvl w:val="0"/>
          <w:numId w:val="22"/>
        </w:numPr>
        <w:rPr>
          <w:rFonts w:ascii="Arial" w:cs="Arial" w:eastAsia="Arial" w:hAnsi="Arial"/>
          <w:sz w:val="15"/>
          <w:szCs w:val="15"/>
          <w:color w:val="010000"/>
        </w:rPr>
      </w:pPr>
      <w:r>
        <w:rPr>
          <w:rFonts w:ascii="Arial" w:cs="Arial" w:eastAsia="Arial" w:hAnsi="Arial"/>
          <w:sz w:val="15"/>
          <w:szCs w:val="15"/>
          <w:color w:val="auto"/>
        </w:rPr>
        <w:t>Subsequent to the execution and delivery of this Agreement and prior to the Closing Date (i) no order suspending the effectiveness of the Registration Statement shall be in effect, and no proceeding for such purpose or pursuant to Section 8A under the Securities Act shall be pending before or threatened by the Commission and (ii)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52" w:lineRule="exact"/>
        <w:rPr>
          <w:rFonts w:ascii="Arial" w:cs="Arial" w:eastAsia="Arial" w:hAnsi="Arial"/>
          <w:sz w:val="15"/>
          <w:szCs w:val="15"/>
          <w:color w:val="010000"/>
        </w:rPr>
      </w:pPr>
    </w:p>
    <w:p>
      <w:pPr>
        <w:ind w:left="940" w:hanging="352"/>
        <w:spacing w:after="0"/>
        <w:tabs>
          <w:tab w:leader="none" w:pos="940"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The Underwriters shall have received on the Closing Date:</w:t>
      </w:r>
    </w:p>
    <w:p>
      <w:pPr>
        <w:spacing w:after="0" w:line="209" w:lineRule="exact"/>
        <w:rPr>
          <w:rFonts w:ascii="Arial" w:cs="Arial" w:eastAsia="Arial" w:hAnsi="Arial"/>
          <w:sz w:val="16"/>
          <w:szCs w:val="16"/>
          <w:color w:val="010000"/>
        </w:rPr>
      </w:pPr>
    </w:p>
    <w:p>
      <w:pPr>
        <w:jc w:val="both"/>
        <w:ind w:left="580" w:firstLine="598"/>
        <w:spacing w:after="0" w:line="298" w:lineRule="auto"/>
        <w:tabs>
          <w:tab w:leader="none" w:pos="1517" w:val="left"/>
        </w:tabs>
        <w:numPr>
          <w:ilvl w:val="1"/>
          <w:numId w:val="22"/>
        </w:numPr>
        <w:rPr>
          <w:rFonts w:ascii="Arial" w:cs="Arial" w:eastAsia="Arial" w:hAnsi="Arial"/>
          <w:sz w:val="15"/>
          <w:szCs w:val="15"/>
          <w:color w:val="010000"/>
        </w:rPr>
      </w:pPr>
      <w:r>
        <w:rPr>
          <w:rFonts w:ascii="Arial" w:cs="Arial" w:eastAsia="Arial" w:hAnsi="Arial"/>
          <w:sz w:val="15"/>
          <w:szCs w:val="15"/>
          <w:color w:val="auto"/>
        </w:rPr>
        <w:t>a certificate, dated the Closing Date and signed by an executive officer of the Company, to the effect set forth in Section 6(a)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and</w:t>
      </w:r>
    </w:p>
    <w:p>
      <w:pPr>
        <w:spacing w:after="0" w:line="144" w:lineRule="exact"/>
        <w:rPr>
          <w:rFonts w:ascii="Arial" w:cs="Arial" w:eastAsia="Arial" w:hAnsi="Arial"/>
          <w:sz w:val="15"/>
          <w:szCs w:val="15"/>
          <w:color w:val="010000"/>
        </w:rPr>
      </w:pPr>
    </w:p>
    <w:p>
      <w:pPr>
        <w:jc w:val="both"/>
        <w:ind w:left="580" w:firstLine="598"/>
        <w:spacing w:after="0" w:line="328" w:lineRule="auto"/>
        <w:tabs>
          <w:tab w:leader="none" w:pos="1536" w:val="left"/>
        </w:tabs>
        <w:numPr>
          <w:ilvl w:val="1"/>
          <w:numId w:val="22"/>
        </w:numPr>
        <w:rPr>
          <w:rFonts w:ascii="Arial" w:cs="Arial" w:eastAsia="Arial" w:hAnsi="Arial"/>
          <w:sz w:val="14"/>
          <w:szCs w:val="14"/>
          <w:color w:val="010000"/>
        </w:rPr>
      </w:pPr>
      <w:r>
        <w:rPr>
          <w:rFonts w:ascii="Arial" w:cs="Arial" w:eastAsia="Arial" w:hAnsi="Arial"/>
          <w:sz w:val="14"/>
          <w:szCs w:val="14"/>
          <w:color w:val="auto"/>
        </w:rPr>
        <w:t>a certificate, dated the Closing date and signed by an executive officer of each Selling Shareholder, to the effect that the representations and warranties of such Selling Shareholder contained in this Agreement are true and correct as of the Closing Date and that such Selling Shareholder has complied with all of the agreements and satisfied all of the conditions on such Selling Shareholder’s part to be performed or satisfied hereunder on or before the Closing Date.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officer signing and delivering such certificate on behalf of the Company may rely upon his or her knowledge as to proceedings threatened.</w:t>
      </w:r>
    </w:p>
    <w:p>
      <w:pPr>
        <w:spacing w:after="0" w:line="209" w:lineRule="exact"/>
        <w:rPr>
          <w:sz w:val="20"/>
          <w:szCs w:val="20"/>
          <w:color w:val="auto"/>
        </w:rPr>
      </w:pPr>
    </w:p>
    <w:p>
      <w:pPr>
        <w:jc w:val="both"/>
        <w:ind w:firstLine="588"/>
        <w:spacing w:after="0" w:line="272" w:lineRule="auto"/>
        <w:tabs>
          <w:tab w:leader="none" w:pos="966"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The Underwriters shall have received on the Closing Date an opinion and a negative assurance letter of Cooley LLP, outside counsel for the Company, dated the Closing Date, in form and substance reasonably satisfactory to the Representatives, together with signed or reproduced copies of such letter for each of the other Underwriters.</w:t>
      </w:r>
    </w:p>
    <w:p>
      <w:pPr>
        <w:spacing w:after="0" w:line="161" w:lineRule="exact"/>
        <w:rPr>
          <w:rFonts w:ascii="Arial" w:cs="Arial" w:eastAsia="Arial" w:hAnsi="Arial"/>
          <w:sz w:val="16"/>
          <w:szCs w:val="16"/>
          <w:color w:val="010000"/>
        </w:rPr>
      </w:pPr>
    </w:p>
    <w:p>
      <w:pPr>
        <w:ind w:firstLine="588"/>
        <w:spacing w:after="0" w:line="323" w:lineRule="auto"/>
        <w:tabs>
          <w:tab w:leader="none" w:pos="968" w:val="left"/>
        </w:tabs>
        <w:numPr>
          <w:ilvl w:val="0"/>
          <w:numId w:val="23"/>
        </w:numPr>
        <w:rPr>
          <w:rFonts w:ascii="Arial" w:cs="Arial" w:eastAsia="Arial" w:hAnsi="Arial"/>
          <w:sz w:val="15"/>
          <w:szCs w:val="15"/>
          <w:color w:val="010000"/>
        </w:rPr>
      </w:pPr>
      <w:r>
        <w:rPr>
          <w:rFonts w:ascii="Arial" w:cs="Arial" w:eastAsia="Arial" w:hAnsi="Arial"/>
          <w:sz w:val="15"/>
          <w:szCs w:val="15"/>
          <w:color w:val="auto"/>
        </w:rPr>
        <w:t>The Underwriters shall have received on the Closing Date an opinion of Cooley LLP, outside counsel for the Selling Shareholders, dated the Closing Date, in form and substance reasonably satisfactory to the Representatives, together with signed or reproduced copies of such letter for each of the other Underwriters.</w:t>
      </w:r>
    </w:p>
    <w:p>
      <w:pPr>
        <w:spacing w:after="0" w:line="125" w:lineRule="exact"/>
        <w:rPr>
          <w:rFonts w:ascii="Arial" w:cs="Arial" w:eastAsia="Arial" w:hAnsi="Arial"/>
          <w:sz w:val="15"/>
          <w:szCs w:val="15"/>
          <w:color w:val="010000"/>
        </w:rPr>
      </w:pPr>
    </w:p>
    <w:p>
      <w:pPr>
        <w:jc w:val="both"/>
        <w:ind w:firstLine="588"/>
        <w:spacing w:after="0" w:line="272" w:lineRule="auto"/>
        <w:tabs>
          <w:tab w:leader="none" w:pos="992"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The Underwriters shall have received on the Closing Date an opinion, dated the Closing Date of (x) Shay Glenn LLP, intellectual property counsel for the Company and (y) Hogan Lovells US LLP, regulatory counsel for the Company, in each case, in form and substance reasonably satisfactory to the Representatives, together with signed or reproduced copies of such letter for each of the other Underwriters.</w:t>
      </w:r>
    </w:p>
    <w:p>
      <w:pPr>
        <w:spacing w:after="0" w:line="161" w:lineRule="exact"/>
        <w:rPr>
          <w:rFonts w:ascii="Arial" w:cs="Arial" w:eastAsia="Arial" w:hAnsi="Arial"/>
          <w:sz w:val="16"/>
          <w:szCs w:val="16"/>
          <w:color w:val="010000"/>
        </w:rPr>
      </w:pPr>
    </w:p>
    <w:p>
      <w:pPr>
        <w:ind w:firstLine="588"/>
        <w:spacing w:after="0" w:line="287" w:lineRule="auto"/>
        <w:tabs>
          <w:tab w:leader="none" w:pos="944"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The Underwriters shall have received on the Closing Date an opinion and negative assurances letter of Latham &amp; Watkins LLP, counsel for the Underwriters, dated the Closing Date, in the form mutually agreed upon between the Underwriters and Latham &amp; Watkins LLP.</w:t>
      </w:r>
    </w:p>
    <w:p>
      <w:pPr>
        <w:spacing w:after="0" w:line="149" w:lineRule="exact"/>
        <w:rPr>
          <w:rFonts w:ascii="Arial" w:cs="Arial" w:eastAsia="Arial" w:hAnsi="Arial"/>
          <w:sz w:val="16"/>
          <w:szCs w:val="16"/>
          <w:color w:val="010000"/>
        </w:rPr>
      </w:pPr>
    </w:p>
    <w:p>
      <w:pPr>
        <w:jc w:val="both"/>
        <w:ind w:firstLine="588"/>
        <w:spacing w:after="0" w:line="328" w:lineRule="auto"/>
        <w:tabs>
          <w:tab w:leader="none" w:pos="949" w:val="left"/>
        </w:tabs>
        <w:numPr>
          <w:ilvl w:val="0"/>
          <w:numId w:val="23"/>
        </w:numPr>
        <w:rPr>
          <w:rFonts w:ascii="Arial" w:cs="Arial" w:eastAsia="Arial" w:hAnsi="Arial"/>
          <w:sz w:val="14"/>
          <w:szCs w:val="14"/>
          <w:color w:val="010000"/>
        </w:rPr>
      </w:pPr>
      <w:r>
        <w:rPr>
          <w:rFonts w:ascii="Arial" w:cs="Arial" w:eastAsia="Arial" w:hAnsi="Arial"/>
          <w:sz w:val="14"/>
          <w:szCs w:val="14"/>
          <w:color w:val="auto"/>
        </w:rPr>
        <w:t>The Underwriters shall have received, on each of the date hereof and the Closing Date, a letter dated the date hereof or the Closing Date, as the case may be, in form and substance reasonably satisfactory to the Representatives, from PricewaterhouseCoopers LLP, independent registered public accounting firm, containing statements and information of the type ordinarily included in accountants’ “comfort letters” to underwriters with respect to the financial statements and certain financial information</w:t>
      </w:r>
    </w:p>
    <w:p>
      <w:pPr>
        <w:sectPr>
          <w:pgSz w:w="11900" w:h="16838" w:orient="portrait"/>
          <w:cols w:equalWidth="0" w:num="1">
            <w:col w:w="11420"/>
          </w:cols>
          <w:pgMar w:left="240" w:top="127" w:right="239" w:bottom="0" w:gutter="0" w:footer="0" w:header="0"/>
        </w:sectPr>
      </w:pPr>
    </w:p>
    <w:bookmarkStart w:id="11" w:name="page12"/>
    <w:bookmarkEnd w:id="11"/>
    <w:p>
      <w:pPr>
        <w:spacing w:after="0" w:line="202" w:lineRule="exact"/>
        <w:rPr>
          <w:sz w:val="20"/>
          <w:szCs w:val="20"/>
          <w:color w:val="auto"/>
        </w:rPr>
      </w:pPr>
      <w:r>
        <w:rPr>
          <w:rFonts w:ascii="Arial" w:cs="Arial" w:eastAsia="Arial" w:hAnsi="Arial"/>
          <w:sz w:val="16"/>
          <w:szCs w:val="16"/>
          <w:color w:val="auto"/>
        </w:rPr>
        <w:t xml:space="preserve">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w:t>
      </w:r>
      <w:r>
        <w:rPr>
          <w:rFonts w:ascii="MS PGothic" w:cs="MS PGothic" w:eastAsia="MS PGothic" w:hAnsi="MS PGothic"/>
          <w:sz w:val="16"/>
          <w:szCs w:val="16"/>
          <w:color w:val="auto"/>
        </w:rPr>
        <w:t>‑</w:t>
      </w:r>
      <w:r>
        <w:rPr>
          <w:rFonts w:ascii="Arial" w:cs="Arial" w:eastAsia="Arial" w:hAnsi="Arial"/>
          <w:sz w:val="16"/>
          <w:szCs w:val="16"/>
          <w:color w:val="auto"/>
        </w:rPr>
        <w:t>off date” not earlier than the date hereof.</w:t>
      </w:r>
    </w:p>
    <w:p>
      <w:pPr>
        <w:spacing w:after="0" w:line="187" w:lineRule="exact"/>
        <w:rPr>
          <w:sz w:val="20"/>
          <w:szCs w:val="20"/>
          <w:color w:val="auto"/>
        </w:rPr>
      </w:pPr>
    </w:p>
    <w:p>
      <w:pPr>
        <w:jc w:val="both"/>
        <w:ind w:firstLine="588"/>
        <w:spacing w:after="0" w:line="201" w:lineRule="exact"/>
        <w:tabs>
          <w:tab w:leader="none" w:pos="991" w:val="left"/>
        </w:tabs>
        <w:numPr>
          <w:ilvl w:val="0"/>
          <w:numId w:val="24"/>
        </w:numPr>
        <w:rPr>
          <w:rFonts w:ascii="Arial" w:cs="Arial" w:eastAsia="Arial" w:hAnsi="Arial"/>
          <w:sz w:val="16"/>
          <w:szCs w:val="16"/>
          <w:color w:val="010000"/>
        </w:rPr>
      </w:pPr>
      <w:r>
        <w:rPr>
          <w:rFonts w:ascii="Arial" w:cs="Arial" w:eastAsia="Arial" w:hAnsi="Arial"/>
          <w:sz w:val="16"/>
          <w:szCs w:val="16"/>
          <w:color w:val="auto"/>
        </w:rPr>
        <w:t>The “lock</w:t>
      </w:r>
      <w:r>
        <w:rPr>
          <w:rFonts w:ascii="MS PGothic" w:cs="MS PGothic" w:eastAsia="MS PGothic" w:hAnsi="MS PGothic"/>
          <w:sz w:val="16"/>
          <w:szCs w:val="16"/>
          <w:color w:val="auto"/>
        </w:rPr>
        <w:t>‑</w:t>
      </w:r>
      <w:r>
        <w:rPr>
          <w:rFonts w:ascii="Arial" w:cs="Arial" w:eastAsia="Arial" w:hAnsi="Arial"/>
          <w:sz w:val="16"/>
          <w:szCs w:val="16"/>
          <w:color w:val="auto"/>
        </w:rPr>
        <w:t>up” agreements, each substantially in the form of Exhibit A hereto, between you and certain stockholders,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186" w:lineRule="exact"/>
        <w:rPr>
          <w:rFonts w:ascii="Arial" w:cs="Arial" w:eastAsia="Arial" w:hAnsi="Arial"/>
          <w:sz w:val="16"/>
          <w:szCs w:val="16"/>
          <w:color w:val="010000"/>
        </w:rPr>
      </w:pPr>
    </w:p>
    <w:p>
      <w:pPr>
        <w:ind w:left="900" w:hanging="312"/>
        <w:spacing w:after="0"/>
        <w:tabs>
          <w:tab w:leader="none" w:pos="900" w:val="left"/>
        </w:tabs>
        <w:numPr>
          <w:ilvl w:val="0"/>
          <w:numId w:val="24"/>
        </w:numPr>
        <w:rPr>
          <w:rFonts w:ascii="Arial" w:cs="Arial" w:eastAsia="Arial" w:hAnsi="Arial"/>
          <w:sz w:val="16"/>
          <w:szCs w:val="16"/>
          <w:color w:val="010000"/>
        </w:rPr>
      </w:pPr>
      <w:r>
        <w:rPr>
          <w:rFonts w:ascii="Arial" w:cs="Arial" w:eastAsia="Arial" w:hAnsi="Arial"/>
          <w:sz w:val="16"/>
          <w:szCs w:val="16"/>
          <w:color w:val="auto"/>
        </w:rPr>
        <w:t>On the Closing Date, the Shares shall have been approved for listing on the Nasdaq Global Market, subject only to official notice of issuance.</w:t>
      </w:r>
    </w:p>
    <w:p>
      <w:pPr>
        <w:spacing w:after="0" w:line="209" w:lineRule="exact"/>
        <w:rPr>
          <w:rFonts w:ascii="Arial" w:cs="Arial" w:eastAsia="Arial" w:hAnsi="Arial"/>
          <w:sz w:val="16"/>
          <w:szCs w:val="16"/>
          <w:color w:val="010000"/>
        </w:rPr>
      </w:pPr>
    </w:p>
    <w:p>
      <w:pPr>
        <w:ind w:firstLine="588"/>
        <w:spacing w:after="0" w:line="287" w:lineRule="auto"/>
        <w:tabs>
          <w:tab w:leader="none" w:pos="915" w:val="left"/>
        </w:tabs>
        <w:numPr>
          <w:ilvl w:val="0"/>
          <w:numId w:val="24"/>
        </w:numPr>
        <w:rPr>
          <w:rFonts w:ascii="Arial" w:cs="Arial" w:eastAsia="Arial" w:hAnsi="Arial"/>
          <w:sz w:val="16"/>
          <w:szCs w:val="16"/>
          <w:color w:val="010000"/>
        </w:rPr>
      </w:pPr>
      <w:r>
        <w:rPr>
          <w:rFonts w:ascii="Arial" w:cs="Arial" w:eastAsia="Arial" w:hAnsi="Arial"/>
          <w:sz w:val="16"/>
          <w:szCs w:val="16"/>
          <w:color w:val="auto"/>
        </w:rPr>
        <w:t>FINRA has confirmed that it has not raised any objection with respect to the fairness and reasonableness of the underwriting terms and arrangements relating to the offering of the Shares.</w:t>
      </w:r>
    </w:p>
    <w:p>
      <w:pPr>
        <w:spacing w:after="0" w:line="149" w:lineRule="exact"/>
        <w:rPr>
          <w:rFonts w:ascii="Arial" w:cs="Arial" w:eastAsia="Arial" w:hAnsi="Arial"/>
          <w:sz w:val="16"/>
          <w:szCs w:val="16"/>
          <w:color w:val="010000"/>
        </w:rPr>
      </w:pPr>
    </w:p>
    <w:p>
      <w:pPr>
        <w:ind w:firstLine="588"/>
        <w:spacing w:after="0" w:line="287" w:lineRule="auto"/>
        <w:tabs>
          <w:tab w:leader="none" w:pos="960" w:val="left"/>
        </w:tabs>
        <w:numPr>
          <w:ilvl w:val="0"/>
          <w:numId w:val="24"/>
        </w:numPr>
        <w:rPr>
          <w:rFonts w:ascii="Arial" w:cs="Arial" w:eastAsia="Arial" w:hAnsi="Arial"/>
          <w:sz w:val="16"/>
          <w:szCs w:val="16"/>
          <w:color w:val="010000"/>
        </w:rPr>
      </w:pPr>
      <w:r>
        <w:rPr>
          <w:rFonts w:ascii="Arial" w:cs="Arial" w:eastAsia="Arial" w:hAnsi="Arial"/>
          <w:sz w:val="16"/>
          <w:szCs w:val="16"/>
          <w:color w:val="auto"/>
        </w:rPr>
        <w:t>The Underwriters shall have received, on each of the date hereof and the Closing Date, a certificate dated the date hereof or the Closing Date, as the case may be, in form and substance satisfactory to the Representatives, from the Chief Financial Officer of the Company.</w:t>
      </w:r>
    </w:p>
    <w:p>
      <w:pPr>
        <w:spacing w:after="0" w:line="149" w:lineRule="exact"/>
        <w:rPr>
          <w:rFonts w:ascii="Arial" w:cs="Arial" w:eastAsia="Arial" w:hAnsi="Arial"/>
          <w:sz w:val="16"/>
          <w:szCs w:val="16"/>
          <w:color w:val="010000"/>
        </w:rPr>
      </w:pPr>
    </w:p>
    <w:p>
      <w:pPr>
        <w:ind w:firstLine="588"/>
        <w:spacing w:after="0" w:line="287" w:lineRule="auto"/>
        <w:tabs>
          <w:tab w:leader="none" w:pos="911" w:val="left"/>
        </w:tabs>
        <w:numPr>
          <w:ilvl w:val="0"/>
          <w:numId w:val="24"/>
        </w:numPr>
        <w:rPr>
          <w:rFonts w:ascii="Arial" w:cs="Arial" w:eastAsia="Arial" w:hAnsi="Arial"/>
          <w:sz w:val="16"/>
          <w:szCs w:val="16"/>
          <w:color w:val="010000"/>
        </w:rPr>
      </w:pPr>
      <w:r>
        <w:rPr>
          <w:rFonts w:ascii="Arial" w:cs="Arial" w:eastAsia="Arial" w:hAnsi="Arial"/>
          <w:sz w:val="16"/>
          <w:szCs w:val="16"/>
          <w:color w:val="auto"/>
        </w:rPr>
        <w:t>The several obligations of the Underwriters to purchase Additional Shares hereunder are subject to the delivery to you on the applicable Option Closing Date of the following:</w:t>
      </w:r>
    </w:p>
    <w:p>
      <w:pPr>
        <w:spacing w:after="0" w:line="149" w:lineRule="exact"/>
        <w:rPr>
          <w:rFonts w:ascii="Arial" w:cs="Arial" w:eastAsia="Arial" w:hAnsi="Arial"/>
          <w:sz w:val="16"/>
          <w:szCs w:val="16"/>
          <w:color w:val="010000"/>
        </w:rPr>
      </w:pPr>
    </w:p>
    <w:p>
      <w:pPr>
        <w:ind w:left="580" w:firstLine="598"/>
        <w:spacing w:after="0" w:line="287" w:lineRule="auto"/>
        <w:tabs>
          <w:tab w:leader="none" w:pos="1492" w:val="left"/>
        </w:tabs>
        <w:numPr>
          <w:ilvl w:val="1"/>
          <w:numId w:val="24"/>
        </w:numPr>
        <w:rPr>
          <w:rFonts w:ascii="Arial" w:cs="Arial" w:eastAsia="Arial" w:hAnsi="Arial"/>
          <w:sz w:val="16"/>
          <w:szCs w:val="16"/>
          <w:color w:val="010000"/>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6(b)(i) hereof remains true and correct as of such Option Closing Date;</w:t>
      </w:r>
    </w:p>
    <w:p>
      <w:pPr>
        <w:spacing w:after="0" w:line="149" w:lineRule="exact"/>
        <w:rPr>
          <w:rFonts w:ascii="Arial" w:cs="Arial" w:eastAsia="Arial" w:hAnsi="Arial"/>
          <w:sz w:val="16"/>
          <w:szCs w:val="16"/>
          <w:color w:val="010000"/>
        </w:rPr>
      </w:pPr>
    </w:p>
    <w:p>
      <w:pPr>
        <w:ind w:left="580" w:firstLine="598"/>
        <w:spacing w:after="0" w:line="363" w:lineRule="auto"/>
        <w:tabs>
          <w:tab w:leader="none" w:pos="1566" w:val="left"/>
        </w:tabs>
        <w:numPr>
          <w:ilvl w:val="1"/>
          <w:numId w:val="24"/>
        </w:numPr>
        <w:rPr>
          <w:rFonts w:ascii="Arial" w:cs="Arial" w:eastAsia="Arial" w:hAnsi="Arial"/>
          <w:sz w:val="14"/>
          <w:szCs w:val="14"/>
          <w:color w:val="010000"/>
        </w:rPr>
      </w:pPr>
      <w:r>
        <w:rPr>
          <w:rFonts w:ascii="Arial" w:cs="Arial" w:eastAsia="Arial" w:hAnsi="Arial"/>
          <w:sz w:val="14"/>
          <w:szCs w:val="14"/>
          <w:color w:val="auto"/>
        </w:rPr>
        <w:t>an opinion and negative assurance letter of Cooley LLP, outside counsel for the Company, dated the Option Closing Date, relating to the Additional Shares to be purchased on such Option Closing Date and otherwise to the same effect as the opinion and negative assurance letter required by Section 6(c) hereof;</w:t>
      </w:r>
    </w:p>
    <w:p>
      <w:pPr>
        <w:spacing w:after="0" w:line="102" w:lineRule="exact"/>
        <w:rPr>
          <w:rFonts w:ascii="Arial" w:cs="Arial" w:eastAsia="Arial" w:hAnsi="Arial"/>
          <w:sz w:val="14"/>
          <w:szCs w:val="14"/>
          <w:color w:val="010000"/>
        </w:rPr>
      </w:pPr>
    </w:p>
    <w:p>
      <w:pPr>
        <w:jc w:val="both"/>
        <w:ind w:left="580" w:firstLine="598"/>
        <w:spacing w:after="0" w:line="272" w:lineRule="auto"/>
        <w:tabs>
          <w:tab w:leader="none" w:pos="1592" w:val="left"/>
        </w:tabs>
        <w:numPr>
          <w:ilvl w:val="1"/>
          <w:numId w:val="24"/>
        </w:numPr>
        <w:rPr>
          <w:rFonts w:ascii="Arial" w:cs="Arial" w:eastAsia="Arial" w:hAnsi="Arial"/>
          <w:sz w:val="16"/>
          <w:szCs w:val="16"/>
          <w:color w:val="010000"/>
        </w:rPr>
      </w:pPr>
      <w:r>
        <w:rPr>
          <w:rFonts w:ascii="Arial" w:cs="Arial" w:eastAsia="Arial" w:hAnsi="Arial"/>
          <w:sz w:val="16"/>
          <w:szCs w:val="16"/>
          <w:color w:val="auto"/>
        </w:rPr>
        <w:t>an opinion, dated the Closing Date of (x) Shay Glenn LLP, intellectual property counsel for the Company and (y) Hogan Lovells US LLP, regulatory counsel for the Company, in each case, relating to the Additional Shares to be purchased on such Option Closing Date and otherwise to the same effect as the opinion required by Section 6(e) hereof;</w:t>
      </w:r>
    </w:p>
    <w:p>
      <w:pPr>
        <w:spacing w:after="0" w:line="161" w:lineRule="exact"/>
        <w:rPr>
          <w:rFonts w:ascii="Arial" w:cs="Arial" w:eastAsia="Arial" w:hAnsi="Arial"/>
          <w:sz w:val="16"/>
          <w:szCs w:val="16"/>
          <w:color w:val="010000"/>
        </w:rPr>
      </w:pPr>
    </w:p>
    <w:p>
      <w:pPr>
        <w:jc w:val="both"/>
        <w:ind w:left="580" w:firstLine="598"/>
        <w:spacing w:after="0" w:line="272" w:lineRule="auto"/>
        <w:tabs>
          <w:tab w:leader="none" w:pos="1634" w:val="left"/>
        </w:tabs>
        <w:numPr>
          <w:ilvl w:val="1"/>
          <w:numId w:val="24"/>
        </w:numPr>
        <w:rPr>
          <w:rFonts w:ascii="Arial" w:cs="Arial" w:eastAsia="Arial" w:hAnsi="Arial"/>
          <w:sz w:val="16"/>
          <w:szCs w:val="16"/>
          <w:color w:val="010000"/>
        </w:rPr>
      </w:pPr>
      <w:r>
        <w:rPr>
          <w:rFonts w:ascii="Arial" w:cs="Arial" w:eastAsia="Arial" w:hAnsi="Arial"/>
          <w:sz w:val="16"/>
          <w:szCs w:val="16"/>
          <w:color w:val="auto"/>
        </w:rPr>
        <w:t>an opinion and negative assurance letter of Latham &amp; Watkins LLP, counsel for the Underwriters, dated the Option Closing Date, relating to the Additional Shares to be purchased on such Option Closing Date and otherwise to the same effect as the opinion and negative assurance letter required by Section 6(f) hereof;</w:t>
      </w:r>
    </w:p>
    <w:p>
      <w:pPr>
        <w:spacing w:after="0" w:line="161" w:lineRule="exact"/>
        <w:rPr>
          <w:rFonts w:ascii="Arial" w:cs="Arial" w:eastAsia="Arial" w:hAnsi="Arial"/>
          <w:sz w:val="16"/>
          <w:szCs w:val="16"/>
          <w:color w:val="010000"/>
        </w:rPr>
      </w:pPr>
    </w:p>
    <w:p>
      <w:pPr>
        <w:jc w:val="both"/>
        <w:ind w:left="580" w:firstLine="598"/>
        <w:spacing w:after="0" w:line="328" w:lineRule="auto"/>
        <w:tabs>
          <w:tab w:leader="none" w:pos="1601" w:val="left"/>
        </w:tabs>
        <w:numPr>
          <w:ilvl w:val="1"/>
          <w:numId w:val="24"/>
        </w:numPr>
        <w:rPr>
          <w:rFonts w:ascii="Arial" w:cs="Arial" w:eastAsia="Arial" w:hAnsi="Arial"/>
          <w:sz w:val="14"/>
          <w:szCs w:val="14"/>
          <w:color w:val="010000"/>
        </w:rPr>
      </w:pPr>
      <w:r>
        <w:rPr>
          <w:rFonts w:ascii="Arial" w:cs="Arial" w:eastAsia="Arial" w:hAnsi="Arial"/>
          <w:sz w:val="14"/>
          <w:szCs w:val="14"/>
          <w:color w:val="auto"/>
        </w:rPr>
        <w:t xml:space="preserve">a letter dated the Option Closing Date, in form and substance reasonably satisfactory to the Representatives, from PricewaterhouseCoopers LLP, independent registered public accountants, substantially in the same form and substance as the letter furnished to the Underwriters pursuant to Section 6(g) hereof;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letter delivered on the Option Closing Date shall use a “cut-off date” not earlier than two business days prior to such Option Closing Date; and</w:t>
      </w:r>
    </w:p>
    <w:p>
      <w:pPr>
        <w:spacing w:after="0" w:line="126" w:lineRule="exact"/>
        <w:rPr>
          <w:rFonts w:ascii="Arial" w:cs="Arial" w:eastAsia="Arial" w:hAnsi="Arial"/>
          <w:sz w:val="14"/>
          <w:szCs w:val="14"/>
          <w:color w:val="010000"/>
        </w:rPr>
      </w:pPr>
    </w:p>
    <w:p>
      <w:pPr>
        <w:ind w:left="1720" w:hanging="542"/>
        <w:spacing w:after="0"/>
        <w:tabs>
          <w:tab w:leader="none" w:pos="1720" w:val="left"/>
        </w:tabs>
        <w:numPr>
          <w:ilvl w:val="1"/>
          <w:numId w:val="24"/>
        </w:numPr>
        <w:rPr>
          <w:rFonts w:ascii="Arial" w:cs="Arial" w:eastAsia="Arial" w:hAnsi="Arial"/>
          <w:sz w:val="15"/>
          <w:szCs w:val="15"/>
          <w:color w:val="010000"/>
        </w:rPr>
      </w:pPr>
      <w:r>
        <w:rPr>
          <w:rFonts w:ascii="Arial" w:cs="Arial" w:eastAsia="Arial" w:hAnsi="Arial"/>
          <w:sz w:val="15"/>
          <w:szCs w:val="15"/>
          <w:color w:val="auto"/>
        </w:rPr>
        <w:t>a certificate dated the Option Closing Date, in form and substance satisfactory to the Representatives, from the Chief Financial Officer of the</w:t>
      </w:r>
    </w:p>
    <w:p>
      <w:pPr>
        <w:spacing w:after="0" w:line="35" w:lineRule="exact"/>
        <w:rPr>
          <w:rFonts w:ascii="Arial" w:cs="Arial" w:eastAsia="Arial" w:hAnsi="Arial"/>
          <w:sz w:val="15"/>
          <w:szCs w:val="15"/>
          <w:color w:val="010000"/>
        </w:rPr>
      </w:pPr>
    </w:p>
    <w:p>
      <w:pPr>
        <w:ind w:left="580"/>
        <w:spacing w:after="0"/>
        <w:rPr>
          <w:rFonts w:ascii="Arial" w:cs="Arial" w:eastAsia="Arial" w:hAnsi="Arial"/>
          <w:sz w:val="15"/>
          <w:szCs w:val="15"/>
          <w:color w:val="010000"/>
        </w:rPr>
      </w:pPr>
      <w:r>
        <w:rPr>
          <w:rFonts w:ascii="Arial" w:cs="Arial" w:eastAsia="Arial" w:hAnsi="Arial"/>
          <w:sz w:val="16"/>
          <w:szCs w:val="16"/>
          <w:color w:val="auto"/>
        </w:rPr>
        <w:t>Company.</w:t>
      </w:r>
    </w:p>
    <w:p>
      <w:pPr>
        <w:spacing w:after="0" w:line="198" w:lineRule="exact"/>
        <w:rPr>
          <w:rFonts w:ascii="Arial" w:cs="Arial" w:eastAsia="Arial" w:hAnsi="Arial"/>
          <w:sz w:val="15"/>
          <w:szCs w:val="15"/>
          <w:color w:val="010000"/>
        </w:rPr>
      </w:pPr>
    </w:p>
    <w:p>
      <w:pPr>
        <w:ind w:firstLine="588"/>
        <w:spacing w:after="0" w:line="323" w:lineRule="auto"/>
        <w:tabs>
          <w:tab w:leader="none" w:pos="1010" w:val="left"/>
        </w:tabs>
        <w:numPr>
          <w:ilvl w:val="0"/>
          <w:numId w:val="24"/>
        </w:numPr>
        <w:rPr>
          <w:rFonts w:ascii="Arial" w:cs="Arial" w:eastAsia="Arial" w:hAnsi="Arial"/>
          <w:sz w:val="15"/>
          <w:szCs w:val="15"/>
          <w:color w:val="010000"/>
        </w:rPr>
      </w:pPr>
      <w:r>
        <w:rPr>
          <w:rFonts w:ascii="Arial" w:cs="Arial" w:eastAsia="Arial" w:hAnsi="Arial"/>
          <w:sz w:val="15"/>
          <w:szCs w:val="15"/>
          <w:color w:val="auto"/>
        </w:rPr>
        <w:t>Such other documents as you may reasonably request with respect to the good standing of the Company, the due authorization and issuance of the Additional Shares to be sold on such Option Closing Date and other matters related to the issuance of such Additional Shares shall have been delivered to you.</w:t>
      </w:r>
    </w:p>
    <w:p>
      <w:pPr>
        <w:spacing w:after="0" w:line="126" w:lineRule="exact"/>
        <w:rPr>
          <w:sz w:val="20"/>
          <w:szCs w:val="20"/>
          <w:color w:val="auto"/>
        </w:rPr>
      </w:pPr>
    </w:p>
    <w:p>
      <w:pPr>
        <w:jc w:val="both"/>
        <w:ind w:firstLine="590"/>
        <w:spacing w:after="0" w:line="298" w:lineRule="auto"/>
        <w:rPr>
          <w:sz w:val="20"/>
          <w:szCs w:val="20"/>
          <w:color w:val="auto"/>
        </w:rPr>
      </w:pPr>
      <w:r>
        <w:rPr>
          <w:rFonts w:ascii="Arial" w:cs="Arial" w:eastAsia="Arial" w:hAnsi="Arial"/>
          <w:sz w:val="15"/>
          <w:szCs w:val="15"/>
          <w:color w:val="auto"/>
        </w:rPr>
        <w:t>With respect to Sections 6(c) and 6(l)(ii) above, Cooley LLP, and with respect to Sections 6(f) and 6(l)(iv) above,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44" w:lineRule="exact"/>
        <w:rPr>
          <w:sz w:val="20"/>
          <w:szCs w:val="20"/>
          <w:color w:val="auto"/>
        </w:rPr>
      </w:pPr>
    </w:p>
    <w:p>
      <w:pPr>
        <w:ind w:left="880" w:hanging="292"/>
        <w:spacing w:after="0"/>
        <w:tabs>
          <w:tab w:leader="none" w:pos="880" w:val="left"/>
        </w:tabs>
        <w:numPr>
          <w:ilvl w:val="0"/>
          <w:numId w:val="25"/>
        </w:numPr>
        <w:rPr>
          <w:rFonts w:ascii="Arial" w:cs="Arial" w:eastAsia="Arial" w:hAnsi="Arial"/>
          <w:sz w:val="16"/>
          <w:szCs w:val="16"/>
          <w:color w:val="010000"/>
        </w:rPr>
      </w:pPr>
      <w:r>
        <w:rPr>
          <w:rFonts w:ascii="Arial" w:cs="Arial" w:eastAsia="Arial" w:hAnsi="Arial"/>
          <w:sz w:val="16"/>
          <w:szCs w:val="16"/>
          <w:i w:val="1"/>
          <w:iCs w:val="1"/>
          <w:color w:val="auto"/>
        </w:rPr>
        <w:t>Covenants of the Company</w:t>
      </w:r>
      <w:r>
        <w:rPr>
          <w:rFonts w:ascii="Arial" w:cs="Arial" w:eastAsia="Arial" w:hAnsi="Arial"/>
          <w:sz w:val="16"/>
          <w:szCs w:val="16"/>
          <w:color w:val="auto"/>
        </w:rPr>
        <w:t>. The Company covenants with each Underwriter as follows:</w:t>
      </w:r>
    </w:p>
    <w:p>
      <w:pPr>
        <w:spacing w:after="0" w:line="209" w:lineRule="exact"/>
        <w:rPr>
          <w:sz w:val="20"/>
          <w:szCs w:val="20"/>
          <w:color w:val="auto"/>
        </w:rPr>
      </w:pPr>
    </w:p>
    <w:p>
      <w:pPr>
        <w:jc w:val="both"/>
        <w:ind w:firstLine="588"/>
        <w:spacing w:after="0" w:line="264" w:lineRule="auto"/>
        <w:tabs>
          <w:tab w:leader="none" w:pos="1023"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To furnish to you, without charge, four signed copies of the Registration Statement (including exhibits thereto and documents incorporated by reference therein)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you may reasonably request.</w:t>
      </w:r>
    </w:p>
    <w:p>
      <w:pPr>
        <w:spacing w:after="0" w:line="168" w:lineRule="exact"/>
        <w:rPr>
          <w:rFonts w:ascii="Arial" w:cs="Arial" w:eastAsia="Arial" w:hAnsi="Arial"/>
          <w:sz w:val="16"/>
          <w:szCs w:val="16"/>
          <w:color w:val="010000"/>
        </w:rPr>
      </w:pPr>
    </w:p>
    <w:p>
      <w:pPr>
        <w:jc w:val="both"/>
        <w:ind w:firstLine="588"/>
        <w:spacing w:after="0" w:line="272" w:lineRule="auto"/>
        <w:tabs>
          <w:tab w:leader="none" w:pos="967"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161" w:lineRule="exact"/>
        <w:rPr>
          <w:rFonts w:ascii="Arial" w:cs="Arial" w:eastAsia="Arial" w:hAnsi="Arial"/>
          <w:sz w:val="16"/>
          <w:szCs w:val="16"/>
          <w:color w:val="010000"/>
        </w:rPr>
      </w:pPr>
    </w:p>
    <w:p>
      <w:pPr>
        <w:ind w:firstLine="588"/>
        <w:spacing w:after="0" w:line="287" w:lineRule="auto"/>
        <w:tabs>
          <w:tab w:leader="none" w:pos="956"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49" w:lineRule="exact"/>
        <w:rPr>
          <w:rFonts w:ascii="Arial" w:cs="Arial" w:eastAsia="Arial" w:hAnsi="Arial"/>
          <w:sz w:val="16"/>
          <w:szCs w:val="16"/>
          <w:color w:val="010000"/>
        </w:rPr>
      </w:pPr>
    </w:p>
    <w:p>
      <w:pPr>
        <w:ind w:firstLine="588"/>
        <w:spacing w:after="0" w:line="323" w:lineRule="auto"/>
        <w:tabs>
          <w:tab w:leader="none" w:pos="1007" w:val="left"/>
        </w:tabs>
        <w:numPr>
          <w:ilvl w:val="0"/>
          <w:numId w:val="26"/>
        </w:numPr>
        <w:rPr>
          <w:rFonts w:ascii="Arial" w:cs="Arial" w:eastAsia="Arial" w:hAnsi="Arial"/>
          <w:sz w:val="15"/>
          <w:szCs w:val="15"/>
          <w:color w:val="010000"/>
        </w:rPr>
      </w:pPr>
      <w:r>
        <w:rPr>
          <w:rFonts w:ascii="Arial" w:cs="Arial" w:eastAsia="Arial" w:hAnsi="Arial"/>
          <w:sz w:val="15"/>
          <w:szCs w:val="15"/>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25" w:lineRule="exact"/>
        <w:rPr>
          <w:rFonts w:ascii="Arial" w:cs="Arial" w:eastAsia="Arial" w:hAnsi="Arial"/>
          <w:sz w:val="15"/>
          <w:szCs w:val="15"/>
          <w:color w:val="010000"/>
        </w:rPr>
      </w:pPr>
    </w:p>
    <w:p>
      <w:pPr>
        <w:jc w:val="both"/>
        <w:ind w:firstLine="588"/>
        <w:spacing w:after="0" w:line="303" w:lineRule="auto"/>
        <w:tabs>
          <w:tab w:leader="none" w:pos="955" w:val="left"/>
        </w:tabs>
        <w:numPr>
          <w:ilvl w:val="0"/>
          <w:numId w:val="26"/>
        </w:numPr>
        <w:rPr>
          <w:rFonts w:ascii="Arial" w:cs="Arial" w:eastAsia="Arial" w:hAnsi="Arial"/>
          <w:sz w:val="14"/>
          <w:szCs w:val="14"/>
          <w:color w:val="010000"/>
        </w:rPr>
      </w:pPr>
      <w:r>
        <w:rPr>
          <w:rFonts w:ascii="Arial" w:cs="Arial" w:eastAsia="Arial" w:hAnsi="Arial"/>
          <w:sz w:val="14"/>
          <w:szCs w:val="14"/>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43" w:lineRule="exact"/>
        <w:rPr>
          <w:rFonts w:ascii="Arial" w:cs="Arial" w:eastAsia="Arial" w:hAnsi="Arial"/>
          <w:sz w:val="14"/>
          <w:szCs w:val="14"/>
          <w:color w:val="010000"/>
        </w:rPr>
      </w:pPr>
    </w:p>
    <w:p>
      <w:pPr>
        <w:jc w:val="both"/>
        <w:ind w:firstLine="588"/>
        <w:spacing w:after="0" w:line="279" w:lineRule="auto"/>
        <w:tabs>
          <w:tab w:leader="none" w:pos="935" w:val="left"/>
        </w:tabs>
        <w:numPr>
          <w:ilvl w:val="0"/>
          <w:numId w:val="26"/>
        </w:numPr>
        <w:rPr>
          <w:rFonts w:ascii="Arial" w:cs="Arial" w:eastAsia="Arial" w:hAnsi="Arial"/>
          <w:sz w:val="15"/>
          <w:szCs w:val="15"/>
          <w:color w:val="010000"/>
        </w:rPr>
      </w:pPr>
      <w:r>
        <w:rPr>
          <w:rFonts w:ascii="Arial" w:cs="Arial" w:eastAsia="Arial" w:hAnsi="Arial"/>
          <w:sz w:val="15"/>
          <w:szCs w:val="15"/>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ectPr>
          <w:pgSz w:w="11900" w:h="16838" w:orient="portrait"/>
          <w:cols w:equalWidth="0" w:num="1">
            <w:col w:w="11420"/>
          </w:cols>
          <w:pgMar w:left="240" w:top="127" w:right="239" w:bottom="0" w:gutter="0" w:footer="0" w:header="0"/>
        </w:sectPr>
      </w:pPr>
    </w:p>
    <w:bookmarkStart w:id="12" w:name="page13"/>
    <w:bookmarkEnd w:id="12"/>
    <w:p>
      <w:pPr>
        <w:jc w:val="both"/>
        <w:ind w:left="2" w:firstLine="588"/>
        <w:spacing w:after="0" w:line="266" w:lineRule="auto"/>
        <w:tabs>
          <w:tab w:leader="none" w:pos="995"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During the period when a Prospectus relating to the Shares is (or, but for the exception afforded by Rule 172, would be) required to be delivered under the Securities Act, to file all documents required to be filed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within the time periods required by the Exchange Act and the regulations thereunder. Additionally, the Company shall report the use of proceeds from the issuance of the Shares as may be required under Rule 463 under the Securities Act.</w:t>
      </w:r>
    </w:p>
    <w:p>
      <w:pPr>
        <w:spacing w:after="0" w:line="167" w:lineRule="exact"/>
        <w:rPr>
          <w:rFonts w:ascii="Arial" w:cs="Arial" w:eastAsia="Arial" w:hAnsi="Arial"/>
          <w:sz w:val="16"/>
          <w:szCs w:val="16"/>
          <w:color w:val="010000"/>
        </w:rPr>
      </w:pPr>
    </w:p>
    <w:p>
      <w:pPr>
        <w:ind w:left="2" w:firstLine="588"/>
        <w:spacing w:after="0" w:line="287" w:lineRule="auto"/>
        <w:tabs>
          <w:tab w:leader="none" w:pos="977"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To use the net proceeds received by it from the sale of the Shares in the manner specified in the Registration Statement, the Time of Sale Prospectus and the Prospectus under “Use of Proceeds.”</w:t>
      </w:r>
    </w:p>
    <w:p>
      <w:pPr>
        <w:spacing w:after="0" w:line="149" w:lineRule="exact"/>
        <w:rPr>
          <w:rFonts w:ascii="Arial" w:cs="Arial" w:eastAsia="Arial" w:hAnsi="Arial"/>
          <w:sz w:val="16"/>
          <w:szCs w:val="16"/>
          <w:color w:val="010000"/>
        </w:rPr>
      </w:pPr>
    </w:p>
    <w:p>
      <w:pPr>
        <w:ind w:left="902" w:hanging="312"/>
        <w:spacing w:after="0"/>
        <w:tabs>
          <w:tab w:leader="none" w:pos="902"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To use its best efforts to effect and maintain the listing of the Common Stock (including the Shares) on the Nasdaq Global Market.</w:t>
      </w:r>
    </w:p>
    <w:p>
      <w:pPr>
        <w:spacing w:after="0" w:line="209" w:lineRule="exact"/>
        <w:rPr>
          <w:rFonts w:ascii="Arial" w:cs="Arial" w:eastAsia="Arial" w:hAnsi="Arial"/>
          <w:sz w:val="16"/>
          <w:szCs w:val="16"/>
          <w:color w:val="010000"/>
        </w:rPr>
      </w:pPr>
    </w:p>
    <w:p>
      <w:pPr>
        <w:jc w:val="both"/>
        <w:ind w:left="2" w:firstLine="588"/>
        <w:spacing w:after="0" w:line="272" w:lineRule="auto"/>
        <w:tabs>
          <w:tab w:leader="none" w:pos="978"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To endeavor to qualify the Shares for offer and sale under the securities or Blue Sky laws of such jurisdictions as you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161" w:lineRule="exact"/>
        <w:rPr>
          <w:rFonts w:ascii="Arial" w:cs="Arial" w:eastAsia="Arial" w:hAnsi="Arial"/>
          <w:sz w:val="16"/>
          <w:szCs w:val="16"/>
          <w:color w:val="010000"/>
        </w:rPr>
      </w:pPr>
    </w:p>
    <w:p>
      <w:pPr>
        <w:jc w:val="both"/>
        <w:ind w:left="2" w:firstLine="588"/>
        <w:spacing w:after="0" w:line="272" w:lineRule="auto"/>
        <w:tabs>
          <w:tab w:leader="none" w:pos="1071"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61" w:lineRule="exact"/>
        <w:rPr>
          <w:rFonts w:ascii="Arial" w:cs="Arial" w:eastAsia="Arial" w:hAnsi="Arial"/>
          <w:sz w:val="16"/>
          <w:szCs w:val="16"/>
          <w:color w:val="010000"/>
        </w:rPr>
      </w:pPr>
    </w:p>
    <w:p>
      <w:pPr>
        <w:ind w:left="1022" w:hanging="432"/>
        <w:spacing w:after="0"/>
        <w:tabs>
          <w:tab w:leader="none" w:pos="1022"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The Company will promptly notify the Representatives if the Company ceases to be an Emerging Growth Company at any time prior to the later of</w:t>
      </w:r>
    </w:p>
    <w:p>
      <w:pPr>
        <w:spacing w:after="0" w:line="24" w:lineRule="exact"/>
        <w:rPr>
          <w:rFonts w:ascii="Arial" w:cs="Arial" w:eastAsia="Arial" w:hAnsi="Arial"/>
          <w:sz w:val="16"/>
          <w:szCs w:val="16"/>
          <w:color w:val="010000"/>
        </w:rPr>
      </w:pPr>
    </w:p>
    <w:p>
      <w:pPr>
        <w:ind w:left="222" w:hanging="222"/>
        <w:spacing w:after="0"/>
        <w:tabs>
          <w:tab w:leader="none" w:pos="222"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completion of the distribution of the Shares within the meaning of the Securities Act and (b) completion of the Restricted Period (as defined in this Section 7).</w:t>
      </w:r>
    </w:p>
    <w:p>
      <w:pPr>
        <w:spacing w:after="0" w:line="198" w:lineRule="exact"/>
        <w:rPr>
          <w:rFonts w:ascii="Arial" w:cs="Arial" w:eastAsia="Arial" w:hAnsi="Arial"/>
          <w:sz w:val="16"/>
          <w:szCs w:val="16"/>
          <w:color w:val="auto"/>
        </w:rPr>
      </w:pPr>
    </w:p>
    <w:p>
      <w:pPr>
        <w:jc w:val="both"/>
        <w:ind w:left="2" w:firstLine="588"/>
        <w:spacing w:after="0" w:line="199" w:lineRule="exact"/>
        <w:tabs>
          <w:tab w:leader="none" w:pos="1039" w:val="left"/>
        </w:tabs>
        <w:numPr>
          <w:ilvl w:val="1"/>
          <w:numId w:val="28"/>
        </w:numPr>
        <w:rPr>
          <w:rFonts w:ascii="Arial" w:cs="Arial" w:eastAsia="Arial" w:hAnsi="Arial"/>
          <w:sz w:val="16"/>
          <w:szCs w:val="16"/>
          <w:color w:val="010000"/>
        </w:rPr>
      </w:pPr>
      <w:r>
        <w:rPr>
          <w:rFonts w:ascii="Arial" w:cs="Arial" w:eastAsia="Arial" w:hAnsi="Arial"/>
          <w:sz w:val="16"/>
          <w:szCs w:val="16"/>
          <w:color w:val="auto"/>
        </w:rPr>
        <w:t>If at any time following the distribution of any Written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 there occurred or occurs an event or development as a result of which such Written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Waters Communication to eliminate or correct such untrue statement or omission.</w:t>
      </w:r>
    </w:p>
    <w:p>
      <w:pPr>
        <w:spacing w:after="0" w:line="187" w:lineRule="exact"/>
        <w:rPr>
          <w:rFonts w:ascii="Arial" w:cs="Arial" w:eastAsia="Arial" w:hAnsi="Arial"/>
          <w:sz w:val="16"/>
          <w:szCs w:val="16"/>
          <w:color w:val="010000"/>
        </w:rPr>
      </w:pPr>
    </w:p>
    <w:p>
      <w:pPr>
        <w:jc w:val="both"/>
        <w:ind w:left="2" w:firstLine="588"/>
        <w:spacing w:after="0" w:line="266" w:lineRule="auto"/>
        <w:tabs>
          <w:tab w:leader="none" w:pos="1054" w:val="left"/>
        </w:tabs>
        <w:numPr>
          <w:ilvl w:val="1"/>
          <w:numId w:val="28"/>
        </w:numPr>
        <w:rPr>
          <w:rFonts w:ascii="Arial" w:cs="Arial" w:eastAsia="Arial" w:hAnsi="Arial"/>
          <w:sz w:val="16"/>
          <w:szCs w:val="16"/>
          <w:color w:val="010000"/>
        </w:rPr>
      </w:pPr>
      <w:r>
        <w:rPr>
          <w:rFonts w:ascii="Arial" w:cs="Arial" w:eastAsia="Arial" w:hAnsi="Arial"/>
          <w:sz w:val="16"/>
          <w:szCs w:val="16"/>
          <w:color w:val="auto"/>
        </w:rPr>
        <w:t>Company will deliver to each Underwriter (or its agent), on the date of execution of this Agreement, a properly completed and executed Certification Regarding Beneficial Owners of Legal Entity Customers in a form reasonably acceptable to the Underwriters,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67" w:lineRule="exact"/>
        <w:rPr>
          <w:rFonts w:ascii="Arial" w:cs="Arial" w:eastAsia="Arial" w:hAnsi="Arial"/>
          <w:sz w:val="16"/>
          <w:szCs w:val="16"/>
          <w:color w:val="010000"/>
        </w:rPr>
      </w:pPr>
    </w:p>
    <w:p>
      <w:pPr>
        <w:jc w:val="both"/>
        <w:ind w:left="2" w:firstLine="588"/>
        <w:spacing w:after="0" w:line="296" w:lineRule="auto"/>
        <w:tabs>
          <w:tab w:leader="none" w:pos="968" w:val="left"/>
        </w:tabs>
        <w:numPr>
          <w:ilvl w:val="1"/>
          <w:numId w:val="28"/>
        </w:numPr>
        <w:rPr>
          <w:rFonts w:ascii="Arial" w:cs="Arial" w:eastAsia="Arial" w:hAnsi="Arial"/>
          <w:sz w:val="14"/>
          <w:szCs w:val="14"/>
          <w:color w:val="010000"/>
        </w:rPr>
      </w:pPr>
      <w:r>
        <w:rPr>
          <w:rFonts w:ascii="Arial" w:cs="Arial" w:eastAsia="Arial" w:hAnsi="Arial"/>
          <w:sz w:val="14"/>
          <w:szCs w:val="14"/>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add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7(j) hereof, including filing fees and the reasonable fees and disbursements of counsel for the Underwriters in connection with such qualification and in connection with the Blue Sky or Legal Investment memorandum, provided, that the amount of such fees and disbursements of counsel to be paid shall not exceed $5,000 (excluding any filing fees), (iv) all filing fees and the reasonable fees and disbursements of counsel to the Underwriters incurred in connection with the review and qualification of the offering of the Shares by FINRA, provided, that the amount of such fees and disbursements of counsel to be paid shall not exceed $30,000 (excluding any filing fees), (v)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Underwriters agreeing to pay for the other 50%),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354" w:lineRule="exact"/>
        <w:rPr>
          <w:sz w:val="20"/>
          <w:szCs w:val="20"/>
          <w:color w:val="auto"/>
        </w:rPr>
      </w:pPr>
    </w:p>
    <w:p>
      <w:pPr>
        <w:jc w:val="both"/>
        <w:ind w:left="2" w:firstLine="590"/>
        <w:spacing w:after="0" w:line="266" w:lineRule="auto"/>
        <w:rPr>
          <w:sz w:val="20"/>
          <w:szCs w:val="20"/>
          <w:color w:val="auto"/>
        </w:rPr>
      </w:pPr>
      <w:r>
        <w:rPr>
          <w:rFonts w:ascii="Arial" w:cs="Arial" w:eastAsia="Arial" w:hAnsi="Arial"/>
          <w:sz w:val="16"/>
          <w:szCs w:val="16"/>
          <w:color w:val="auto"/>
        </w:rPr>
        <w:t>Whether or not the transactions contemplated in this Agreement are consummated or this Agreement is terminated, the Selling Shareholders agree to pay or cause to be paid all expenses incident to the performance of their obligations under this Agreement, including the fees, disbursements and expenses of the counsel for the Selling Shareholders and all other costs and expenses incident to the performance of the obligations of the Selling Shareholders hereunder for which provision is not otherwise made in this Section.</w:t>
      </w:r>
    </w:p>
    <w:p>
      <w:pPr>
        <w:spacing w:after="0" w:line="168" w:lineRule="exact"/>
        <w:rPr>
          <w:sz w:val="20"/>
          <w:szCs w:val="20"/>
          <w:color w:val="auto"/>
        </w:rPr>
      </w:pPr>
    </w:p>
    <w:p>
      <w:pPr>
        <w:jc w:val="both"/>
        <w:ind w:left="2" w:firstLine="590"/>
        <w:spacing w:after="0" w:line="287" w:lineRule="auto"/>
        <w:rPr>
          <w:sz w:val="20"/>
          <w:szCs w:val="20"/>
          <w:color w:val="auto"/>
        </w:rPr>
      </w:pPr>
      <w:r>
        <w:rPr>
          <w:rFonts w:ascii="Arial" w:cs="Arial" w:eastAsia="Arial" w:hAnsi="Arial"/>
          <w:sz w:val="16"/>
          <w:szCs w:val="16"/>
          <w:color w:val="auto"/>
        </w:rPr>
        <w:t>The provisions of this Section shall not supersede or otherwise affect any agreement that the Sellers may otherwise have for the allocation of such expenses among themselves.</w:t>
      </w:r>
    </w:p>
    <w:p>
      <w:pPr>
        <w:spacing w:after="0" w:line="150" w:lineRule="exact"/>
        <w:rPr>
          <w:sz w:val="20"/>
          <w:szCs w:val="20"/>
          <w:color w:val="auto"/>
        </w:rPr>
      </w:pPr>
    </w:p>
    <w:p>
      <w:pPr>
        <w:jc w:val="both"/>
        <w:ind w:left="2" w:firstLine="588"/>
        <w:spacing w:after="0" w:line="198" w:lineRule="exact"/>
        <w:tabs>
          <w:tab w:leader="none" w:pos="971" w:val="left"/>
        </w:tabs>
        <w:numPr>
          <w:ilvl w:val="0"/>
          <w:numId w:val="29"/>
        </w:numPr>
        <w:rPr>
          <w:rFonts w:ascii="Arial" w:cs="Arial" w:eastAsia="Arial" w:hAnsi="Arial"/>
          <w:sz w:val="15"/>
          <w:szCs w:val="15"/>
          <w:color w:val="010000"/>
        </w:rPr>
      </w:pPr>
      <w:r>
        <w:rPr>
          <w:rFonts w:ascii="Arial" w:cs="Arial" w:eastAsia="Arial" w:hAnsi="Arial"/>
          <w:sz w:val="15"/>
          <w:szCs w:val="15"/>
          <w:color w:val="auto"/>
        </w:rPr>
        <w:t>The Company hereby agrees that, without the prior written consent of the Representatives on behalf of the Underwriters, it will not, during the period ending on and including the 90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after the date of the Prospectus (the “</w:t>
      </w:r>
      <w:r>
        <w:rPr>
          <w:rFonts w:ascii="Arial" w:cs="Arial" w:eastAsia="Arial" w:hAnsi="Arial"/>
          <w:sz w:val="15"/>
          <w:szCs w:val="15"/>
          <w:b w:val="1"/>
          <w:bCs w:val="1"/>
          <w:color w:val="auto"/>
        </w:rPr>
        <w:t>Restricted Period</w:t>
      </w:r>
      <w:r>
        <w:rPr>
          <w:rFonts w:ascii="Arial" w:cs="Arial" w:eastAsia="Arial" w:hAnsi="Arial"/>
          <w:sz w:val="15"/>
          <w:szCs w:val="15"/>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restrictions shall not apply to (a) the Shares to be sold hereunder, (b) the issuance by the Company of shares of Common Stock upon the exercise (including net exercise) of an option or warrant or the conversion of a security outstanding on the date hereof and disclosed in the Time of Sale Prospectus, (c) the issuance by the Company of shares of, or options to purchase shares of, Common Stock or restricted stock units (including the Common Stock issued upon the settlement or exercise thereof) to employees, officers, directors, advisors or consultants of the Company pursuant to employee benefit plans described in the Time of Sale Prospectus and Prospectus, (d) the filing by the Company of registration statements on Form S</w:t>
      </w:r>
      <w:r>
        <w:rPr>
          <w:rFonts w:ascii="MS PGothic" w:cs="MS PGothic" w:eastAsia="MS PGothic" w:hAnsi="MS PGothic"/>
          <w:sz w:val="15"/>
          <w:szCs w:val="15"/>
          <w:color w:val="auto"/>
        </w:rPr>
        <w:t>‑</w:t>
      </w:r>
      <w:r>
        <w:rPr>
          <w:rFonts w:ascii="Arial" w:cs="Arial" w:eastAsia="Arial" w:hAnsi="Arial"/>
          <w:sz w:val="15"/>
          <w:szCs w:val="15"/>
          <w:color w:val="auto"/>
        </w:rPr>
        <w:t xml:space="preserve">8 with respect to the employee benefit plans described in the Time of Sale Prospectus, (e) 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each recipient of shares of Common Stock or securities convertible into or exercisable for Common Stock pursuant to this clause (e) shall execute a lock-up agreement substantially in the form of Exhibit A hereto.</w:t>
      </w:r>
    </w:p>
    <w:p>
      <w:pPr>
        <w:spacing w:after="0" w:line="189" w:lineRule="exact"/>
        <w:rPr>
          <w:rFonts w:ascii="Arial" w:cs="Arial" w:eastAsia="Arial" w:hAnsi="Arial"/>
          <w:sz w:val="15"/>
          <w:szCs w:val="15"/>
          <w:color w:val="010000"/>
        </w:rPr>
      </w:pPr>
    </w:p>
    <w:p>
      <w:pPr>
        <w:jc w:val="both"/>
        <w:ind w:left="2" w:firstLine="588"/>
        <w:spacing w:after="0" w:line="323" w:lineRule="auto"/>
        <w:tabs>
          <w:tab w:leader="none" w:pos="977" w:val="left"/>
        </w:tabs>
        <w:numPr>
          <w:ilvl w:val="0"/>
          <w:numId w:val="29"/>
        </w:numPr>
        <w:rPr>
          <w:rFonts w:ascii="Arial" w:cs="Arial" w:eastAsia="Arial" w:hAnsi="Arial"/>
          <w:sz w:val="15"/>
          <w:szCs w:val="15"/>
          <w:color w:val="010000"/>
        </w:rPr>
      </w:pPr>
      <w:r>
        <w:rPr>
          <w:rFonts w:ascii="Arial" w:cs="Arial" w:eastAsia="Arial" w:hAnsi="Arial"/>
          <w:sz w:val="15"/>
          <w:szCs w:val="15"/>
          <w:color w:val="auto"/>
        </w:rPr>
        <w:t xml:space="preserve">If any Seller is not a U.S. person for U.S. federal income tax purposes, the Company will deliver to each Underwriter (or its agent), on or before the Closing Date, </w:t>
      </w:r>
      <w:r>
        <w:rPr>
          <w:rFonts w:ascii="Arial" w:cs="Arial" w:eastAsia="Arial" w:hAnsi="Arial"/>
          <w:sz w:val="15"/>
          <w:szCs w:val="15"/>
          <w:color w:val="010000"/>
        </w:rPr>
        <w:t>(i)</w:t>
      </w:r>
      <w:r>
        <w:rPr>
          <w:rFonts w:ascii="Arial" w:cs="Arial" w:eastAsia="Arial" w:hAnsi="Arial"/>
          <w:sz w:val="15"/>
          <w:szCs w:val="15"/>
          <w:color w:val="auto"/>
        </w:rPr>
        <w:t xml:space="preserve"> a certificate with respect to the Company’s status as a “United States real property holding corporation,” dated not more than thirty (30) days prior to the Closing</w:t>
      </w:r>
    </w:p>
    <w:p>
      <w:pPr>
        <w:sectPr>
          <w:pgSz w:w="11900" w:h="16838" w:orient="portrait"/>
          <w:cols w:equalWidth="0" w:num="1">
            <w:col w:w="11422"/>
          </w:cols>
          <w:pgMar w:left="238" w:top="127" w:right="239" w:bottom="0" w:gutter="0" w:footer="0" w:header="0"/>
        </w:sectPr>
      </w:pPr>
    </w:p>
    <w:bookmarkStart w:id="13" w:name="page14"/>
    <w:bookmarkEnd w:id="13"/>
    <w:p>
      <w:pPr>
        <w:spacing w:after="0" w:line="50" w:lineRule="exact"/>
        <w:rPr>
          <w:sz w:val="20"/>
          <w:szCs w:val="20"/>
          <w:color w:val="auto"/>
        </w:rPr>
      </w:pPr>
    </w:p>
    <w:p>
      <w:pPr>
        <w:ind w:left="2"/>
        <w:spacing w:after="0" w:line="287" w:lineRule="auto"/>
        <w:rPr>
          <w:sz w:val="20"/>
          <w:szCs w:val="20"/>
          <w:color w:val="auto"/>
        </w:rPr>
      </w:pPr>
      <w:r>
        <w:rPr>
          <w:rFonts w:ascii="Arial" w:cs="Arial" w:eastAsia="Arial" w:hAnsi="Arial"/>
          <w:sz w:val="16"/>
          <w:szCs w:val="16"/>
          <w:color w:val="auto"/>
        </w:rPr>
        <w:t xml:space="preserve">Date, as described in Treasury Regulations Sections 1.897-2(h) and 1.1445-2(c)(3), and </w:t>
      </w:r>
      <w:r>
        <w:rPr>
          <w:rFonts w:ascii="Arial" w:cs="Arial" w:eastAsia="Arial" w:hAnsi="Arial"/>
          <w:sz w:val="16"/>
          <w:szCs w:val="16"/>
          <w:color w:val="010000"/>
        </w:rPr>
        <w:t>(i)</w:t>
      </w:r>
      <w:r>
        <w:rPr>
          <w:rFonts w:ascii="Arial" w:cs="Arial" w:eastAsia="Arial" w:hAnsi="Arial"/>
          <w:sz w:val="16"/>
          <w:szCs w:val="16"/>
          <w:color w:val="auto"/>
        </w:rPr>
        <w:t xml:space="preserve"> proof of delivery to the IRS of the required notice, as described in Treasury Regulations 1.897-2(h)(2)..</w:t>
      </w:r>
    </w:p>
    <w:p>
      <w:pPr>
        <w:spacing w:after="0" w:line="150" w:lineRule="exact"/>
        <w:rPr>
          <w:sz w:val="20"/>
          <w:szCs w:val="20"/>
          <w:color w:val="auto"/>
        </w:rPr>
      </w:pPr>
    </w:p>
    <w:p>
      <w:pPr>
        <w:ind w:left="882" w:hanging="292"/>
        <w:spacing w:after="0"/>
        <w:tabs>
          <w:tab w:leader="none" w:pos="882" w:val="left"/>
        </w:tabs>
        <w:numPr>
          <w:ilvl w:val="0"/>
          <w:numId w:val="30"/>
        </w:numPr>
        <w:rPr>
          <w:rFonts w:ascii="Arial" w:cs="Arial" w:eastAsia="Arial" w:hAnsi="Arial"/>
          <w:sz w:val="16"/>
          <w:szCs w:val="16"/>
          <w:color w:val="010000"/>
        </w:rPr>
      </w:pPr>
      <w:r>
        <w:rPr>
          <w:rFonts w:ascii="Arial" w:cs="Arial" w:eastAsia="Arial" w:hAnsi="Arial"/>
          <w:sz w:val="16"/>
          <w:szCs w:val="16"/>
          <w:i w:val="1"/>
          <w:iCs w:val="1"/>
          <w:color w:val="auto"/>
        </w:rPr>
        <w:t>Covenants of the Seller</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Each Seller, severally and not jointly, covenants with each Underwriter as follows:</w:t>
      </w:r>
    </w:p>
    <w:p>
      <w:pPr>
        <w:spacing w:after="0" w:line="205" w:lineRule="exact"/>
        <w:rPr>
          <w:sz w:val="20"/>
          <w:szCs w:val="20"/>
          <w:color w:val="auto"/>
        </w:rPr>
      </w:pPr>
    </w:p>
    <w:p>
      <w:pPr>
        <w:ind w:left="2" w:firstLine="588"/>
        <w:spacing w:after="0" w:line="293" w:lineRule="auto"/>
        <w:tabs>
          <w:tab w:leader="none" w:pos="942"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Each Seller will deliver to each Underwriter (or its agent), prior to or at the Closing Date, a properly completed and executed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Form W-9 or an IRS Form W-8, as appropriate, together with all required attachments to such form.</w:t>
      </w:r>
    </w:p>
    <w:p>
      <w:pPr>
        <w:spacing w:after="0" w:line="144" w:lineRule="exact"/>
        <w:rPr>
          <w:rFonts w:ascii="Arial" w:cs="Arial" w:eastAsia="Arial" w:hAnsi="Arial"/>
          <w:sz w:val="16"/>
          <w:szCs w:val="16"/>
          <w:color w:val="010000"/>
        </w:rPr>
      </w:pPr>
    </w:p>
    <w:p>
      <w:pPr>
        <w:jc w:val="both"/>
        <w:ind w:left="2" w:firstLine="588"/>
        <w:spacing w:after="0" w:line="272" w:lineRule="auto"/>
        <w:tabs>
          <w:tab w:leader="none" w:pos="1034"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Each Seller will deliver to each Underwriter (or its agent), on the date of execution of this Agreement, a properly completed and executed Certification Regarding Beneficial Owners of Legal Entity Customers, together with copies of identifying documentation, and each Seller undertakes to provide such additional supporting documentation as each Underwriter may reasonably request in connection with the verification of the foregoing Certification.</w:t>
      </w:r>
    </w:p>
    <w:p>
      <w:pPr>
        <w:spacing w:after="0" w:line="161" w:lineRule="exact"/>
        <w:rPr>
          <w:sz w:val="20"/>
          <w:szCs w:val="20"/>
          <w:color w:val="auto"/>
        </w:rPr>
      </w:pPr>
    </w:p>
    <w:p>
      <w:pPr>
        <w:jc w:val="both"/>
        <w:ind w:left="2" w:firstLine="588"/>
        <w:spacing w:after="0" w:line="272" w:lineRule="auto"/>
        <w:tabs>
          <w:tab w:leader="none" w:pos="878" w:val="left"/>
        </w:tabs>
        <w:numPr>
          <w:ilvl w:val="0"/>
          <w:numId w:val="32"/>
        </w:numPr>
        <w:rPr>
          <w:rFonts w:ascii="Arial" w:cs="Arial" w:eastAsia="Arial" w:hAnsi="Arial"/>
          <w:sz w:val="16"/>
          <w:szCs w:val="16"/>
          <w:color w:val="010000"/>
        </w:rPr>
      </w:pPr>
      <w:r>
        <w:rPr>
          <w:rFonts w:ascii="Arial" w:cs="Arial" w:eastAsia="Arial" w:hAnsi="Arial"/>
          <w:sz w:val="16"/>
          <w:szCs w:val="16"/>
          <w:i w:val="1"/>
          <w:iCs w:val="1"/>
          <w:color w:val="auto"/>
        </w:rPr>
        <w:t>Covenants of the Underwriters</w:t>
      </w:r>
      <w:r>
        <w:rPr>
          <w:rFonts w:ascii="Arial" w:cs="Arial" w:eastAsia="Arial" w:hAnsi="Arial"/>
          <w:sz w:val="16"/>
          <w:szCs w:val="16"/>
          <w:color w:val="auto"/>
        </w:rPr>
        <w:t>. Each Underwriter severally covenants with the Company not to take any action that would result in the Company being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file with the Commission under Rule 433(d) a free writing prospectus prepared by or on behalf of such Underwriter that otherwise would not be required to be filed by the Company thereunder, but for the action of the Underwriter.</w:t>
      </w:r>
    </w:p>
    <w:p>
      <w:pPr>
        <w:spacing w:after="0" w:line="161" w:lineRule="exact"/>
        <w:rPr>
          <w:rFonts w:ascii="Arial" w:cs="Arial" w:eastAsia="Arial" w:hAnsi="Arial"/>
          <w:sz w:val="16"/>
          <w:szCs w:val="16"/>
          <w:color w:val="010000"/>
        </w:rPr>
      </w:pPr>
    </w:p>
    <w:p>
      <w:pPr>
        <w:jc w:val="both"/>
        <w:ind w:left="2" w:firstLine="588"/>
        <w:spacing w:after="0" w:line="198" w:lineRule="exact"/>
        <w:tabs>
          <w:tab w:leader="none" w:pos="972" w:val="left"/>
        </w:tabs>
        <w:numPr>
          <w:ilvl w:val="0"/>
          <w:numId w:val="32"/>
        </w:numPr>
        <w:rPr>
          <w:rFonts w:ascii="Arial" w:cs="Arial" w:eastAsia="Arial" w:hAnsi="Arial"/>
          <w:sz w:val="15"/>
          <w:szCs w:val="15"/>
          <w:color w:val="010000"/>
        </w:rPr>
      </w:pPr>
      <w:r>
        <w:rPr>
          <w:rFonts w:ascii="Arial" w:cs="Arial" w:eastAsia="Arial" w:hAnsi="Arial"/>
          <w:sz w:val="15"/>
          <w:szCs w:val="15"/>
          <w:i w:val="1"/>
          <w:iCs w:val="1"/>
          <w:color w:val="auto"/>
        </w:rPr>
        <w:t>Indemnity and Contribution</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010000"/>
        </w:rPr>
        <w:t>(a)</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agrees to indemnify and hold harmless each Underwriter, the directors, officers, employees and agents of each</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 each person, if any, who controls any Underwriter within the meaning of either Section 15 of the Securities Act or Section 20 of the Exchange Act, and each affiliate of any Underwriter within the meaning of Rule 405 under the Securities Act (collectively, the “</w:t>
      </w:r>
      <w:r>
        <w:rPr>
          <w:rFonts w:ascii="Arial" w:cs="Arial" w:eastAsia="Arial" w:hAnsi="Arial"/>
          <w:sz w:val="15"/>
          <w:szCs w:val="15"/>
          <w:b w:val="1"/>
          <w:bCs w:val="1"/>
          <w:color w:val="auto"/>
        </w:rPr>
        <w:t>Underwriter Indemnitees</w:t>
      </w:r>
      <w:r>
        <w:rPr>
          <w:rFonts w:ascii="Arial" w:cs="Arial" w:eastAsia="Arial" w:hAnsi="Arial"/>
          <w:sz w:val="15"/>
          <w:szCs w:val="15"/>
          <w:color w:val="auto"/>
        </w:rPr>
        <w: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5"/>
          <w:szCs w:val="15"/>
          <w:b w:val="1"/>
          <w:bCs w:val="1"/>
          <w:color w:val="auto"/>
        </w:rPr>
        <w:t>road show</w:t>
      </w:r>
      <w:r>
        <w:rPr>
          <w:rFonts w:ascii="Arial" w:cs="Arial" w:eastAsia="Arial" w:hAnsi="Arial"/>
          <w:sz w:val="15"/>
          <w:szCs w:val="15"/>
          <w:color w:val="auto"/>
        </w:rPr>
        <w:t>”), or the Prospectus or any amendment or supplement thereto, or any Written Testing</w:t>
      </w:r>
      <w:r>
        <w:rPr>
          <w:rFonts w:ascii="MS PGothic" w:cs="MS PGothic" w:eastAsia="MS PGothic" w:hAnsi="MS PGothic"/>
          <w:sz w:val="15"/>
          <w:szCs w:val="15"/>
          <w:color w:val="auto"/>
        </w:rPr>
        <w:t>‑</w:t>
      </w:r>
      <w:r>
        <w:rPr>
          <w:rFonts w:ascii="Arial" w:cs="Arial" w:eastAsia="Arial" w:hAnsi="Arial"/>
          <w:sz w:val="15"/>
          <w:szCs w:val="15"/>
          <w:color w:val="auto"/>
        </w:rPr>
        <w:t>the</w:t>
      </w:r>
      <w:r>
        <w:rPr>
          <w:rFonts w:ascii="MS PGothic" w:cs="MS PGothic" w:eastAsia="MS PGothic" w:hAnsi="MS PGothic"/>
          <w:sz w:val="15"/>
          <w:szCs w:val="15"/>
          <w:color w:val="auto"/>
        </w:rPr>
        <w:t>‑</w:t>
      </w:r>
      <w:r>
        <w:rPr>
          <w:rFonts w:ascii="Arial" w:cs="Arial" w:eastAsia="Arial" w:hAnsi="Arial"/>
          <w:sz w:val="15"/>
          <w:szCs w:val="15"/>
          <w:color w:val="auto"/>
        </w:rPr>
        <w:t>Waters Communication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86" w:lineRule="exact"/>
        <w:rPr>
          <w:sz w:val="20"/>
          <w:szCs w:val="20"/>
          <w:color w:val="auto"/>
        </w:rPr>
      </w:pPr>
    </w:p>
    <w:p>
      <w:pPr>
        <w:jc w:val="both"/>
        <w:ind w:left="2" w:firstLine="588"/>
        <w:spacing w:after="0" w:line="279" w:lineRule="auto"/>
        <w:tabs>
          <w:tab w:leader="none" w:pos="969" w:val="left"/>
        </w:tabs>
        <w:numPr>
          <w:ilvl w:val="1"/>
          <w:numId w:val="33"/>
        </w:numPr>
        <w:rPr>
          <w:rFonts w:ascii="Arial" w:cs="Arial" w:eastAsia="Arial" w:hAnsi="Arial"/>
          <w:sz w:val="15"/>
          <w:szCs w:val="15"/>
          <w:color w:val="010000"/>
        </w:rPr>
      </w:pPr>
      <w:r>
        <w:rPr>
          <w:rFonts w:ascii="Arial" w:cs="Arial" w:eastAsia="Arial" w:hAnsi="Arial"/>
          <w:sz w:val="15"/>
          <w:szCs w:val="15"/>
          <w:color w:val="auto"/>
        </w:rPr>
        <w:t>Each Selling Shareholder agrees, severally and not jointly, to indemnify and hold harmless the Underwriter Indemnitees,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any Written Testing-the-Waters Communication or caused by any omission or alleged omission to state therein a material fact required to be stated therein or necessary to make the statements therein not misleading, but only with reference to information relating to such Selling Shareholder furnished in writing by or on behalf of such Selling Shareholder expressly for use in the Registration Statement, any preliminary prospectus, the Time of Sale Prospectus, any issuer free writing prospectus, road show or the Prospectus or any amendment or supplement thereto.</w:t>
      </w:r>
    </w:p>
    <w:p>
      <w:pPr>
        <w:spacing w:after="0" w:line="162" w:lineRule="exact"/>
        <w:rPr>
          <w:rFonts w:ascii="Arial" w:cs="Arial" w:eastAsia="Arial" w:hAnsi="Arial"/>
          <w:sz w:val="15"/>
          <w:szCs w:val="15"/>
          <w:color w:val="010000"/>
        </w:rPr>
      </w:pPr>
    </w:p>
    <w:p>
      <w:pPr>
        <w:jc w:val="both"/>
        <w:ind w:left="2" w:firstLine="588"/>
        <w:spacing w:after="0" w:line="279" w:lineRule="auto"/>
        <w:tabs>
          <w:tab w:leader="none" w:pos="975" w:val="left"/>
        </w:tabs>
        <w:numPr>
          <w:ilvl w:val="1"/>
          <w:numId w:val="33"/>
        </w:numPr>
        <w:rPr>
          <w:rFonts w:ascii="Arial" w:cs="Arial" w:eastAsia="Arial" w:hAnsi="Arial"/>
          <w:sz w:val="15"/>
          <w:szCs w:val="15"/>
          <w:color w:val="010000"/>
        </w:rPr>
      </w:pPr>
      <w:r>
        <w:rPr>
          <w:rFonts w:ascii="Arial" w:cs="Arial" w:eastAsia="Arial" w:hAnsi="Arial"/>
          <w:sz w:val="15"/>
          <w:szCs w:val="15"/>
          <w:color w:val="auto"/>
        </w:rPr>
        <w:t>Each Underwriter agrees, severally and not jointly, to indemnify and hold harmless the Company, the Selling Shareholders, the directors of the Company, the officers of the Company who sign the Registration Statement and each person, if any, who controls the Company or any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w:t>
      </w:r>
    </w:p>
    <w:p>
      <w:pPr>
        <w:spacing w:after="0" w:line="158" w:lineRule="exact"/>
        <w:rPr>
          <w:rFonts w:ascii="Arial" w:cs="Arial" w:eastAsia="Arial" w:hAnsi="Arial"/>
          <w:sz w:val="15"/>
          <w:szCs w:val="15"/>
          <w:color w:val="010000"/>
        </w:rPr>
      </w:pPr>
    </w:p>
    <w:p>
      <w:pPr>
        <w:jc w:val="both"/>
        <w:ind w:left="2" w:firstLine="588"/>
        <w:spacing w:after="0" w:line="296" w:lineRule="auto"/>
        <w:tabs>
          <w:tab w:leader="none" w:pos="1016" w:val="left"/>
        </w:tabs>
        <w:numPr>
          <w:ilvl w:val="1"/>
          <w:numId w:val="33"/>
        </w:numPr>
        <w:rPr>
          <w:rFonts w:ascii="Arial" w:cs="Arial" w:eastAsia="Arial" w:hAnsi="Arial"/>
          <w:sz w:val="14"/>
          <w:szCs w:val="14"/>
          <w:color w:val="010000"/>
        </w:rPr>
      </w:pPr>
      <w:r>
        <w:rPr>
          <w:rFonts w:ascii="Arial" w:cs="Arial" w:eastAsia="Arial" w:hAnsi="Arial"/>
          <w:sz w:val="14"/>
          <w:szCs w:val="14"/>
          <w:color w:val="auto"/>
        </w:rPr>
        <w:t>In case any proceeding (including any governmental investigation) shall be instituted involving any person in respect of which indemnity may be sought pursuant to Section 10(a), 10(b) or 10(c), such person (the “</w:t>
      </w:r>
      <w:r>
        <w:rPr>
          <w:rFonts w:ascii="Arial" w:cs="Arial" w:eastAsia="Arial" w:hAnsi="Arial"/>
          <w:sz w:val="14"/>
          <w:szCs w:val="14"/>
          <w:b w:val="1"/>
          <w:bCs w:val="1"/>
          <w:color w:val="auto"/>
        </w:rPr>
        <w:t>indemnified party</w:t>
      </w:r>
      <w:r>
        <w:rPr>
          <w:rFonts w:ascii="Arial" w:cs="Arial" w:eastAsia="Arial" w:hAnsi="Arial"/>
          <w:sz w:val="14"/>
          <w:szCs w:val="14"/>
          <w:color w:val="auto"/>
        </w:rPr>
        <w:t>”) shall promptly notify the person against whom such indemnity may be sought (the “</w:t>
      </w:r>
      <w:r>
        <w:rPr>
          <w:rFonts w:ascii="Arial" w:cs="Arial" w:eastAsia="Arial" w:hAnsi="Arial"/>
          <w:sz w:val="14"/>
          <w:szCs w:val="14"/>
          <w:b w:val="1"/>
          <w:bCs w:val="1"/>
          <w:color w:val="auto"/>
        </w:rPr>
        <w:t>indemnifying party</w:t>
      </w:r>
      <w:r>
        <w:rPr>
          <w:rFonts w:ascii="Arial" w:cs="Arial" w:eastAsia="Arial" w:hAnsi="Arial"/>
          <w:sz w:val="14"/>
          <w:szCs w:val="14"/>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such indemnified parties and that all such fees and expenses shall be reimbursed as they are incurred, (ii) the fees and expenses of more than one separate firm (in addition to any local counsel) for the Company, its directors, its officers who sign the Registration Statement and each person, if any, who controls the Company within the meaning of either such Section and (iii) the fees and expenses of more than one separate firm (in addition to any local counsel) for all Selling Shareholders and all persons, if any, who control any Selling Shareholder within the meaning of either such Section. In the case of parties indemnified pursuant to Section 10(a) or 10(b), such separate firm shall be designated in writing by the Representatives. In the case of parties indemnified pursuant to Section 10(c), such separate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w:t>
      </w:r>
    </w:p>
    <w:p>
      <w:pPr>
        <w:spacing w:after="0" w:line="164" w:lineRule="exact"/>
        <w:rPr>
          <w:rFonts w:ascii="Arial" w:cs="Arial" w:eastAsia="Arial" w:hAnsi="Arial"/>
          <w:sz w:val="14"/>
          <w:szCs w:val="14"/>
          <w:color w:val="010000"/>
        </w:rPr>
      </w:pPr>
    </w:p>
    <w:p>
      <w:pPr>
        <w:ind w:left="2" w:hanging="2"/>
        <w:spacing w:after="0" w:line="273" w:lineRule="auto"/>
        <w:tabs>
          <w:tab w:leader="none" w:pos="201"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60" w:lineRule="exact"/>
        <w:rPr>
          <w:rFonts w:ascii="Arial" w:cs="Arial" w:eastAsia="Arial" w:hAnsi="Arial"/>
          <w:sz w:val="16"/>
          <w:szCs w:val="16"/>
          <w:color w:val="auto"/>
        </w:rPr>
      </w:pPr>
    </w:p>
    <w:p>
      <w:pPr>
        <w:jc w:val="both"/>
        <w:ind w:left="2" w:firstLine="588"/>
        <w:spacing w:after="0" w:line="277" w:lineRule="auto"/>
        <w:tabs>
          <w:tab w:leader="none" w:pos="982" w:val="left"/>
        </w:tabs>
        <w:numPr>
          <w:ilvl w:val="1"/>
          <w:numId w:val="34"/>
        </w:numPr>
        <w:rPr>
          <w:rFonts w:ascii="Arial" w:cs="Arial" w:eastAsia="Arial" w:hAnsi="Arial"/>
          <w:sz w:val="15"/>
          <w:szCs w:val="15"/>
          <w:color w:val="010000"/>
        </w:rPr>
      </w:pPr>
      <w:r>
        <w:rPr>
          <w:rFonts w:ascii="Arial" w:cs="Arial" w:eastAsia="Arial" w:hAnsi="Arial"/>
          <w:sz w:val="15"/>
          <w:szCs w:val="15"/>
          <w:color w:val="auto"/>
        </w:rPr>
        <w:t>To the extent the indemnification provided for in Section 10(a), 10(b) or 10(c)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w:t>
      </w:r>
    </w:p>
    <w:p>
      <w:pPr>
        <w:spacing w:after="0" w:line="1" w:lineRule="exact"/>
        <w:rPr>
          <w:rFonts w:ascii="Arial" w:cs="Arial" w:eastAsia="Arial" w:hAnsi="Arial"/>
          <w:sz w:val="15"/>
          <w:szCs w:val="15"/>
          <w:color w:val="010000"/>
        </w:rPr>
      </w:pPr>
    </w:p>
    <w:p>
      <w:pPr>
        <w:jc w:val="both"/>
        <w:ind w:left="2" w:hanging="2"/>
        <w:spacing w:after="0" w:line="284" w:lineRule="auto"/>
        <w:tabs>
          <w:tab w:leader="none" w:pos="248" w:val="left"/>
        </w:tabs>
        <w:numPr>
          <w:ilvl w:val="0"/>
          <w:numId w:val="35"/>
        </w:numPr>
        <w:rPr>
          <w:rFonts w:ascii="Arial" w:cs="Arial" w:eastAsia="Arial" w:hAnsi="Arial"/>
          <w:sz w:val="15"/>
          <w:szCs w:val="15"/>
          <w:color w:val="auto"/>
        </w:rPr>
      </w:pPr>
      <w:r>
        <w:rPr>
          <w:rFonts w:ascii="Arial" w:cs="Arial" w:eastAsia="Arial" w:hAnsi="Arial"/>
          <w:sz w:val="15"/>
          <w:szCs w:val="15"/>
          <w:color w:val="auto"/>
        </w:rPr>
        <w:t>if the allocation provided by clause 10(e)(i) above is not permitted by applicable law, in such proportion as is appropriate to reflect not only the relative benefits referred to in clause 10(e)(i)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Sellers on the one hand and the Underwriters on the other hand in connection with the offering of the Shares shall be deemed to be in the same</w:t>
      </w:r>
    </w:p>
    <w:p>
      <w:pPr>
        <w:sectPr>
          <w:pgSz w:w="11900" w:h="16889" w:orient="portrait"/>
          <w:cols w:equalWidth="0" w:num="1">
            <w:col w:w="11422"/>
          </w:cols>
          <w:pgMar w:left="238" w:top="127" w:right="239" w:bottom="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16"/>
          <w:szCs w:val="16"/>
          <w:color w:val="auto"/>
        </w:rPr>
        <w:t>respective proportions as the net proceeds from the offering of the Shares (before deducting expenses) received by the Sellers and the total underwriting discounts and commissions received by the Underwriters, in 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 statement or omission. The Underwriters’ respective obligations to contribute pursuant to this Section 10 are several in proportion to the respective number of Shares they have purchased hereunder, and not joint. The liability of each Selling Shareholder under the contribution agreement contained in this paragraph shall be limited to an amount equal to the aggregate Public Offering Price of the Shares sold by such Selling Shareholder under this Agreement.</w:t>
      </w:r>
    </w:p>
    <w:p>
      <w:pPr>
        <w:spacing w:after="0" w:line="169" w:lineRule="exact"/>
        <w:rPr>
          <w:sz w:val="20"/>
          <w:szCs w:val="20"/>
          <w:color w:val="auto"/>
        </w:rPr>
      </w:pPr>
    </w:p>
    <w:p>
      <w:pPr>
        <w:jc w:val="both"/>
        <w:ind w:firstLine="588"/>
        <w:spacing w:after="0" w:line="301" w:lineRule="auto"/>
        <w:tabs>
          <w:tab w:leader="none" w:pos="952" w:val="left"/>
        </w:tabs>
        <w:numPr>
          <w:ilvl w:val="0"/>
          <w:numId w:val="36"/>
        </w:numPr>
        <w:rPr>
          <w:rFonts w:ascii="Arial" w:cs="Arial" w:eastAsia="Arial" w:hAnsi="Arial"/>
          <w:sz w:val="14"/>
          <w:szCs w:val="14"/>
          <w:color w:val="010000"/>
        </w:rPr>
      </w:pPr>
      <w:r>
        <w:rPr>
          <w:rFonts w:ascii="Arial" w:cs="Arial" w:eastAsia="Arial" w:hAnsi="Arial"/>
          <w:sz w:val="14"/>
          <w:szCs w:val="14"/>
          <w:color w:val="auto"/>
        </w:rPr>
        <w:t xml:space="preserve">The Sellers and the Underwriters agree that it would not be just or equitable if contribution pursuant to this Section 10 were determined by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allocation (even if the Underwriters were treated as one entity for such purpose) or by any other method of allocation that does not take account of the equitable considerations referred to in Section 10(e). The amount paid or payable by an indemnified party as a result of the losses, claims, damages and liabilities referred to in Section 10(e)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49" w:lineRule="exact"/>
        <w:rPr>
          <w:rFonts w:ascii="Arial" w:cs="Arial" w:eastAsia="Arial" w:hAnsi="Arial"/>
          <w:sz w:val="14"/>
          <w:szCs w:val="14"/>
          <w:color w:val="010000"/>
        </w:rPr>
      </w:pPr>
    </w:p>
    <w:p>
      <w:pPr>
        <w:jc w:val="both"/>
        <w:ind w:firstLine="588"/>
        <w:spacing w:after="0" w:line="264" w:lineRule="auto"/>
        <w:tabs>
          <w:tab w:leader="none" w:pos="918"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The indemnity and contribution provisions contained in this Section 10 and the representations, warranties and other statements of the Company and the Selling Shareholders contained in this Agreement shall remain operative and in full force and effect regardless of (i) any termination of this Agreement, (ii) any investigation made by or on behalf of any Underwriter, any person controlling any Underwriter or any affiliate of any Underwriter, by or on behalf of the Company, its officers or directors or any person controlling the Company or by or on behalf any Selling Shareholder or any person controlling any Selling Shareholder and (iii) acceptance of and payment for any of the Shares.</w:t>
      </w:r>
    </w:p>
    <w:p>
      <w:pPr>
        <w:spacing w:after="0" w:line="168" w:lineRule="exact"/>
        <w:rPr>
          <w:sz w:val="20"/>
          <w:szCs w:val="20"/>
          <w:color w:val="auto"/>
        </w:rPr>
      </w:pPr>
    </w:p>
    <w:p>
      <w:pPr>
        <w:jc w:val="both"/>
        <w:ind w:firstLine="588"/>
        <w:spacing w:after="0" w:line="198" w:lineRule="exact"/>
        <w:tabs>
          <w:tab w:leader="none" w:pos="989" w:val="left"/>
        </w:tabs>
        <w:numPr>
          <w:ilvl w:val="0"/>
          <w:numId w:val="37"/>
        </w:numPr>
        <w:rPr>
          <w:rFonts w:ascii="Arial" w:cs="Arial" w:eastAsia="Arial" w:hAnsi="Arial"/>
          <w:sz w:val="16"/>
          <w:szCs w:val="16"/>
          <w:color w:val="010000"/>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prior to the Closing Date (i) trading generally shall have been suspended or materially limited on, or by, as the case may be, any of the New York Stock Exchange, the NYSE MKT, the Nasdaq Global Market, or other relevant exchanges, (ii) trading of any securities of the Company shall have been suspended on any exchange or in any over</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87" w:lineRule="exact"/>
        <w:rPr>
          <w:rFonts w:ascii="Arial" w:cs="Arial" w:eastAsia="Arial" w:hAnsi="Arial"/>
          <w:sz w:val="16"/>
          <w:szCs w:val="16"/>
          <w:color w:val="010000"/>
        </w:rPr>
      </w:pPr>
    </w:p>
    <w:p>
      <w:pPr>
        <w:ind w:left="960" w:hanging="372"/>
        <w:spacing w:after="0"/>
        <w:tabs>
          <w:tab w:leader="none" w:pos="960" w:val="left"/>
        </w:tabs>
        <w:numPr>
          <w:ilvl w:val="0"/>
          <w:numId w:val="37"/>
        </w:numPr>
        <w:rPr>
          <w:rFonts w:ascii="Arial" w:cs="Arial" w:eastAsia="Arial" w:hAnsi="Arial"/>
          <w:sz w:val="16"/>
          <w:szCs w:val="16"/>
          <w:color w:val="010000"/>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09" w:lineRule="exact"/>
        <w:rPr>
          <w:sz w:val="20"/>
          <w:szCs w:val="20"/>
          <w:color w:val="auto"/>
        </w:rPr>
      </w:pPr>
    </w:p>
    <w:p>
      <w:pPr>
        <w:jc w:val="both"/>
        <w:ind w:firstLine="590"/>
        <w:spacing w:after="0" w:line="200" w:lineRule="exact"/>
        <w:rPr>
          <w:sz w:val="20"/>
          <w:szCs w:val="20"/>
          <w:color w:val="auto"/>
        </w:rPr>
      </w:pPr>
      <w:r>
        <w:rPr>
          <w:rFonts w:ascii="Arial" w:cs="Arial" w:eastAsia="Arial" w:hAnsi="Arial"/>
          <w:sz w:val="14"/>
          <w:szCs w:val="14"/>
          <w:color w:val="auto"/>
        </w:rPr>
        <w:t>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w:t>
      </w:r>
      <w:r>
        <w:rPr>
          <w:rFonts w:ascii="MS PGothic" w:cs="MS PGothic" w:eastAsia="MS PGothic" w:hAnsi="MS PGothic"/>
          <w:sz w:val="14"/>
          <w:szCs w:val="14"/>
          <w:color w:val="auto"/>
        </w:rPr>
        <w:t>‑</w:t>
      </w:r>
      <w:r>
        <w:rPr>
          <w:rFonts w:ascii="Arial" w:cs="Arial" w:eastAsia="Arial" w:hAnsi="Arial"/>
          <w:sz w:val="14"/>
          <w:szCs w:val="14"/>
          <w:color w:val="auto"/>
        </w:rPr>
        <w:t>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w:t>
      </w:r>
      <w:r>
        <w:rPr>
          <w:rFonts w:ascii="MS PGothic" w:cs="MS PGothic" w:eastAsia="MS PGothic" w:hAnsi="MS PGothic"/>
          <w:sz w:val="14"/>
          <w:szCs w:val="14"/>
          <w:color w:val="auto"/>
        </w:rPr>
        <w:t>‑</w:t>
      </w:r>
      <w:r>
        <w:rPr>
          <w:rFonts w:ascii="Arial" w:cs="Arial" w:eastAsia="Arial" w:hAnsi="Arial"/>
          <w:sz w:val="14"/>
          <w:szCs w:val="14"/>
          <w:color w:val="auto"/>
        </w:rPr>
        <w:t xml:space="preserve">defaulting Underwriters, or in such other proportions as you may specify, to purchase the Shares which such defaulting Underwriter or Underwriters agreed but failed or refused to purchase on such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number of Shares that any Underwriter has agreed to purchase pursuant to this Agreement be increased pursuant to this Section 12 by an amount in excess of one</w:t>
      </w:r>
      <w:r>
        <w:rPr>
          <w:rFonts w:ascii="MS PGothic" w:cs="MS PGothic" w:eastAsia="MS PGothic" w:hAnsi="MS PGothic"/>
          <w:sz w:val="14"/>
          <w:szCs w:val="14"/>
          <w:color w:val="auto"/>
        </w:rPr>
        <w:t>‑</w:t>
      </w:r>
      <w:r>
        <w:rPr>
          <w:rFonts w:ascii="Arial" w:cs="Arial" w:eastAsia="Arial" w:hAnsi="Arial"/>
          <w:sz w:val="14"/>
          <w:szCs w:val="14"/>
          <w:color w:val="auto"/>
        </w:rPr>
        <w:t>ninth of such number of Shares without the written consent of such Underwriter. If, on the Closing Date, any Underwriter or Underwriters shall fail or refuse to purchase Firm Shares and the aggregate number of Firm Shares with respect to which such default occurs is more than one</w:t>
      </w:r>
      <w:r>
        <w:rPr>
          <w:rFonts w:ascii="MS PGothic" w:cs="MS PGothic" w:eastAsia="MS PGothic" w:hAnsi="MS PGothic"/>
          <w:sz w:val="14"/>
          <w:szCs w:val="14"/>
          <w:color w:val="auto"/>
        </w:rPr>
        <w:t>‑</w:t>
      </w:r>
      <w:r>
        <w:rPr>
          <w:rFonts w:ascii="Arial" w:cs="Arial" w:eastAsia="Arial" w:hAnsi="Arial"/>
          <w:sz w:val="14"/>
          <w:szCs w:val="14"/>
          <w:color w:val="auto"/>
        </w:rPr>
        <w:t>tenth of the aggregate number of Firm Shares to be purchased on such date, and arrangements satisfactory to you, the Company and the Selling Shareholders for the purchase of such Firm Shares are not made within 36 hours after such default, this Agreement shall terminate without liability on the part of any non</w:t>
      </w:r>
      <w:r>
        <w:rPr>
          <w:rFonts w:ascii="MS PGothic" w:cs="MS PGothic" w:eastAsia="MS PGothic" w:hAnsi="MS PGothic"/>
          <w:sz w:val="14"/>
          <w:szCs w:val="14"/>
          <w:color w:val="auto"/>
        </w:rPr>
        <w:t>‑</w:t>
      </w:r>
      <w:r>
        <w:rPr>
          <w:rFonts w:ascii="Arial" w:cs="Arial" w:eastAsia="Arial" w:hAnsi="Arial"/>
          <w:sz w:val="14"/>
          <w:szCs w:val="14"/>
          <w:color w:val="auto"/>
        </w:rPr>
        <w:t>defaulting Underwriter, the Company or the Selling Shareholders. In any such case either you or the relevant Sellers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w:t>
      </w:r>
      <w:r>
        <w:rPr>
          <w:rFonts w:ascii="MS PGothic" w:cs="MS PGothic" w:eastAsia="MS PGothic" w:hAnsi="MS PGothic"/>
          <w:sz w:val="14"/>
          <w:szCs w:val="14"/>
          <w:color w:val="auto"/>
        </w:rPr>
        <w:t>‑</w:t>
      </w:r>
      <w:r>
        <w:rPr>
          <w:rFonts w:ascii="Arial" w:cs="Arial" w:eastAsia="Arial" w:hAnsi="Arial"/>
          <w:sz w:val="14"/>
          <w:szCs w:val="14"/>
          <w:color w:val="auto"/>
        </w:rPr>
        <w:t>tenth of the aggregate number of Additional Shares to be purchased on such Option Closing Date, the non</w:t>
      </w:r>
      <w:r>
        <w:rPr>
          <w:rFonts w:ascii="MS PGothic" w:cs="MS PGothic" w:eastAsia="MS PGothic" w:hAnsi="MS PGothic"/>
          <w:sz w:val="14"/>
          <w:szCs w:val="14"/>
          <w:color w:val="auto"/>
        </w:rPr>
        <w:t>‑</w:t>
      </w:r>
      <w:r>
        <w:rPr>
          <w:rFonts w:ascii="Arial" w:cs="Arial" w:eastAsia="Arial" w:hAnsi="Arial"/>
          <w:sz w:val="14"/>
          <w:szCs w:val="14"/>
          <w:color w:val="auto"/>
        </w:rPr>
        <w:t>defaulting Underwriters shall have the option to (i) terminate their obligation hereunder to purchase the Additional Shares to be sold on such Option Closing Date or (ii) purchase not less than the number of Additional Shares that such non</w:t>
      </w:r>
      <w:r>
        <w:rPr>
          <w:rFonts w:ascii="MS PGothic" w:cs="MS PGothic" w:eastAsia="MS PGothic" w:hAnsi="MS PGothic"/>
          <w:sz w:val="14"/>
          <w:szCs w:val="14"/>
          <w:color w:val="auto"/>
        </w:rPr>
        <w:t>‑</w:t>
      </w:r>
      <w:r>
        <w:rPr>
          <w:rFonts w:ascii="Arial" w:cs="Arial" w:eastAsia="Arial" w:hAnsi="Arial"/>
          <w:sz w:val="14"/>
          <w:szCs w:val="14"/>
          <w:color w:val="auto"/>
        </w:rPr>
        <w:t>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352" w:lineRule="exact"/>
        <w:rPr>
          <w:sz w:val="20"/>
          <w:szCs w:val="20"/>
          <w:color w:val="auto"/>
        </w:rPr>
      </w:pPr>
    </w:p>
    <w:p>
      <w:pPr>
        <w:jc w:val="both"/>
        <w:ind w:firstLine="590"/>
        <w:spacing w:after="0" w:line="198" w:lineRule="exact"/>
        <w:rPr>
          <w:sz w:val="20"/>
          <w:szCs w:val="20"/>
          <w:color w:val="auto"/>
        </w:rPr>
      </w:pPr>
      <w:r>
        <w:rPr>
          <w:rFonts w:ascii="Arial" w:cs="Arial" w:eastAsia="Arial" w:hAnsi="Arial"/>
          <w:sz w:val="15"/>
          <w:szCs w:val="15"/>
          <w:color w:val="auto"/>
        </w:rPr>
        <w:t>If this Agreement shall be terminated by the Underwriters, or any of them, because of any failure or refusal on the part of any Seller to comply with the terms or to fulfill any of the conditions of this Agreement, or if for any reason any Seller shall be unable to perform its obligations under this Agreement (which, for purposes of this Section 12, shall not include termination by the Underwriters under items (i), (iii), (iv) or (v) of Section 11), then (a) prior to the Closing Date, the Company and any Seller that has failed to perform under this Agreement, will reimburse the Underwriters or such Underwriters as have so terminated this Agreement with respect to themselves, severally, for all out</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pocket expenses (including the fees and disbursements of their counsel) reasonably incurred by such Underwriters in connection with this Agreement or the offering contemplated hereunder, or (b) after the Closing Date but prior to any Option Closing Date with respect to the purchase of any Additional Shares pursuant to a notice delivered by the Representatives to the Company under Section 3 hereof, the Company will reimburse the Underwriters or such Underwriters as have so terminated this Agreement with respect to themselves, severally, for all out</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pocket expenses (including the fees and disbursements of their counsel) reasonably incurred by such Underwriters in connection with the proposed purchase of any such Additional Shares pursuant to this Agreement or the offering contemplated hereunder.</w:t>
      </w:r>
    </w:p>
    <w:p>
      <w:pPr>
        <w:spacing w:after="0" w:line="188" w:lineRule="exact"/>
        <w:rPr>
          <w:sz w:val="20"/>
          <w:szCs w:val="20"/>
          <w:color w:val="auto"/>
        </w:rPr>
      </w:pPr>
    </w:p>
    <w:p>
      <w:pPr>
        <w:jc w:val="both"/>
        <w:ind w:firstLine="588"/>
        <w:spacing w:after="0" w:line="266" w:lineRule="auto"/>
        <w:tabs>
          <w:tab w:leader="none" w:pos="971" w:val="left"/>
        </w:tabs>
        <w:numPr>
          <w:ilvl w:val="0"/>
          <w:numId w:val="38"/>
        </w:numPr>
        <w:rPr>
          <w:rFonts w:ascii="Arial" w:cs="Arial" w:eastAsia="Arial" w:hAnsi="Arial"/>
          <w:sz w:val="16"/>
          <w:szCs w:val="16"/>
          <w:color w:val="010000"/>
        </w:rPr>
      </w:pPr>
      <w:r>
        <w:rPr>
          <w:rFonts w:ascii="Arial" w:cs="Arial" w:eastAsia="Arial" w:hAnsi="Arial"/>
          <w:sz w:val="16"/>
          <w:szCs w:val="16"/>
          <w:i w:val="1"/>
          <w:iCs w:val="1"/>
          <w:color w:val="auto"/>
        </w:rPr>
        <w:t>Entire Agreement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010000"/>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together with any contemporaneous written agreements and any prior written agreements (to the extent not superseded</w:t>
      </w:r>
      <w:r>
        <w:rPr>
          <w:rFonts w:ascii="Arial" w:cs="Arial" w:eastAsia="Arial" w:hAnsi="Arial"/>
          <w:sz w:val="16"/>
          <w:szCs w:val="16"/>
          <w:i w:val="1"/>
          <w:iCs w:val="1"/>
          <w:color w:val="auto"/>
        </w:rPr>
        <w:t xml:space="preserve"> </w:t>
      </w:r>
      <w:r>
        <w:rPr>
          <w:rFonts w:ascii="Arial" w:cs="Arial" w:eastAsia="Arial" w:hAnsi="Arial"/>
          <w:sz w:val="16"/>
          <w:szCs w:val="16"/>
          <w:color w:val="auto"/>
        </w:rPr>
        <w:t>by this Agreement) that relate to the offering of the Shares, represents the entire agreement between the Company and the Selling Shareholders, on the one hand, and the Underwriters, on the other, with respect to the preparation of any preliminary prospectus, the Time of Sale Prospectus, the Prospectus, the conduct of the offering, and the purchase and sale of the Shares.</w:t>
      </w:r>
    </w:p>
    <w:p>
      <w:pPr>
        <w:spacing w:after="0" w:line="168" w:lineRule="exact"/>
        <w:rPr>
          <w:sz w:val="20"/>
          <w:szCs w:val="20"/>
          <w:color w:val="auto"/>
        </w:rPr>
      </w:pPr>
    </w:p>
    <w:p>
      <w:pPr>
        <w:jc w:val="both"/>
        <w:ind w:firstLine="588"/>
        <w:spacing w:after="0" w:line="264" w:lineRule="auto"/>
        <w:tabs>
          <w:tab w:leader="none" w:pos="957" w:val="left"/>
        </w:tabs>
        <w:numPr>
          <w:ilvl w:val="0"/>
          <w:numId w:val="39"/>
        </w:numPr>
        <w:rPr>
          <w:rFonts w:ascii="Arial" w:cs="Arial" w:eastAsia="Arial" w:hAnsi="Arial"/>
          <w:sz w:val="16"/>
          <w:szCs w:val="16"/>
          <w:color w:val="010000"/>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68" w:lineRule="exact"/>
        <w:rPr>
          <w:sz w:val="20"/>
          <w:szCs w:val="20"/>
          <w:color w:val="auto"/>
        </w:rPr>
      </w:pPr>
    </w:p>
    <w:p>
      <w:pPr>
        <w:jc w:val="both"/>
        <w:ind w:firstLine="588"/>
        <w:spacing w:after="0" w:line="266" w:lineRule="auto"/>
        <w:tabs>
          <w:tab w:leader="none" w:pos="995" w:val="left"/>
        </w:tabs>
        <w:numPr>
          <w:ilvl w:val="0"/>
          <w:numId w:val="40"/>
        </w:numPr>
        <w:rPr>
          <w:rFonts w:ascii="Arial" w:cs="Arial" w:eastAsia="Arial" w:hAnsi="Arial"/>
          <w:sz w:val="16"/>
          <w:szCs w:val="16"/>
          <w:color w:val="010000"/>
        </w:rPr>
      </w:pPr>
      <w:r>
        <w:rPr>
          <w:rFonts w:ascii="Arial" w:cs="Arial" w:eastAsia="Arial" w:hAnsi="Arial"/>
          <w:sz w:val="16"/>
          <w:szCs w:val="16"/>
          <w:i w:val="1"/>
          <w:iCs w:val="1"/>
          <w:color w:val="auto"/>
        </w:rPr>
        <w:t xml:space="preserve">Recognition of the U.S. Special Resolution Regimes. </w:t>
      </w:r>
      <w:r>
        <w:rPr>
          <w:rFonts w:ascii="Arial" w:cs="Arial" w:eastAsia="Arial" w:hAnsi="Arial"/>
          <w:sz w:val="16"/>
          <w:szCs w:val="16"/>
          <w:color w:val="auto"/>
        </w:rPr>
        <w:t>(a) In the event that any Underwriter that is a Covered Entity becomes subject to a proceeding under a</w:t>
      </w:r>
      <w:r>
        <w:rPr>
          <w:rFonts w:ascii="Arial" w:cs="Arial" w:eastAsia="Arial" w:hAnsi="Arial"/>
          <w:sz w:val="16"/>
          <w:szCs w:val="16"/>
          <w:i w:val="1"/>
          <w:iCs w:val="1"/>
          <w:color w:val="auto"/>
        </w:rPr>
        <w:t xml:space="preserve"> </w:t>
      </w:r>
      <w:r>
        <w:rPr>
          <w:rFonts w:ascii="Arial" w:cs="Arial" w:eastAsia="Arial" w:hAnsi="Arial"/>
          <w:sz w:val="16"/>
          <w:szCs w:val="16"/>
          <w:color w:val="auto"/>
        </w:rPr>
        <w:t>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168" w:lineRule="exact"/>
        <w:rPr>
          <w:sz w:val="20"/>
          <w:szCs w:val="20"/>
          <w:color w:val="auto"/>
        </w:rPr>
      </w:pPr>
    </w:p>
    <w:p>
      <w:pPr>
        <w:jc w:val="both"/>
        <w:ind w:firstLine="588"/>
        <w:spacing w:after="0" w:line="328" w:lineRule="auto"/>
        <w:tabs>
          <w:tab w:leader="none" w:pos="970" w:val="left"/>
        </w:tabs>
        <w:numPr>
          <w:ilvl w:val="0"/>
          <w:numId w:val="41"/>
        </w:numPr>
        <w:rPr>
          <w:rFonts w:ascii="Arial" w:cs="Arial" w:eastAsia="Arial" w:hAnsi="Arial"/>
          <w:sz w:val="14"/>
          <w:szCs w:val="14"/>
          <w:color w:val="010000"/>
        </w:rPr>
      </w:pPr>
      <w:r>
        <w:rPr>
          <w:rFonts w:ascii="Arial" w:cs="Arial" w:eastAsia="Arial" w:hAnsi="Arial"/>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1420"/>
          </w:cols>
          <w:pgMar w:left="240" w:top="127" w:right="239" w:bottom="0" w:gutter="0" w:footer="0" w:header="0"/>
        </w:sectPr>
      </w:pPr>
    </w:p>
    <w:bookmarkStart w:id="15" w:name="page16"/>
    <w:bookmarkEnd w:id="15"/>
    <w:p>
      <w:pPr>
        <w:jc w:val="both"/>
        <w:ind w:firstLine="590"/>
        <w:spacing w:after="0" w:line="284" w:lineRule="auto"/>
        <w:rPr>
          <w:sz w:val="20"/>
          <w:szCs w:val="20"/>
          <w:color w:val="auto"/>
        </w:rPr>
      </w:pPr>
      <w:r>
        <w:rPr>
          <w:rFonts w:ascii="Arial" w:cs="Arial" w:eastAsia="Arial" w:hAnsi="Arial"/>
          <w:sz w:val="15"/>
          <w:szCs w:val="15"/>
          <w:color w:val="auto"/>
        </w:rPr>
        <w:t>For purposes of this Section a “</w:t>
      </w:r>
      <w:r>
        <w:rPr>
          <w:rFonts w:ascii="Arial" w:cs="Arial" w:eastAsia="Arial" w:hAnsi="Arial"/>
          <w:sz w:val="15"/>
          <w:szCs w:val="15"/>
          <w:b w:val="1"/>
          <w:bCs w:val="1"/>
          <w:color w:val="auto"/>
        </w:rPr>
        <w:t>BHC Act Affiliate</w:t>
      </w:r>
      <w:r>
        <w:rPr>
          <w:rFonts w:ascii="Arial" w:cs="Arial" w:eastAsia="Arial" w:hAnsi="Arial"/>
          <w:sz w:val="15"/>
          <w:szCs w:val="15"/>
          <w:color w:val="auto"/>
        </w:rPr>
        <w:t>” has the meaning assigned to the term “affiliate” in, and shall be interpreted in accordance with, 12 U.S.C. § 1841(k). “</w:t>
      </w:r>
      <w:r>
        <w:rPr>
          <w:rFonts w:ascii="Arial" w:cs="Arial" w:eastAsia="Arial" w:hAnsi="Arial"/>
          <w:sz w:val="15"/>
          <w:szCs w:val="15"/>
          <w:b w:val="1"/>
          <w:bCs w:val="1"/>
          <w:color w:val="auto"/>
        </w:rPr>
        <w:t>Covered Entity</w:t>
      </w:r>
      <w:r>
        <w:rPr>
          <w:rFonts w:ascii="Arial" w:cs="Arial" w:eastAsia="Arial" w:hAnsi="Arial"/>
          <w:sz w:val="15"/>
          <w:szCs w:val="15"/>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5"/>
          <w:szCs w:val="15"/>
          <w:b w:val="1"/>
          <w:bCs w:val="1"/>
          <w:color w:val="auto"/>
        </w:rPr>
        <w:t>Default Right</w:t>
      </w:r>
      <w:r>
        <w:rPr>
          <w:rFonts w:ascii="Arial" w:cs="Arial" w:eastAsia="Arial" w:hAnsi="Arial"/>
          <w:sz w:val="15"/>
          <w:szCs w:val="15"/>
          <w:color w:val="auto"/>
        </w:rPr>
        <w:t>” has the meaning assigned to that term in, and shall be interpreted in accordance with, 12 C.F.R. §§ 252.81, 47.2 or 382.1, as applicable. “</w:t>
      </w:r>
      <w:r>
        <w:rPr>
          <w:rFonts w:ascii="Arial" w:cs="Arial" w:eastAsia="Arial" w:hAnsi="Arial"/>
          <w:sz w:val="15"/>
          <w:szCs w:val="15"/>
          <w:b w:val="1"/>
          <w:bCs w:val="1"/>
          <w:color w:val="auto"/>
        </w:rPr>
        <w:t>U.S. Special Resolution Regime</w:t>
      </w:r>
      <w:r>
        <w:rPr>
          <w:rFonts w:ascii="Arial" w:cs="Arial" w:eastAsia="Arial" w:hAnsi="Arial"/>
          <w:sz w:val="15"/>
          <w:szCs w:val="15"/>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6" w:lineRule="exact"/>
        <w:rPr>
          <w:sz w:val="20"/>
          <w:szCs w:val="20"/>
          <w:color w:val="auto"/>
        </w:rPr>
      </w:pPr>
    </w:p>
    <w:p>
      <w:pPr>
        <w:ind w:firstLine="588"/>
        <w:spacing w:after="0" w:line="287" w:lineRule="auto"/>
        <w:tabs>
          <w:tab w:leader="none" w:pos="971" w:val="left"/>
        </w:tabs>
        <w:numPr>
          <w:ilvl w:val="0"/>
          <w:numId w:val="42"/>
        </w:numPr>
        <w:rPr>
          <w:rFonts w:ascii="Arial" w:cs="Arial" w:eastAsia="Arial" w:hAnsi="Arial"/>
          <w:sz w:val="16"/>
          <w:szCs w:val="16"/>
          <w:color w:val="010000"/>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signed in two or more counterparts, each of which shall be an original, with the same effect as if the signatures thereto</w:t>
      </w:r>
      <w:r>
        <w:rPr>
          <w:rFonts w:ascii="Arial" w:cs="Arial" w:eastAsia="Arial" w:hAnsi="Arial"/>
          <w:sz w:val="16"/>
          <w:szCs w:val="16"/>
          <w:i w:val="1"/>
          <w:iCs w:val="1"/>
          <w:color w:val="auto"/>
        </w:rPr>
        <w:t xml:space="preserve"> </w:t>
      </w:r>
      <w:r>
        <w:rPr>
          <w:rFonts w:ascii="Arial" w:cs="Arial" w:eastAsia="Arial" w:hAnsi="Arial"/>
          <w:sz w:val="16"/>
          <w:szCs w:val="16"/>
          <w:color w:val="auto"/>
        </w:rPr>
        <w:t>and hereto were upon the same instrument.</w:t>
      </w:r>
    </w:p>
    <w:p>
      <w:pPr>
        <w:spacing w:after="0" w:line="149" w:lineRule="exact"/>
        <w:rPr>
          <w:rFonts w:ascii="Arial" w:cs="Arial" w:eastAsia="Arial" w:hAnsi="Arial"/>
          <w:sz w:val="16"/>
          <w:szCs w:val="16"/>
          <w:color w:val="010000"/>
        </w:rPr>
      </w:pPr>
    </w:p>
    <w:p>
      <w:pPr>
        <w:jc w:val="both"/>
        <w:ind w:firstLine="588"/>
        <w:spacing w:after="0" w:line="261" w:lineRule="auto"/>
        <w:tabs>
          <w:tab w:leader="none" w:pos="1020" w:val="left"/>
        </w:tabs>
        <w:numPr>
          <w:ilvl w:val="0"/>
          <w:numId w:val="42"/>
        </w:numPr>
        <w:rPr>
          <w:rFonts w:ascii="Arial" w:cs="Arial" w:eastAsia="Arial" w:hAnsi="Arial"/>
          <w:sz w:val="16"/>
          <w:szCs w:val="16"/>
          <w:color w:val="010000"/>
        </w:rPr>
      </w:pPr>
      <w:r>
        <w:rPr>
          <w:rFonts w:ascii="Arial" w:cs="Arial" w:eastAsia="Arial" w:hAnsi="Arial"/>
          <w:sz w:val="16"/>
          <w:szCs w:val="16"/>
          <w:i w:val="1"/>
          <w:iCs w:val="1"/>
          <w:color w:val="auto"/>
        </w:rPr>
        <w:t>Applicable Law</w:t>
      </w:r>
      <w:r>
        <w:rPr>
          <w:rFonts w:ascii="Arial" w:cs="Arial" w:eastAsia="Arial" w:hAnsi="Arial"/>
          <w:sz w:val="16"/>
          <w:szCs w:val="16"/>
          <w:color w:val="auto"/>
        </w:rPr>
        <w:t>. This Agreement and any claim, controversy or dispute arising under or related to this Agreement shall be governed by and construed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internal laws of the State of New York. The Company irrevocably submits to the non-exclusive jurisdiction of any New York State or United States Federal court sitting in The City of New York over any suit, action or proceeding arising out of or relating to this Agreement, the Prospectus, the Registration Statement or the offering of the Shares (each, a “</w:t>
      </w:r>
      <w:r>
        <w:rPr>
          <w:rFonts w:ascii="Arial" w:cs="Arial" w:eastAsia="Arial" w:hAnsi="Arial"/>
          <w:sz w:val="16"/>
          <w:szCs w:val="16"/>
          <w:b w:val="1"/>
          <w:bCs w:val="1"/>
          <w:color w:val="auto"/>
        </w:rPr>
        <w:t>Related Proceeding</w:t>
      </w:r>
      <w:r>
        <w:rPr>
          <w:rFonts w:ascii="Arial" w:cs="Arial" w:eastAsia="Arial" w:hAnsi="Arial"/>
          <w:sz w:val="16"/>
          <w:szCs w:val="16"/>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69" w:lineRule="exact"/>
        <w:rPr>
          <w:rFonts w:ascii="Arial" w:cs="Arial" w:eastAsia="Arial" w:hAnsi="Arial"/>
          <w:sz w:val="16"/>
          <w:szCs w:val="16"/>
          <w:color w:val="010000"/>
        </w:rPr>
      </w:pPr>
    </w:p>
    <w:p>
      <w:pPr>
        <w:ind w:left="1040" w:hanging="452"/>
        <w:spacing w:after="0"/>
        <w:tabs>
          <w:tab w:leader="none" w:pos="1040" w:val="left"/>
        </w:tabs>
        <w:numPr>
          <w:ilvl w:val="0"/>
          <w:numId w:val="42"/>
        </w:numPr>
        <w:rPr>
          <w:rFonts w:ascii="Arial" w:cs="Arial" w:eastAsia="Arial" w:hAnsi="Arial"/>
          <w:sz w:val="15"/>
          <w:szCs w:val="15"/>
          <w:color w:val="010000"/>
        </w:rPr>
      </w:pPr>
      <w:r>
        <w:rPr>
          <w:rFonts w:ascii="Arial" w:cs="Arial" w:eastAsia="Arial" w:hAnsi="Arial"/>
          <w:sz w:val="15"/>
          <w:szCs w:val="15"/>
          <w:i w:val="1"/>
          <w:iCs w:val="1"/>
          <w:color w:val="auto"/>
        </w:rPr>
        <w:t>Headings</w:t>
      </w:r>
      <w:r>
        <w:rPr>
          <w:rFonts w:ascii="Arial" w:cs="Arial" w:eastAsia="Arial" w:hAnsi="Arial"/>
          <w:sz w:val="15"/>
          <w:szCs w:val="15"/>
          <w:color w:val="auto"/>
        </w:rPr>
        <w:t>. The headings of the sections of this Agreement have been inserted for convenience of reference only and shall not be deemed a part of this</w:t>
      </w:r>
    </w:p>
    <w:p>
      <w:pPr>
        <w:spacing w:after="0" w:line="35"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6"/>
          <w:szCs w:val="16"/>
          <w:color w:val="auto"/>
        </w:rPr>
        <w:t>Agreement.</w:t>
      </w:r>
    </w:p>
    <w:p>
      <w:pPr>
        <w:spacing w:after="0" w:line="198" w:lineRule="exact"/>
        <w:rPr>
          <w:rFonts w:ascii="Arial" w:cs="Arial" w:eastAsia="Arial" w:hAnsi="Arial"/>
          <w:sz w:val="15"/>
          <w:szCs w:val="15"/>
          <w:color w:val="010000"/>
        </w:rPr>
      </w:pPr>
    </w:p>
    <w:p>
      <w:pPr>
        <w:jc w:val="both"/>
        <w:ind w:firstLine="588"/>
        <w:spacing w:after="0" w:line="199" w:lineRule="exact"/>
        <w:tabs>
          <w:tab w:leader="none" w:pos="958" w:val="left"/>
        </w:tabs>
        <w:numPr>
          <w:ilvl w:val="0"/>
          <w:numId w:val="42"/>
        </w:numPr>
        <w:rPr>
          <w:rFonts w:ascii="Arial" w:cs="Arial" w:eastAsia="Arial" w:hAnsi="Arial"/>
          <w:sz w:val="16"/>
          <w:szCs w:val="16"/>
          <w:color w:val="010000"/>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communications hereunder shall be in writing and effective only upon receipt and if to the Underwriters shall be delivered, mailed or sent to you in</w:t>
      </w:r>
      <w:r>
        <w:rPr>
          <w:rFonts w:ascii="Arial" w:cs="Arial" w:eastAsia="Arial" w:hAnsi="Arial"/>
          <w:sz w:val="16"/>
          <w:szCs w:val="16"/>
          <w:i w:val="1"/>
          <w:iCs w:val="1"/>
          <w:color w:val="auto"/>
        </w:rPr>
        <w:t xml:space="preserve"> </w:t>
      </w:r>
      <w:r>
        <w:rPr>
          <w:rFonts w:ascii="Arial" w:cs="Arial" w:eastAsia="Arial" w:hAnsi="Arial"/>
          <w:sz w:val="16"/>
          <w:szCs w:val="16"/>
          <w:color w:val="auto"/>
        </w:rPr>
        <w:t>care of Morgan Stanley &amp; Co. LLC, 1585 Broadway, New York, New York 10036, Attention: Equity Syndicate Desk, with a copy to the Legal Department; and in care of BofA Securities, One Bryant Park, New York, New York 10036, Attention Syndicate Department (facsimile (646) 855</w:t>
      </w:r>
      <w:r>
        <w:rPr>
          <w:rFonts w:ascii="MS PGothic" w:cs="MS PGothic" w:eastAsia="MS PGothic" w:hAnsi="MS PGothic"/>
          <w:sz w:val="16"/>
          <w:szCs w:val="16"/>
          <w:color w:val="auto"/>
        </w:rPr>
        <w:t>‑</w:t>
      </w:r>
      <w:r>
        <w:rPr>
          <w:rFonts w:ascii="Arial" w:cs="Arial" w:eastAsia="Arial" w:hAnsi="Arial"/>
          <w:sz w:val="16"/>
          <w:szCs w:val="16"/>
          <w:color w:val="auto"/>
        </w:rPr>
        <w:t>3073), with a copy to ECM Legal (facsimile (212) 230</w:t>
      </w:r>
      <w:r>
        <w:rPr>
          <w:rFonts w:ascii="MS PGothic" w:cs="MS PGothic" w:eastAsia="MS PGothic" w:hAnsi="MS PGothic"/>
          <w:sz w:val="16"/>
          <w:szCs w:val="16"/>
          <w:color w:val="auto"/>
        </w:rPr>
        <w:t>‑</w:t>
      </w:r>
      <w:r>
        <w:rPr>
          <w:rFonts w:ascii="Arial" w:cs="Arial" w:eastAsia="Arial" w:hAnsi="Arial"/>
          <w:sz w:val="16"/>
          <w:szCs w:val="16"/>
          <w:color w:val="auto"/>
        </w:rPr>
        <w:t>8730); if to the Company shall be delivered, mailed or sent to 471 El Camino Real, Suite 101, Santa Clara, California 95050; and if to the Selling Shareholders shall be delivered, mailed or sent to 471 El Camino Real, Suite 101, Santa Clara, California 95050.</w:t>
      </w:r>
    </w:p>
    <w:p>
      <w:pPr>
        <w:spacing w:after="0" w:line="187"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Very truly yours,</w:t>
      </w:r>
    </w:p>
    <w:p>
      <w:pPr>
        <w:spacing w:after="0" w:line="209" w:lineRule="exact"/>
        <w:rPr>
          <w:sz w:val="20"/>
          <w:szCs w:val="20"/>
          <w:color w:val="auto"/>
        </w:rPr>
      </w:pPr>
    </w:p>
    <w:p>
      <w:pPr>
        <w:ind w:left="3540"/>
        <w:spacing w:after="0" w:line="184" w:lineRule="exact"/>
        <w:rPr>
          <w:sz w:val="20"/>
          <w:szCs w:val="20"/>
          <w:color w:val="auto"/>
        </w:rPr>
      </w:pPr>
      <w:r>
        <w:rPr>
          <w:rFonts w:ascii="Arial" w:cs="Arial" w:eastAsia="Arial" w:hAnsi="Arial"/>
          <w:sz w:val="16"/>
          <w:szCs w:val="16"/>
          <w:color w:val="auto"/>
        </w:rPr>
        <w:t>SI</w:t>
      </w:r>
      <w:r>
        <w:rPr>
          <w:rFonts w:ascii="MS PGothic" w:cs="MS PGothic" w:eastAsia="MS PGothic" w:hAnsi="MS PGothic"/>
          <w:sz w:val="16"/>
          <w:szCs w:val="16"/>
          <w:color w:val="auto"/>
        </w:rPr>
        <w:t>‑</w:t>
      </w:r>
      <w:r>
        <w:rPr>
          <w:rFonts w:ascii="Arial" w:cs="Arial" w:eastAsia="Arial" w:hAnsi="Arial"/>
          <w:sz w:val="16"/>
          <w:szCs w:val="16"/>
          <w:color w:val="auto"/>
        </w:rPr>
        <w:t>BONE, Inc.</w:t>
      </w:r>
    </w:p>
    <w:p>
      <w:pPr>
        <w:spacing w:after="0" w:line="200" w:lineRule="exact"/>
        <w:rPr>
          <w:sz w:val="20"/>
          <w:szCs w:val="20"/>
          <w:color w:val="auto"/>
        </w:rPr>
      </w:pPr>
    </w:p>
    <w:p>
      <w:pPr>
        <w:spacing w:after="0" w:line="20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By: /s/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-6985</wp:posOffset>
            </wp:positionV>
            <wp:extent cx="9302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0275" cy="7620"/>
                    </a:xfrm>
                    <a:prstGeom prst="rect">
                      <a:avLst/>
                    </a:prstGeom>
                    <a:noFill/>
                  </pic:spPr>
                </pic:pic>
              </a:graphicData>
            </a:graphic>
          </wp:anchor>
        </w:drawing>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Laura A. Francis</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Chief Financial Officer</w:t>
      </w:r>
    </w:p>
    <w:p>
      <w:pPr>
        <w:spacing w:after="0" w:line="395"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Selling Shareholders named in Schedule I hereto, acting severally</w:t>
      </w:r>
    </w:p>
    <w:p>
      <w:pPr>
        <w:spacing w:after="0" w:line="200" w:lineRule="exact"/>
        <w:rPr>
          <w:sz w:val="20"/>
          <w:szCs w:val="20"/>
          <w:color w:val="auto"/>
        </w:rPr>
      </w:pPr>
    </w:p>
    <w:p>
      <w:pPr>
        <w:spacing w:after="0" w:line="20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By: /s/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-6985</wp:posOffset>
            </wp:positionV>
            <wp:extent cx="9302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0275" cy="7620"/>
                    </a:xfrm>
                    <a:prstGeom prst="rect">
                      <a:avLst/>
                    </a:prstGeom>
                    <a:noFill/>
                  </pic:spPr>
                </pic:pic>
              </a:graphicData>
            </a:graphic>
          </wp:anchor>
        </w:drawing>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 Laura A. Francis</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 Attorney-in-Fact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3"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Accepted as of the date hereof</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LLC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BofA Securities, Inc.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several Underwriters named in Schedule I hereto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Morgan Stanley &amp; Co. LLC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By: /s/ Chris Rigoli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-6985</wp:posOffset>
            </wp:positionV>
            <wp:extent cx="7397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9775" cy="762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Chris Rigoli</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Vice President</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By: BofA Securities, Inc.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By: /s/ Milton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-6985</wp:posOffset>
            </wp:positionV>
            <wp:extent cx="7048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850" cy="762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Milton Hsu, M.D.</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62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219"/>
          </w:cols>
          <w:pgMar w:left="240" w:top="754"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auto"/>
        </w:rPr>
        <w:t>SCHEDULE I</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ind w:left="2440"/>
              <w:spacing w:after="0"/>
              <w:rPr>
                <w:sz w:val="20"/>
                <w:szCs w:val="20"/>
                <w:color w:val="auto"/>
              </w:rPr>
            </w:pPr>
            <w:r>
              <w:rPr>
                <w:rFonts w:ascii="Arial" w:cs="Arial" w:eastAsia="Arial" w:hAnsi="Arial"/>
                <w:sz w:val="16"/>
                <w:szCs w:val="16"/>
                <w:b w:val="1"/>
                <w:bCs w:val="1"/>
                <w:color w:val="auto"/>
              </w:rPr>
              <w:t>Selling Shareholder</w:t>
            </w:r>
          </w:p>
        </w:tc>
        <w:tc>
          <w:tcPr>
            <w:tcW w:w="2920" w:type="dxa"/>
            <w:vAlign w:val="bottom"/>
          </w:tcPr>
          <w:p>
            <w:pPr>
              <w:jc w:val="right"/>
              <w:ind w:right="138"/>
              <w:spacing w:after="0"/>
              <w:rPr>
                <w:sz w:val="20"/>
                <w:szCs w:val="20"/>
                <w:color w:val="auto"/>
              </w:rPr>
            </w:pPr>
            <w:r>
              <w:rPr>
                <w:rFonts w:ascii="Arial" w:cs="Arial" w:eastAsia="Arial" w:hAnsi="Arial"/>
                <w:sz w:val="16"/>
                <w:szCs w:val="16"/>
                <w:b w:val="1"/>
                <w:bCs w:val="1"/>
                <w:color w:val="auto"/>
              </w:rPr>
              <w:t>Number of Firm Shares To Be Sold</w:t>
            </w:r>
          </w:p>
        </w:tc>
      </w:tr>
      <w:tr>
        <w:trPr>
          <w:trHeight w:val="75"/>
        </w:trPr>
        <w:tc>
          <w:tcPr>
            <w:tcW w:w="62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r>
      <w:tr>
        <w:trPr>
          <w:trHeight w:val="532"/>
        </w:trPr>
        <w:tc>
          <w:tcPr>
            <w:tcW w:w="6240" w:type="dxa"/>
            <w:vAlign w:val="bottom"/>
          </w:tcPr>
          <w:p>
            <w:pPr>
              <w:ind w:left="200"/>
              <w:spacing w:after="0"/>
              <w:rPr>
                <w:sz w:val="20"/>
                <w:szCs w:val="20"/>
                <w:color w:val="auto"/>
              </w:rPr>
            </w:pPr>
            <w:r>
              <w:rPr>
                <w:rFonts w:ascii="Arial" w:cs="Arial" w:eastAsia="Arial" w:hAnsi="Arial"/>
                <w:sz w:val="16"/>
                <w:szCs w:val="16"/>
                <w:color w:val="auto"/>
              </w:rPr>
              <w:t>Skyline Venture Partners V, L.P.</w:t>
            </w:r>
          </w:p>
        </w:tc>
        <w:tc>
          <w:tcPr>
            <w:tcW w:w="2920" w:type="dxa"/>
            <w:vAlign w:val="bottom"/>
          </w:tcPr>
          <w:p>
            <w:pPr>
              <w:jc w:val="right"/>
              <w:ind w:right="18"/>
              <w:spacing w:after="0"/>
              <w:rPr>
                <w:sz w:val="20"/>
                <w:szCs w:val="20"/>
                <w:color w:val="auto"/>
              </w:rPr>
            </w:pPr>
            <w:r>
              <w:rPr>
                <w:rFonts w:ascii="Arial" w:cs="Arial" w:eastAsia="Arial" w:hAnsi="Arial"/>
                <w:sz w:val="16"/>
                <w:szCs w:val="16"/>
                <w:color w:val="auto"/>
              </w:rPr>
              <w:t>1,000,000</w:t>
            </w:r>
          </w:p>
        </w:tc>
      </w:tr>
      <w:tr>
        <w:trPr>
          <w:trHeight w:val="344"/>
        </w:trPr>
        <w:tc>
          <w:tcPr>
            <w:tcW w:w="6240" w:type="dxa"/>
            <w:vAlign w:val="bottom"/>
          </w:tcPr>
          <w:p>
            <w:pPr>
              <w:ind w:left="200"/>
              <w:spacing w:after="0"/>
              <w:rPr>
                <w:sz w:val="20"/>
                <w:szCs w:val="20"/>
                <w:color w:val="auto"/>
              </w:rPr>
            </w:pPr>
            <w:r>
              <w:rPr>
                <w:rFonts w:ascii="Arial" w:cs="Arial" w:eastAsia="Arial" w:hAnsi="Arial"/>
                <w:sz w:val="16"/>
                <w:szCs w:val="16"/>
                <w:color w:val="auto"/>
              </w:rPr>
              <w:t>Montreux Equity Partners IV, L.P.</w:t>
            </w:r>
          </w:p>
        </w:tc>
        <w:tc>
          <w:tcPr>
            <w:tcW w:w="2920" w:type="dxa"/>
            <w:vAlign w:val="bottom"/>
          </w:tcPr>
          <w:p>
            <w:pPr>
              <w:jc w:val="right"/>
              <w:ind w:right="18"/>
              <w:spacing w:after="0"/>
              <w:rPr>
                <w:sz w:val="20"/>
                <w:szCs w:val="20"/>
                <w:color w:val="auto"/>
              </w:rPr>
            </w:pPr>
            <w:r>
              <w:rPr>
                <w:rFonts w:ascii="Arial" w:cs="Arial" w:eastAsia="Arial" w:hAnsi="Arial"/>
                <w:sz w:val="16"/>
                <w:szCs w:val="16"/>
                <w:color w:val="auto"/>
              </w:rPr>
              <w:t>649,947</w:t>
            </w:r>
          </w:p>
        </w:tc>
      </w:tr>
      <w:tr>
        <w:trPr>
          <w:trHeight w:val="344"/>
        </w:trPr>
        <w:tc>
          <w:tcPr>
            <w:tcW w:w="6240" w:type="dxa"/>
            <w:vAlign w:val="bottom"/>
          </w:tcPr>
          <w:p>
            <w:pPr>
              <w:ind w:left="200"/>
              <w:spacing w:after="0"/>
              <w:rPr>
                <w:sz w:val="20"/>
                <w:szCs w:val="20"/>
                <w:color w:val="auto"/>
              </w:rPr>
            </w:pPr>
            <w:r>
              <w:rPr>
                <w:rFonts w:ascii="Arial" w:cs="Arial" w:eastAsia="Arial" w:hAnsi="Arial"/>
                <w:sz w:val="16"/>
                <w:szCs w:val="16"/>
                <w:color w:val="auto"/>
              </w:rPr>
              <w:t>Arboretum Ventures IV, L.P..</w:t>
            </w:r>
          </w:p>
        </w:tc>
        <w:tc>
          <w:tcPr>
            <w:tcW w:w="2920" w:type="dxa"/>
            <w:vAlign w:val="bottom"/>
          </w:tcPr>
          <w:p>
            <w:pPr>
              <w:jc w:val="right"/>
              <w:ind w:right="18"/>
              <w:spacing w:after="0"/>
              <w:rPr>
                <w:sz w:val="20"/>
                <w:szCs w:val="20"/>
                <w:color w:val="auto"/>
              </w:rPr>
            </w:pPr>
            <w:r>
              <w:rPr>
                <w:rFonts w:ascii="Arial" w:cs="Arial" w:eastAsia="Arial" w:hAnsi="Arial"/>
                <w:sz w:val="16"/>
                <w:szCs w:val="16"/>
                <w:color w:val="auto"/>
              </w:rPr>
              <w:t>160,000</w:t>
            </w:r>
          </w:p>
        </w:tc>
      </w:tr>
      <w:tr>
        <w:trPr>
          <w:trHeight w:val="75"/>
        </w:trPr>
        <w:tc>
          <w:tcPr>
            <w:tcW w:w="6240" w:type="dxa"/>
            <w:vAlign w:val="bottom"/>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r>
      <w:tr>
        <w:trPr>
          <w:trHeight w:val="249"/>
        </w:trPr>
        <w:tc>
          <w:tcPr>
            <w:tcW w:w="6240" w:type="dxa"/>
            <w:vAlign w:val="bottom"/>
          </w:tcPr>
          <w:p>
            <w:pPr>
              <w:ind w:left="680"/>
              <w:spacing w:after="0"/>
              <w:rPr>
                <w:sz w:val="20"/>
                <w:szCs w:val="20"/>
                <w:color w:val="auto"/>
              </w:rPr>
            </w:pPr>
            <w:r>
              <w:rPr>
                <w:rFonts w:ascii="Arial" w:cs="Arial" w:eastAsia="Arial" w:hAnsi="Arial"/>
                <w:sz w:val="16"/>
                <w:szCs w:val="16"/>
                <w:color w:val="auto"/>
              </w:rPr>
              <w:t>Total:</w:t>
            </w:r>
          </w:p>
        </w:tc>
        <w:tc>
          <w:tcPr>
            <w:tcW w:w="2920" w:type="dxa"/>
            <w:vAlign w:val="bottom"/>
          </w:tcPr>
          <w:p>
            <w:pPr>
              <w:jc w:val="right"/>
              <w:ind w:right="18"/>
              <w:spacing w:after="0"/>
              <w:rPr>
                <w:sz w:val="20"/>
                <w:szCs w:val="20"/>
                <w:color w:val="auto"/>
              </w:rPr>
            </w:pPr>
            <w:r>
              <w:rPr>
                <w:rFonts w:ascii="Arial" w:cs="Arial" w:eastAsia="Arial" w:hAnsi="Arial"/>
                <w:sz w:val="16"/>
                <w:szCs w:val="16"/>
                <w:b w:val="1"/>
                <w:bCs w:val="1"/>
                <w:color w:val="auto"/>
              </w:rPr>
              <w:t>1,809,947</w:t>
            </w:r>
          </w:p>
        </w:tc>
      </w:tr>
      <w:tr>
        <w:trPr>
          <w:trHeight w:val="63"/>
        </w:trPr>
        <w:tc>
          <w:tcPr>
            <w:tcW w:w="6240" w:type="dxa"/>
            <w:vAlign w:val="bottom"/>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r>
      <w:tr>
        <w:trPr>
          <w:trHeight w:val="20"/>
        </w:trPr>
        <w:tc>
          <w:tcPr>
            <w:tcW w:w="624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00"/>
        <w:spacing w:after="0" w:line="184" w:lineRule="exact"/>
        <w:rPr>
          <w:sz w:val="20"/>
          <w:szCs w:val="20"/>
          <w:color w:val="auto"/>
        </w:rPr>
      </w:pP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1</w:t>
      </w:r>
    </w:p>
    <w:p>
      <w:pPr>
        <w:sectPr>
          <w:pgSz w:w="11900" w:h="16838" w:orient="portrait"/>
          <w:cols w:equalWidth="0" w:num="1">
            <w:col w:w="10280"/>
          </w:cols>
          <w:pgMar w:left="1380" w:top="55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80" w:type="dxa"/>
            <w:vAlign w:val="bottom"/>
            <w:gridSpan w:val="2"/>
          </w:tcPr>
          <w:p>
            <w:pPr>
              <w:ind w:left="2220"/>
              <w:spacing w:after="0"/>
              <w:rPr>
                <w:sz w:val="20"/>
                <w:szCs w:val="20"/>
                <w:color w:val="auto"/>
              </w:rPr>
            </w:pPr>
            <w:r>
              <w:rPr>
                <w:rFonts w:ascii="Arial" w:cs="Arial" w:eastAsia="Arial" w:hAnsi="Arial"/>
                <w:sz w:val="16"/>
                <w:szCs w:val="16"/>
                <w:b w:val="1"/>
                <w:bCs w:val="1"/>
                <w:color w:val="auto"/>
              </w:rPr>
              <w:t>SCHEDULE II</w:t>
            </w:r>
          </w:p>
        </w:tc>
        <w:tc>
          <w:tcPr>
            <w:tcW w:w="0" w:type="dxa"/>
            <w:vAlign w:val="bottom"/>
          </w:tcPr>
          <w:p>
            <w:pPr>
              <w:spacing w:after="0"/>
              <w:rPr>
                <w:sz w:val="1"/>
                <w:szCs w:val="1"/>
                <w:color w:val="auto"/>
              </w:rPr>
            </w:pPr>
          </w:p>
        </w:tc>
      </w:tr>
      <w:tr>
        <w:trPr>
          <w:trHeight w:val="722"/>
        </w:trPr>
        <w:tc>
          <w:tcPr>
            <w:tcW w:w="4980" w:type="dxa"/>
            <w:vAlign w:val="bottom"/>
          </w:tcPr>
          <w:p>
            <w:pPr>
              <w:spacing w:after="0"/>
              <w:rPr>
                <w:sz w:val="24"/>
                <w:szCs w:val="24"/>
                <w:color w:val="auto"/>
              </w:rPr>
            </w:pPr>
          </w:p>
        </w:tc>
        <w:tc>
          <w:tcPr>
            <w:tcW w:w="3080" w:type="dxa"/>
            <w:vAlign w:val="bottom"/>
          </w:tcPr>
          <w:p>
            <w:pPr>
              <w:jc w:val="right"/>
              <w:ind w:right="478"/>
              <w:spacing w:after="0"/>
              <w:rPr>
                <w:sz w:val="20"/>
                <w:szCs w:val="20"/>
                <w:color w:val="auto"/>
              </w:rPr>
            </w:pPr>
            <w:r>
              <w:rPr>
                <w:rFonts w:ascii="Arial" w:cs="Arial" w:eastAsia="Arial" w:hAnsi="Arial"/>
                <w:sz w:val="16"/>
                <w:szCs w:val="16"/>
                <w:b w:val="1"/>
                <w:bCs w:val="1"/>
                <w:color w:val="auto"/>
              </w:rPr>
              <w:t>Number of Firm Shares To Be</w:t>
            </w:r>
          </w:p>
        </w:tc>
        <w:tc>
          <w:tcPr>
            <w:tcW w:w="3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Number of Additional Shares To Be</w:t>
            </w:r>
          </w:p>
        </w:tc>
        <w:tc>
          <w:tcPr>
            <w:tcW w:w="0" w:type="dxa"/>
            <w:vAlign w:val="bottom"/>
          </w:tcPr>
          <w:p>
            <w:pPr>
              <w:spacing w:after="0"/>
              <w:rPr>
                <w:sz w:val="1"/>
                <w:szCs w:val="1"/>
                <w:color w:val="auto"/>
              </w:rPr>
            </w:pPr>
          </w:p>
        </w:tc>
      </w:tr>
      <w:tr>
        <w:trPr>
          <w:trHeight w:val="212"/>
        </w:trPr>
        <w:tc>
          <w:tcPr>
            <w:tcW w:w="4980" w:type="dxa"/>
            <w:vAlign w:val="bottom"/>
          </w:tcPr>
          <w:p>
            <w:pPr>
              <w:ind w:left="2040"/>
              <w:spacing w:after="0"/>
              <w:rPr>
                <w:sz w:val="20"/>
                <w:szCs w:val="20"/>
                <w:color w:val="auto"/>
              </w:rPr>
            </w:pPr>
            <w:r>
              <w:rPr>
                <w:rFonts w:ascii="Arial" w:cs="Arial" w:eastAsia="Arial" w:hAnsi="Arial"/>
                <w:sz w:val="16"/>
                <w:szCs w:val="16"/>
                <w:b w:val="1"/>
                <w:bCs w:val="1"/>
                <w:color w:val="auto"/>
              </w:rPr>
              <w:t>Underwriter</w:t>
            </w:r>
          </w:p>
        </w:tc>
        <w:tc>
          <w:tcPr>
            <w:tcW w:w="3080" w:type="dxa"/>
            <w:vAlign w:val="bottom"/>
          </w:tcPr>
          <w:p>
            <w:pPr>
              <w:jc w:val="right"/>
              <w:ind w:right="1158"/>
              <w:spacing w:after="0"/>
              <w:rPr>
                <w:sz w:val="20"/>
                <w:szCs w:val="20"/>
                <w:color w:val="auto"/>
              </w:rPr>
            </w:pPr>
            <w:r>
              <w:rPr>
                <w:rFonts w:ascii="Arial" w:cs="Arial" w:eastAsia="Arial" w:hAnsi="Arial"/>
                <w:sz w:val="16"/>
                <w:szCs w:val="16"/>
                <w:b w:val="1"/>
                <w:bCs w:val="1"/>
                <w:color w:val="auto"/>
              </w:rPr>
              <w:t>Purchased</w:t>
            </w:r>
          </w:p>
        </w:tc>
        <w:tc>
          <w:tcPr>
            <w:tcW w:w="3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Purchased if Full Option is Exercised</w:t>
            </w:r>
          </w:p>
        </w:tc>
        <w:tc>
          <w:tcPr>
            <w:tcW w:w="0" w:type="dxa"/>
            <w:vAlign w:val="bottom"/>
          </w:tcPr>
          <w:p>
            <w:pPr>
              <w:spacing w:after="0"/>
              <w:rPr>
                <w:sz w:val="1"/>
                <w:szCs w:val="1"/>
                <w:color w:val="auto"/>
              </w:rPr>
            </w:pPr>
          </w:p>
        </w:tc>
      </w:tr>
      <w:tr>
        <w:trPr>
          <w:trHeight w:val="75"/>
        </w:trPr>
        <w:tc>
          <w:tcPr>
            <w:tcW w:w="498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3"/>
        </w:trPr>
        <w:tc>
          <w:tcPr>
            <w:tcW w:w="4980" w:type="dxa"/>
            <w:vAlign w:val="bottom"/>
            <w:vMerge w:val="restart"/>
          </w:tcPr>
          <w:p>
            <w:pPr>
              <w:ind w:left="180"/>
              <w:spacing w:after="0"/>
              <w:rPr>
                <w:sz w:val="20"/>
                <w:szCs w:val="20"/>
                <w:color w:val="auto"/>
              </w:rPr>
            </w:pPr>
            <w:r>
              <w:rPr>
                <w:rFonts w:ascii="Arial" w:cs="Arial" w:eastAsia="Arial" w:hAnsi="Arial"/>
                <w:sz w:val="16"/>
                <w:szCs w:val="16"/>
                <w:color w:val="auto"/>
              </w:rPr>
              <w:t>Morgan Stanley &amp; Co. LLC</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1,698,500</w:t>
            </w:r>
          </w:p>
        </w:tc>
        <w:tc>
          <w:tcPr>
            <w:tcW w:w="3220" w:type="dxa"/>
            <w:vAlign w:val="bottom"/>
          </w:tcPr>
          <w:p>
            <w:pPr>
              <w:jc w:val="right"/>
              <w:ind w:right="18"/>
              <w:spacing w:after="0"/>
              <w:rPr>
                <w:sz w:val="20"/>
                <w:szCs w:val="20"/>
                <w:color w:val="auto"/>
              </w:rPr>
            </w:pPr>
            <w:r>
              <w:rPr>
                <w:rFonts w:ascii="Arial" w:cs="Arial" w:eastAsia="Arial" w:hAnsi="Arial"/>
                <w:sz w:val="16"/>
                <w:szCs w:val="16"/>
                <w:color w:val="auto"/>
              </w:rPr>
              <w:t>254,775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4980" w:type="dxa"/>
            <w:vAlign w:val="bottom"/>
            <w:vMerge w:val="restart"/>
          </w:tcPr>
          <w:p>
            <w:pPr>
              <w:ind w:left="180"/>
              <w:spacing w:after="0"/>
              <w:rPr>
                <w:sz w:val="20"/>
                <w:szCs w:val="20"/>
                <w:color w:val="auto"/>
              </w:rPr>
            </w:pPr>
            <w:r>
              <w:rPr>
                <w:rFonts w:ascii="Arial" w:cs="Arial" w:eastAsia="Arial" w:hAnsi="Arial"/>
                <w:sz w:val="16"/>
                <w:szCs w:val="16"/>
                <w:color w:val="auto"/>
              </w:rPr>
              <w:t>BofA Securities, Inc.</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1,698,500</w:t>
            </w:r>
          </w:p>
        </w:tc>
        <w:tc>
          <w:tcPr>
            <w:tcW w:w="3220" w:type="dxa"/>
            <w:vAlign w:val="bottom"/>
          </w:tcPr>
          <w:p>
            <w:pPr>
              <w:jc w:val="right"/>
              <w:ind w:right="18"/>
              <w:spacing w:after="0"/>
              <w:rPr>
                <w:sz w:val="20"/>
                <w:szCs w:val="20"/>
                <w:color w:val="auto"/>
              </w:rPr>
            </w:pPr>
            <w:r>
              <w:rPr>
                <w:rFonts w:ascii="Arial" w:cs="Arial" w:eastAsia="Arial" w:hAnsi="Arial"/>
                <w:sz w:val="16"/>
                <w:szCs w:val="16"/>
                <w:color w:val="auto"/>
              </w:rPr>
              <w:t>254,775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4980" w:type="dxa"/>
            <w:vAlign w:val="bottom"/>
            <w:vMerge w:val="restart"/>
          </w:tcPr>
          <w:p>
            <w:pPr>
              <w:ind w:left="180"/>
              <w:spacing w:after="0"/>
              <w:rPr>
                <w:sz w:val="20"/>
                <w:szCs w:val="20"/>
                <w:color w:val="auto"/>
              </w:rPr>
            </w:pPr>
            <w:r>
              <w:rPr>
                <w:rFonts w:ascii="Arial" w:cs="Arial" w:eastAsia="Arial" w:hAnsi="Arial"/>
                <w:sz w:val="16"/>
                <w:szCs w:val="16"/>
                <w:color w:val="auto"/>
              </w:rPr>
              <w:t>Canaccord Genuity LLC</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516,000</w:t>
            </w:r>
          </w:p>
        </w:tc>
        <w:tc>
          <w:tcPr>
            <w:tcW w:w="3220" w:type="dxa"/>
            <w:vAlign w:val="bottom"/>
          </w:tcPr>
          <w:p>
            <w:pPr>
              <w:jc w:val="right"/>
              <w:ind w:right="18"/>
              <w:spacing w:after="0"/>
              <w:rPr>
                <w:sz w:val="20"/>
                <w:szCs w:val="20"/>
                <w:color w:val="auto"/>
              </w:rPr>
            </w:pPr>
            <w:r>
              <w:rPr>
                <w:rFonts w:ascii="Arial" w:cs="Arial" w:eastAsia="Arial" w:hAnsi="Arial"/>
                <w:sz w:val="16"/>
                <w:szCs w:val="16"/>
                <w:color w:val="auto"/>
              </w:rPr>
              <w:t>77,400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4980" w:type="dxa"/>
            <w:vAlign w:val="bottom"/>
            <w:vMerge w:val="restart"/>
          </w:tcPr>
          <w:p>
            <w:pPr>
              <w:ind w:left="180"/>
              <w:spacing w:after="0"/>
              <w:rPr>
                <w:sz w:val="20"/>
                <w:szCs w:val="20"/>
                <w:color w:val="auto"/>
              </w:rPr>
            </w:pPr>
            <w:r>
              <w:rPr>
                <w:rFonts w:ascii="Arial" w:cs="Arial" w:eastAsia="Arial" w:hAnsi="Arial"/>
                <w:sz w:val="16"/>
                <w:szCs w:val="16"/>
                <w:color w:val="auto"/>
              </w:rPr>
              <w:t>JMP Securities LLC</w:t>
            </w:r>
          </w:p>
        </w:tc>
        <w:tc>
          <w:tcPr>
            <w:tcW w:w="3080" w:type="dxa"/>
            <w:vAlign w:val="bottom"/>
          </w:tcPr>
          <w:p>
            <w:pPr>
              <w:jc w:val="right"/>
              <w:ind w:right="178"/>
              <w:spacing w:after="0"/>
              <w:rPr>
                <w:sz w:val="20"/>
                <w:szCs w:val="20"/>
                <w:color w:val="auto"/>
              </w:rPr>
            </w:pPr>
            <w:r>
              <w:rPr>
                <w:rFonts w:ascii="Arial" w:cs="Arial" w:eastAsia="Arial" w:hAnsi="Arial"/>
                <w:sz w:val="16"/>
                <w:szCs w:val="16"/>
                <w:color w:val="auto"/>
              </w:rPr>
              <w:t>387,000</w:t>
            </w:r>
          </w:p>
        </w:tc>
        <w:tc>
          <w:tcPr>
            <w:tcW w:w="3220" w:type="dxa"/>
            <w:vAlign w:val="bottom"/>
          </w:tcPr>
          <w:p>
            <w:pPr>
              <w:jc w:val="right"/>
              <w:ind w:right="18"/>
              <w:spacing w:after="0"/>
              <w:rPr>
                <w:sz w:val="20"/>
                <w:szCs w:val="20"/>
                <w:color w:val="auto"/>
              </w:rPr>
            </w:pPr>
            <w:r>
              <w:rPr>
                <w:rFonts w:ascii="Arial" w:cs="Arial" w:eastAsia="Arial" w:hAnsi="Arial"/>
                <w:sz w:val="16"/>
                <w:szCs w:val="16"/>
                <w:color w:val="auto"/>
              </w:rPr>
              <w:t>58,050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498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980" w:type="dxa"/>
            <w:vAlign w:val="bottom"/>
          </w:tcPr>
          <w:p>
            <w:pPr>
              <w:ind w:left="680"/>
              <w:spacing w:after="0"/>
              <w:rPr>
                <w:sz w:val="20"/>
                <w:szCs w:val="20"/>
                <w:color w:val="auto"/>
              </w:rPr>
            </w:pPr>
            <w:r>
              <w:rPr>
                <w:rFonts w:ascii="Arial" w:cs="Arial" w:eastAsia="Arial" w:hAnsi="Arial"/>
                <w:sz w:val="16"/>
                <w:szCs w:val="16"/>
                <w:color w:val="auto"/>
              </w:rPr>
              <w:t>Total:</w:t>
            </w:r>
          </w:p>
        </w:tc>
        <w:tc>
          <w:tcPr>
            <w:tcW w:w="3080" w:type="dxa"/>
            <w:vAlign w:val="bottom"/>
          </w:tcPr>
          <w:p>
            <w:pPr>
              <w:jc w:val="right"/>
              <w:ind w:right="178"/>
              <w:spacing w:after="0"/>
              <w:rPr>
                <w:sz w:val="20"/>
                <w:szCs w:val="20"/>
                <w:color w:val="auto"/>
              </w:rPr>
            </w:pPr>
            <w:r>
              <w:rPr>
                <w:rFonts w:ascii="Arial" w:cs="Arial" w:eastAsia="Arial" w:hAnsi="Arial"/>
                <w:sz w:val="16"/>
                <w:szCs w:val="16"/>
                <w:b w:val="1"/>
                <w:bCs w:val="1"/>
                <w:color w:val="auto"/>
              </w:rPr>
              <w:t>4,300,000</w:t>
            </w:r>
          </w:p>
        </w:tc>
        <w:tc>
          <w:tcPr>
            <w:tcW w:w="3220" w:type="dxa"/>
            <w:vAlign w:val="bottom"/>
          </w:tcPr>
          <w:p>
            <w:pPr>
              <w:jc w:val="right"/>
              <w:ind w:right="18"/>
              <w:spacing w:after="0"/>
              <w:rPr>
                <w:sz w:val="20"/>
                <w:szCs w:val="20"/>
                <w:color w:val="auto"/>
              </w:rPr>
            </w:pPr>
            <w:r>
              <w:rPr>
                <w:rFonts w:ascii="Arial" w:cs="Arial" w:eastAsia="Arial" w:hAnsi="Arial"/>
                <w:sz w:val="16"/>
                <w:szCs w:val="16"/>
                <w:b w:val="1"/>
                <w:bCs w:val="1"/>
                <w:color w:val="auto"/>
              </w:rPr>
              <w:t>645,000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98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60"/>
        <w:spacing w:after="0" w:line="184" w:lineRule="exact"/>
        <w:rPr>
          <w:sz w:val="20"/>
          <w:szCs w:val="20"/>
          <w:color w:val="auto"/>
        </w:rPr>
      </w:pPr>
      <w:r>
        <w:rPr>
          <w:rFonts w:ascii="Arial" w:cs="Arial" w:eastAsia="Arial" w:hAnsi="Arial"/>
          <w:sz w:val="16"/>
          <w:szCs w:val="16"/>
          <w:color w:val="auto"/>
        </w:rPr>
        <w:t>II</w:t>
      </w:r>
      <w:r>
        <w:rPr>
          <w:rFonts w:ascii="MS PGothic" w:cs="MS PGothic" w:eastAsia="MS PGothic" w:hAnsi="MS PGothic"/>
          <w:sz w:val="16"/>
          <w:szCs w:val="16"/>
          <w:color w:val="auto"/>
        </w:rPr>
        <w:t>‑</w:t>
      </w:r>
      <w:r>
        <w:rPr>
          <w:rFonts w:ascii="Arial" w:cs="Arial" w:eastAsia="Arial" w:hAnsi="Arial"/>
          <w:sz w:val="16"/>
          <w:szCs w:val="16"/>
          <w:color w:val="auto"/>
        </w:rPr>
        <w:t>1</w:t>
      </w:r>
    </w:p>
    <w:p>
      <w:pPr>
        <w:sectPr>
          <w:pgSz w:w="11900" w:h="16838" w:orient="portrait"/>
          <w:cols w:equalWidth="0" w:num="1">
            <w:col w:w="11340"/>
          </w:cols>
          <w:pgMar w:left="320" w:top="553"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SCHEDULE III</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Time of Sale Prospectus</w:t>
      </w:r>
    </w:p>
    <w:p>
      <w:pPr>
        <w:spacing w:after="0" w:line="213" w:lineRule="exact"/>
        <w:rPr>
          <w:sz w:val="20"/>
          <w:szCs w:val="20"/>
          <w:color w:val="auto"/>
        </w:rPr>
      </w:pPr>
    </w:p>
    <w:p>
      <w:pPr>
        <w:ind w:left="582" w:hanging="582"/>
        <w:spacing w:after="0"/>
        <w:tabs>
          <w:tab w:leader="none" w:pos="582"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Preliminary Prospectus Supplement dated January 21, 2020, and Basic Prospectus</w:t>
      </w:r>
    </w:p>
    <w:p>
      <w:pPr>
        <w:spacing w:after="0" w:line="209" w:lineRule="exact"/>
        <w:rPr>
          <w:rFonts w:ascii="Arial" w:cs="Arial" w:eastAsia="Arial" w:hAnsi="Arial"/>
          <w:sz w:val="16"/>
          <w:szCs w:val="16"/>
          <w:color w:val="auto"/>
        </w:rPr>
      </w:pPr>
    </w:p>
    <w:p>
      <w:pPr>
        <w:ind w:left="582" w:hanging="582"/>
        <w:spacing w:after="0"/>
        <w:tabs>
          <w:tab w:leader="none" w:pos="582" w:val="left"/>
        </w:tabs>
        <w:numPr>
          <w:ilvl w:val="0"/>
          <w:numId w:val="43"/>
        </w:numPr>
        <w:rPr>
          <w:rFonts w:ascii="Arial" w:cs="Arial" w:eastAsia="Arial" w:hAnsi="Arial"/>
          <w:sz w:val="16"/>
          <w:szCs w:val="16"/>
          <w:color w:val="auto"/>
        </w:rPr>
      </w:pPr>
      <w:r>
        <w:rPr>
          <w:rFonts w:ascii="Arial" w:cs="Arial" w:eastAsia="Arial" w:hAnsi="Arial"/>
          <w:sz w:val="16"/>
          <w:szCs w:val="16"/>
          <w:color w:val="auto"/>
        </w:rPr>
        <w:t>Free writing prospectuses filed by the Company under Rule 433(d) of the Securities Act: None.</w:t>
      </w:r>
    </w:p>
    <w:p>
      <w:pPr>
        <w:spacing w:after="0" w:line="209" w:lineRule="exact"/>
        <w:rPr>
          <w:rFonts w:ascii="Arial" w:cs="Arial" w:eastAsia="Arial" w:hAnsi="Arial"/>
          <w:sz w:val="16"/>
          <w:szCs w:val="16"/>
          <w:color w:val="auto"/>
        </w:rPr>
      </w:pPr>
    </w:p>
    <w:p>
      <w:pPr>
        <w:ind w:left="582" w:hanging="582"/>
        <w:spacing w:after="0"/>
        <w:tabs>
          <w:tab w:leader="none" w:pos="582"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Pricing information:</w:t>
      </w:r>
    </w:p>
    <w:p>
      <w:pPr>
        <w:spacing w:after="0" w:line="209"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Number of Firm Shares purchased by the Underwriters from the Company: 2,490,053</w:t>
      </w:r>
    </w:p>
    <w:p>
      <w:pPr>
        <w:spacing w:after="0" w:line="209"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Number of Firm Shares purchase by the Underwriters from the Selling Shareholders: 1,809,947</w:t>
      </w:r>
    </w:p>
    <w:p>
      <w:pPr>
        <w:spacing w:after="0" w:line="209"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Number of Additional Shares to be sold by the Company at the option of the Underwriters: up to 645,000</w:t>
      </w:r>
    </w:p>
    <w:p>
      <w:pPr>
        <w:spacing w:after="0" w:line="209"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Initial price per share to the public: $21.50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42"/>
        <w:spacing w:after="0" w:line="184" w:lineRule="exact"/>
        <w:rPr>
          <w:sz w:val="20"/>
          <w:szCs w:val="20"/>
          <w:color w:val="auto"/>
        </w:rPr>
      </w:pPr>
      <w:r>
        <w:rPr>
          <w:rFonts w:ascii="Arial" w:cs="Arial" w:eastAsia="Arial" w:hAnsi="Arial"/>
          <w:sz w:val="16"/>
          <w:szCs w:val="16"/>
          <w:color w:val="auto"/>
        </w:rPr>
        <w:t>III</w:t>
      </w:r>
      <w:r>
        <w:rPr>
          <w:rFonts w:ascii="MS PGothic" w:cs="MS PGothic" w:eastAsia="MS PGothic" w:hAnsi="MS PGothic"/>
          <w:sz w:val="16"/>
          <w:szCs w:val="16"/>
          <w:color w:val="auto"/>
        </w:rPr>
        <w:t>‑</w:t>
      </w:r>
      <w:r>
        <w:rPr>
          <w:rFonts w:ascii="Arial" w:cs="Arial" w:eastAsia="Arial" w:hAnsi="Arial"/>
          <w:sz w:val="16"/>
          <w:szCs w:val="16"/>
          <w:color w:val="auto"/>
        </w:rPr>
        <w:t>1</w:t>
      </w:r>
    </w:p>
    <w:p>
      <w:pPr>
        <w:sectPr>
          <w:pgSz w:w="11900" w:h="16838" w:orient="portrait"/>
          <w:cols w:equalWidth="0" w:num="1">
            <w:col w:w="11422"/>
          </w:cols>
          <w:pgMar w:left="238" w:top="553" w:right="239" w:bottom="1440" w:gutter="0" w:footer="0" w:header="0"/>
        </w:sectPr>
      </w:pPr>
    </w:p>
    <w:bookmarkStart w:id="20" w:name="page21"/>
    <w:bookmarkEnd w:id="20"/>
    <w:p>
      <w:pPr>
        <w:ind w:left="10582"/>
        <w:spacing w:after="0"/>
        <w:rPr>
          <w:sz w:val="20"/>
          <w:szCs w:val="20"/>
          <w:color w:val="auto"/>
        </w:rPr>
      </w:pPr>
      <w:r>
        <w:rPr>
          <w:rFonts w:ascii="Arial" w:cs="Arial" w:eastAsia="Arial" w:hAnsi="Arial"/>
          <w:sz w:val="16"/>
          <w:szCs w:val="16"/>
          <w:b w:val="1"/>
          <w:bCs w:val="1"/>
          <w:color w:val="auto"/>
        </w:rPr>
        <w:t>EXHIBIT A</w:t>
      </w:r>
    </w:p>
    <w:p>
      <w:pPr>
        <w:spacing w:after="0" w:line="209" w:lineRule="exact"/>
        <w:rPr>
          <w:sz w:val="20"/>
          <w:szCs w:val="20"/>
          <w:color w:val="auto"/>
        </w:rPr>
      </w:pPr>
    </w:p>
    <w:p>
      <w:pPr>
        <w:jc w:val="center"/>
        <w:ind w:right="-1"/>
        <w:spacing w:after="0" w:line="184" w:lineRule="exact"/>
        <w:rPr>
          <w:sz w:val="20"/>
          <w:szCs w:val="20"/>
          <w:color w:val="auto"/>
        </w:rPr>
      </w:pPr>
      <w:r>
        <w:rPr>
          <w:rFonts w:ascii="Arial" w:cs="Arial" w:eastAsia="Arial" w:hAnsi="Arial"/>
          <w:sz w:val="16"/>
          <w:szCs w:val="16"/>
          <w:b w:val="1"/>
          <w:bCs w:val="1"/>
          <w:color w:val="auto"/>
        </w:rPr>
        <w:t>FORM OF LOCK</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UP LETTER</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January 20, 2020</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Morgan Stanley &amp; Co. LLC</w:t>
      </w:r>
    </w:p>
    <w:p>
      <w:pPr>
        <w:spacing w:after="0" w:line="24" w:lineRule="exact"/>
        <w:rPr>
          <w:sz w:val="20"/>
          <w:szCs w:val="20"/>
          <w:color w:val="auto"/>
        </w:rPr>
      </w:pPr>
    </w:p>
    <w:p>
      <w:pPr>
        <w:ind w:left="2"/>
        <w:spacing w:after="0"/>
        <w:tabs>
          <w:tab w:leader="none" w:pos="341" w:val="left"/>
        </w:tabs>
        <w:rPr>
          <w:sz w:val="20"/>
          <w:szCs w:val="20"/>
          <w:color w:val="auto"/>
        </w:rPr>
      </w:pPr>
      <w:r>
        <w:rPr>
          <w:rFonts w:ascii="Arial" w:cs="Arial" w:eastAsia="Arial" w:hAnsi="Arial"/>
          <w:sz w:val="16"/>
          <w:szCs w:val="16"/>
          <w:color w:val="auto"/>
        </w:rPr>
        <w:t>c/o</w:t>
      </w:r>
      <w:r>
        <w:rPr>
          <w:sz w:val="20"/>
          <w:szCs w:val="20"/>
          <w:color w:val="auto"/>
        </w:rPr>
        <w:tab/>
      </w:r>
      <w:r>
        <w:rPr>
          <w:rFonts w:ascii="Arial" w:cs="Arial" w:eastAsia="Arial" w:hAnsi="Arial"/>
          <w:sz w:val="15"/>
          <w:szCs w:val="15"/>
          <w:color w:val="auto"/>
        </w:rPr>
        <w:t>Morgan Stanley &amp; Co. LLC</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1585 Broadway</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New York, NY 10036</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BofA Securities, Inc.</w:t>
      </w:r>
    </w:p>
    <w:p>
      <w:pPr>
        <w:spacing w:after="0" w:line="24" w:lineRule="exact"/>
        <w:rPr>
          <w:sz w:val="20"/>
          <w:szCs w:val="20"/>
          <w:color w:val="auto"/>
        </w:rPr>
      </w:pPr>
    </w:p>
    <w:p>
      <w:pPr>
        <w:ind w:left="2"/>
        <w:spacing w:after="0"/>
        <w:tabs>
          <w:tab w:leader="none" w:pos="341" w:val="left"/>
        </w:tabs>
        <w:rPr>
          <w:sz w:val="20"/>
          <w:szCs w:val="20"/>
          <w:color w:val="auto"/>
        </w:rPr>
      </w:pPr>
      <w:r>
        <w:rPr>
          <w:rFonts w:ascii="Arial" w:cs="Arial" w:eastAsia="Arial" w:hAnsi="Arial"/>
          <w:sz w:val="16"/>
          <w:szCs w:val="16"/>
          <w:color w:val="auto"/>
        </w:rPr>
        <w:t>c/o</w:t>
      </w:r>
      <w:r>
        <w:rPr>
          <w:sz w:val="20"/>
          <w:szCs w:val="20"/>
          <w:color w:val="auto"/>
        </w:rPr>
        <w:tab/>
      </w:r>
      <w:r>
        <w:rPr>
          <w:rFonts w:ascii="Arial" w:cs="Arial" w:eastAsia="Arial" w:hAnsi="Arial"/>
          <w:sz w:val="15"/>
          <w:szCs w:val="15"/>
          <w:color w:val="auto"/>
        </w:rPr>
        <w:t>BofA Securities, Inc.</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One Bryant Park</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New York, NY 10036</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Ladies and Gentlemen:</w:t>
      </w:r>
    </w:p>
    <w:p>
      <w:pPr>
        <w:spacing w:after="0" w:line="205" w:lineRule="exact"/>
        <w:rPr>
          <w:sz w:val="20"/>
          <w:szCs w:val="20"/>
          <w:color w:val="auto"/>
        </w:rPr>
      </w:pPr>
    </w:p>
    <w:p>
      <w:pPr>
        <w:jc w:val="both"/>
        <w:ind w:left="2" w:firstLine="590"/>
        <w:spacing w:after="0" w:line="265" w:lineRule="auto"/>
        <w:rPr>
          <w:sz w:val="20"/>
          <w:szCs w:val="20"/>
          <w:color w:val="auto"/>
        </w:rPr>
      </w:pPr>
      <w:r>
        <w:rPr>
          <w:rFonts w:ascii="Arial" w:cs="Arial" w:eastAsia="Arial" w:hAnsi="Arial"/>
          <w:sz w:val="16"/>
          <w:szCs w:val="16"/>
          <w:color w:val="auto"/>
        </w:rPr>
        <w:t>The undersigned understands that Morgan Stanley &amp; Co. LLC (“</w:t>
      </w:r>
      <w:r>
        <w:rPr>
          <w:rFonts w:ascii="Arial" w:cs="Arial" w:eastAsia="Arial" w:hAnsi="Arial"/>
          <w:sz w:val="16"/>
          <w:szCs w:val="16"/>
          <w:b w:val="1"/>
          <w:bCs w:val="1"/>
          <w:i w:val="1"/>
          <w:iCs w:val="1"/>
          <w:color w:val="auto"/>
        </w:rPr>
        <w:t>Morgan Stanley</w:t>
      </w:r>
      <w:r>
        <w:rPr>
          <w:rFonts w:ascii="Arial" w:cs="Arial" w:eastAsia="Arial" w:hAnsi="Arial"/>
          <w:sz w:val="16"/>
          <w:szCs w:val="16"/>
          <w:color w:val="auto"/>
        </w:rPr>
        <w:t>”) and BofA Securities, Inc. (“</w:t>
      </w:r>
      <w:r>
        <w:rPr>
          <w:rFonts w:ascii="Arial" w:cs="Arial" w:eastAsia="Arial" w:hAnsi="Arial"/>
          <w:sz w:val="16"/>
          <w:szCs w:val="16"/>
          <w:b w:val="1"/>
          <w:bCs w:val="1"/>
          <w:color w:val="auto"/>
        </w:rPr>
        <w:t>BofAS</w:t>
      </w:r>
      <w:r>
        <w:rPr>
          <w:rFonts w:ascii="Arial" w:cs="Arial" w:eastAsia="Arial" w:hAnsi="Arial"/>
          <w:sz w:val="16"/>
          <w:szCs w:val="16"/>
          <w:color w:val="auto"/>
        </w:rPr>
        <w:t>”) as representatives of the several Underwriters, propose to enter into an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with SI-BONE,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Selling Shareholders (as defined in the Underwriting Agreement), providing for the public offering (the “</w:t>
      </w:r>
      <w:r>
        <w:rPr>
          <w:rFonts w:ascii="Arial" w:cs="Arial" w:eastAsia="Arial" w:hAnsi="Arial"/>
          <w:sz w:val="16"/>
          <w:szCs w:val="16"/>
          <w:b w:val="1"/>
          <w:bCs w:val="1"/>
          <w:i w:val="1"/>
          <w:iCs w:val="1"/>
          <w:color w:val="auto"/>
        </w:rPr>
        <w:t>Public Offering</w:t>
      </w:r>
      <w:r>
        <w:rPr>
          <w:rFonts w:ascii="Arial" w:cs="Arial" w:eastAsia="Arial" w:hAnsi="Arial"/>
          <w:sz w:val="16"/>
          <w:szCs w:val="16"/>
          <w:color w:val="auto"/>
        </w:rPr>
        <w:t>”) by the several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including Morgan Stanley and BofAS, of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common stock, par value $0.0001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The Company and the Selling Shareholders are hereinafter sometimes collectively referred to as the “</w:t>
      </w:r>
      <w:r>
        <w:rPr>
          <w:rFonts w:ascii="Arial" w:cs="Arial" w:eastAsia="Arial" w:hAnsi="Arial"/>
          <w:sz w:val="16"/>
          <w:szCs w:val="16"/>
          <w:b w:val="1"/>
          <w:bCs w:val="1"/>
          <w:i w:val="1"/>
          <w:iCs w:val="1"/>
          <w:color w:val="auto"/>
        </w:rPr>
        <w:t>Sellers</w:t>
      </w:r>
      <w:r>
        <w:rPr>
          <w:rFonts w:ascii="Arial" w:cs="Arial" w:eastAsia="Arial" w:hAnsi="Arial"/>
          <w:sz w:val="16"/>
          <w:szCs w:val="16"/>
          <w:color w:val="auto"/>
        </w:rPr>
        <w:t>.”</w:t>
      </w:r>
    </w:p>
    <w:p>
      <w:pPr>
        <w:spacing w:after="0" w:line="168" w:lineRule="exact"/>
        <w:rPr>
          <w:sz w:val="20"/>
          <w:szCs w:val="20"/>
          <w:color w:val="auto"/>
        </w:rPr>
      </w:pPr>
    </w:p>
    <w:p>
      <w:pPr>
        <w:jc w:val="both"/>
        <w:ind w:left="2" w:firstLine="590"/>
        <w:spacing w:after="0" w:line="278" w:lineRule="auto"/>
        <w:rPr>
          <w:sz w:val="20"/>
          <w:szCs w:val="20"/>
          <w:color w:val="auto"/>
        </w:rPr>
      </w:pPr>
      <w:r>
        <w:rPr>
          <w:rFonts w:ascii="Arial" w:cs="Arial" w:eastAsia="Arial" w:hAnsi="Arial"/>
          <w:sz w:val="15"/>
          <w:szCs w:val="15"/>
          <w:color w:val="auto"/>
        </w:rPr>
        <w:t>To induce the Underwriters that may participate in the Public Offering to continue their efforts in connection with the Public Offering, the undersigned hereby agrees that, without the prior written consent of Morgan Stanley and BofAS on behalf of the Underwriters, it will not, and will not publicly disclose an intention to, during the period commencing on the date hereof and ending [60][90] days after the date of the final prospectus (the “</w:t>
      </w:r>
      <w:r>
        <w:rPr>
          <w:rFonts w:ascii="Arial" w:cs="Arial" w:eastAsia="Arial" w:hAnsi="Arial"/>
          <w:sz w:val="15"/>
          <w:szCs w:val="15"/>
          <w:b w:val="1"/>
          <w:bCs w:val="1"/>
          <w:i w:val="1"/>
          <w:iCs w:val="1"/>
          <w:color w:val="auto"/>
        </w:rPr>
        <w:t>Restricted Period</w:t>
      </w:r>
      <w:r>
        <w:rPr>
          <w:rFonts w:ascii="Arial" w:cs="Arial" w:eastAsia="Arial" w:hAnsi="Arial"/>
          <w:sz w:val="15"/>
          <w:szCs w:val="15"/>
          <w:color w:val="auto"/>
        </w:rPr>
        <w:t>”) relating to the Public Offering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w:t>
      </w:r>
    </w:p>
    <w:p>
      <w:pPr>
        <w:spacing w:after="0" w:line="2" w:lineRule="exact"/>
        <w:rPr>
          <w:sz w:val="20"/>
          <w:szCs w:val="20"/>
          <w:color w:val="auto"/>
        </w:rPr>
      </w:pPr>
    </w:p>
    <w:p>
      <w:pPr>
        <w:jc w:val="both"/>
        <w:ind w:left="2" w:hanging="2"/>
        <w:spacing w:after="0" w:line="259" w:lineRule="auto"/>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but excluding shares beneficially owned by a Selling Stockholder affiliated with the undersigned provided such Selling Stockholder has delivered a separate lock-up agreement to the Underwriters),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72" w:lineRule="exact"/>
        <w:rPr>
          <w:rFonts w:ascii="Arial" w:cs="Arial" w:eastAsia="Arial" w:hAnsi="Arial"/>
          <w:sz w:val="16"/>
          <w:szCs w:val="16"/>
          <w:color w:val="auto"/>
        </w:rPr>
      </w:pPr>
    </w:p>
    <w:p>
      <w:pPr>
        <w:jc w:val="both"/>
        <w:ind w:left="2" w:firstLine="588"/>
        <w:spacing w:after="0" w:line="272" w:lineRule="auto"/>
        <w:tabs>
          <w:tab w:leader="none" w:pos="1372"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transactions relating to shares of Common Stock or other securities acquired in open market transactions after the completion of the Public Offering, provided that no filing under Section 16(a) of the Exchange Act shall be required or shall be voluntarily made during the Restricted Period in connection with subsequent sales of Common Stock or other securities acquired in such open market transactions;</w:t>
      </w:r>
    </w:p>
    <w:p>
      <w:pPr>
        <w:spacing w:after="0" w:line="161" w:lineRule="exact"/>
        <w:rPr>
          <w:rFonts w:ascii="Arial" w:cs="Arial" w:eastAsia="Arial" w:hAnsi="Arial"/>
          <w:sz w:val="16"/>
          <w:szCs w:val="16"/>
          <w:b w:val="1"/>
          <w:bCs w:val="1"/>
          <w:color w:val="auto"/>
        </w:rPr>
      </w:pPr>
    </w:p>
    <w:p>
      <w:pPr>
        <w:jc w:val="both"/>
        <w:ind w:left="2" w:firstLine="588"/>
        <w:spacing w:after="0" w:line="281" w:lineRule="auto"/>
        <w:tabs>
          <w:tab w:leader="none" w:pos="1026" w:val="left"/>
        </w:tabs>
        <w:numPr>
          <w:ilvl w:val="1"/>
          <w:numId w:val="44"/>
        </w:numPr>
        <w:rPr>
          <w:rFonts w:ascii="Arial" w:cs="Arial" w:eastAsia="Arial" w:hAnsi="Arial"/>
          <w:sz w:val="15"/>
          <w:szCs w:val="15"/>
          <w:b w:val="1"/>
          <w:bCs w:val="1"/>
          <w:color w:val="auto"/>
        </w:rPr>
      </w:pPr>
      <w:r>
        <w:rPr>
          <w:rFonts w:ascii="Arial" w:cs="Arial" w:eastAsia="Arial" w:hAnsi="Arial"/>
          <w:sz w:val="15"/>
          <w:szCs w:val="15"/>
          <w:color w:val="auto"/>
        </w:rPr>
        <w:t>transfers of shares of Common Stock or any security convertible into or exercisable or exchangeable for Common Stock (i) as a bona fide gift, (ii) to an immediate family member or a trust for the direct or indirect benefit of the undersigned or such immediate family member of the undersigned, (iii) to any corporation, partnership, limited liability company, investment fund or other entity controlled or managed, or under common control or management by the undersigned or the immediate family of the undersigned, or (iv) by will, other testamentary document or intestate succession to the legal representative, heir, beneficiary or a member of the immediate family of the undersigned, provided that in the case of any transfer or distribution pursuant to this clause (b), (i) each distributee or transferee shall sign and deliver a lock-up letter substantially in the form of this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59" w:lineRule="exact"/>
        <w:rPr>
          <w:rFonts w:ascii="Arial" w:cs="Arial" w:eastAsia="Arial" w:hAnsi="Arial"/>
          <w:sz w:val="15"/>
          <w:szCs w:val="15"/>
          <w:b w:val="1"/>
          <w:bCs w:val="1"/>
          <w:color w:val="auto"/>
        </w:rPr>
      </w:pPr>
    </w:p>
    <w:p>
      <w:pPr>
        <w:jc w:val="both"/>
        <w:ind w:left="2" w:firstLine="588"/>
        <w:spacing w:after="0" w:line="290" w:lineRule="auto"/>
        <w:tabs>
          <w:tab w:leader="none" w:pos="966" w:val="left"/>
        </w:tabs>
        <w:numPr>
          <w:ilvl w:val="1"/>
          <w:numId w:val="44"/>
        </w:numPr>
        <w:rPr>
          <w:rFonts w:ascii="Arial" w:cs="Arial" w:eastAsia="Arial" w:hAnsi="Arial"/>
          <w:sz w:val="15"/>
          <w:szCs w:val="15"/>
          <w:b w:val="1"/>
          <w:bCs w:val="1"/>
          <w:color w:val="auto"/>
        </w:rPr>
      </w:pPr>
      <w:r>
        <w:rPr>
          <w:rFonts w:ascii="Arial" w:cs="Arial" w:eastAsia="Arial" w:hAnsi="Arial"/>
          <w:sz w:val="15"/>
          <w:szCs w:val="15"/>
          <w:color w:val="auto"/>
        </w:rPr>
        <w:t>distributions or transfers of shares of Common Stock or any security convertible into or exercisable or exchangeable for Common Stock to general or limited partners, members or stockholders of the undersigned, provided that in the case of any transfer or distribution pursuant to this clause (c), (i) each distributee or transferee shall sign and deliver a lock-up letter substantially in the form of this letter and (ii) no filing under Section 16(a) of the Exchange Act, reporting a reduction in beneficial ownership of shares of Common Stock, shall be required or shall be voluntarily made during the Restricted Period (other than a filing on a Form 5);</w:t>
      </w:r>
    </w:p>
    <w:p>
      <w:pPr>
        <w:sectPr>
          <w:pgSz w:w="11900" w:h="16838" w:orient="portrait"/>
          <w:cols w:equalWidth="0" w:num="1">
            <w:col w:w="11422"/>
          </w:cols>
          <w:pgMar w:left="238" w:top="750" w:right="239" w:bottom="1440" w:gutter="0" w:footer="0" w:header="0"/>
        </w:sectPr>
      </w:pPr>
    </w:p>
    <w:bookmarkStart w:id="21" w:name="page22"/>
    <w:bookmarkEnd w:id="21"/>
    <w:p>
      <w:pPr>
        <w:jc w:val="both"/>
        <w:ind w:firstLine="588"/>
        <w:spacing w:after="0" w:line="266" w:lineRule="auto"/>
        <w:tabs>
          <w:tab w:leader="none" w:pos="99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67" w:lineRule="exact"/>
        <w:rPr>
          <w:rFonts w:ascii="Arial" w:cs="Arial" w:eastAsia="Arial" w:hAnsi="Arial"/>
          <w:sz w:val="16"/>
          <w:szCs w:val="16"/>
          <w:b w:val="1"/>
          <w:bCs w:val="1"/>
          <w:color w:val="auto"/>
        </w:rPr>
      </w:pPr>
    </w:p>
    <w:p>
      <w:pPr>
        <w:jc w:val="both"/>
        <w:ind w:firstLine="588"/>
        <w:spacing w:after="0" w:line="264" w:lineRule="auto"/>
        <w:tabs>
          <w:tab w:leader="none" w:pos="973"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exercise of options to purchase shares of Common Stock granted under any stock incentive plan or stock purchase plan of the Company described in the registration statement related to the Public Offering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and the Prospectus, provided that (i) the underlying shares shall continue to be subject to the restrictions on transfer set forth in this agreement and (ii) any filing under Section 16 of the Exchange Act made during the Restricted Period shall clearly indicate that (A) the filing relates to the circumstances described above and (B) no securities were sold by the undersigned, and (iii) the undersigned does not otherwise voluntarily effect any other public filing or report regarding such transfers during the Restricted Period;</w:t>
      </w:r>
    </w:p>
    <w:p>
      <w:pPr>
        <w:spacing w:after="0" w:line="168" w:lineRule="exact"/>
        <w:rPr>
          <w:rFonts w:ascii="Arial" w:cs="Arial" w:eastAsia="Arial" w:hAnsi="Arial"/>
          <w:sz w:val="16"/>
          <w:szCs w:val="16"/>
          <w:b w:val="1"/>
          <w:bCs w:val="1"/>
          <w:color w:val="auto"/>
        </w:rPr>
      </w:pPr>
    </w:p>
    <w:p>
      <w:pPr>
        <w:jc w:val="both"/>
        <w:ind w:firstLine="588"/>
        <w:spacing w:after="0" w:line="278" w:lineRule="auto"/>
        <w:tabs>
          <w:tab w:leader="none" w:pos="922" w:val="left"/>
        </w:tabs>
        <w:numPr>
          <w:ilvl w:val="0"/>
          <w:numId w:val="45"/>
        </w:numPr>
        <w:rPr>
          <w:rFonts w:ascii="Arial" w:cs="Arial" w:eastAsia="Arial" w:hAnsi="Arial"/>
          <w:sz w:val="15"/>
          <w:szCs w:val="15"/>
          <w:b w:val="1"/>
          <w:bCs w:val="1"/>
          <w:color w:val="auto"/>
        </w:rPr>
      </w:pPr>
      <w:r>
        <w:rPr>
          <w:rFonts w:ascii="Arial" w:cs="Arial" w:eastAsia="Arial" w:hAnsi="Arial"/>
          <w:sz w:val="15"/>
          <w:szCs w:val="15"/>
          <w:color w:val="auto"/>
        </w:rPr>
        <w:t>(i) the receipt by the undersigned from the Company of shares of Common Stock upon (A) the exercise or settlement of options or restricted stock units granted under a stock incentive plan or other equity award plan, which plan is described in the Registration Statement and the Prospectus or (B) the exercise of warrants outstanding and which are described in the Registration Statement and the Prospectus, or (ii) the transfer of shares of Common Stock or any securities convertible into Common Stock to the Company upon a vesting or settlement event of the Company’s securities or upon the exercise of options or warrants to purchase the Company’s securities on a “cashless” or “net exercise” basis to the extent permitted by the instruments representing such options or warrants (and any transfer to the Company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the Company and the Company’s cancellation of all or a portion thereof to pay the exercise price and/or withholding tax and remittance obligations, provided that (1) in the case of (i), the shares received upon exercise or settlement of the option, restricted stock unit, or warrant are subject to the terms of this letter and (2) to the extent a filing under Section 16 of the Exchange Act is required to made during the Restricted Period as a result of transfers in this section (f), it shall clearly indicate that (A) the filing relates to the circumstances described above and (B) no securities were sold by the undersigned in the open market, and (3) the undersigned does not otherwise voluntarily effect any other public filing or report regarding such transfers during the Restricted Period;</w:t>
      </w:r>
    </w:p>
    <w:p>
      <w:pPr>
        <w:spacing w:after="0" w:line="159" w:lineRule="exact"/>
        <w:rPr>
          <w:rFonts w:ascii="Arial" w:cs="Arial" w:eastAsia="Arial" w:hAnsi="Arial"/>
          <w:sz w:val="15"/>
          <w:szCs w:val="15"/>
          <w:b w:val="1"/>
          <w:bCs w:val="1"/>
          <w:color w:val="auto"/>
        </w:rPr>
      </w:pPr>
    </w:p>
    <w:p>
      <w:pPr>
        <w:jc w:val="both"/>
        <w:ind w:firstLine="588"/>
        <w:spacing w:after="0" w:line="264" w:lineRule="auto"/>
        <w:tabs>
          <w:tab w:leader="none" w:pos="1027"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transfer of shares of Common Stock or any security convertible into or exercisable or exchangeable for Common Stock to the Company pursuant to agreements under which the Company has the option to repurchase such shares or a right of first refusal with respect to transfers of such shares, provided that (1) to the extent a filing under Section 16 of the Exchange Act is required to made during the Restricted Period as a result of transfers in this section (g), it shall clearly indicate that (A) the filing relates to the circumstances described above and (B) no securities were sold by the undersigned in the open market, and (2) the undersigned does not otherwise voluntarily effect any other public filing or report regarding such transfers during the Restricted Period;</w:t>
      </w:r>
    </w:p>
    <w:p>
      <w:pPr>
        <w:spacing w:after="0" w:line="168" w:lineRule="exact"/>
        <w:rPr>
          <w:rFonts w:ascii="Arial" w:cs="Arial" w:eastAsia="Arial" w:hAnsi="Arial"/>
          <w:sz w:val="16"/>
          <w:szCs w:val="16"/>
          <w:b w:val="1"/>
          <w:bCs w:val="1"/>
          <w:color w:val="auto"/>
        </w:rPr>
      </w:pPr>
    </w:p>
    <w:p>
      <w:pPr>
        <w:jc w:val="both"/>
        <w:ind w:firstLine="588"/>
        <w:spacing w:after="0" w:line="264" w:lineRule="auto"/>
        <w:tabs>
          <w:tab w:leader="none" w:pos="975"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letter substantially in the form of this letter, (ii) any filing under Section 16 of the Exchange Act made during the Restricted Period shall clearly indicate in the footnotes thereto that (A) the filing relates to the circumstances described above and (B) no securities were sold by the undersigned, and (iii) the undersigned does not otherwise voluntarily effect any other public filing or report regarding such transfers during the Restricted Period;</w:t>
      </w:r>
    </w:p>
    <w:p>
      <w:pPr>
        <w:spacing w:after="0" w:line="168" w:lineRule="exact"/>
        <w:rPr>
          <w:rFonts w:ascii="Arial" w:cs="Arial" w:eastAsia="Arial" w:hAnsi="Arial"/>
          <w:sz w:val="16"/>
          <w:szCs w:val="16"/>
          <w:b w:val="1"/>
          <w:bCs w:val="1"/>
          <w:color w:val="auto"/>
        </w:rPr>
      </w:pPr>
    </w:p>
    <w:p>
      <w:pPr>
        <w:jc w:val="both"/>
        <w:ind w:firstLine="588"/>
        <w:spacing w:after="0" w:line="266" w:lineRule="auto"/>
        <w:tabs>
          <w:tab w:leader="none" w:pos="918"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sale or transfer of shares of Common Stock by the undersigned under a plan established pursuant to Rule 10b5-1 under the Exchange Act (a “10b5-1 Plan”) that is existing on the date hereof; provided, that, to the extent a public report, filing or announcement under the Exchange Act, if any, is required by, or voluntarily made by or on behalf of, the undersigned or the Company regarding such transfer, such report, filing or announcement shall include a statement that such transfer is in accordance with an established 10b5-1 Plan;</w:t>
      </w:r>
    </w:p>
    <w:p>
      <w:pPr>
        <w:spacing w:after="0" w:line="167" w:lineRule="exact"/>
        <w:rPr>
          <w:rFonts w:ascii="Arial" w:cs="Arial" w:eastAsia="Arial" w:hAnsi="Arial"/>
          <w:sz w:val="16"/>
          <w:szCs w:val="16"/>
          <w:b w:val="1"/>
          <w:bCs w:val="1"/>
          <w:color w:val="auto"/>
        </w:rPr>
      </w:pPr>
    </w:p>
    <w:p>
      <w:pPr>
        <w:jc w:val="both"/>
        <w:ind w:firstLine="588"/>
        <w:spacing w:after="0" w:line="264" w:lineRule="auto"/>
        <w:tabs>
          <w:tab w:leader="none" w:pos="942"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 xml:space="preserve">the sale of shares of Common Stock solely in connection with the payment of taxes due with respect to the vesting of restricted stock or restricted stock units granted under a stock incentive plan or pursuant to a contractual employment arrangement described in the Prospectus, insofar as such restricted stock or restricted stock units are outstanding as of the date of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 or</w:t>
      </w:r>
    </w:p>
    <w:p>
      <w:pPr>
        <w:spacing w:after="0" w:line="168" w:lineRule="exact"/>
        <w:rPr>
          <w:rFonts w:ascii="Arial" w:cs="Arial" w:eastAsia="Arial" w:hAnsi="Arial"/>
          <w:sz w:val="16"/>
          <w:szCs w:val="16"/>
          <w:b w:val="1"/>
          <w:bCs w:val="1"/>
          <w:color w:val="auto"/>
        </w:rPr>
      </w:pPr>
    </w:p>
    <w:p>
      <w:pPr>
        <w:ind w:left="960" w:hanging="372"/>
        <w:spacing w:after="0"/>
        <w:tabs>
          <w:tab w:leader="none" w:pos="96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sale of shares of Common Stock to the Underwriters by the undersigned pursuant to the Underwriting Agreement.</w:t>
      </w:r>
    </w:p>
    <w:p>
      <w:pPr>
        <w:spacing w:after="0" w:line="209" w:lineRule="exact"/>
        <w:rPr>
          <w:sz w:val="20"/>
          <w:szCs w:val="20"/>
          <w:color w:val="auto"/>
        </w:rPr>
      </w:pPr>
    </w:p>
    <w:p>
      <w:pPr>
        <w:ind w:firstLine="590"/>
        <w:spacing w:after="0" w:line="287" w:lineRule="auto"/>
        <w:rPr>
          <w:sz w:val="20"/>
          <w:szCs w:val="20"/>
          <w:color w:val="auto"/>
        </w:rPr>
      </w:pPr>
      <w:r>
        <w:rPr>
          <w:rFonts w:ascii="Arial" w:cs="Arial" w:eastAsia="Arial" w:hAnsi="Arial"/>
          <w:sz w:val="16"/>
          <w:szCs w:val="16"/>
          <w:color w:val="auto"/>
        </w:rPr>
        <w:t>As used herein, “immediate family” shall mean the spouse, domestic partner, lineal descendant, father, mother, brother, sister, or any other person with whom the undersigned has a relationship by blood, marriage or adoption not more remote than first cousin.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57" w:right="239" w:bottom="1440" w:gutter="0" w:footer="0" w:header="0"/>
        </w:sectPr>
      </w:pPr>
    </w:p>
    <w:bookmarkStart w:id="22" w:name="page23"/>
    <w:bookmarkEnd w:id="22"/>
    <w:p>
      <w:pPr>
        <w:jc w:val="both"/>
        <w:ind w:firstLine="590"/>
        <w:spacing w:after="0" w:line="266" w:lineRule="auto"/>
        <w:rPr>
          <w:sz w:val="20"/>
          <w:szCs w:val="20"/>
          <w:color w:val="auto"/>
        </w:rPr>
      </w:pPr>
      <w:r>
        <w:rPr>
          <w:rFonts w:ascii="Arial" w:cs="Arial" w:eastAsia="Arial" w:hAnsi="Arial"/>
          <w:sz w:val="16"/>
          <w:szCs w:val="16"/>
          <w:color w:val="auto"/>
        </w:rPr>
        <w:t>In addition, the undersigned agrees that, without the prior written consent of Morgan Stanley and BofAS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68" w:lineRule="exact"/>
        <w:rPr>
          <w:sz w:val="20"/>
          <w:szCs w:val="20"/>
          <w:color w:val="auto"/>
        </w:rPr>
      </w:pPr>
    </w:p>
    <w:p>
      <w:pPr>
        <w:jc w:val="both"/>
        <w:ind w:firstLine="590"/>
        <w:spacing w:after="0" w:line="298" w:lineRule="auto"/>
        <w:rPr>
          <w:sz w:val="20"/>
          <w:szCs w:val="20"/>
          <w:color w:val="auto"/>
        </w:rPr>
      </w:pPr>
      <w:r>
        <w:rPr>
          <w:rFonts w:ascii="Arial" w:cs="Arial" w:eastAsia="Arial" w:hAnsi="Arial"/>
          <w:sz w:val="15"/>
          <w:szCs w:val="15"/>
          <w:color w:val="auto"/>
        </w:rPr>
        <w:t>This letter shall automatically terminate upon the earliest to occur, if any, of (a) the date the Sellers advise Morgan Stanley and BofAS, in writing, prior to the execution of the Underwriting Agreement, that they have determined not to proceed with the Public Offering, (b) the date of the termination of the Underwriting Agreement if prior to the closing of the Public Offering or (c) February 28, 2020, if, and only if, the Public Offering of the Shares has not been completed by such date.</w:t>
      </w:r>
    </w:p>
    <w:p>
      <w:pPr>
        <w:spacing w:after="0" w:line="144"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The undersigned understands that the Sellers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26" w:lineRule="exact"/>
        <w:rPr>
          <w:sz w:val="20"/>
          <w:szCs w:val="20"/>
          <w:color w:val="auto"/>
        </w:rPr>
      </w:pPr>
    </w:p>
    <w:p>
      <w:pPr>
        <w:ind w:right="60" w:firstLine="590"/>
        <w:spacing w:after="0" w:line="287" w:lineRule="auto"/>
        <w:rPr>
          <w:sz w:val="20"/>
          <w:szCs w:val="20"/>
          <w:color w:val="auto"/>
        </w:rPr>
      </w:pPr>
      <w:r>
        <w:rPr>
          <w:rFonts w:ascii="Arial" w:cs="Arial" w:eastAsia="Arial" w:hAnsi="Arial"/>
          <w:sz w:val="16"/>
          <w:szCs w:val="16"/>
          <w:color w:val="auto"/>
        </w:rPr>
        <w:t>Whether or not the Public Offering actually occurs depends on a number of factors, including market conditions. Any Public Offering will only be made pursuant to an Underwriting Agreement, the terms of which are subject to negotiation between the Sellers and the Underwriters.</w:t>
      </w:r>
    </w:p>
    <w:p>
      <w:pPr>
        <w:spacing w:after="0" w:line="15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Its:</w:t>
      </w:r>
    </w:p>
    <w:p>
      <w:pPr>
        <w:spacing w:after="0" w:line="29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-6985</wp:posOffset>
            </wp:positionV>
            <wp:extent cx="1041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-6985</wp:posOffset>
            </wp:positionV>
            <wp:extent cx="1041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18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-6985</wp:posOffset>
            </wp:positionV>
            <wp:extent cx="1041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7221220</wp:posOffset>
            </wp:positionH>
            <wp:positionV relativeFrom="paragraph">
              <wp:posOffset>242570</wp:posOffset>
            </wp:positionV>
            <wp:extent cx="939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5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color w:val="auto"/>
        </w:rPr>
        <w:t>EXHIBIT B</w:t>
      </w:r>
    </w:p>
    <w:p>
      <w:pPr>
        <w:spacing w:after="0" w:line="209"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FORM OF WAIVER OF LOCK</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UP</w:t>
      </w:r>
    </w:p>
    <w:p>
      <w:pPr>
        <w:spacing w:after="0" w:line="28"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_____________, 20__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Officer or Director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Requesting Waiver]</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Dear Mr./Ms. [Name]:</w:t>
      </w:r>
    </w:p>
    <w:p>
      <w:pPr>
        <w:spacing w:after="0" w:line="205" w:lineRule="exact"/>
        <w:rPr>
          <w:sz w:val="20"/>
          <w:szCs w:val="20"/>
          <w:color w:val="auto"/>
        </w:rPr>
      </w:pPr>
    </w:p>
    <w:p>
      <w:pPr>
        <w:ind w:left="580"/>
        <w:spacing w:after="0" w:line="173" w:lineRule="exact"/>
        <w:rPr>
          <w:sz w:val="20"/>
          <w:szCs w:val="20"/>
          <w:color w:val="auto"/>
        </w:rPr>
      </w:pPr>
      <w:r>
        <w:rPr>
          <w:rFonts w:ascii="Arial" w:cs="Arial" w:eastAsia="Arial" w:hAnsi="Arial"/>
          <w:sz w:val="15"/>
          <w:szCs w:val="15"/>
          <w:color w:val="auto"/>
        </w:rPr>
        <w:t>This letter is being delivered to you in connection with the offering by SI</w:t>
      </w:r>
      <w:r>
        <w:rPr>
          <w:rFonts w:ascii="MS PGothic" w:cs="MS PGothic" w:eastAsia="MS PGothic" w:hAnsi="MS PGothic"/>
          <w:sz w:val="15"/>
          <w:szCs w:val="15"/>
          <w:color w:val="auto"/>
        </w:rPr>
        <w:t>‑</w:t>
      </w:r>
      <w:r>
        <w:rPr>
          <w:rFonts w:ascii="Arial" w:cs="Arial" w:eastAsia="Arial" w:hAnsi="Arial"/>
          <w:sz w:val="15"/>
          <w:szCs w:val="15"/>
          <w:color w:val="auto"/>
        </w:rPr>
        <w:t>BONE, Inc. (the “</w:t>
      </w:r>
      <w:r>
        <w:rPr>
          <w:rFonts w:ascii="Arial" w:cs="Arial" w:eastAsia="Arial" w:hAnsi="Arial"/>
          <w:sz w:val="15"/>
          <w:szCs w:val="15"/>
          <w:b w:val="1"/>
          <w:bCs w:val="1"/>
          <w:color w:val="auto"/>
        </w:rPr>
        <w:t>Company</w:t>
      </w:r>
      <w:r>
        <w:rPr>
          <w:rFonts w:ascii="Arial" w:cs="Arial" w:eastAsia="Arial" w:hAnsi="Arial"/>
          <w:sz w:val="15"/>
          <w:szCs w:val="15"/>
          <w:color w:val="auto"/>
        </w:rPr>
        <w:t>”) of _____ shares of common stock, par value $0.0001 per</w:t>
      </w:r>
    </w:p>
    <w:p>
      <w:pPr>
        <w:spacing w:after="0" w:line="40"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share (the “</w:t>
      </w:r>
      <w:r>
        <w:rPr>
          <w:rFonts w:ascii="Arial" w:cs="Arial" w:eastAsia="Arial" w:hAnsi="Arial"/>
          <w:sz w:val="15"/>
          <w:szCs w:val="15"/>
          <w:b w:val="1"/>
          <w:bCs w:val="1"/>
          <w:color w:val="auto"/>
        </w:rPr>
        <w:t>Common Stock</w:t>
      </w:r>
      <w:r>
        <w:rPr>
          <w:rFonts w:ascii="Arial" w:cs="Arial" w:eastAsia="Arial" w:hAnsi="Arial"/>
          <w:sz w:val="15"/>
          <w:szCs w:val="15"/>
          <w:color w:val="auto"/>
        </w:rPr>
        <w:t>”), of the Company and the lock</w:t>
      </w:r>
      <w:r>
        <w:rPr>
          <w:rFonts w:ascii="MS PGothic" w:cs="MS PGothic" w:eastAsia="MS PGothic" w:hAnsi="MS PGothic"/>
          <w:sz w:val="15"/>
          <w:szCs w:val="15"/>
          <w:color w:val="auto"/>
        </w:rPr>
        <w:t>‑</w:t>
      </w:r>
      <w:r>
        <w:rPr>
          <w:rFonts w:ascii="Arial" w:cs="Arial" w:eastAsia="Arial" w:hAnsi="Arial"/>
          <w:sz w:val="15"/>
          <w:szCs w:val="15"/>
          <w:color w:val="auto"/>
        </w:rPr>
        <w:t>up letter dated ____, 20__ (the “</w:t>
      </w:r>
      <w:r>
        <w:rPr>
          <w:rFonts w:ascii="Arial" w:cs="Arial" w:eastAsia="Arial" w:hAnsi="Arial"/>
          <w:sz w:val="15"/>
          <w:szCs w:val="15"/>
          <w:b w:val="1"/>
          <w:bCs w:val="1"/>
          <w:color w:val="auto"/>
        </w:rPr>
        <w:t>Lock</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up Letter</w:t>
      </w:r>
      <w:r>
        <w:rPr>
          <w:rFonts w:ascii="Arial" w:cs="Arial" w:eastAsia="Arial" w:hAnsi="Arial"/>
          <w:sz w:val="15"/>
          <w:szCs w:val="15"/>
          <w:color w:val="auto"/>
        </w:rPr>
        <w:t>”), executed by you in connection with such offering, and your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request for a [waiver] [release] dated ____, 20__, with respect to ____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98" w:lineRule="exact"/>
        <w:rPr>
          <w:sz w:val="20"/>
          <w:szCs w:val="20"/>
          <w:color w:val="auto"/>
        </w:rPr>
      </w:pPr>
    </w:p>
    <w:p>
      <w:pPr>
        <w:ind w:firstLine="590"/>
        <w:spacing w:after="0" w:line="202" w:lineRule="exact"/>
        <w:rPr>
          <w:sz w:val="20"/>
          <w:szCs w:val="20"/>
          <w:color w:val="auto"/>
        </w:rPr>
      </w:pPr>
      <w:r>
        <w:rPr>
          <w:rFonts w:ascii="Arial" w:cs="Arial" w:eastAsia="Arial" w:hAnsi="Arial"/>
          <w:sz w:val="16"/>
          <w:szCs w:val="16"/>
          <w:color w:val="auto"/>
        </w:rPr>
        <w:t>Morgan Stanley &amp; Co. LLC and BofA Securities, Inc. hereby agree to [waive] [release] the transfer restrictions set forth in the Lock</w:t>
      </w:r>
      <w:r>
        <w:rPr>
          <w:rFonts w:ascii="MS PGothic" w:cs="MS PGothic" w:eastAsia="MS PGothic" w:hAnsi="MS PGothic"/>
          <w:sz w:val="16"/>
          <w:szCs w:val="16"/>
          <w:color w:val="auto"/>
        </w:rPr>
        <w:t>‑</w:t>
      </w:r>
      <w:r>
        <w:rPr>
          <w:rFonts w:ascii="Arial" w:cs="Arial" w:eastAsia="Arial" w:hAnsi="Arial"/>
          <w:sz w:val="16"/>
          <w:szCs w:val="16"/>
          <w:color w:val="auto"/>
        </w:rPr>
        <w:t>up Letter, but only with respect to the Shares, effective _____, 20__.</w:t>
      </w:r>
    </w:p>
    <w:p>
      <w:pPr>
        <w:spacing w:after="0" w:line="187" w:lineRule="exact"/>
        <w:rPr>
          <w:sz w:val="20"/>
          <w:szCs w:val="20"/>
          <w:color w:val="auto"/>
        </w:rPr>
      </w:pPr>
    </w:p>
    <w:p>
      <w:pPr>
        <w:jc w:val="center"/>
        <w:ind w:right="3460"/>
        <w:spacing w:after="0" w:line="184" w:lineRule="exact"/>
        <w:rPr>
          <w:sz w:val="20"/>
          <w:szCs w:val="20"/>
          <w:color w:val="auto"/>
        </w:rPr>
      </w:pPr>
      <w:r>
        <w:rPr>
          <w:rFonts w:ascii="Arial" w:cs="Arial" w:eastAsia="Arial" w:hAnsi="Arial"/>
          <w:sz w:val="16"/>
          <w:szCs w:val="16"/>
          <w:color w:val="auto"/>
        </w:rPr>
        <w:t>Except as expressly [waived] [released] hereby, the Lock</w:t>
      </w:r>
      <w:r>
        <w:rPr>
          <w:rFonts w:ascii="MS PGothic" w:cs="MS PGothic" w:eastAsia="MS PGothic" w:hAnsi="MS PGothic"/>
          <w:sz w:val="16"/>
          <w:szCs w:val="16"/>
          <w:color w:val="auto"/>
        </w:rPr>
        <w:t>‑</w:t>
      </w:r>
      <w:r>
        <w:rPr>
          <w:rFonts w:ascii="Arial" w:cs="Arial" w:eastAsia="Arial" w:hAnsi="Arial"/>
          <w:sz w:val="16"/>
          <w:szCs w:val="16"/>
          <w:color w:val="auto"/>
        </w:rPr>
        <w:t>up Letter shall remain in full force and effect.</w:t>
      </w:r>
    </w:p>
    <w:p>
      <w:pPr>
        <w:spacing w:after="0" w:line="20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Very truly yours,</w:t>
      </w:r>
    </w:p>
    <w:p>
      <w:pPr>
        <w:spacing w:after="0" w:line="20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Morgan Stanley &amp; Co. LLC</w:t>
      </w:r>
    </w:p>
    <w:p>
      <w:pPr>
        <w:spacing w:after="0" w:line="2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BofA Securities, Inc.</w:t>
      </w:r>
    </w:p>
    <w:p>
      <w:pPr>
        <w:spacing w:after="0" w:line="395"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Acting severally on behalf of themselves and the several Underwriters named in Schedule I hereto</w:t>
      </w:r>
    </w:p>
    <w:p>
      <w:pPr>
        <w:spacing w:after="0" w:line="200" w:lineRule="exact"/>
        <w:rPr>
          <w:sz w:val="20"/>
          <w:szCs w:val="20"/>
          <w:color w:val="auto"/>
        </w:rPr>
      </w:pPr>
    </w:p>
    <w:p>
      <w:pPr>
        <w:spacing w:after="0" w:line="20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-6985</wp:posOffset>
            </wp:positionV>
            <wp:extent cx="1041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cc: Company</w:t>
      </w:r>
    </w:p>
    <w:p>
      <w:pPr>
        <w:sectPr>
          <w:pgSz w:w="11900" w:h="16838" w:orient="portrait"/>
          <w:cols w:equalWidth="0" w:num="1">
            <w:col w:w="11420"/>
          </w:cols>
          <w:pgMar w:left="240" w:top="102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1038225" cy="390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822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
        <w:spacing w:after="0"/>
        <w:rPr>
          <w:sz w:val="20"/>
          <w:szCs w:val="20"/>
          <w:color w:val="auto"/>
        </w:rPr>
      </w:pPr>
      <w:r>
        <w:rPr>
          <w:rFonts w:ascii="Arial" w:cs="Arial" w:eastAsia="Arial" w:hAnsi="Arial"/>
          <w:sz w:val="15"/>
          <w:szCs w:val="15"/>
          <w:color w:val="auto"/>
        </w:rPr>
        <w:t>Matthew B. Hemington</w:t>
      </w:r>
    </w:p>
    <w:p>
      <w:pPr>
        <w:spacing w:after="0" w:line="12" w:lineRule="exact"/>
        <w:rPr>
          <w:sz w:val="20"/>
          <w:szCs w:val="20"/>
          <w:color w:val="auto"/>
        </w:rPr>
      </w:pPr>
    </w:p>
    <w:p>
      <w:pPr>
        <w:ind w:left="2" w:right="9800" w:hanging="2"/>
        <w:spacing w:after="0" w:line="317" w:lineRule="auto"/>
        <w:tabs>
          <w:tab w:leader="none" w:pos="162" w:val="left"/>
        </w:tabs>
        <w:numPr>
          <w:ilvl w:val="0"/>
          <w:numId w:val="46"/>
        </w:numPr>
        <w:rPr>
          <w:rFonts w:ascii="Arial" w:cs="Arial" w:eastAsia="Arial" w:hAnsi="Arial"/>
          <w:sz w:val="13"/>
          <w:szCs w:val="13"/>
          <w:color w:val="auto"/>
        </w:rPr>
      </w:pPr>
      <w:r>
        <w:rPr>
          <w:rFonts w:ascii="Arial" w:cs="Arial" w:eastAsia="Arial" w:hAnsi="Arial"/>
          <w:sz w:val="13"/>
          <w:szCs w:val="13"/>
          <w:color w:val="auto"/>
        </w:rPr>
        <w:t>+1 650 843 5062 hemingtonmb@cooley.com</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6"/>
          <w:szCs w:val="16"/>
          <w:color w:val="auto"/>
        </w:rPr>
        <w:t>January 24, 2020</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SI-BONE, Inc.</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471 El Camino Real, Suite 101</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Santa Clara, CA 95050</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Ladies and Gentlemen:</w:t>
      </w:r>
    </w:p>
    <w:p>
      <w:pPr>
        <w:spacing w:after="0" w:line="209" w:lineRule="exact"/>
        <w:rPr>
          <w:sz w:val="20"/>
          <w:szCs w:val="20"/>
          <w:color w:val="auto"/>
        </w:rPr>
      </w:pPr>
    </w:p>
    <w:p>
      <w:pPr>
        <w:jc w:val="both"/>
        <w:ind w:left="2"/>
        <w:spacing w:after="0" w:line="281" w:lineRule="auto"/>
        <w:rPr>
          <w:sz w:val="20"/>
          <w:szCs w:val="20"/>
          <w:color w:val="auto"/>
        </w:rPr>
      </w:pPr>
      <w:r>
        <w:rPr>
          <w:rFonts w:ascii="Arial" w:cs="Arial" w:eastAsia="Arial" w:hAnsi="Arial"/>
          <w:sz w:val="15"/>
          <w:szCs w:val="15"/>
          <w:color w:val="auto"/>
        </w:rPr>
        <w:t>We have acted as counsel to SI-BONE,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in connection with the sale of up to 4,300,000 shares of its common stock, par value $0.0001 per share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which includes 3,135,053 Shares to be sold by the Company (including up to 645,000 Shares that may be sold by the Company upon exercise of an over-allotment option to be granted to the underwriters) (collectively, the “</w:t>
      </w:r>
      <w:r>
        <w:rPr>
          <w:rFonts w:ascii="Arial" w:cs="Arial" w:eastAsia="Arial" w:hAnsi="Arial"/>
          <w:sz w:val="15"/>
          <w:szCs w:val="15"/>
          <w:b w:val="1"/>
          <w:bCs w:val="1"/>
          <w:i w:val="1"/>
          <w:iCs w:val="1"/>
          <w:color w:val="auto"/>
        </w:rPr>
        <w:t>Company Shares</w:t>
      </w:r>
      <w:r>
        <w:rPr>
          <w:rFonts w:ascii="Arial" w:cs="Arial" w:eastAsia="Arial" w:hAnsi="Arial"/>
          <w:sz w:val="15"/>
          <w:szCs w:val="15"/>
          <w:color w:val="auto"/>
        </w:rPr>
        <w:t>”) and (ii) 1,809,947 Shares to be sold by the selling stockholders identified in such Registration Statement (the “</w:t>
      </w:r>
      <w:r>
        <w:rPr>
          <w:rFonts w:ascii="Arial" w:cs="Arial" w:eastAsia="Arial" w:hAnsi="Arial"/>
          <w:sz w:val="15"/>
          <w:szCs w:val="15"/>
          <w:b w:val="1"/>
          <w:bCs w:val="1"/>
          <w:i w:val="1"/>
          <w:iCs w:val="1"/>
          <w:color w:val="auto"/>
        </w:rPr>
        <w:t>Stockholder Shares</w:t>
      </w:r>
      <w:r>
        <w:rPr>
          <w:rFonts w:ascii="Arial" w:cs="Arial" w:eastAsia="Arial" w:hAnsi="Arial"/>
          <w:sz w:val="15"/>
          <w:szCs w:val="15"/>
          <w:color w:val="auto"/>
        </w:rPr>
        <w:t>”), pursuant to the Registration Statement on Form S-3 (File No. 333-235714) (the “</w:t>
      </w:r>
      <w:r>
        <w:rPr>
          <w:rFonts w:ascii="Arial" w:cs="Arial" w:eastAsia="Arial" w:hAnsi="Arial"/>
          <w:sz w:val="15"/>
          <w:szCs w:val="15"/>
          <w:b w:val="1"/>
          <w:bCs w:val="1"/>
          <w:i w:val="1"/>
          <w:iCs w:val="1"/>
          <w:color w:val="auto"/>
        </w:rPr>
        <w:t>Registration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Statement</w:t>
      </w:r>
      <w:r>
        <w:rPr>
          <w:rFonts w:ascii="Arial" w:cs="Arial" w:eastAsia="Arial" w:hAnsi="Arial"/>
          <w:sz w:val="15"/>
          <w:szCs w:val="15"/>
          <w:color w:val="auto"/>
        </w:rPr>
        <w:t>”) filed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under the Securities Act of 1933, as amended (the “</w:t>
      </w:r>
      <w:r>
        <w:rPr>
          <w:rFonts w:ascii="Arial" w:cs="Arial" w:eastAsia="Arial" w:hAnsi="Arial"/>
          <w:sz w:val="15"/>
          <w:szCs w:val="15"/>
          <w:b w:val="1"/>
          <w:bCs w:val="1"/>
          <w:i w:val="1"/>
          <w:iCs w:val="1"/>
          <w:color w:val="auto"/>
        </w:rPr>
        <w:t>Act</w:t>
      </w:r>
      <w:r>
        <w:rPr>
          <w:rFonts w:ascii="Arial" w:cs="Arial" w:eastAsia="Arial" w:hAnsi="Arial"/>
          <w:sz w:val="15"/>
          <w:szCs w:val="15"/>
          <w:color w:val="auto"/>
        </w:rPr>
        <w:t>”), the prospectus included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the Registration Statement (the “</w:t>
      </w:r>
      <w:r>
        <w:rPr>
          <w:rFonts w:ascii="Arial" w:cs="Arial" w:eastAsia="Arial" w:hAnsi="Arial"/>
          <w:sz w:val="15"/>
          <w:szCs w:val="15"/>
          <w:b w:val="1"/>
          <w:bCs w:val="1"/>
          <w:i w:val="1"/>
          <w:iCs w:val="1"/>
          <w:color w:val="auto"/>
        </w:rPr>
        <w:t>Base Prospectus</w:t>
      </w:r>
      <w:r>
        <w:rPr>
          <w:rFonts w:ascii="Arial" w:cs="Arial" w:eastAsia="Arial" w:hAnsi="Arial"/>
          <w:sz w:val="15"/>
          <w:szCs w:val="15"/>
          <w:color w:val="auto"/>
        </w:rPr>
        <w:t>”) and the prospectus supplement dated January 22, 2020, and filed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pursuant to Rule 424(b) of the Rules and Regulations of the Act (together with the Base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w:t>
      </w:r>
    </w:p>
    <w:p>
      <w:pPr>
        <w:spacing w:after="0" w:line="160" w:lineRule="exact"/>
        <w:rPr>
          <w:sz w:val="20"/>
          <w:szCs w:val="20"/>
          <w:color w:val="auto"/>
        </w:rPr>
      </w:pPr>
    </w:p>
    <w:p>
      <w:pPr>
        <w:jc w:val="both"/>
        <w:ind w:left="2"/>
        <w:spacing w:after="0" w:line="262" w:lineRule="auto"/>
        <w:rPr>
          <w:sz w:val="20"/>
          <w:szCs w:val="20"/>
          <w:color w:val="auto"/>
        </w:rPr>
      </w:pPr>
      <w:r>
        <w:rPr>
          <w:rFonts w:ascii="Arial" w:cs="Arial" w:eastAsia="Arial" w:hAnsi="Arial"/>
          <w:sz w:val="16"/>
          <w:szCs w:val="16"/>
          <w:color w:val="auto"/>
        </w:rPr>
        <w:t>In connection with this opinion, we have examined and relied upon the Registration Statement and the Prospectus, the Company’s certificate of incorporation and bylaws, each as currently in effect, and such other documents, records, certificates, memoranda and other instruments as we deem necessary as a basis for this opinion. We have assumed the genuineness and authenticity of all documents submitted to us as originals, and the conformity to originals of all documents submitted to us as copies, the accuracy, completeness and authenticity of certificates of public officials, and the due execution and delivery of all documents by all persons other than the Company where due execution and delivery are prerequisites to the effectiveness thereof. As to certain factual matters, we have relied upon a certificate of an officer of the Company and have not sought independently to verify such matters.</w:t>
      </w:r>
    </w:p>
    <w:p>
      <w:pPr>
        <w:spacing w:after="0" w:line="172" w:lineRule="exact"/>
        <w:rPr>
          <w:sz w:val="20"/>
          <w:szCs w:val="20"/>
          <w:color w:val="auto"/>
        </w:rPr>
      </w:pPr>
    </w:p>
    <w:p>
      <w:pPr>
        <w:jc w:val="both"/>
        <w:ind w:left="2"/>
        <w:spacing w:after="0" w:line="323" w:lineRule="auto"/>
        <w:rPr>
          <w:sz w:val="20"/>
          <w:szCs w:val="20"/>
          <w:color w:val="auto"/>
        </w:rPr>
      </w:pPr>
      <w:r>
        <w:rPr>
          <w:rFonts w:ascii="Arial" w:cs="Arial" w:eastAsia="Arial" w:hAnsi="Arial"/>
          <w:sz w:val="15"/>
          <w:szCs w:val="15"/>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26" w:lineRule="exact"/>
        <w:rPr>
          <w:sz w:val="20"/>
          <w:szCs w:val="20"/>
          <w:color w:val="auto"/>
        </w:rPr>
      </w:pPr>
    </w:p>
    <w:p>
      <w:pPr>
        <w:jc w:val="both"/>
        <w:ind w:left="2"/>
        <w:spacing w:after="0" w:line="363" w:lineRule="auto"/>
        <w:rPr>
          <w:sz w:val="20"/>
          <w:szCs w:val="20"/>
          <w:color w:val="auto"/>
        </w:rPr>
      </w:pPr>
      <w:r>
        <w:rPr>
          <w:rFonts w:ascii="Arial" w:cs="Arial" w:eastAsia="Arial" w:hAnsi="Arial"/>
          <w:sz w:val="14"/>
          <w:szCs w:val="14"/>
          <w:color w:val="auto"/>
        </w:rPr>
        <w:t>On the basis of the foregoing, and in reliance thereon, we are of the opinion that (i) the Company Shares, when sold and issued in accordance with the Registration Statement and the Prospectus, will be validly issued, fully paid, and nonassessable and (ii) the Stockholder Shares have been validly issued and are fully paid and non-assessable.</w:t>
      </w:r>
    </w:p>
    <w:p>
      <w:pPr>
        <w:spacing w:after="0" w:line="103" w:lineRule="exact"/>
        <w:rPr>
          <w:sz w:val="20"/>
          <w:szCs w:val="20"/>
          <w:color w:val="auto"/>
        </w:rPr>
      </w:pPr>
    </w:p>
    <w:p>
      <w:pPr>
        <w:jc w:val="both"/>
        <w:ind w:left="2"/>
        <w:spacing w:after="0" w:line="272" w:lineRule="auto"/>
        <w:rPr>
          <w:sz w:val="20"/>
          <w:szCs w:val="20"/>
          <w:color w:val="auto"/>
        </w:rPr>
      </w:pPr>
      <w:r>
        <w:rPr>
          <w:rFonts w:ascii="Arial" w:cs="Arial" w:eastAsia="Arial" w:hAnsi="Arial"/>
          <w:sz w:val="16"/>
          <w:szCs w:val="16"/>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61" w:lineRule="exact"/>
        <w:rPr>
          <w:sz w:val="20"/>
          <w:szCs w:val="20"/>
          <w:color w:val="auto"/>
        </w:rPr>
      </w:pPr>
    </w:p>
    <w:p>
      <w:pPr>
        <w:jc w:val="both"/>
        <w:ind w:left="2"/>
        <w:spacing w:after="0" w:line="287" w:lineRule="auto"/>
        <w:rPr>
          <w:sz w:val="20"/>
          <w:szCs w:val="20"/>
          <w:color w:val="auto"/>
        </w:rPr>
      </w:pPr>
      <w:r>
        <w:rPr>
          <w:rFonts w:ascii="Arial" w:cs="Arial" w:eastAsia="Arial" w:hAnsi="Arial"/>
          <w:sz w:val="16"/>
          <w:szCs w:val="16"/>
          <w:color w:val="auto"/>
        </w:rPr>
        <w:t>We consent to the reference to our firm under the caption “Legal Matters” in the Prospectus and to the filing of this opinion as an exhibit to the Company’s Current Report on Form 8-K filed with the Commission for incorporation by reference in the Registration Statement.</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0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Cooley LLP</w:t>
      </w:r>
    </w:p>
    <w:p>
      <w:pPr>
        <w:spacing w:after="0" w:line="200" w:lineRule="exact"/>
        <w:rPr>
          <w:sz w:val="20"/>
          <w:szCs w:val="20"/>
          <w:color w:val="auto"/>
        </w:rPr>
      </w:pPr>
    </w:p>
    <w:p>
      <w:pPr>
        <w:spacing w:after="0" w:line="354" w:lineRule="exact"/>
        <w:rPr>
          <w:sz w:val="20"/>
          <w:szCs w:val="20"/>
          <w:color w:val="auto"/>
        </w:rPr>
      </w:pPr>
    </w:p>
    <w:tbl>
      <w:tblPr>
        <w:tblLayout w:type="fixed"/>
        <w:tblInd w:w="22" w:type="dxa"/>
        <w:tblCellMar>
          <w:top w:w="0" w:type="dxa"/>
          <w:left w:w="0" w:type="dxa"/>
          <w:bottom w:w="0" w:type="dxa"/>
          <w:right w:w="0" w:type="dxa"/>
        </w:tblCellMar>
      </w:tblPr>
      <w:tr>
        <w:trPr>
          <w:trHeight w:val="212"/>
        </w:trPr>
        <w:tc>
          <w:tcPr>
            <w:tcW w:w="640" w:type="dxa"/>
            <w:vAlign w:val="bottom"/>
          </w:tcPr>
          <w:p>
            <w:pPr>
              <w:spacing w:after="0"/>
              <w:rPr>
                <w:sz w:val="20"/>
                <w:szCs w:val="20"/>
                <w:color w:val="auto"/>
              </w:rPr>
            </w:pPr>
            <w:r>
              <w:rPr>
                <w:rFonts w:ascii="Arial" w:cs="Arial" w:eastAsia="Arial" w:hAnsi="Arial"/>
                <w:sz w:val="16"/>
                <w:szCs w:val="16"/>
                <w:b w:val="1"/>
                <w:bCs w:val="1"/>
                <w:color w:val="auto"/>
              </w:rPr>
              <w:t>By:</w:t>
            </w:r>
          </w:p>
        </w:tc>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/s/ Matthew B. Hemington</w:t>
            </w:r>
          </w:p>
        </w:tc>
      </w:tr>
      <w:tr>
        <w:trPr>
          <w:trHeight w:val="26"/>
        </w:trPr>
        <w:tc>
          <w:tcPr>
            <w:tcW w:w="6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12"/>
        </w:trPr>
        <w:tc>
          <w:tcPr>
            <w:tcW w:w="64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Matthew B. Hemington</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Cooley LLP 3175 Hanover Street Palo Alto, CA 94304-1130</w:t>
      </w:r>
    </w:p>
    <w:p>
      <w:pPr>
        <w:spacing w:after="0" w:line="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t: (650) 843-5000 f: (650) 849-7400 cooley.com</w:t>
      </w:r>
    </w:p>
    <w:sectPr>
      <w:pgSz w:w="11900" w:h="16838" w:orient="portrait"/>
      <w:cols w:equalWidth="0" w:num="1">
        <w:col w:w="11422"/>
      </w:cols>
      <w:pgMar w:left="238" w:top="5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5"/>
    </w:lvl>
  </w:abstractNum>
  <w:abstractNum w:abstractNumId="5">
    <w:nsid w:val="B03E0C6"/>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6">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
    <w:nsid w:val="54E49EB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8">
    <w:nsid w:val="71F32454"/>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lvl w:ilvl="3">
      <w:lvlJc w:val="left"/>
      <w:lvlText w:val="%4"/>
      <w:numFmt w:val="upperLetter"/>
      <w:start w:val="1"/>
    </w:lvl>
  </w:abstractNum>
  <w:abstractNum w:abstractNumId="9">
    <w:nsid w:val="2CA88611"/>
    <w:multiLevelType w:val="hybridMultilevel"/>
    <w:lvl w:ilvl="0">
      <w:lvlJc w:val="left"/>
      <w:lvlText w:val="(%1)"/>
      <w:numFmt w:val="lowerLetter"/>
      <w:start w:val="9"/>
    </w:lvl>
    <w:lvl w:ilvl="1">
      <w:lvlJc w:val="left"/>
      <w:lvlText w:val="(%2)"/>
      <w:numFmt w:val="lowerLetter"/>
      <w:start w:val="25"/>
    </w:lvl>
    <w:lvl w:ilvl="2">
      <w:lvlJc w:val="left"/>
      <w:lvlText w:val="%3"/>
      <w:numFmt w:val="lowerRoman"/>
      <w:start w:val="1"/>
    </w:lvl>
    <w:lvl w:ilvl="3">
      <w:lvlJc w:val="left"/>
      <w:lvlText w:val="%4"/>
      <w:numFmt w:val="upperLetter"/>
      <w:start w:val="1"/>
    </w:lvl>
  </w:abstractNum>
  <w:abstractNum w:abstractNumId="10">
    <w:nsid w:val="836C40E"/>
    <w:multiLevelType w:val="hybridMultilevel"/>
    <w:lvl w:ilvl="0">
      <w:lvlJc w:val="left"/>
      <w:lvlText w:val="(%1)"/>
      <w:numFmt w:val="lowerLetter"/>
      <w:start w:val="27"/>
    </w:lvl>
  </w:abstractNum>
  <w:abstractNum w:abstractNumId="11">
    <w:nsid w:val="2901D82"/>
    <w:multiLevelType w:val="hybridMultilevel"/>
    <w:lvl w:ilvl="0">
      <w:lvlJc w:val="left"/>
      <w:lvlText w:val="(%1)"/>
      <w:numFmt w:val="lowerLetter"/>
      <w:start w:val="28"/>
    </w:lvl>
  </w:abstractNum>
  <w:abstractNum w:abstractNumId="12">
    <w:nsid w:val="3A95F874"/>
    <w:multiLevelType w:val="hybridMultilevel"/>
    <w:lvl w:ilvl="0">
      <w:lvlJc w:val="left"/>
      <w:lvlText w:val="%1"/>
      <w:numFmt w:val="lowerLetter"/>
      <w:start w:val="1"/>
    </w:lvl>
    <w:lvl w:ilvl="1">
      <w:lvlJc w:val="left"/>
      <w:lvlText w:val="(%2)"/>
      <w:numFmt w:val="lowerLetter"/>
      <w:start w:val="33"/>
    </w:lvl>
  </w:abstractNum>
  <w:abstractNum w:abstractNumId="13">
    <w:nsid w:val="8138641"/>
    <w:multiLevelType w:val="hybridMultilevel"/>
    <w:lvl w:ilvl="0">
      <w:lvlJc w:val="left"/>
      <w:lvlText w:val="(%1)"/>
      <w:numFmt w:val="lowerLetter"/>
      <w:start w:val="9"/>
    </w:lvl>
    <w:lvl w:ilvl="1">
      <w:lvlJc w:val="left"/>
      <w:lvlText w:val="(%2)"/>
      <w:numFmt w:val="lowerLetter"/>
      <w:start w:val="38"/>
    </w:lvl>
  </w:abstractNum>
  <w:abstractNum w:abstractNumId="14">
    <w:nsid w:val="1E7FF521"/>
    <w:multiLevelType w:val="hybridMultilevel"/>
    <w:lvl w:ilvl="0">
      <w:lvlJc w:val="left"/>
      <w:lvlText w:val="%1."/>
      <w:numFmt w:val="decimal"/>
      <w:start w:val="2"/>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
    <w:nsid w:val="6CEAF087"/>
    <w:multiLevelType w:val="hybridMultilevel"/>
    <w:lvl w:ilvl="0">
      <w:lvlJc w:val="left"/>
      <w:lvlText w:val="(%1)"/>
      <w:numFmt w:val="lowerRoman"/>
      <w:start w:val="1"/>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1."/>
      <w:numFmt w:val="decimal"/>
      <w:start w:val="4"/>
    </w:lvl>
  </w:abstractNum>
  <w:abstractNum w:abstractNumId="20">
    <w:nsid w:val="3006C83E"/>
    <w:multiLevelType w:val="hybridMultilevel"/>
    <w:lvl w:ilvl="0">
      <w:lvlJc w:val="left"/>
      <w:lvlText w:val="%1."/>
      <w:numFmt w:val="decimal"/>
      <w:start w:val="6"/>
    </w:lvl>
  </w:abstractNum>
  <w:abstractNum w:abstractNumId="21">
    <w:nsid w:val="614FD4A1"/>
    <w:multiLevelType w:val="hybridMultilevel"/>
    <w:lvl w:ilvl="0">
      <w:lvlJc w:val="left"/>
      <w:lvlText w:val="(%1)"/>
      <w:numFmt w:val="lowerLetter"/>
      <w:start w:val="1"/>
    </w:lvl>
    <w:lvl w:ilvl="1">
      <w:lvlJc w:val="left"/>
      <w:lvlText w:val="(%2)"/>
      <w:numFmt w:val="lowerRoman"/>
      <w:start w:val="1"/>
    </w:lvl>
  </w:abstractNum>
  <w:abstractNum w:abstractNumId="22">
    <w:nsid w:val="419AC241"/>
    <w:multiLevelType w:val="hybridMultilevel"/>
    <w:lvl w:ilvl="0">
      <w:lvlJc w:val="left"/>
      <w:lvlText w:val="(%1)"/>
      <w:numFmt w:val="lowerLetter"/>
      <w:start w:val="3"/>
    </w:lvl>
  </w:abstractNum>
  <w:abstractNum w:abstractNumId="23">
    <w:nsid w:val="5577F8E1"/>
    <w:multiLevelType w:val="hybridMultilevel"/>
    <w:lvl w:ilvl="0">
      <w:lvlJc w:val="left"/>
      <w:lvlText w:val="(%1)"/>
      <w:numFmt w:val="lowerLetter"/>
      <w:start w:val="8"/>
    </w:lvl>
    <w:lvl w:ilvl="1">
      <w:lvlJc w:val="left"/>
      <w:lvlText w:val="(%2)"/>
      <w:numFmt w:val="lowerRoman"/>
      <w:start w:val="1"/>
    </w:lvl>
  </w:abstractNum>
  <w:abstractNum w:abstractNumId="24">
    <w:nsid w:val="440BADFC"/>
    <w:multiLevelType w:val="hybridMultilevel"/>
    <w:lvl w:ilvl="0">
      <w:lvlJc w:val="left"/>
      <w:lvlText w:val="%1."/>
      <w:numFmt w:val="decimal"/>
      <w:start w:val="7"/>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1"/>
    </w:lvl>
    <w:lvl w:ilvl="1">
      <w:lvlJc w:val="left"/>
      <w:lvlText w:val="(%2)"/>
      <w:numFmt w:val="lowerLetter"/>
      <w:start w:val="7"/>
    </w:lvl>
  </w:abstractNum>
  <w:abstractNum w:abstractNumId="27">
    <w:nsid w:val="77465F01"/>
    <w:multiLevelType w:val="hybridMultilevel"/>
    <w:lvl w:ilvl="0">
      <w:lvlJc w:val="left"/>
      <w:lvlText w:val="(%1)"/>
      <w:numFmt w:val="lowerLetter"/>
      <w:start w:val="1"/>
    </w:lvl>
    <w:lvl w:ilvl="1">
      <w:lvlJc w:val="left"/>
      <w:lvlText w:val="(%2)"/>
      <w:numFmt w:val="lowerLetter"/>
      <w:start w:val="13"/>
    </w:lvl>
  </w:abstractNum>
  <w:abstractNum w:abstractNumId="28">
    <w:nsid w:val="7724C67E"/>
    <w:multiLevelType w:val="hybridMultilevel"/>
    <w:lvl w:ilvl="0">
      <w:lvlJc w:val="left"/>
      <w:lvlText w:val="(%1)"/>
      <w:numFmt w:val="lowerLetter"/>
      <w:start w:val="16"/>
    </w:lvl>
  </w:abstractNum>
  <w:abstractNum w:abstractNumId="29">
    <w:nsid w:val="5C482A97"/>
    <w:multiLevelType w:val="hybridMultilevel"/>
    <w:lvl w:ilvl="0">
      <w:lvlJc w:val="left"/>
      <w:lvlText w:val="%1."/>
      <w:numFmt w:val="decimal"/>
      <w:start w:val="8"/>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decimal"/>
      <w:start w:val="9"/>
    </w:lvl>
  </w:abstractNum>
  <w:abstractNum w:abstractNumId="32">
    <w:nsid w:val="51EAD36B"/>
    <w:multiLevelType w:val="hybridMultilevel"/>
    <w:lvl w:ilvl="0">
      <w:lvlJc w:val="left"/>
      <w:lvlText w:val="%1"/>
      <w:numFmt w:val="lowerLetter"/>
      <w:start w:val="1"/>
    </w:lvl>
    <w:lvl w:ilvl="1">
      <w:lvlJc w:val="left"/>
      <w:lvlText w:val="(%2)"/>
      <w:numFmt w:val="lowerLetter"/>
      <w:start w:val="1"/>
    </w:lvl>
  </w:abstractNum>
  <w:abstractNum w:abstractNumId="33">
    <w:nsid w:val="2D517796"/>
    <w:multiLevelType w:val="hybridMultilevel"/>
    <w:lvl w:ilvl="0">
      <w:lvlJc w:val="left"/>
      <w:lvlText w:val="(%1)"/>
      <w:numFmt w:val="lowerLetter"/>
      <w:start w:val="9"/>
    </w:lvl>
    <w:lvl w:ilvl="1">
      <w:lvlJc w:val="left"/>
      <w:lvlText w:val="(%2)"/>
      <w:numFmt w:val="lowerLetter"/>
      <w:start w:val="4"/>
    </w:lvl>
  </w:abstractNum>
  <w:abstractNum w:abstractNumId="34">
    <w:nsid w:val="580BD78F"/>
    <w:multiLevelType w:val="hybridMultilevel"/>
    <w:lvl w:ilvl="0">
      <w:lvlJc w:val="left"/>
      <w:lvlText w:val="(%1)"/>
      <w:numFmt w:val="lowerLetter"/>
      <w:start w:val="35"/>
    </w:lvl>
    <w:lvl w:ilvl="1">
      <w:lvlJc w:val="left"/>
      <w:lvlText w:val="%2"/>
      <w:numFmt w:val="lowerLetter"/>
      <w:start w:val="1"/>
    </w:lvl>
  </w:abstractNum>
  <w:abstractNum w:abstractNumId="35">
    <w:nsid w:val="153EA438"/>
    <w:multiLevelType w:val="hybridMultilevel"/>
    <w:lvl w:ilvl="0">
      <w:lvlJc w:val="left"/>
      <w:lvlText w:val="(%1)"/>
      <w:numFmt w:val="lowerLetter"/>
      <w:start w:val="5"/>
    </w:lvl>
  </w:abstractNum>
  <w:abstractNum w:abstractNumId="36">
    <w:nsid w:val="3855585C"/>
    <w:multiLevelType w:val="hybridMultilevel"/>
    <w:lvl w:ilvl="0">
      <w:lvlJc w:val="left"/>
      <w:lvlText w:val="%1."/>
      <w:numFmt w:val="decimal"/>
      <w:start w:val="11"/>
    </w:lvl>
  </w:abstractNum>
  <w:abstractNum w:abstractNumId="37">
    <w:nsid w:val="70A64E2A"/>
    <w:multiLevelType w:val="hybridMultilevel"/>
    <w:lvl w:ilvl="0">
      <w:lvlJc w:val="left"/>
      <w:lvlText w:val="%1."/>
      <w:numFmt w:val="decimal"/>
      <w:start w:val="13"/>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decimal"/>
      <w:start w:val="14"/>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15"/>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lowerLetter"/>
      <w:start w:val="4"/>
    </w:lvl>
  </w:abstractNum>
  <w:abstractNum w:abstractNumId="45">
    <w:nsid w:val="4B588F54"/>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2020-01-24T06:53:22Z</dcterms:created>
  <dcterms:modified xsi:type="dcterms:W3CDTF">2020-01-24T06:53:22Z</dcterms:modified>
</cp:coreProperties>
</file>