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FRANCIS LAURA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SI-BONE,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01/03/2020</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52"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95050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continue"/>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8"/>
                <w:szCs w:val="18"/>
                <w:color w:val="0000FF"/>
              </w:rPr>
              <w:t>01/03/2020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8"/>
                <w:szCs w:val="18"/>
                <w:color w:val="0000FF"/>
              </w:rPr>
              <w:t>54,050</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12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8"/>
                <w:szCs w:val="18"/>
                <w:color w:val="0000FF"/>
              </w:rPr>
              <w:t>140,375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shares issuable on settlement of restricted stock units granted to the Reporting Person. Each restricted stock unit represents a contingent right to receive one shares of the Issuer's common stock. The shares subject to the restricted stock unit will be vesting over four years beginning on January 1, 2020 and will be released in quarterly installments commencing on May 15, 2020, subject to the Reporting Person's continued service through each relevant vesting date.</w:t>
      </w:r>
    </w:p>
    <w:p>
      <w:pPr>
        <w:spacing w:after="0" w:line="28" w:lineRule="exact"/>
        <w:rPr>
          <w:rFonts w:ascii="Times New Roman" w:cs="Times New Roman" w:eastAsia="Times New Roman" w:hAnsi="Times New Roman"/>
          <w:sz w:val="14"/>
          <w:szCs w:val="14"/>
          <w:color w:val="008000"/>
        </w:rPr>
      </w:pPr>
    </w:p>
    <w:p>
      <w:pPr>
        <w:ind w:left="40" w:right="2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93,176 shares issuable on settlement of restricted stock units granted to the Reporting Person. Each restricted stock unit represents a contingent right to receive one shares of the Issuer's common stock.</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Laura A.</w:t>
      </w:r>
      <w:r>
        <w:rPr>
          <w:sz w:val="20"/>
          <w:szCs w:val="20"/>
          <w:color w:val="auto"/>
        </w:rPr>
        <w:tab/>
      </w:r>
      <w:r>
        <w:rPr>
          <w:rFonts w:ascii="Times New Roman" w:cs="Times New Roman" w:eastAsia="Times New Roman" w:hAnsi="Times New Roman"/>
          <w:sz w:val="16"/>
          <w:szCs w:val="16"/>
          <w:color w:val="0000FF"/>
        </w:rPr>
        <w:t>01/07/2020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2020-01-07T14:53:14Z</dcterms:created>
  <dcterms:modified xsi:type="dcterms:W3CDTF">2020-01-07T14:53:14Z</dcterms:modified>
</cp:coreProperties>
</file>