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 Pursuant to Section 14(a) of the Securities Exchange Act of 1934</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Filed by the Registrant </w:t>
      </w:r>
      <w:r>
        <w:rPr>
          <w:color w:val="000000"/>
        </w:rPr>
        <w:t>☑</w:t>
      </w:r>
    </w:p>
    <w:p>
      <w:pPr>
        <w:pStyle w:val="TextBody"/>
        <w:bidi w:val="0"/>
        <w:spacing w:lineRule="auto" w:line="268" w:before="0" w:after="0"/>
        <w:jc w:val="both"/>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before="0" w:after="0"/>
        <w:jc w:val="both"/>
        <w:rPr/>
      </w:pPr>
      <w:r>
        <w:rPr/>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Preliminary Proxy Statement</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Definitive Proxy Statement</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Definitive Additional Materials</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Soliciting Material Pursuant to § 240.14a-12</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312" w:before="0" w:after="0"/>
        <w:jc w:val="center"/>
        <w:rPr>
          <w:rFonts w:ascii="Times New Roman;sans-serif" w:hAnsi="Times New Roman;sans-serif"/>
          <w:b/>
          <w:color w:val="000000"/>
          <w:sz w:val="36"/>
        </w:rPr>
      </w:pPr>
      <w:r>
        <w:rPr>
          <w:rFonts w:ascii="Times New Roman;sans-serif" w:hAnsi="Times New Roman;sans-serif"/>
          <w:b/>
          <w:color w:val="000000"/>
          <w:sz w:val="36"/>
        </w:rPr>
        <w:t>SI-BONE,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312"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No fee required.</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Fee paid previously with preliminary materials.</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Fee computed on table in exhibit required by Item 25(b) per Exchange Act Rules 14a-6(i)(1) and 0-11.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INVITATION TO 2024 ANNUAL MEETING OF STOCKHOLDERS</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DATE: Tuesday, June 25, 2024</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TIME: 8:00 a.m., Pacific Time</w:t>
      </w:r>
    </w:p>
    <w:p>
      <w:pPr>
        <w:pStyle w:val="TextBody"/>
        <w:bidi w:val="0"/>
        <w:spacing w:before="0" w:after="0"/>
        <w:jc w:val="center"/>
        <w:rPr/>
      </w:pPr>
      <w:r>
        <w:rPr/>
      </w:r>
    </w:p>
    <w:p>
      <w:pPr>
        <w:pStyle w:val="TextBody"/>
        <w:bidi w:val="0"/>
        <w:spacing w:lineRule="auto" w:line="312"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29, 2024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my pleasure to invite you to attend SI-BONE's Annual Meeting of Stockholders (the "Annual Meeting") on Tuesday, June 25, 2024 at 8:00 a.m., Pacific Time. The attached Notice of Annual Meeting of Stockholders and Proxy Statement will serve as your guide to the business we will conduct at the Annual Meeting.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significant and measurable progress since last year’s annual meeting of stockholders, including the following:</w:t>
      </w:r>
    </w:p>
    <w:p>
      <w:pPr>
        <w:pStyle w:val="TextBody"/>
        <w:bidi w:val="0"/>
        <w:spacing w:before="0" w:after="0"/>
        <w:jc w:val="both"/>
        <w:rPr/>
      </w:pPr>
      <w:r>
        <w:rPr/>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Achieved </w:t>
      </w:r>
      <w:r>
        <w:rPr>
          <w:rFonts w:ascii="Times New Roman;sans-serif" w:hAnsi="Times New Roman;sans-serif"/>
          <w:b/>
          <w:color w:val="000000"/>
          <w:sz w:val="20"/>
        </w:rPr>
        <w:t>worldwide revenue of $138.9 million</w:t>
      </w:r>
      <w:r>
        <w:rPr>
          <w:color w:val="000000"/>
        </w:rPr>
        <w:t xml:space="preserve"> </w:t>
      </w:r>
      <w:r>
        <w:rPr>
          <w:rFonts w:ascii="Times New Roman;sans-serif" w:hAnsi="Times New Roman;sans-serif"/>
          <w:b w:val="false"/>
          <w:color w:val="000000"/>
          <w:sz w:val="20"/>
        </w:rPr>
        <w:t>for the full year 2023, representing an increase of ~31% over the year 2022</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Surpassed </w:t>
      </w:r>
      <w:r>
        <w:rPr>
          <w:rFonts w:ascii="Times New Roman;sans-serif" w:hAnsi="Times New Roman;sans-serif"/>
          <w:b/>
          <w:color w:val="000000"/>
          <w:sz w:val="20"/>
        </w:rPr>
        <w:t>95,000 procedures</w:t>
      </w:r>
      <w:r>
        <w:rPr>
          <w:color w:val="000000"/>
        </w:rPr>
        <w:t xml:space="preserve"> </w:t>
      </w:r>
      <w:r>
        <w:rPr>
          <w:rFonts w:ascii="Times New Roman;sans-serif" w:hAnsi="Times New Roman;sans-serif"/>
          <w:b w:val="false"/>
          <w:color w:val="000000"/>
          <w:sz w:val="20"/>
        </w:rPr>
        <w:t xml:space="preserve">performed by over </w:t>
      </w:r>
      <w:r>
        <w:rPr>
          <w:rFonts w:ascii="Times New Roman;sans-serif" w:hAnsi="Times New Roman;sans-serif"/>
          <w:b/>
          <w:color w:val="000000"/>
          <w:sz w:val="20"/>
        </w:rPr>
        <w:t>3,600 physicians</w:t>
      </w:r>
      <w:r>
        <w:rPr>
          <w:color w:val="000000"/>
        </w:rPr>
        <w:t xml:space="preserve"> </w:t>
      </w:r>
      <w:r>
        <w:rPr>
          <w:rFonts w:ascii="Times New Roman;sans-serif" w:hAnsi="Times New Roman;sans-serif"/>
          <w:b w:val="false"/>
          <w:color w:val="000000"/>
          <w:sz w:val="20"/>
        </w:rPr>
        <w:t>worldwide since inception</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Over 1,600 physicians performed an iFuse procedure in 2023, an ~23% increase over 2022 </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Achieved </w:t>
      </w:r>
      <w:r>
        <w:rPr>
          <w:rFonts w:ascii="Times New Roman;sans-serif" w:hAnsi="Times New Roman;sans-serif"/>
          <w:b/>
          <w:color w:val="000000"/>
          <w:sz w:val="20"/>
        </w:rPr>
        <w:t>gross margins of 79%</w:t>
      </w:r>
      <w:r>
        <w:rPr>
          <w:color w:val="000000"/>
        </w:rPr>
        <w:t xml:space="preserve"> </w:t>
      </w:r>
      <w:r>
        <w:rPr>
          <w:rFonts w:ascii="Times New Roman;sans-serif" w:hAnsi="Times New Roman;sans-serif"/>
          <w:b w:val="false"/>
          <w:color w:val="000000"/>
          <w:sz w:val="20"/>
        </w:rPr>
        <w:t>for the full year 2023</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Achieved ~30% improvement in Net Loss and ~48% improvement in Adjusted EBITDA</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Exited 2023 with a solid balance sheet with ~$166 million in cash and equivalents, including $84 million in net proceeds from our follow-on offering in May 2023</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Launched closed head </w:t>
      </w:r>
      <w:r>
        <w:rPr>
          <w:rFonts w:ascii="Times New Roman;sans-serif" w:hAnsi="Times New Roman;sans-serif"/>
          <w:b/>
          <w:color w:val="000000"/>
          <w:sz w:val="20"/>
        </w:rPr>
        <w:t>iFuse Bedrock Granite</w:t>
      </w:r>
      <w:r>
        <w:rPr>
          <w:rFonts w:ascii="Times New Roman;sans-serif" w:hAnsi="Times New Roman;sans-serif"/>
          <w:b w:val="false"/>
          <w:color w:val="000000"/>
          <w:sz w:val="20"/>
        </w:rPr>
        <w:t>®</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Received patent for triangular broach instrument, a crucial technology to place triangular implants in the sacroiliac joint, providing protection through 2034 and extended patent protection of our first-generation iFuse to December 2025, with iFuse-3D patent coverage to September 2035 </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Celebrated our fifteen-year commitment to advancing awareness and treatment of sacropelvic conditions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hold our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Finally, I continue to be humbled by the exceptional performance of the entire SI-BONE team, working diligently to introduce new products and continuing to train and educate physicians to grow our core business. On behalf of the Board, management team and employees, thank you for your continued confidence and support as we advance our mission to help patients rise up and reach for the stars. We look forward to your participation in this year’s Annual Meeting.</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Sincerely yours,</w:t>
      </w:r>
    </w:p>
    <w:p>
      <w:pPr>
        <w:pStyle w:val="TextBody"/>
        <w:bidi w:val="0"/>
        <w:spacing w:before="0" w:after="0"/>
        <w:jc w:val="left"/>
        <w:rPr/>
      </w:pPr>
      <w:r>
        <w:rPr/>
      </w:r>
    </w:p>
    <w:p>
      <w:pPr>
        <w:pStyle w:val="TextBody"/>
        <w:bidi w:val="0"/>
        <w:spacing w:before="0" w:after="0"/>
        <w:jc w:val="left"/>
        <w:rPr/>
      </w:pPr>
      <w:r>
        <w:rPr/>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Francis</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Francis</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ind w:left="0" w:right="0" w:firstLine="17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471 El Camino Real, Suite 101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California 95050</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25, 2024</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the virtual Annual Meeting of Stockholders of SI-BONE, Inc., a Delaware corporation. The meeting will be a completely virtual meeting of stockholders and will be held on Thursday, June 25, 2024 at 8:00 a.m. Pacific Time by live webcast as described in the proxy statement accompanying this notice. The Annual Meeting is being held for the following purposes: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To elect the Board of Director’s two nominees for director to serve until the 2027 Annual Meeting of Stockholders or until their successors are elected and qualified.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To ratify the selection by the Audit Committee of the Board of Directors of PricewaterhouseCoopers LLP as our independent registered public accounting firm for the fiscal year ending December 31, 2024.</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To provide an advisory, non-binding vote on the compensation of our named executive officers, as disclosed in this proxy statement.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To approve an amendment to our Amended and Restated Certificate of Incorporation to limit the liability of certain officers of SI-BONE, Inc. as permitted pursuant to recent amendments to the Delaware General Corporation Law.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To conduct any other business properly brought before the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more fully described in the Proxy Statement accompanying this Notice.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be able to attend the virtual Annual Meeting and submit your questions and vote your shares online during the meeting by visiting www.virtualshareholdermeeting.com/SIBN2024 and using the 16-digit control number included in the Notice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 list will also be available during the Annual Meeting at www.virtualshareholdermeeting.com/SIBN2024. Instructions on how stockholders of record can view the stockholder list during the Annual Meeting are posted at www.virtualshareholdermeeting.com/SIBN2024. The record date for the Annual Meeting is April 26, 2024. Only stockholders of record at the close of business on that date may vote at the meeting or any adjournment thereof.</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2024 Stockholders’ Meeting to Be Held on June 25, 2024 via live webcast at www.virtualshareholdermeeting.com/SIBN2024. You will need the 16-digit control number provided on the proxy or information card in order to gain access to the Annual Meeting by live webcast.</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proxy statement and annual report to stockholders </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are available at www.proxyvote.com.</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bl>
      <w:tblPr>
        <w:tblW w:w="2654" w:type="dxa"/>
        <w:jc w:val="left"/>
        <w:tblInd w:w="0" w:type="dxa"/>
        <w:tblLayout w:type="fixed"/>
        <w:tblCellMar>
          <w:top w:w="28" w:type="dxa"/>
          <w:left w:w="28" w:type="dxa"/>
          <w:bottom w:w="28" w:type="dxa"/>
          <w:right w:w="28" w:type="dxa"/>
        </w:tblCellMar>
      </w:tblPr>
      <w:tblGrid>
        <w:gridCol w:w="849"/>
        <w:gridCol w:w="744"/>
        <w:gridCol w:w="1061"/>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Pisetsky</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Pisetsky</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Secretary and General Counsel</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29,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471 El Camino Real, Suite 101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California 95050</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THE 2024 ANNUAL MEETING OF STOCKHOLDERS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25, 2024</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INTERNET AVAILABILITY OF PROXY MATERIALS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THE ANNUAL MEETING OF STOCKHOLDERS TO BE HELD ON JUNE 25, 2024</w: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and our 2024 Annual Report to Stockholders, which includes our Annual Report on Form 10-K for the fiscal year ended December 31, 2023, are available on our website at https://investor.si-bone.com/financial-information/annual-reports and www.proxyvote.com.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MEETING AGENDA</w:t>
      </w:r>
    </w:p>
    <w:p>
      <w:pPr>
        <w:pStyle w:val="TextBody"/>
        <w:bidi w:val="0"/>
        <w:spacing w:before="0" w:after="0"/>
        <w:ind w:left="0" w:right="0" w:firstLine="7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33"/>
        <w:gridCol w:w="333"/>
        <w:gridCol w:w="334"/>
        <w:gridCol w:w="109"/>
        <w:gridCol w:w="109"/>
        <w:gridCol w:w="109"/>
        <w:gridCol w:w="2151"/>
        <w:gridCol w:w="1387"/>
        <w:gridCol w:w="1401"/>
        <w:gridCol w:w="109"/>
        <w:gridCol w:w="109"/>
        <w:gridCol w:w="109"/>
        <w:gridCol w:w="1018"/>
        <w:gridCol w:w="882"/>
        <w:gridCol w:w="885"/>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Proposal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 Required for Approval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elect the Board of Directors' two nominees for director to serve until the 2027 Annual Meeting of Stockholders or until their successors are elected and qualified.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two nominees receiving the most "For" votes will be elected; withheld votes will have no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ratify the selection by the Audit Committee of the Board of Directors of PricewaterhouseCoopers LLP as our independent registered public accounting firm for the fiscal year ending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votes from the holders of a majority of shares present, via webcast or represented by proxy and entitled to vote on the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provide an advisory non-binding vote on the compensation of our named executive officers, as disclosed in this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votes from the holders of a majority of shares present via webcast or represented by proxy and entitled to vote on the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approve an amendment to our Amended and Restated Certificate of Incorporation to limit the liability of certain officers of SI-BONE, Inc. as permitted pursuant to amendments to the Delaware General Corporation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For” votes from the holders of a majority of shares outstanding as of the record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1.15pt;mso-position-horizontal:left;mso-position-horizontal-relative:text">
                <v:textbox>
                  <w:txbxContent>
                    <w:p>
                      <w:pPr>
                        <w:pStyle w:val="TextBody"/>
                        <w:bidi w:val="0"/>
                        <w:spacing w:lineRule="auto" w:line="312" w:before="0" w:after="160"/>
                        <w:jc w:val="left"/>
                        <w:rPr>
                          <w:color w:val="000000"/>
                        </w:rPr>
                      </w:pPr>
                      <w:r>
                        <w:rPr>
                          <w:color w:val="000000"/>
                        </w:rPr>
                        <w:t>    </w:t>
                      </w:r>
                    </w:p>
                  </w:txbxContent>
                </v:textbox>
                <w10:wrap type="none"/>
              </v:rect>
            </w:pict>
          </mc:Fallback>
        </mc:AlternateContent>
      </w:r>
    </w:p>
    <w:p>
      <w:pPr>
        <w:pStyle w:val="TextBody"/>
        <w:bidi w:val="0"/>
        <w:spacing w:before="0" w:after="160"/>
        <w:jc w:val="right"/>
        <w:rPr/>
      </w:pPr>
      <w:r>
        <w:rPr/>
      </w:r>
    </w:p>
    <w:tbl>
      <w:tblPr>
        <w:tblW w:w="10205" w:type="dxa"/>
        <w:jc w:val="center"/>
        <w:tblInd w:w="0" w:type="dxa"/>
        <w:tblLayout w:type="fixed"/>
        <w:tblCellMar>
          <w:top w:w="28" w:type="dxa"/>
          <w:left w:w="28" w:type="dxa"/>
          <w:bottom w:w="28" w:type="dxa"/>
          <w:right w:w="28" w:type="dxa"/>
        </w:tblCellMar>
      </w:tblPr>
      <w:tblGrid>
        <w:gridCol w:w="3500"/>
        <w:gridCol w:w="3063"/>
        <w:gridCol w:w="3070"/>
        <w:gridCol w:w="167"/>
        <w:gridCol w:w="167"/>
        <w:gridCol w:w="238"/>
      </w:tblGrid>
      <w:tr>
        <w:trPr/>
        <w:tc>
          <w:tcPr>
            <w:tcW w:w="3500"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6">
              <w:r>
                <w:rPr>
                  <w:rStyle w:val="InternetLink"/>
                  <w:rFonts w:ascii="Times New Roman;sans-serif" w:hAnsi="Times New Roman;sans-serif"/>
                  <w:b w:val="false"/>
                  <w:color w:val="0000FF"/>
                  <w:sz w:val="20"/>
                  <w:u w:val="single"/>
                </w:rPr>
                <w:t>QUESTIONS AND ANSWERS ABOUT THESE PROXY MATERIALS AND VOTING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6">
              <w:r>
                <w:rPr>
                  <w:rStyle w:val="InternetLink"/>
                  <w:rFonts w:ascii="Times New Roman;sans-serif" w:hAnsi="Times New Roman;sans-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9">
              <w:r>
                <w:rPr>
                  <w:rStyle w:val="InternetLink"/>
                  <w:rFonts w:ascii="Times New Roman;sans-serif" w:hAnsi="Times New Roman;sans-serif"/>
                  <w:b w:val="false"/>
                  <w:color w:val="0000FF"/>
                  <w:sz w:val="20"/>
                  <w:u w:val="single"/>
                </w:rPr>
                <w:t>PROPOSAL NO. 1 ELECTION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9">
              <w:r>
                <w:rPr>
                  <w:rStyle w:val="InternetLink"/>
                  <w:rFonts w:ascii="Times New Roman;sans-serif" w:hAnsi="Times New Roman;sans-serif"/>
                  <w:b w:val="false"/>
                  <w:color w:val="0000FF"/>
                  <w:sz w:val="20"/>
                  <w:u w:val="singl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28">
              <w:r>
                <w:rPr>
                  <w:rStyle w:val="InternetLink"/>
                  <w:rFonts w:ascii="Times New Roman;sans-serif" w:hAnsi="Times New Roman;sans-serif"/>
                  <w:b w:val="false"/>
                  <w:color w:val="0000FF"/>
                  <w:sz w:val="20"/>
                  <w:u w:val="single"/>
                </w:rPr>
                <w:t>INFORMATION REGARDING THE BOARD OF DIRECTORS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28">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31">
              <w:r>
                <w:rPr>
                  <w:rStyle w:val="InternetLink"/>
                  <w:rFonts w:ascii="Times New Roman;sans-serif" w:hAnsi="Times New Roman;sans-serif"/>
                  <w:b w:val="false"/>
                  <w:color w:val="0000FF"/>
                  <w:sz w:val="20"/>
                  <w:u w:val="single"/>
                </w:rPr>
                <w:t>Family Relationships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31">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34">
              <w:r>
                <w:rPr>
                  <w:rStyle w:val="InternetLink"/>
                  <w:rFonts w:ascii="Times New Roman;sans-serif" w:hAnsi="Times New Roman;sans-serif"/>
                  <w:b w:val="false"/>
                  <w:color w:val="0000FF"/>
                  <w:sz w:val="20"/>
                  <w:u w:val="single"/>
                </w:rPr>
                <w:t>Independence of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34">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12" w:before="0" w:after="240"/>
              <w:jc w:val="left"/>
              <w:rPr/>
            </w:pPr>
            <w:hyperlink w:anchor="i5e4751cae97743ed8d4c3c1a8f91a8d7_37">
              <w:r>
                <w:rPr>
                  <w:rStyle w:val="InternetLink"/>
                  <w:rFonts w:ascii="Times New Roman;sans-serif" w:hAnsi="Times New Roman;sans-serif"/>
                  <w:b w:val="false"/>
                  <w:color w:val="0000FF"/>
                  <w:sz w:val="20"/>
                  <w:u w:val="single"/>
                </w:rPr>
                <w:t>Term of Service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37">
              <w:r>
                <w:rPr>
                  <w:rStyle w:val="InternetLink"/>
                  <w:rFonts w:ascii="Times New Roman;sans-serif" w:hAnsi="Times New Roman;sans-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40">
              <w:r>
                <w:rPr>
                  <w:rStyle w:val="InternetLink"/>
                  <w:rFonts w:ascii="Times New Roman;sans-serif" w:hAnsi="Times New Roman;sans-serif"/>
                  <w:b w:val="false"/>
                  <w:color w:val="0000FF"/>
                  <w:sz w:val="20"/>
                  <w:u w:val="single"/>
                </w:rPr>
                <w:t xml:space="preserve">Board Skills and Attributes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40">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43">
              <w:r>
                <w:rPr>
                  <w:rStyle w:val="InternetLink"/>
                  <w:rFonts w:ascii="Times New Roman;sans-serif" w:hAnsi="Times New Roman;sans-serif"/>
                  <w:b w:val="false"/>
                  <w:color w:val="0000FF"/>
                  <w:sz w:val="20"/>
                  <w:u w:val="single"/>
                </w:rPr>
                <w:t>Board Leadership Structure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43">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46">
              <w:r>
                <w:rPr>
                  <w:rStyle w:val="InternetLink"/>
                  <w:rFonts w:ascii="Times New Roman;sans-serif" w:hAnsi="Times New Roman;sans-serif"/>
                  <w:b w:val="false"/>
                  <w:color w:val="0000FF"/>
                  <w:sz w:val="20"/>
                  <w:u w:val="single"/>
                </w:rPr>
                <w:t>Role of the Board in Risk Oversight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46">
              <w:r>
                <w:rPr>
                  <w:rStyle w:val="InternetLink"/>
                  <w:rFonts w:ascii="Times New Roman;sans-serif" w:hAnsi="Times New Roman;sans-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49">
              <w:r>
                <w:rPr>
                  <w:rStyle w:val="InternetLink"/>
                  <w:rFonts w:ascii="Times New Roman;sans-serif" w:hAnsi="Times New Roman;sans-serif"/>
                  <w:b w:val="false"/>
                  <w:color w:val="0000FF"/>
                  <w:sz w:val="20"/>
                  <w:u w:val="single"/>
                </w:rPr>
                <w:t>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49">
              <w:r>
                <w:rPr>
                  <w:rStyle w:val="InternetLink"/>
                  <w:rFonts w:ascii="Times New Roman;sans-serif" w:hAnsi="Times New Roman;sans-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52">
              <w:r>
                <w:rPr>
                  <w:rStyle w:val="InternetLink"/>
                  <w:rFonts w:ascii="Times New Roman;sans-serif" w:hAnsi="Times New Roman;sans-serif"/>
                  <w:b w:val="false"/>
                  <w:color w:val="0000FF"/>
                  <w:sz w:val="20"/>
                  <w:u w:val="single"/>
                </w:rPr>
                <w:t>Meetings of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52">
              <w:r>
                <w:rPr>
                  <w:rStyle w:val="InternetLink"/>
                  <w:rFonts w:ascii="Times New Roman;sans-serif" w:hAnsi="Times New Roman;sans-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55">
              <w:r>
                <w:rPr>
                  <w:rStyle w:val="InternetLink"/>
                  <w:rFonts w:ascii="Times New Roman;sans-serif" w:hAnsi="Times New Roman;sans-serif"/>
                  <w:b w:val="false"/>
                  <w:color w:val="0000FF"/>
                  <w:sz w:val="20"/>
                  <w:u w:val="single"/>
                </w:rPr>
                <w:t>Board Committees and Meetings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55">
              <w:r>
                <w:rPr>
                  <w:rStyle w:val="InternetLink"/>
                  <w:rFonts w:ascii="Times New Roman;sans-serif" w:hAnsi="Times New Roman;sans-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58">
              <w:r>
                <w:rPr>
                  <w:rStyle w:val="InternetLink"/>
                  <w:rFonts w:ascii="Times New Roman;sans-serif" w:hAnsi="Times New Roman;sans-serif"/>
                  <w:b w:val="false"/>
                  <w:color w:val="0000FF"/>
                  <w:sz w:val="20"/>
                  <w:u w:val="single"/>
                </w:rPr>
                <w:t>Audit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58">
              <w:r>
                <w:rPr>
                  <w:rStyle w:val="InternetLink"/>
                  <w:rFonts w:ascii="Times New Roman;sans-serif" w:hAnsi="Times New Roman;sans-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61">
              <w:r>
                <w:rPr>
                  <w:rStyle w:val="InternetLink"/>
                  <w:rFonts w:ascii="Times New Roman;sans-serif" w:hAnsi="Times New Roman;sans-serif"/>
                  <w:b w:val="false"/>
                  <w:color w:val="0000FF"/>
                  <w:sz w:val="20"/>
                  <w:u w:val="single"/>
                </w:rPr>
                <w:t xml:space="preserve">Report of the Audit Committee of the Board of Directors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61">
              <w:r>
                <w:rPr>
                  <w:rStyle w:val="InternetLink"/>
                  <w:rFonts w:ascii="Times New Roman;sans-serif" w:hAnsi="Times New Roman;sans-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64">
              <w:r>
                <w:rPr>
                  <w:rStyle w:val="InternetLink"/>
                  <w:rFonts w:ascii="Times New Roman;sans-serif" w:hAnsi="Times New Roman;sans-serif"/>
                  <w:b w:val="false"/>
                  <w:color w:val="0000FF"/>
                  <w:sz w:val="20"/>
                  <w:u w:val="single"/>
                </w:rPr>
                <w:t>Compensation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64">
              <w:r>
                <w:rPr>
                  <w:rStyle w:val="InternetLink"/>
                  <w:rFonts w:ascii="Times New Roman;sans-serif" w:hAnsi="Times New Roman;sans-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67">
              <w:r>
                <w:rPr>
                  <w:rStyle w:val="InternetLink"/>
                  <w:rFonts w:ascii="Times New Roman;sans-serif" w:hAnsi="Times New Roman;sans-serif"/>
                  <w:b w:val="false"/>
                  <w:color w:val="0000FF"/>
                  <w:sz w:val="20"/>
                  <w:u w:val="single"/>
                </w:rPr>
                <w:t>Nominating and Corporate Governance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67">
              <w:r>
                <w:rPr>
                  <w:rStyle w:val="InternetLink"/>
                  <w:rFonts w:ascii="Times New Roman;sans-serif" w:hAnsi="Times New Roman;sans-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70">
              <w:r>
                <w:rPr>
                  <w:rStyle w:val="InternetLink"/>
                  <w:rFonts w:ascii="Times New Roman;sans-serif" w:hAnsi="Times New Roman;sans-serif"/>
                  <w:b w:val="false"/>
                  <w:color w:val="0000FF"/>
                  <w:sz w:val="20"/>
                  <w:u w:val="single"/>
                </w:rPr>
                <w:t>Stockholder Communications With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70">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73">
              <w:r>
                <w:rPr>
                  <w:rStyle w:val="InternetLink"/>
                  <w:rFonts w:ascii="Times New Roman;sans-serif" w:hAnsi="Times New Roman;sans-serif"/>
                  <w:b w:val="false"/>
                  <w:color w:val="0000FF"/>
                  <w:sz w:val="20"/>
                  <w:u w:val="single"/>
                </w:rPr>
                <w:t>Code of Business Conduct and Ethics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73">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76">
              <w:r>
                <w:rPr>
                  <w:rStyle w:val="InternetLink"/>
                  <w:rFonts w:ascii="Times New Roman;sans-serif" w:hAnsi="Times New Roman;sans-serif"/>
                  <w:b w:val="false"/>
                  <w:color w:val="0000FF"/>
                  <w:sz w:val="20"/>
                  <w:u w:val="single"/>
                </w:rPr>
                <w:t>Corporate Governance Guidelines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76">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79">
              <w:r>
                <w:rPr>
                  <w:rStyle w:val="InternetLink"/>
                  <w:rFonts w:ascii="Times New Roman;sans-serif" w:hAnsi="Times New Roman;sans-serif"/>
                  <w:b w:val="false"/>
                  <w:color w:val="0000FF"/>
                  <w:sz w:val="20"/>
                  <w:u w:val="single"/>
                </w:rPr>
                <w:t>Hedging and Pledging Prohibition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79">
              <w:r>
                <w:rPr>
                  <w:rStyle w:val="InternetLink"/>
                  <w:rFonts w:ascii="Times New Roman;sans-serif" w:hAnsi="Times New Roman;sans-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82">
              <w:r>
                <w:rPr>
                  <w:rStyle w:val="InternetLink"/>
                  <w:rFonts w:ascii="Times New Roman;sans-serif" w:hAnsi="Times New Roman;sans-serif"/>
                  <w:b w:val="false"/>
                  <w:color w:val="0000FF"/>
                  <w:sz w:val="20"/>
                  <w:u w:val="single"/>
                </w:rPr>
                <w:t xml:space="preserve">Stock Ownership Guidelines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82">
              <w:r>
                <w:rPr>
                  <w:rStyle w:val="InternetLink"/>
                  <w:rFonts w:ascii="Times New Roman;sans-serif" w:hAnsi="Times New Roman;sans-serif"/>
                  <w:b w:val="false"/>
                  <w:color w:val="0000FF"/>
                  <w:sz w:val="20"/>
                  <w:u w:val="singl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85">
              <w:r>
                <w:rPr>
                  <w:rStyle w:val="InternetLink"/>
                  <w:rFonts w:ascii="Times New Roman;sans-serif" w:hAnsi="Times New Roman;sans-serif"/>
                  <w:b w:val="false"/>
                  <w:color w:val="0000FF"/>
                  <w:sz w:val="20"/>
                  <w:u w:val="single"/>
                </w:rPr>
                <w:t>Environmental, Social, and Governance (ESG) Oversight and Activities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85">
              <w:r>
                <w:rPr>
                  <w:rStyle w:val="InternetLink"/>
                  <w:rFonts w:ascii="Times New Roman;sans-serif" w:hAnsi="Times New Roman;sans-serif"/>
                  <w:b w:val="false"/>
                  <w:color w:val="0000FF"/>
                  <w:sz w:val="20"/>
                  <w:u w:val="single"/>
                </w:rPr>
                <w:t>13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88">
              <w:r>
                <w:rPr>
                  <w:rStyle w:val="InternetLink"/>
                  <w:rFonts w:ascii="Times New Roman;sans-serif" w:hAnsi="Times New Roman;sans-serif"/>
                  <w:b w:val="false"/>
                  <w:color w:val="0000FF"/>
                  <w:sz w:val="20"/>
                  <w:u w:val="single"/>
                </w:rPr>
                <w:t>PROPOSAL NO. 2 RATIFICATION OF SELECTION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88">
              <w:r>
                <w:rPr>
                  <w:rStyle w:val="InternetLink"/>
                  <w:rFonts w:ascii="Times New Roman;sans-serif" w:hAnsi="Times New Roman;sans-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91">
              <w:r>
                <w:rPr>
                  <w:rStyle w:val="InternetLink"/>
                  <w:rFonts w:ascii="Times New Roman;sans-serif" w:hAnsi="Times New Roman;sans-serif"/>
                  <w:b w:val="false"/>
                  <w:color w:val="0000FF"/>
                  <w:sz w:val="20"/>
                  <w:u w:val="single"/>
                </w:rPr>
                <w:t>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91">
              <w:r>
                <w:rPr>
                  <w:rStyle w:val="InternetLink"/>
                  <w:rFonts w:ascii="Times New Roman;sans-serif" w:hAnsi="Times New Roman;sans-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94">
              <w:r>
                <w:rPr>
                  <w:rStyle w:val="InternetLink"/>
                  <w:rFonts w:ascii="Times New Roman;sans-serif" w:hAnsi="Times New Roman;sans-serif"/>
                  <w:b w:val="false"/>
                  <w:color w:val="0000FF"/>
                  <w:sz w:val="20"/>
                  <w:u w:val="single"/>
                </w:rPr>
                <w:t>Pre-Approval Policies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94">
              <w:r>
                <w:rPr>
                  <w:rStyle w:val="InternetLink"/>
                  <w:rFonts w:ascii="Times New Roman;sans-serif" w:hAnsi="Times New Roman;sans-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97">
              <w:r>
                <w:rPr>
                  <w:rStyle w:val="InternetLink"/>
                  <w:rFonts w:ascii="Times New Roman;sans-serif" w:hAnsi="Times New Roman;sans-serif"/>
                  <w:b w:val="false"/>
                  <w:color w:val="0000FF"/>
                  <w:sz w:val="20"/>
                  <w:u w:val="single"/>
                </w:rPr>
                <w:t xml:space="preserve">PROPOSAL NO. 3: ADVISORY VOTE ON EXECUTIVE COMPENSATION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97">
              <w:r>
                <w:rPr>
                  <w:rStyle w:val="InternetLink"/>
                  <w:rFonts w:ascii="Times New Roman;sans-serif" w:hAnsi="Times New Roman;sans-serif"/>
                  <w:b w:val="false"/>
                  <w:color w:val="0000FF"/>
                  <w:sz w:val="20"/>
                  <w:u w:val="singl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03">
              <w:r>
                <w:rPr>
                  <w:rStyle w:val="InternetLink"/>
                  <w:rFonts w:ascii="Times New Roman;sans-serif" w:hAnsi="Times New Roman;sans-serif"/>
                  <w:b w:val="false"/>
                  <w:color w:val="0000FF"/>
                  <w:sz w:val="20"/>
                  <w:u w:val="single"/>
                </w:rPr>
                <w:t>SECURITY OWNERSHIP OF CERTAIN BENEFICIAL OWNERS AND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03">
              <w:r>
                <w:rPr>
                  <w:rStyle w:val="InternetLink"/>
                  <w:rFonts w:ascii="Times New Roman;sans-serif" w:hAnsi="Times New Roman;sans-serif"/>
                  <w:b w:val="false"/>
                  <w:color w:val="0000FF"/>
                  <w:sz w:val="20"/>
                  <w:u w:val="single"/>
                </w:rPr>
                <w:t>17</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06">
              <w:r>
                <w:rPr>
                  <w:rStyle w:val="InternetLink"/>
                  <w:rFonts w:ascii="Times New Roman;sans-serif" w:hAnsi="Times New Roman;sans-serif"/>
                  <w:b w:val="false"/>
                  <w:color w:val="0000FF"/>
                  <w:sz w:val="20"/>
                  <w:u w:val="single"/>
                </w:rPr>
                <w:t>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06">
              <w:r>
                <w:rPr>
                  <w:rStyle w:val="InternetLink"/>
                  <w:rFonts w:ascii="Times New Roman;sans-serif" w:hAnsi="Times New Roman;sans-serif"/>
                  <w:b w:val="false"/>
                  <w:color w:val="0000FF"/>
                  <w:sz w:val="20"/>
                  <w:u w:val="single"/>
                </w:rPr>
                <w:t>18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09">
              <w:r>
                <w:rPr>
                  <w:rStyle w:val="InternetLink"/>
                  <w:rFonts w:ascii="Times New Roman;sans-serif" w:hAnsi="Times New Roman;sans-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09">
              <w:r>
                <w:rPr>
                  <w:rStyle w:val="InternetLink"/>
                  <w:rFonts w:ascii="Times New Roman;sans-serif" w:hAnsi="Times New Roman;sans-serif"/>
                  <w:b w:val="false"/>
                  <w:color w:val="0000FF"/>
                  <w:sz w:val="20"/>
                  <w:u w:val="singl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12">
              <w:r>
                <w:rPr>
                  <w:rStyle w:val="InternetLink"/>
                  <w:rFonts w:ascii="Times New Roman;sans-serif" w:hAnsi="Times New Roman;sans-serif"/>
                  <w:b w:val="false"/>
                  <w:color w:val="0000FF"/>
                  <w:sz w:val="20"/>
                  <w:u w:val="single"/>
                </w:rPr>
                <w:t>Executive Compensation Narrative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09">
              <w:r>
                <w:rPr>
                  <w:rStyle w:val="InternetLink"/>
                  <w:rFonts w:ascii="Times New Roman;sans-serif" w:hAnsi="Times New Roman;sans-serif"/>
                  <w:b w:val="false"/>
                  <w:color w:val="0000FF"/>
                  <w:sz w:val="20"/>
                  <w:u w:val="singl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15">
              <w:r>
                <w:rPr>
                  <w:rStyle w:val="InternetLink"/>
                  <w:rFonts w:ascii="Times New Roman;sans-serif" w:hAnsi="Times New Roman;sans-serif"/>
                  <w:b w:val="false"/>
                  <w:color w:val="0000FF"/>
                  <w:sz w:val="20"/>
                  <w:u w:val="single"/>
                </w:rPr>
                <w:t>Overview</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09">
              <w:r>
                <w:rPr>
                  <w:rStyle w:val="InternetLink"/>
                  <w:rFonts w:ascii="Times New Roman;sans-serif" w:hAnsi="Times New Roman;sans-serif"/>
                  <w:b w:val="false"/>
                  <w:color w:val="0000FF"/>
                  <w:sz w:val="20"/>
                  <w:u w:val="singl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18">
              <w:r>
                <w:rPr>
                  <w:rStyle w:val="InternetLink"/>
                  <w:rFonts w:ascii="Times New Roman;sans-serif" w:hAnsi="Times New Roman;sans-serif"/>
                  <w:b w:val="false"/>
                  <w:color w:val="0000FF"/>
                  <w:sz w:val="20"/>
                  <w:u w:val="single"/>
                </w:rPr>
                <w:t xml:space="preserve">Compensation Philosophy and Guiding Principles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18">
              <w:r>
                <w:rPr>
                  <w:rStyle w:val="InternetLink"/>
                  <w:rFonts w:ascii="Times New Roman;sans-serif" w:hAnsi="Times New Roman;sans-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21">
              <w:r>
                <w:rPr>
                  <w:rStyle w:val="InternetLink"/>
                  <w:rFonts w:ascii="Times New Roman;sans-serif" w:hAnsi="Times New Roman;sans-serif"/>
                  <w:b w:val="false"/>
                  <w:color w:val="0000FF"/>
                  <w:sz w:val="20"/>
                  <w:u w:val="single"/>
                </w:rPr>
                <w:t>Compensation-Setting Process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21">
              <w:r>
                <w:rPr>
                  <w:rStyle w:val="InternetLink"/>
                  <w:rFonts w:ascii="Times New Roman;sans-serif" w:hAnsi="Times New Roman;sans-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24">
              <w:r>
                <w:rPr>
                  <w:rStyle w:val="InternetLink"/>
                  <w:rFonts w:ascii="Times New Roman;sans-serif" w:hAnsi="Times New Roman;sans-serif"/>
                  <w:b w:val="false"/>
                  <w:color w:val="0000FF"/>
                  <w:sz w:val="20"/>
                  <w:u w:val="single"/>
                </w:rPr>
                <w:t>Compensation Elements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24">
              <w:r>
                <w:rPr>
                  <w:rStyle w:val="InternetLink"/>
                  <w:rFonts w:ascii="Times New Roman;sans-serif" w:hAnsi="Times New Roman;sans-serif"/>
                  <w:b w:val="false"/>
                  <w:color w:val="0000FF"/>
                  <w:sz w:val="20"/>
                  <w:u w:val="single"/>
                </w:rPr>
                <w:t>30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27">
              <w:r>
                <w:rPr>
                  <w:rStyle w:val="InternetLink"/>
                  <w:rFonts w:ascii="Times New Roman;sans-serif" w:hAnsi="Times New Roman;sans-serif"/>
                  <w:b w:val="false"/>
                  <w:color w:val="0000FF"/>
                  <w:sz w:val="20"/>
                  <w:u w:val="single"/>
                </w:rPr>
                <w:t>SI-BONE, Inc. Severance Benefit Plan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27">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30">
              <w:r>
                <w:rPr>
                  <w:rStyle w:val="InternetLink"/>
                  <w:rFonts w:ascii="Times New Roman;sans-serif" w:hAnsi="Times New Roman;sans-serif"/>
                  <w:b w:val="false"/>
                  <w:color w:val="0000FF"/>
                  <w:sz w:val="20"/>
                  <w:u w:val="single"/>
                </w:rPr>
                <w:t>Employment Arrangements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30">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33">
              <w:r>
                <w:rPr>
                  <w:rStyle w:val="InternetLink"/>
                  <w:rFonts w:ascii="Times New Roman;sans-serif" w:hAnsi="Times New Roman;sans-serif"/>
                  <w:b w:val="false"/>
                  <w:color w:val="0000FF"/>
                  <w:sz w:val="20"/>
                  <w:u w:val="single"/>
                </w:rPr>
                <w:t>Other Compensation Policies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33">
              <w:r>
                <w:rPr>
                  <w:rStyle w:val="InternetLink"/>
                  <w:rFonts w:ascii="Times New Roman;sans-serif" w:hAnsi="Times New Roman;sans-serif"/>
                  <w:b w:val="false"/>
                  <w:color w:val="0000FF"/>
                  <w:sz w:val="20"/>
                  <w:u w:val="single"/>
                </w:rPr>
                <w:t>36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36">
              <w:r>
                <w:rPr>
                  <w:rStyle w:val="InternetLink"/>
                  <w:rFonts w:ascii="Times New Roman;sans-serif" w:hAnsi="Times New Roman;sans-serif"/>
                  <w:b w:val="false"/>
                  <w:color w:val="0000FF"/>
                  <w:sz w:val="20"/>
                  <w:u w:val="single"/>
                </w:rPr>
                <w:t xml:space="preserve">Tax and Accounting Considerations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36">
              <w:r>
                <w:rPr>
                  <w:rStyle w:val="InternetLink"/>
                  <w:rFonts w:ascii="Times New Roman;sans-serif" w:hAnsi="Times New Roman;sans-serif"/>
                  <w:b w:val="false"/>
                  <w:color w:val="0000FF"/>
                  <w:sz w:val="20"/>
                  <w:u w:val="single"/>
                </w:rPr>
                <w:t>36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39">
              <w:r>
                <w:rPr>
                  <w:rStyle w:val="InternetLink"/>
                  <w:rFonts w:ascii="Times New Roman;sans-serif" w:hAnsi="Times New Roman;sans-serif"/>
                  <w:b w:val="false"/>
                  <w:color w:val="0000FF"/>
                  <w:sz w:val="20"/>
                  <w:u w:val="single"/>
                </w:rPr>
                <w:t>Summary Compensation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39">
              <w:r>
                <w:rPr>
                  <w:rStyle w:val="InternetLink"/>
                  <w:rFonts w:ascii="Times New Roman;sans-serif" w:hAnsi="Times New Roman;sans-serif"/>
                  <w:b w:val="false"/>
                  <w:color w:val="0000FF"/>
                  <w:sz w:val="20"/>
                  <w:u w:val="singl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42">
              <w:r>
                <w:rPr>
                  <w:rStyle w:val="InternetLink"/>
                  <w:rFonts w:ascii="Times New Roman;sans-serif" w:hAnsi="Times New Roman;sans-serif"/>
                  <w:b w:val="false"/>
                  <w:color w:val="0000FF"/>
                  <w:sz w:val="20"/>
                  <w:u w:val="single"/>
                </w:rPr>
                <w:t>Outstanding Equity Awards at December 31, 2023</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42">
              <w:r>
                <w:rPr>
                  <w:rStyle w:val="InternetLink"/>
                  <w:rFonts w:ascii="Times New Roman;sans-serif" w:hAnsi="Times New Roman;sans-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45">
              <w:r>
                <w:rPr>
                  <w:rStyle w:val="InternetLink"/>
                  <w:rFonts w:ascii="Times New Roman;sans-serif" w:hAnsi="Times New Roman;sans-serif"/>
                  <w:b w:val="false"/>
                  <w:color w:val="0000FF"/>
                  <w:sz w:val="20"/>
                  <w:u w:val="single"/>
                </w:rPr>
                <w:t>Pension Benefits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45">
              <w:r>
                <w:rPr>
                  <w:rStyle w:val="InternetLink"/>
                  <w:rFonts w:ascii="Times New Roman;sans-serif" w:hAnsi="Times New Roman;sans-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48">
              <w:r>
                <w:rPr>
                  <w:rStyle w:val="InternetLink"/>
                  <w:rFonts w:ascii="Times New Roman;sans-serif" w:hAnsi="Times New Roman;sans-serif"/>
                  <w:b w:val="false"/>
                  <w:color w:val="0000FF"/>
                  <w:sz w:val="20"/>
                  <w:u w:val="single"/>
                </w:rPr>
                <w:t>Nonqualified Deferred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48">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51">
              <w:r>
                <w:rPr>
                  <w:rStyle w:val="InternetLink"/>
                  <w:rFonts w:ascii="Times New Roman;sans-serif" w:hAnsi="Times New Roman;sans-serif"/>
                  <w:b w:val="false"/>
                  <w:color w:val="0000FF"/>
                  <w:sz w:val="20"/>
                  <w:u w:val="single"/>
                </w:rPr>
                <w:t>Securities Authorized for Issuance under Equity Compensation Plans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51">
              <w:r>
                <w:rPr>
                  <w:rStyle w:val="InternetLink"/>
                  <w:rFonts w:ascii="Times New Roman;sans-serif" w:hAnsi="Times New Roman;sans-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54">
              <w:r>
                <w:rPr>
                  <w:rStyle w:val="InternetLink"/>
                  <w:rFonts w:ascii="Times New Roman;sans-serif" w:hAnsi="Times New Roman;sans-serif"/>
                  <w:b w:val="false"/>
                  <w:color w:val="0000FF"/>
                  <w:sz w:val="20"/>
                  <w:u w:val="single"/>
                  <w:shd w:fill="FFFFFF" w:val="clear"/>
                </w:rPr>
                <w:t>Compensation of Non-Employee Board Members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54">
              <w:r>
                <w:rPr>
                  <w:rStyle w:val="InternetLink"/>
                  <w:rFonts w:ascii="Times New Roman;sans-serif" w:hAnsi="Times New Roman;sans-serif"/>
                  <w:b w:val="false"/>
                  <w:color w:val="0000FF"/>
                  <w:sz w:val="20"/>
                  <w:u w:val="single"/>
                </w:rPr>
                <w:t>36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57">
              <w:r>
                <w:rPr>
                  <w:rStyle w:val="InternetLink"/>
                  <w:rFonts w:ascii="Times New Roman;sans-serif" w:hAnsi="Times New Roman;sans-serif"/>
                  <w:b w:val="false"/>
                  <w:color w:val="0000FF"/>
                  <w:sz w:val="20"/>
                  <w:u w:val="single"/>
                </w:rPr>
                <w:t>Non-Employee Director Compensation Policy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57">
              <w:r>
                <w:rPr>
                  <w:rStyle w:val="InternetLink"/>
                  <w:rFonts w:ascii="Times New Roman;sans-serif" w:hAnsi="Times New Roman;sans-serif"/>
                  <w:b w:val="false"/>
                  <w:color w:val="0000FF"/>
                  <w:sz w:val="20"/>
                  <w:u w:val="singl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60">
              <w:r>
                <w:rPr>
                  <w:rStyle w:val="InternetLink"/>
                  <w:rFonts w:ascii="Times New Roman;sans-serif" w:hAnsi="Times New Roman;sans-serif"/>
                  <w:b w:val="false"/>
                  <w:color w:val="0000FF"/>
                  <w:sz w:val="20"/>
                  <w:u w:val="single"/>
                </w:rPr>
                <w:t>Pay vs. Performance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60">
              <w:r>
                <w:rPr>
                  <w:rStyle w:val="InternetLink"/>
                  <w:rFonts w:ascii="Times New Roman;sans-serif" w:hAnsi="Times New Roman;sans-serif"/>
                  <w:b w:val="false"/>
                  <w:color w:val="0000FF"/>
                  <w:sz w:val="20"/>
                  <w:u w:val="single"/>
                </w:rPr>
                <w:t>38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63">
              <w:r>
                <w:rPr>
                  <w:rStyle w:val="InternetLink"/>
                  <w:rFonts w:ascii="Times New Roman;sans-serif" w:hAnsi="Times New Roman;sans-serif"/>
                  <w:b w:val="false"/>
                  <w:color w:val="0000FF"/>
                  <w:sz w:val="20"/>
                  <w:u w:val="single"/>
                </w:rPr>
                <w:t>CERTAIN RELATIONSHIPS AND RELATED PARTY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63">
              <w:r>
                <w:rPr>
                  <w:rStyle w:val="InternetLink"/>
                  <w:rFonts w:ascii="Times New Roman;sans-serif" w:hAnsi="Times New Roman;sans-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66">
              <w:r>
                <w:rPr>
                  <w:rStyle w:val="InternetLink"/>
                  <w:rFonts w:ascii="Times New Roman;sans-serif" w:hAnsi="Times New Roman;sans-serif"/>
                  <w:b w:val="false"/>
                  <w:color w:val="0000FF"/>
                  <w:sz w:val="20"/>
                  <w:u w:val="single"/>
                </w:rPr>
                <w:t>Related Person Transactions Policy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66">
              <w:r>
                <w:rPr>
                  <w:rStyle w:val="InternetLink"/>
                  <w:rFonts w:ascii="Times New Roman;sans-serif" w:hAnsi="Times New Roman;sans-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69">
              <w:r>
                <w:rPr>
                  <w:rStyle w:val="InternetLink"/>
                  <w:rFonts w:ascii="Times New Roman;sans-serif" w:hAnsi="Times New Roman;sans-serif"/>
                  <w:b w:val="false"/>
                  <w:color w:val="0000FF"/>
                  <w:sz w:val="20"/>
                  <w:u w:val="single"/>
                </w:rPr>
                <w:t>Certain Related Person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69">
              <w:r>
                <w:rPr>
                  <w:rStyle w:val="InternetLink"/>
                  <w:rFonts w:ascii="Times New Roman;sans-serif" w:hAnsi="Times New Roman;sans-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72">
              <w:r>
                <w:rPr>
                  <w:rStyle w:val="InternetLink"/>
                  <w:rFonts w:ascii="Times New Roman;sans-serif" w:hAnsi="Times New Roman;sans-serif"/>
                  <w:b w:val="false"/>
                  <w:color w:val="0000FF"/>
                  <w:sz w:val="20"/>
                  <w:u w:val="single"/>
                </w:rPr>
                <w:t>INDEMNIFICATION AGREEMENTS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72">
              <w:r>
                <w:rPr>
                  <w:rStyle w:val="InternetLink"/>
                  <w:rFonts w:ascii="Times New Roman;sans-serif" w:hAnsi="Times New Roman;sans-serif"/>
                  <w:b w:val="false"/>
                  <w:color w:val="0000FF"/>
                  <w:sz w:val="20"/>
                  <w:u w:val="single"/>
                </w:rPr>
                <w:t>42</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75">
              <w:r>
                <w:rPr>
                  <w:rStyle w:val="InternetLink"/>
                  <w:rFonts w:ascii="Times New Roman;sans-serif" w:hAnsi="Times New Roman;sans-serif"/>
                  <w:b w:val="false"/>
                  <w:color w:val="0000FF"/>
                  <w:sz w:val="20"/>
                  <w:u w:val="single"/>
                </w:rPr>
                <w:t>HOUSEHOLDING OF PROXY MATERIALS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75">
              <w:r>
                <w:rPr>
                  <w:rStyle w:val="InternetLink"/>
                  <w:rFonts w:ascii="Times New Roman;sans-serif" w:hAnsi="Times New Roman;sans-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4751cae97743ed8d4c3c1a8f91a8d7_178">
              <w:r>
                <w:rPr>
                  <w:rStyle w:val="InternetLink"/>
                  <w:rFonts w:ascii="Times New Roman;sans-serif" w:hAnsi="Times New Roman;sans-serif"/>
                  <w:b w:val="false"/>
                  <w:color w:val="0000FF"/>
                  <w:sz w:val="20"/>
                  <w:u w:val="single"/>
                </w:rPr>
                <w:t>OTHER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4751cae97743ed8d4c3c1a8f91a8d7_178">
              <w:r>
                <w:rPr>
                  <w:rStyle w:val="InternetLink"/>
                  <w:rFonts w:ascii="Times New Roman;sans-serif" w:hAnsi="Times New Roman;sans-serif"/>
                  <w:b w:val="false"/>
                  <w:color w:val="0000FF"/>
                  <w:sz w:val="20"/>
                  <w:u w:val="single"/>
                </w:rPr>
                <w:t>43</w:t>
              </w:r>
            </w:hyperlink>
          </w:p>
        </w:tc>
      </w:tr>
    </w:tbl>
    <w:p>
      <w:pPr>
        <w:pStyle w:val="TextBody"/>
        <w:bidi w:val="0"/>
        <w:spacing w:lineRule="auto" w:line="312" w:before="0" w:after="120"/>
        <w:ind w:left="0" w:right="0" w:hanging="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THESE PROXY MATERIALS AND VOTING</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Why did I receive a notice regarding the availability of proxy materials on the internet?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val="false"/>
          <w:color w:val="000000"/>
          <w:sz w:val="20"/>
        </w:rPr>
        <w:t>Pursuant to rules adopted by the Securities and Exchange Commission (the “SEC”), we have elected to provide access to our proxy materials over the internet.</w:t>
      </w:r>
      <w:r>
        <w:rPr>
          <w:color w:val="000000"/>
        </w:rPr>
        <w:t xml:space="preserve"> </w:t>
      </w:r>
      <w:r>
        <w:rPr>
          <w:rFonts w:ascii="Times New Roman;sans-serif" w:hAnsi="Times New Roman;sans-serif"/>
          <w:b w:val="false"/>
          <w:color w:val="000000"/>
          <w:sz w:val="20"/>
        </w:rPr>
        <w:t>Accordingly, we have sent you a Notice of Internet Availability of Proxy Materials (the “Notice”) because our board of directors (the or our “Board” or “Board of Directors”) is soliciting your proxy to vote at the 2024 Annual Meeting of Stockholders, including at any adjournments or postponements of the meeting. All stockholders will have the ability to access the proxy materials on the website referred to in the Notice or request to receive a printed set of the proxy materials.</w:t>
      </w:r>
      <w:r>
        <w:rPr>
          <w:color w:val="000000"/>
        </w:rPr>
        <w:t xml:space="preserve"> </w:t>
      </w:r>
      <w:r>
        <w:rPr>
          <w:rFonts w:ascii="Times New Roman;sans-serif" w:hAnsi="Times New Roman;sans-serif"/>
          <w:b w:val="false"/>
          <w:color w:val="000000"/>
          <w:sz w:val="20"/>
        </w:rPr>
        <w:t>Instructions on how to access the proxy materials over the internet or to request a printed copy may be found in the Notice.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first mail this Notice and make this proxy statement and the form of proxy available to stockholders on or about April 29,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do I attend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will be held on Tuesday, June 25, 2024 at 8:00 a.m. Pacific Time by live webcast. There will not be a physical meeting location and you will not be able to attend the meeting in-person physically. We invite you to attend the Annual Meeting by live webcast.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www.virtualshareholdermeeting.com/SIBN2024.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Attending the Annual Meeting as a Guest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Guests may enter the Annual Meeting in “listen-only” mode by entering the Annual Meeting at www.virtualshareholdermeeting.com/SIBN2024 and entering the information requested in the “Guest Login” section. Guests will not have the ability to vote at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Why is SI-BONE having a virtual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facilitate stockholder participation in the Annual Meeting, this year’s Annual Meeting of our stockholders will be held virtually via the internet. Stockholders attending virtually via the internet will be able to listen and vote via the internet at www.virtualshareholdermeeting.com/SIBN2024 by using the 16-digit control number included on your proxy card or information card and the instructions that accompanied your proxy materials.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Who can vote at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at the close of business on April 26, 2024 will be entitled to vote at the Annual Meeting. On this record date, there were 41,203,980 shares of common stock outstanding and entitled to vote.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on April 26, 2024, your shares are registered directly in your name with our transfer agent, Equiniti Trust Company, LLC, then you are a stockholder of record. As a stockholder of record, you may vote via webcast at the meeting or vote by proxy. Whether or not you plan to attend the meeting via webcast, we urge you to vote by proxy by mail, over the telephone or on the internet as instructed below to ensure your vote is counted.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a Broker or Bank</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on April 26, 2024, your shares are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 You are also invited to attend the Annual Meeting. Many stockholders of record will provide you with a 16-digit control number via email or in the Notice or voting instruction form in order to attend and vote your shares at the virtual Annual Meeting. If you did not receive a 16-digit control number via email or on the Notice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bank or other stockholder of record to do so.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Who can ask questions at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attending the Annual Meeting as a stockholder of record or as a beneficial owner, questions can be submitted by accessing the meeting center at www.virtualshareholdermeeting.com/SIBN2024, entering your 16-digit control number and following the instructions. Instructions on how to ask questions and participate in the Annual Meeting are posted at www.virtualshareholdermeeting.com/SIBN2024. Guests will not have the ability to ask questions during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List of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list of stockholders entitled to vote at the Annual Meeting will be available for examination for any purpose germane to the Annual Meeting during normal business hours for ten days prior to the Annual Meeting at our corporate headquarters. Please email us at StockholderCommunications@si-bone.com to arrange a time to review. The stockholder list will also be available during the Annual Meeting at www.virtualshareholdermeeting.com/SIBN2024. Instructions on how stockholders of record can view the stockholder list during the Annual Meeting are posted at www.virtualshareholdermeeting.com/SIBN2024.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am I voting 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four matters scheduled for a vote: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Election of two directors (Proposal No. 1);</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Ratification of selection by the Audit Committee of the Board of Directors of PricewaterhouseCoopers LLP as independent registered public accounting firm of SI-BONE for its fiscal year ending December 31, 2024 (Proposal No. 2);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Advisory approval of the compensation of our named executive officers, as disclosed in this proxy statement in accordance with SEC rules (Proposal No. 3);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Approve an amendment to our Amended and Restate Certificate of Incorporation to limit the liability of certain officers of SI-BONE, Inc. as permitted pursuant to amendments to the Delaware General Corporation Law (Proposal No. 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if another matter is properly brought before the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14a-4(c)(1) under the Exchange Act, in accordance with their best judgment.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do I vote?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2024, and the advisory approval of the compensation of our named executive officers, as disclosed in this proxy statement in accordance with SEC rules, and the amendment of our Amended and Restated Certificate of Incorporation, you may vote “For” or “Against” or abstain from voting. For any of the other matters to be voted on, you may vote “For” or “Against” or abstain from voting.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procedures for voting are fairly simple: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vote via webcast at the Annual Meeting, vote by proxy over the telephone, vote by proxy through the internet, vote online at the meeting, or vote by proxy using a proxy card that you may request or that we may elect to deliver at a later time. Whether or not you plan to attend the meeting, we urge you to vote by proxy to ensure your vote is counted. You may still attend the meeting and vote via webcast even if you have already voted by proxy.</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To vote during the meeting at the live webcast, if you are a stockholder of record as of the record date, follow the instructions at www.virtualshareholdermeeting.com/SIBN2024. You will need the 16-digit control number provided on the Notice or proxy registration confirmation email in order to gain access to the Annual Meeting via webcast.</w:t>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To vote by mail, if you received a proxy card by mail, you may vote by completing, signing and dating the proxy card and returning it promptly in the envelope provided. If you return your signed proxy card to us before the Annual Meeting, we will vote your shares as you direct.</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To vote over the telephone, dial toll-free 1-800-690-6903 using a touch-tone phone and follow the recorded instructions. You will be asked to provide the control number from the Notice or proxy card. Your telephone vote must be received by 8:59 p.m., Pacific Time on June 24, 2024, to be counted.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To vote through the internet, go to www.proxyvote.com to complete an electronic proxy card. You will be asked to provide control number from the Notice or proxy card. Your internet vote must be received by 8:59 p.m., Pacific Time on June 24, 2024 to be counted.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or Bank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registered in the name of your broker, bank or other agent, you should have received a voting instruction form with the Notice from that organization rather than from us. Simply complete and mail the voting instruction form to ensure that your vote is counted. Alternatively, you may vote by telephone or over the internet as instructed by your broker or bank. To vote at the live webcast, you may be able to do so if your broker has provided you with a 16-digit control number, or if you have otherwise received a valid proxy. See “Who can vote at the Annual Meeting? - Stockholder of Record: Shares Registered in Your Name” above. To receive a valid proxy, follow the instructions from your broker or bank included with the Notice, or contact your broker or other agent to request a proxy form.</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many votes do I have?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each matter to be voted upon, you have one vote for each share of common stock you own as of April 26,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If I am a stockholder of record and I do not vote, or if I return a proxy card or otherwise vote without giving specific voting instructions, what happens?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and do not vote by completing your proxy card, by telephone, through the internet or via webcast at the Annual Meeting, your shares will not be voted.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independent registered public accounting firm of SI-BONE for its fiscal year ending December 31, 2024, and “For” the advisory approval of the compensation of our named executive officers, as disclosed in this proxy statement in accordance with SEC rules, and "For" the amendment of our Amended and Restated Certificate of Incorporation. If any other matter is properly presented at the meeting, your proxy holder (one of the individuals named on your proxy card) will vote your shares using his or her best judgment.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If I am a beneficial owner of shares held in street name and I do not provide my broker or bank with voting instructions, what happens?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3, and 4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Who is paying for this proxy solicitation?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your shares may be registered in more than one name or in different accounts. Please follow the voting instructions on the Notices to ensure that all of your shares are voted.</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Can I change my vote after submitting my proxy?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You can revoke your proxy at any time before the final vote at the meeting. If you are the record holder of your shares, you may revoke your proxy in any one of the following ways: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You may submit another properly completed proxy card with a later date.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You may grant a subsequent proxy by telephone or through the internet.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You may send a timely written notice that you are revoking your proxy to the attention of our General Counsel and Secretary at 471 El Camino Real, Suite 101, Santa Clara, California 95050.</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You may attend the Annual Meeting and vote via webcast. Simply attending the meeting will not, by itself, revoke your proxy.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Your most current proxy card or telephone or internet proxy is the one that is counted.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or Bank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When are Stockholder proposals due for next year’s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be considered for inclusion in next year’s proxy materials, your proposal must be submitted in writing by December 30, 2024, to SI-BONE, Inc., Attn: General Counsel, 471 El Camino Real, Suite 101, Santa Clara, California 95050; provided, however, that if the 2025 annual meeting of stockholders is held before May 26, 2025 or after July 25, 2025, then your proposal must be submitted in writing a reasonable amount of time before the 2025 annual meeting of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27, 2025, nor earlier than the close of business on February 25, 2025; provided, however, that in the event that the date of the annual meeting is held earlier than May 26, 2025, or held later than July 25, 2025, notice by the stockholder to be timely must be so received no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comply with the universal proxy rules, stockholders who intend to solicit proxies in support of director nominees other than our nominees must provide notice that sets forth the information required by Rule 14a-19 under the Exchange Act no later than April 26, 2025; provided, however, that, in the event that the Annual Meeting is held before May 26, 2025, or after July 25, 2025, for your notice to be timely, it must be so received by the Secretary not earlier than the close of business on the date the later of sixty (60) days prior to such annual meeting and the tenth (10th) day following the day on which public announcement of the date of such meeting is first made by us.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wishing to make stockholder proposals or nominations for directors should consult our bylaws and Rule 14a-19 under the Exchange Act, which contain additional requirements and information regarding these matters.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are votes counted?</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Votes will be counted by the inspector of election appointed for the meeting, who will separately count, (a) for the proposal to elect directors, votes “For,” votes “Withheld” and broker non-votes, (b) with respect to the ratification of selection by the Audit Committee of the Board of Directors of PricewaterhouseCoopers LLP as independent registered public accounting firm of SI-BONE for its fiscal year ending December 31, 2024, the advisory approval of the compensation of our named executive officers, as disclosed in this proxy statement in accordance with SEC rules, and the approval of an amendment to our Amended and Restated Certificate of Incorporation to limit the liability of certain officers of SI-BONE, Inc. as permitted pursuant to amendments to the Delaware General Corporation Law, votes “For” and “Against,” abstentions and, if applicable, broker non-votes, and (c) for any other proposals, votes “For” and “Against,” abstentions and, if applicable, broker non-votes.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will be counted towards the vote total for each of Proposals No. 2, No. 3, and No. 4, and will have the same effect as “Against” votes. Broker non-votes on Proposals No. 1 and No. 3 will have no effect and will not be counted towards the vote total for any of those proposals. Broker non-votes will be counted towards the vote total for Proposal No. 4 and will have the same effect as “Against” votes. As Proposal No. 2 is a “routine” matter we do not expect there to be any broker non-votes, but if there are broker non-votes, they will have no effect and will not be counted towards the vote total.</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are “broker non-votes”?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many votes are needed to approve each proposal?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minimum vote needed to approve each proposal and the effect of abstentions and broker non-votes.</w:t>
      </w:r>
    </w:p>
    <w:tbl>
      <w:tblPr>
        <w:tblW w:w="10205" w:type="dxa"/>
        <w:jc w:val="left"/>
        <w:tblInd w:w="0" w:type="dxa"/>
        <w:tblLayout w:type="fixed"/>
        <w:tblCellMar>
          <w:top w:w="28" w:type="dxa"/>
          <w:left w:w="28" w:type="dxa"/>
          <w:bottom w:w="28" w:type="dxa"/>
          <w:right w:w="28" w:type="dxa"/>
        </w:tblCellMar>
      </w:tblPr>
      <w:tblGrid>
        <w:gridCol w:w="313"/>
        <w:gridCol w:w="275"/>
        <w:gridCol w:w="277"/>
        <w:gridCol w:w="109"/>
        <w:gridCol w:w="109"/>
        <w:gridCol w:w="109"/>
        <w:gridCol w:w="1250"/>
        <w:gridCol w:w="1250"/>
        <w:gridCol w:w="1257"/>
        <w:gridCol w:w="109"/>
        <w:gridCol w:w="109"/>
        <w:gridCol w:w="109"/>
        <w:gridCol w:w="829"/>
        <w:gridCol w:w="613"/>
        <w:gridCol w:w="616"/>
        <w:gridCol w:w="109"/>
        <w:gridCol w:w="109"/>
        <w:gridCol w:w="109"/>
        <w:gridCol w:w="368"/>
        <w:gridCol w:w="368"/>
        <w:gridCol w:w="369"/>
        <w:gridCol w:w="109"/>
        <w:gridCol w:w="109"/>
        <w:gridCol w:w="109"/>
        <w:gridCol w:w="323"/>
        <w:gridCol w:w="323"/>
        <w:gridCol w:w="466"/>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Proposal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Proposal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Vote Required for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Broker Non-Votes</w:t>
            </w:r>
          </w:p>
        </w:tc>
      </w:tr>
      <w:tr>
        <w:trPr/>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two nominees receiving the most “For” votes will be elected; withheld votes will have no effect </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Ratification of the selection of PricewaterhouseCoopers LLP as SI-BONE’s independent registered public accounting firm for the fiscal year ending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 xml:space="preserve">For” votes from the holders of a majority of shares present via webcast or represented by proxy and entitled to vote on the matter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vote on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 xml:space="preserve">For” votes from the holders of a majority of shares present via webcast or represented by proxy and entitled to vote on the matter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 an amendment to our Amended and Restated Certificate of Incorporation to limit the liability of certain officers of SI-BONE, Inc. as permitted pursuant to recent amendments to the Delaware General Corporation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For” votes from the holders of a majority of shares outstanding as of the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r>
    </w:tbl>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is the quorum requirement?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 quorum of stockholders is necessary to hold a valid meeting. A quorum will be present if stockholders holding at least a majority of the outstanding shares entitled to vote are present at the meeting via webcast or represented by proxy. On the record date, there were 41,203,980 shares outstanding and entitled to vote. Thus, the holders of 20,601,990</w:t>
      </w:r>
      <w:r>
        <w:rPr>
          <w:color w:val="000000"/>
        </w:rPr>
        <w:t xml:space="preserve"> </w:t>
      </w:r>
      <w:r>
        <w:rPr>
          <w:rFonts w:ascii="Times New Roman;sans-serif" w:hAnsi="Times New Roman;sans-serif"/>
          <w:b w:val="false"/>
          <w:color w:val="000000"/>
          <w:sz w:val="20"/>
        </w:rPr>
        <w:t>shares must be present via webcast or represented by proxy at the meeting to have a quorum.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can I find out the results of the voting at the Annual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proxy materials are available on the internet?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proxy statement and Annual Report to Stockholders are available at www.proxyvote.com.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has nine members. There are three directors in Class III, the class the term of which expires in 2024: Helen Loh, Mika Nishimura and Keith C. Valentine. Each is currently a member of our Board of Directors. Ms. Nishimura has been nominated for re-election as a director at the Annual Meeting. Ms. Loh and Mr. Valentine are not standing for re-election and will therefore step down as directors and as members of the Nominating and Corporate Governance Committee upon the expiration of their terms at the conclusion of the Annual Meeting. Our Nominating and Corporate Governance Committee, following a thorough search process, has recommended that the Board of Directors nominate Thomas A. West to stand for election to our Board of Directors as a member of Class III alongside Ms. Nishimura. Our Board of Directors has nominated Mr. West to fill one of the vacancies created on our Board of Directors immediately following the expiration of the terms of Ms. Loh and Mr. Valentine at the conclusion of the Annual Meeting. Accordingly, the size of our Board of Directors will be reduced to eight directors effective at the close of the Annual Meeting. If elected at the Annual Meeting, each of the nominees would serve until the 2027 annual meeting and until his or her successor has been duly elected and qualified, or, if sooner, until the director’s death, resignation or removal. It is our policy to encourage directors and nominees for director to attend the Annual Meeting. All nine of our current directors attended our 2023 annual meeting of stockholders.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Ms. Nishimura was previously elected by our stockholders.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Class III nominees for election at the Annual Meeting and our other directors who will continue in office after the Annual Meeting, their independence and position or office held, as well as their age as of March 31, 2024:</w:t>
      </w:r>
    </w:p>
    <w:p>
      <w:pPr>
        <w:pStyle w:val="TextBody"/>
        <w:bidi w:val="0"/>
        <w:spacing w:before="0" w:after="0"/>
        <w:jc w:val="left"/>
        <w:rPr/>
      </w:pPr>
      <w:r>
        <w:rPr/>
      </w:r>
    </w:p>
    <w:p>
      <w:pPr>
        <w:pStyle w:val="TextBody"/>
        <w:bidi w:val="0"/>
        <w:spacing w:before="0" w:after="0"/>
        <w:jc w:val="left"/>
        <w:rPr/>
      </w:pPr>
      <w:r>
        <w:rPr/>
      </w:r>
    </w:p>
    <w:tbl>
      <w:tblPr>
        <w:tblW w:w="5160" w:type="dxa"/>
        <w:jc w:val="center"/>
        <w:tblInd w:w="0" w:type="dxa"/>
        <w:tblLayout w:type="fixed"/>
        <w:tblCellMar>
          <w:top w:w="28" w:type="dxa"/>
          <w:left w:w="28" w:type="dxa"/>
          <w:bottom w:w="28" w:type="dxa"/>
          <w:right w:w="28" w:type="dxa"/>
        </w:tblCellMar>
      </w:tblPr>
      <w:tblGrid>
        <w:gridCol w:w="666"/>
        <w:gridCol w:w="587"/>
        <w:gridCol w:w="591"/>
        <w:gridCol w:w="145"/>
        <w:gridCol w:w="145"/>
        <w:gridCol w:w="146"/>
        <w:gridCol w:w="757"/>
        <w:gridCol w:w="757"/>
        <w:gridCol w:w="765"/>
        <w:gridCol w:w="176"/>
        <w:gridCol w:w="176"/>
        <w:gridCol w:w="249"/>
      </w:tblGrid>
      <w:tr>
        <w:trPr/>
        <w:tc>
          <w:tcPr>
            <w:tcW w:w="6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ind w:left="0" w:right="0" w:hanging="0"/>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r>
      <w:tr>
        <w:trPr/>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Mika Nishimura</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Thomas A. West</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Timothy "Ted" Davis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Laura A. Francis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Jeryl L. Hilleman</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Jeffrey W. Dunn</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nominee and each director whose term will continue after the Annual Meeting.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NOMINEES FOR ELECTION FOR A THREE-YEAR TERM EXPIRING AT THE 2027 ANNUAL MEETING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Mika Nishimura</w:t>
      </w:r>
      <w:r>
        <w:rPr>
          <w:color w:val="000000"/>
        </w:rPr>
        <w:t xml:space="preserve"> </w:t>
      </w:r>
      <w:r>
        <w:rPr>
          <w:rFonts w:ascii="Times New Roman;sans-serif" w:hAnsi="Times New Roman;sans-serif"/>
          <w:b w:val="false"/>
          <w:color w:val="000000"/>
          <w:sz w:val="20"/>
        </w:rPr>
        <w:t>has served as a member of our Board of Directors since March 2021. Since 2011, Ms. Nishimura has served as an Operational Partner with Gilde Healthcare Partners, a life-science venture fund. Ms. Nishimura has served as a board member and the chair of the Nominating and Corporate Governance Committee for Accuray, Incorporated, a radiation therapy company since August 2021, and has served as a board advisor to Tristel, plc, a UK-based company since January 2021. Since June 2022, Ms. Nishimura has served as a member of the board of directors and the Audit, Compensation, and Nominating committees, and is the chair of the Healthcare Compliance Committee of HOYA Corporation.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Inc. in 2015. Earlier in her career, Ms. Nishimura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i/>
          <w:color w:val="000000"/>
          <w:sz w:val="20"/>
        </w:rPr>
        <w:t>Thomas A. West</w:t>
      </w:r>
      <w:r>
        <w:rPr>
          <w:color w:val="000000"/>
        </w:rPr>
        <w:t xml:space="preserve"> </w:t>
      </w:r>
      <w:r>
        <w:rPr>
          <w:rFonts w:ascii="Times New Roman;sans-serif" w:hAnsi="Times New Roman;sans-serif"/>
          <w:b w:val="false"/>
          <w:color w:val="000000"/>
          <w:sz w:val="20"/>
        </w:rPr>
        <w:t xml:space="preserve">has served since August 2022 as the President and Chief Executive Officer and as a member of the board of directors of Nalu Medical, Inc., a medical device company focused on developing and commercializing innovative and minimally invasive </w:t>
      </w:r>
    </w:p>
    <w:p>
      <w:pPr>
        <w:pStyle w:val="TextBody"/>
        <w:bidi w:val="0"/>
        <w:spacing w:lineRule="auto" w:line="276" w:before="0" w:after="0"/>
        <w:jc w:val="both"/>
        <w:rPr/>
      </w:pPr>
      <w:r>
        <w:rPr>
          <w:rFonts w:ascii="Times New Roman;sans-serif" w:hAnsi="Times New Roman;sans-serif"/>
          <w:b w:val="false"/>
          <w:color w:val="000000"/>
          <w:sz w:val="20"/>
        </w:rPr>
        <w:t>neurostimulation solutions for patients with chronic neuropathic pain. Prior to joining Nalu, Mr. West served from July 2019 to July 2022 as President, Chief Executive Officer and Director at Intersect ENT, Inc., a publicly traded sinus surgery innovator in the medical device and pharmaceutical space acquired by Medtronic plc in May 2022. Mr. West has over 30 years of medical technology experience including as Worldwide President, Diagnostic Solutions at Hologic, Inc., from October 2014 to July 2019, and previously as President of LifeScan at Johnson &amp; Johnson.</w:t>
      </w:r>
      <w:r>
        <w:rPr>
          <w:color w:val="000000"/>
        </w:rPr>
        <w:t xml:space="preserve"> </w:t>
      </w:r>
      <w:r>
        <w:rPr>
          <w:rFonts w:ascii="Times New Roman;sans-serif" w:hAnsi="Times New Roman;sans-serif"/>
          <w:b w:val="false"/>
          <w:color w:val="000000"/>
          <w:sz w:val="20"/>
        </w:rPr>
        <w:t>He began his healthcare career at Johnson &amp; Johnson in 1992, assuming roles of increasing responsibility and has directly led and supported businesses around the globe in medical devices, pharmaceuticals, and consumer healthcare. Since April 2023, Mr. West has served as a member of the Board of Inogen, Inc., a publicly traded innovator in respiratory devices and he</w:t>
      </w:r>
      <w:r>
        <w:rPr>
          <w:color w:val="000000"/>
        </w:rPr>
        <w:t xml:space="preserve"> </w:t>
      </w:r>
      <w:r>
        <w:rPr>
          <w:rFonts w:ascii="Times New Roman;sans-serif" w:hAnsi="Times New Roman;sans-serif"/>
          <w:b w:val="false"/>
          <w:color w:val="000000"/>
          <w:sz w:val="20"/>
        </w:rPr>
        <w:t>previously served as a member of the Board of Directors of Orthofix Medical, Inc., a publicly traded leader in spine, orthopedics, and biologic solutions, from December 2021 to January 2023. Mr. West received a B.A. in Politics and Economics from Princeton University and an M.B.A. from the University of Pennsylvania, Wharton School. We believe that Mr. West’s extensive experience in the medical device industry will enable him to make valuable contributions to our Board of Directors.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 VOTE IN FAVOR OF EACH NAMED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DIRECTORS CONTINUING IN OFFICE UNTIL THE 2025 ANNUAL MEETING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Timothy E. Davis, Jr.</w:t>
      </w:r>
      <w:r>
        <w:rPr>
          <w:color w:val="000000"/>
        </w:rPr>
        <w:t xml:space="preserve"> </w:t>
      </w:r>
      <w:r>
        <w:rPr>
          <w:rFonts w:ascii="Times New Roman;sans-serif" w:hAnsi="Times New Roman;sans-serif"/>
          <w:b w:val="false"/>
          <w:color w:val="000000"/>
          <w:sz w:val="20"/>
        </w:rPr>
        <w:t>has served as a member of our Board of Directors since our inception in April 2008. Mr. Davis has served as President and Chief Executive Officer of BioTissue Holdings Inc., a privately held company focusing on the development and clinical application of human birth tissue-based products for the ocular and surgical clinical markets, since January 2022. From February 2017 through December 2021, Mr. Davis served as President and Chief Executive Officer of Active Implants, LLC, a company that provides orthopedic implant solutions.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his experience in compensation matters, and his knowledge of our company enable him to make valuable contributions to our Board of Directors.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Laura A. Francis</w:t>
      </w:r>
      <w:r>
        <w:rPr>
          <w:color w:val="000000"/>
        </w:rPr>
        <w:t xml:space="preserve"> </w:t>
      </w:r>
      <w:r>
        <w:rPr>
          <w:rFonts w:ascii="Times New Roman;sans-serif" w:hAnsi="Times New Roman;sans-serif"/>
          <w:b w:val="false"/>
          <w:color w:val="000000"/>
          <w:sz w:val="20"/>
        </w:rPr>
        <w:t>has served as our Chief Executive Officer and as a member of our Board of Directors since April 2021. Previously, she served as our 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including serving as chair of its audit committee and on its compensation committee.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Jeryl L. Hilleman </w:t>
      </w:r>
      <w:r>
        <w:rPr>
          <w:rFonts w:ascii="Times New Roman;sans-serif" w:hAnsi="Times New Roman;sans-serif"/>
          <w:b w:val="false"/>
          <w:color w:val="000000"/>
          <w:sz w:val="20"/>
        </w:rPr>
        <w:t>has served as a member of our Board of Directors since December 2019. Ms. Hilleman brings extensive experience in life sciences and served as a public company CFO for close to 20 years. Most recently, from June 2014 to November 2019, Ms. Hilleman served as the Chief Financial Officer for Intersect ENT, Inc., a commercial medical device company. Prior to Intersect ENT, Ms. Hilleman served as Chief Financial Officer of several other public healthcare companies. Ms. Hilleman has served as a member of the board of directors and the chair of the Audit Committee of NovoCure, Limited and Minerva Neurosciences, Inc. since July 2018, and of HilleVax, Inc., a biopharmaceutical company, since April 2021. Ms. Hilleman previously served as a member of the board of directors of Xenoport, Inc., a biopharmaceutical company, from January 2005 to July 2016 and of Talis Biomedical Corporation, a biomedical company, from February 2021 to June 2022.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DIRECTORS CONTINUING IN OFFICE UNTIL THE 2026 ANNUAL MEETING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Jeffrey W. Dunn</w:t>
      </w:r>
      <w:r>
        <w:rPr>
          <w:color w:val="000000"/>
        </w:rPr>
        <w:t xml:space="preserve"> </w:t>
      </w:r>
      <w:r>
        <w:rPr>
          <w:rFonts w:ascii="Times New Roman;sans-serif" w:hAnsi="Times New Roman;sans-serif"/>
          <w:b w:val="false"/>
          <w:color w:val="000000"/>
          <w:sz w:val="20"/>
        </w:rPr>
        <w:t>has served as our Chairman of our Board of Directors since our inception in April 2008, and as our President and Chief Executive Officer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John G. Freund, M.D. </w:t>
      </w:r>
      <w:r>
        <w:rPr>
          <w:rFonts w:ascii="Times New Roman;sans-serif" w:hAnsi="Times New Roman;sans-serif"/>
          <w:b w:val="false"/>
          <w:color w:val="000000"/>
          <w:sz w:val="20"/>
        </w:rPr>
        <w:t xml:space="preserve">has served as a member of our Board of Directors since January 2013. Dr. Freund founded Skyline Ventures, a venture capital firm, in October 1997 and served as a Managing Director until December 2022. In 2016, Dr. Freund co-founded and was Chief Executive Officer of Arixa Pharmaceuticals, Inc. an antibiotic company, which was acquired by Pfizer in October 2020.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both Collegium Pharmaceuticals, Inc., a biotechnology company, and Sutro Biopharma, Inc., a biotechnology company, since February 2014. Dr. Freund also serves on the board of directors of a number of U.S. registered investment funds managed by affiliates of the Capital Group, Inc. He also previously served on the board of directors of a number of publicly traded companies, including Tetraphase Pharmaceuticals, Inc., a biopharmaceutical company, Map Pharmaceuticals, Inc., a biopharmaceutical company, MAKO Surgical Corp., a medical device company, Proteon Therapeutics, Inc., a biotechnology company, Concert Pharmaceuticals, Inc., a biopharmaceutical company and XenoPort, Inc., a biopharmaceutical company, where he served as Chairman.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Gregory K. Hinckley</w:t>
      </w:r>
      <w:r>
        <w:rPr>
          <w:color w:val="000000"/>
        </w:rPr>
        <w:t xml:space="preserve"> </w:t>
      </w:r>
      <w:r>
        <w:rPr>
          <w:rFonts w:ascii="Times New Roman;sans-serif" w:hAnsi="Times New Roman;sans-serif"/>
          <w:b w:val="false"/>
          <w:color w:val="000000"/>
          <w:sz w:val="20"/>
        </w:rPr>
        <w:t>has served as a member of our Board of Directors since January 2011. Mr. Hinckley served as President of Mentor Graphics 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Intermec, Inc., a developer of automated identification and data collection solutions, from July 2004 to September 2013; and Amkor Technology, a semiconductor test and assembly company, from November 1997 to July 2007.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directors, other than Mr. Dunn and Ms. Francis, is independent as defined under the Nasdaq Global Market listing standards. See “Independence of the Board of Directors” immediately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REGARDING THE BOARD OF DIRECTORS AND CORPORATE GOVERNANCE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the directors and executive officers.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Independence of the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under the Nasdaq Global Market (“Nasdaq”) listing standards, a majority of the members of a listed company’s Board of Directors must qualify as “independent,” as affirmatively determined by the Board of Directors. The Board of Directors consults with SI-BONE’s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these considerations, after review of all relevant identified transactions or relationships between each director, or any of his or her family members, and SI-BONE, its senior management and its independent auditors, the Board of Directors has affirmatively determined that (1) the following seven current directors are independent directors within the meaning of the applicable Nasdaq listing standards: Mr. Davis, Dr. Freund, Ms. Hilleman, Mr. Hinckley, Ms. Loh, Ms. Nishimura and Mr. Valentine, and (ii) the following nominee for director is an independent director within the meaning of the applicable Nasdaq listing standards: Mr. West. In making this determination, the Board of Directors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Term of Service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Proposal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among our compensation peer groups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simple majority voting to amend our certificate of incorporation or bylaws, we have not generally encountered significant or specific objections to the corporate governance decisions we have made.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Board Skills and Attributes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matrix provides information regarding the members of our Board of Directors, excluding Ms. Loh and Mr. Valentine, including certain types of knowledge, skills, experiences and attributes possessed by one or more of our directors which our Board of Directors believes are most relevant to our business and industry, and which may vary from year to year.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tbl>
      <w:tblPr>
        <w:tblW w:w="9301" w:type="dxa"/>
        <w:jc w:val="center"/>
        <w:tblInd w:w="0" w:type="dxa"/>
        <w:tblLayout w:type="fixed"/>
        <w:tblCellMar>
          <w:top w:w="28" w:type="dxa"/>
          <w:left w:w="28" w:type="dxa"/>
          <w:bottom w:w="28" w:type="dxa"/>
          <w:right w:w="28" w:type="dxa"/>
        </w:tblCellMar>
      </w:tblPr>
      <w:tblGrid>
        <w:gridCol w:w="1176"/>
        <w:gridCol w:w="1029"/>
        <w:gridCol w:w="1035"/>
        <w:gridCol w:w="267"/>
        <w:gridCol w:w="267"/>
        <w:gridCol w:w="267"/>
        <w:gridCol w:w="267"/>
        <w:gridCol w:w="267"/>
        <w:gridCol w:w="282"/>
        <w:gridCol w:w="225"/>
        <w:gridCol w:w="225"/>
        <w:gridCol w:w="226"/>
        <w:gridCol w:w="225"/>
        <w:gridCol w:w="225"/>
        <w:gridCol w:w="226"/>
        <w:gridCol w:w="279"/>
        <w:gridCol w:w="279"/>
        <w:gridCol w:w="281"/>
        <w:gridCol w:w="260"/>
        <w:gridCol w:w="260"/>
        <w:gridCol w:w="261"/>
        <w:gridCol w:w="310"/>
        <w:gridCol w:w="310"/>
        <w:gridCol w:w="311"/>
        <w:gridCol w:w="158"/>
        <w:gridCol w:w="158"/>
        <w:gridCol w:w="225"/>
      </w:tblGrid>
      <w:tr>
        <w:trPr/>
        <w:tc>
          <w:tcPr>
            <w:tcW w:w="11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Knowledge, Skills, Experience </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Davis</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Dunn</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Francis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Freund</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Hilleman </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Hinckley</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Nishimura</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West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Leadership</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Tax, or Accounting</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Healthcare Experience</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Company Governance</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Marketing, and Sales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Reimbursement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Legal, Regulatory, Compliance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Research, Development, Innovation </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Business Development / M&amp;A</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Technology Strategy &amp; Planning </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Operations, Manufacturing &amp; Supply Chain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Strategic Planning</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Communications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Risk Management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Cybersecurity Oversight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Human Capital Management</w:t>
            </w:r>
          </w:p>
        </w:tc>
        <w:tc>
          <w:tcPr>
            <w:tcW w:w="8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matrices provide race/ethnicity, as well as gender, of the members of our Board of Directors, excluding Ms. Loh and Mr. Valentine, as self-identified by members of the Board of Directors. To see our Board Diversity Matrix as of April 14, 2023, please see the proxy statement filed with the SEC on April 21, 2023.</w:t>
      </w:r>
    </w:p>
    <w:p>
      <w:pPr>
        <w:pStyle w:val="TextBody"/>
        <w:bidi w:val="0"/>
        <w:spacing w:before="0" w:after="0"/>
        <w:jc w:val="both"/>
        <w:rPr/>
      </w:pPr>
      <w:r>
        <w:rPr/>
      </w:r>
    </w:p>
    <w:tbl>
      <w:tblPr>
        <w:tblW w:w="5720" w:type="dxa"/>
        <w:jc w:val="center"/>
        <w:tblInd w:w="0" w:type="dxa"/>
        <w:tblLayout w:type="fixed"/>
        <w:tblCellMar>
          <w:top w:w="28" w:type="dxa"/>
          <w:left w:w="28" w:type="dxa"/>
          <w:bottom w:w="28" w:type="dxa"/>
          <w:right w:w="28" w:type="dxa"/>
        </w:tblCellMar>
      </w:tblPr>
      <w:tblGrid>
        <w:gridCol w:w="1105"/>
        <w:gridCol w:w="970"/>
        <w:gridCol w:w="970"/>
        <w:gridCol w:w="417"/>
        <w:gridCol w:w="417"/>
        <w:gridCol w:w="417"/>
        <w:gridCol w:w="417"/>
        <w:gridCol w:w="417"/>
        <w:gridCol w:w="590"/>
      </w:tblGrid>
      <w:tr>
        <w:trPr/>
        <w:tc>
          <w:tcPr>
            <w:tcW w:w="110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5720"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 (as of April 29, 2024)</w:t>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12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 Gender Identity</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 Demographic Background</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12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0"/>
        <w:jc w:val="both"/>
        <w:rPr/>
      </w:pPr>
      <w:r>
        <w:rPr/>
      </w:r>
    </w:p>
    <w:p>
      <w:pPr>
        <w:pStyle w:val="TextBody"/>
        <w:bidi w:val="0"/>
        <w:spacing w:before="0" w:after="0"/>
        <w:jc w:val="both"/>
        <w:rPr/>
      </w:pPr>
      <w:r>
        <w:rPr/>
      </w:r>
    </w:p>
    <w:tbl>
      <w:tblPr>
        <w:tblW w:w="7760" w:type="dxa"/>
        <w:jc w:val="center"/>
        <w:tblInd w:w="0" w:type="dxa"/>
        <w:tblLayout w:type="fixed"/>
        <w:tblCellMar>
          <w:top w:w="28" w:type="dxa"/>
          <w:left w:w="28" w:type="dxa"/>
          <w:bottom w:w="28" w:type="dxa"/>
          <w:right w:w="28" w:type="dxa"/>
        </w:tblCellMar>
      </w:tblPr>
      <w:tblGrid>
        <w:gridCol w:w="982"/>
        <w:gridCol w:w="864"/>
        <w:gridCol w:w="869"/>
        <w:gridCol w:w="180"/>
        <w:gridCol w:w="180"/>
        <w:gridCol w:w="181"/>
        <w:gridCol w:w="185"/>
        <w:gridCol w:w="185"/>
        <w:gridCol w:w="186"/>
        <w:gridCol w:w="225"/>
        <w:gridCol w:w="225"/>
        <w:gridCol w:w="226"/>
        <w:gridCol w:w="225"/>
        <w:gridCol w:w="225"/>
        <w:gridCol w:w="226"/>
        <w:gridCol w:w="279"/>
        <w:gridCol w:w="279"/>
        <w:gridCol w:w="281"/>
        <w:gridCol w:w="260"/>
        <w:gridCol w:w="260"/>
        <w:gridCol w:w="261"/>
        <w:gridCol w:w="285"/>
        <w:gridCol w:w="285"/>
        <w:gridCol w:w="406"/>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000000"/>
            </w:tcBorders>
            <w:tcMar>
              <w:top w:w="0" w:type="dxa"/>
              <w:left w:w="0" w:type="dxa"/>
              <w:right w:w="0" w:type="dxa"/>
            </w:tcMar>
            <w:vAlign w:val="center"/>
          </w:tcPr>
          <w:p>
            <w:pPr>
              <w:pStyle w:val="TableContents"/>
              <w:bidi w:val="0"/>
              <w:spacing w:before="0" w:after="120"/>
              <w:jc w:val="left"/>
              <w:rPr/>
            </w:pPr>
            <w:r>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Davis</w:t>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Dunn</w:t>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Francis</w:t>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Freund</w:t>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Hilleman </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Hinckley</w:t>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Nishimura</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Part I: Demographic Background</w:t>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Part II: Gender Identity</w:t>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Male</w:t>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currently chaired by Mr. Dunn. Mr. Dunn served as our Executive Chairman from April 2021, when he ceased to serve as our Chief Executive Officer, until May 2023, at which time he became non-executive Chair of the Board. We believe that the separation of the two roles of Chair of the Board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serving as Chairman alleviates the need for Ms. Francis to take on the responsibilities of Chairperson, enabling her to focus on her responsibilities in her role as our Chief Executive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believes that our stockholders are best served at this time by having a Lead Independent Director who is an integral part of our Board structure and a critical aspect of effective corporate governance. Mr. Davis is our Lead Independent Director. Mr. Davis brings considerable skills and experience, as described above, to the role. We believe as well that Mr. Davis can effectively oversee and drive the activities of the Board, including: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coordinating with the committee chairs regarding meeting agendas and informational requirements;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performing such other duties as may be necessary from time to time to ensure the effective functioning of the Board.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Role of the Board of Directors in Risk Oversight</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policies and programs; and our Nominating and Corporate Governance Committee oversees the management of risks associated with director independence, conflicts of interest, composition and organization of our Board of Directors, director succession planning, development of and reporting on our sustainability program, and oversight of healthcare, regulatory, and fraud and abuse compliance.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Cybersecurity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protecting our information technology (“IT”) systems. With this in mind, we have certain IT and cybersecurity measures on both an enterprise level and on an individual employee level. We have in place various types and levels of IT and cybersecurity measures, depending on the nature of the IT system and data, which are aimed at protecting IT systems to help secure long-term value for our shareholders and other stakeholders.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way of example, these measures may include the following:</w:t>
      </w:r>
    </w:p>
    <w:p>
      <w:pPr>
        <w:pStyle w:val="TextBody"/>
        <w:bidi w:val="0"/>
        <w:spacing w:lineRule="auto" w:line="268" w:before="0" w:after="0"/>
        <w:ind w:left="0" w:right="0" w:hanging="720"/>
        <w:jc w:val="both"/>
        <w:rPr/>
      </w:pPr>
      <w:r>
        <w:rPr>
          <w:color w:val="000000"/>
        </w:rPr>
        <w:t>•</w:t>
      </w:r>
      <w:r>
        <w:rPr>
          <w:rFonts w:ascii="Times New Roman;sans-serif" w:hAnsi="Times New Roman;sans-serif"/>
          <w:b w:val="false"/>
          <w:color w:val="000000"/>
          <w:sz w:val="20"/>
        </w:rPr>
        <w:t>utilization of detection and protection technologies such as endpoint detection and vulnerability and patch management programs;</w:t>
      </w:r>
    </w:p>
    <w:p>
      <w:pPr>
        <w:pStyle w:val="TextBody"/>
        <w:bidi w:val="0"/>
        <w:spacing w:lineRule="auto" w:line="268" w:before="0" w:after="0"/>
        <w:jc w:val="both"/>
        <w:rPr/>
      </w:pPr>
      <w:r>
        <w:rPr>
          <w:color w:val="000000"/>
        </w:rPr>
        <w:t>•</w:t>
      </w:r>
      <w:r>
        <w:rPr>
          <w:rFonts w:ascii="Times New Roman;sans-serif" w:hAnsi="Times New Roman;sans-serif"/>
          <w:b w:val="false"/>
          <w:color w:val="000000"/>
          <w:sz w:val="20"/>
        </w:rPr>
        <w:t>ongoing end-user security awareness training;</w:t>
      </w:r>
    </w:p>
    <w:p>
      <w:pPr>
        <w:pStyle w:val="TextBody"/>
        <w:bidi w:val="0"/>
        <w:spacing w:lineRule="auto" w:line="268" w:before="0" w:after="0"/>
        <w:jc w:val="both"/>
        <w:rPr/>
      </w:pPr>
      <w:r>
        <w:rPr>
          <w:color w:val="000000"/>
        </w:rPr>
        <w:t>•</w:t>
      </w:r>
      <w:r>
        <w:rPr>
          <w:rFonts w:ascii="Times New Roman;sans-serif" w:hAnsi="Times New Roman;sans-serif"/>
          <w:b w:val="false"/>
          <w:color w:val="000000"/>
          <w:sz w:val="20"/>
        </w:rPr>
        <w:t>security metric reporting to senior organizational leaders; and</w:t>
      </w:r>
    </w:p>
    <w:p>
      <w:pPr>
        <w:pStyle w:val="TextBody"/>
        <w:bidi w:val="0"/>
        <w:spacing w:lineRule="auto" w:line="268" w:before="0" w:after="0"/>
        <w:jc w:val="both"/>
        <w:rPr/>
      </w:pPr>
      <w:r>
        <w:rPr>
          <w:color w:val="000000"/>
        </w:rPr>
        <w:t>•</w:t>
      </w:r>
      <w:r>
        <w:rPr>
          <w:rFonts w:ascii="Times New Roman;sans-serif" w:hAnsi="Times New Roman;sans-serif"/>
          <w:b w:val="false"/>
          <w:color w:val="000000"/>
          <w:sz w:val="20"/>
        </w:rPr>
        <w:t>periodic risk assessments and maturity assessments to gauge current level of operational efficiency and effectiveness.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and senior management are responsible for overseeing matters relating to our IT and cybersecurity practices and initiatives and our Audit Committee is briefed at least quarterly by our senior management on cybersecurity matters. To assist our executive team and Audit Committee, we have designated specific roles to officers and other employees within our company who are responsible for and directly oversee our cybersecurity efforts. Among the members of our Board of Directors, three have served as Chief Financial Officers having direct oversight of Information Technology / Cybersecurity functions, have developed expertise in this area, and now serve on the audit committees of other companies’ boards exercising cybersecurity oversight as well.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Meetings of the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met four times during 2023. Each member of the Board of Directors attended 75% or more of the aggregate number of meetings of the Board of Directors and of the committees on which he or she served, held during the portion of the last fiscal year for which he or she was a director or committee member.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Board Committees and Meetings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three standing committees: an Audit Committee, a Compensation Committee and a Nominating and Corporate Governance Committee. The following table provides membership and meeting information for fiscal year 2023 for each of the Board committees (neither Mr. Dunn nor Ms. Francis has served on any committee to date):</w:t>
      </w:r>
    </w:p>
    <w:tbl>
      <w:tblPr>
        <w:tblW w:w="9276" w:type="dxa"/>
        <w:jc w:val="center"/>
        <w:tblInd w:w="0" w:type="dxa"/>
        <w:tblLayout w:type="fixed"/>
        <w:tblCellMar>
          <w:top w:w="28" w:type="dxa"/>
          <w:left w:w="28" w:type="dxa"/>
          <w:bottom w:w="28" w:type="dxa"/>
          <w:right w:w="28" w:type="dxa"/>
        </w:tblCellMar>
      </w:tblPr>
      <w:tblGrid>
        <w:gridCol w:w="1043"/>
        <w:gridCol w:w="913"/>
        <w:gridCol w:w="923"/>
        <w:gridCol w:w="109"/>
        <w:gridCol w:w="109"/>
        <w:gridCol w:w="109"/>
        <w:gridCol w:w="190"/>
        <w:gridCol w:w="190"/>
        <w:gridCol w:w="191"/>
        <w:gridCol w:w="109"/>
        <w:gridCol w:w="109"/>
        <w:gridCol w:w="109"/>
        <w:gridCol w:w="440"/>
        <w:gridCol w:w="440"/>
        <w:gridCol w:w="441"/>
        <w:gridCol w:w="109"/>
        <w:gridCol w:w="109"/>
        <w:gridCol w:w="109"/>
        <w:gridCol w:w="1031"/>
        <w:gridCol w:w="1031"/>
        <w:gridCol w:w="1462"/>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Nominating and Corporate Governance</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E. Davis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center"/>
              <w:rPr>
                <w:color w:val="000000"/>
              </w:rPr>
            </w:pPr>
            <w:r>
              <w:rPr>
                <w:color w:val="000000"/>
              </w:rPr>
              <w:t>  </w:t>
            </w:r>
            <w:r>
              <w:rPr>
                <w:rFonts w:ascii="Times New Roman;sans-serif" w:hAnsi="Times New Roman;sans-serif"/>
                <w:b w:val="false"/>
                <w:color w:val="000000"/>
                <w:sz w:val="20"/>
              </w:rPr>
              <w:t>X*</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meetings in fiscal year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Committee Chairperson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2024 Annual Meeting and as recommended by our Nominating and Corporate Governance Committee and approved by our Board of Directors, Ms. Nishimura will cease to serve as a member of the Compensation Committee, Mr. West will join the Compensation Committee as a member, Ms. Nishimura will serve as the chairperson of the Nominating and Corporate Governance Committee and Dr. Freund will join the Nominating and Corporate Governance Committee as a member.</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0"/>
        </w:rPr>
        <w:t xml:space="preserve">Our Board of Directors has adopted a written charter for each of the Audit Committee, the Compensation Committee, and the Nominating and Corporate Governance Committee. Each of these charters are available to stockholders on SI-BONE’s website at </w:t>
      </w:r>
      <w:r>
        <w:rPr>
          <w:rFonts w:ascii="Times New Roman;sans-serif" w:hAnsi="Times New Roman;sans-serif"/>
          <w:b w:val="false"/>
          <w:color w:val="000000"/>
          <w:sz w:val="20"/>
          <w:u w:val="single"/>
        </w:rPr>
        <w:t>www.si-bone.com</w:t>
      </w:r>
      <w:r>
        <w:rPr>
          <w:rFonts w:ascii="Times New Roman;sans-serif" w:hAnsi="Times New Roman;sans-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each committee of the Board of Directors.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currently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selecting a qualified firm to serve as the independent registered public accounting firm to audit our financial statements;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evaluating the qualifications, independence and performance of the independent registered public accounting firm;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determining the scope of the annual audit and the audit fee;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our financial statements and our management’s discussion and analysis of financial condition and results of operations to be included in our annual and quarterly reports to be filed with the SEC;</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considering the adequacy of our internal controls;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developing and overseeing procedures for employees to submit concerns anonymously about questionable accounting or audit matters;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related party transactions;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discussing the adequacy and effectiveness of our accounting and financial reporting processes and internal controls and the annual audits of our financial statements;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approving (or, as permitted, pre-approving) all audit and all permissible non-audit service to be performed by the independent registered public accounting firm;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our guidelines and policies with respect to financial and information security risk management;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at least annually, the Audit Committee charter and the committee’s performance.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reviewed and discussed the audited financial statements for the fiscal year ended December 31, 2023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Jeryl L. Hilleman (Chairperson)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Timothy E. Davis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currently consists of Mr. Davis, Dr. Freund and Ms. Nishimura. The chairperson of our Compensation Committee is Mr. Davis. Following the 2024 Annual Meeting, and as recommended by our Nominating and Corporate Governance Committee and approved by our Board of Directors, Ms. Nishimura will cease to serve as a member of our Compensation Committee and Mr. West will join our Compensation Committee as a member. Our Board has determined Mr. Davis, Dr. Freund, Ms. Nishimura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Mr. West to be independent under the Nasdaq Global Market listing standards, and a “non-employee director” as defined in Rule 16b-3 promulgated under the Exchange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approving, or in the case of our Chief Executive Officer, recommending that our Board approve, the compensation of our executive officers;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recommending to our Board the compensation of our directors;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approving, or recommending that our Board approve, the terms of compensatory arrangements with our executive officers;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administering our employee stock purchase and equity incentive plans;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selecting independent compensation consultants and assessing whether there are any conflicts of interest with any of the committee’s compensation advisors;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and establishing general policies relating to compensation and benefits of our employees;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our overall compensation philosophy.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Committee Processes and Procedures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Typically, our Compensation Committee meets at least four times annually and with greater frequency if necessary. The agenda for each meeting is usually developed by the chair of the Compensation Committee, in consultation with the General Counsel.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evaluate the efficacy of SI-BONE’s existing compensation strategy and practices in supporting and reinforcing SI-BONE’s long-term strategic goals;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assist in refining SI-BONE’s compensation strategy and in developing and implementing an executive compensation program to execute that strategy;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benchmark SI-BONE’s use of its equity in its compensation program against equity utilization of its peers;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 the adequacy and appropriateness of SI-BONE’s compensation of its independent directors and recommend annual updates to the Company’s non-employee director compensation policy;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perform an annual independent compensation risk assessment.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the Compensation Committee has made most of the significant adjustments to annual compensation, determined bonus and equity awards and established new performance objectives at one or more meetings held during the fourth quarter of the preceding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her performance, which determines any adjustments to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currently consists of Ms. Hilleman, Ms. Loh and Mr. Valentine. The chairperson of our Nominating and Corporate Governance Committee is Mr. Valentine. Following the 2024 Annual Meeting and as recommended by our Nominating and Corporate Governance Committee and approved by our Board of Directors, Mr. Valentine will cease to serve as the chairperson of our Nominating and Corporate Governance Committee upon the expiration of his term at the conclusion of our 2024 Annual Meeting of Stockholders to be replaced by Ms. Nishimura as the new chairperson, and Dr. Freund will join our Nominating and Corporate Governance Committee as a member. Our Board of Directors has determined Dr. Freund, Ms. Hilleman, Ms. Loh, Ms. Nishimura and Mr. Valentine each to be independent under the Nasdaq Global Market listing standards.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responsibilities of our Nominating and Corporate Governance Committee include: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identifying, evaluating, and selecting, or recommending that our Board approve, nominees for election to our Board;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overseeing the process of evaluating the performance of our Board of Directors;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reviewing developments in corporate governance practices;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evaluating the adequacy of our corporate governance practices and reporting;</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developing and making recommendations to our Board regarding corporate governance guidelines and matters;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overseeing management of our environmental, social and governance oversight program;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overseeing administration of our healthcare compliance program.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election to the Board may do so by delivering a written recommendation to the attention of the Nominating and Corporate Governance Committee and care of the General Counsel at the following address: 471 El Camino Real, Suite 101, Santa Clara, California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Stockholder Communications with the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California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Board of Directors adopted, and in January 2021, December 2022 and June 2023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Hedging and Pledging Prohibition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in our Insider Trading Policy and Corporate Governance Guidelines, no director, employee or consultant to SI-BONE may engage in short sales, transactions in put or call options, hedging transactions, margin accounts, pledges, or other inherently speculative transactions with respect to our stock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 Ownership Guidelines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Sustainability Oversight and Activities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advance the interests of all our stakeholders - including patients, healthcare professionals, employees, investors, and our communities - by operating in an ethical and sustainable way. We do this by holding true to our core values of operating with Purpose, Agility and Creativity, and as a single Team. These values are at the heart of our sustainability activities. For more information about our sustainability achievements in 2023, we encourage you to read our 2023 Sustainability Summary Report, which will be available on our website in April 2024. This report and any content on our website is provided for reference only and is not incorporated by reference in this Proxy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2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RATIFICATION OF SELECTION OF INDEPENDENT REGISTERED PUBLIC ACCOUNTING FIRM</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has selected PricewaterhouseCoopers LLP as SI-BONE’s independent registered public accounting firm for the fiscal year ending December 31, 2024,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aggregate fees billed to SI-BONE for the fiscal years ended December 31, 2023 and 2022, respectively, by PricewaterhouseCoopers LLP, our independent registered public accounting firm.</w:t>
      </w:r>
    </w:p>
    <w:tbl>
      <w:tblPr>
        <w:tblW w:w="3875" w:type="dxa"/>
        <w:jc w:val="center"/>
        <w:tblInd w:w="0" w:type="dxa"/>
        <w:tblLayout w:type="fixed"/>
        <w:tblCellMar>
          <w:top w:w="28" w:type="dxa"/>
          <w:left w:w="28" w:type="dxa"/>
          <w:bottom w:w="28" w:type="dxa"/>
          <w:right w:w="28" w:type="dxa"/>
        </w:tblCellMar>
      </w:tblPr>
      <w:tblGrid>
        <w:gridCol w:w="596"/>
        <w:gridCol w:w="523"/>
        <w:gridCol w:w="530"/>
        <w:gridCol w:w="293"/>
        <w:gridCol w:w="303"/>
        <w:gridCol w:w="268"/>
        <w:gridCol w:w="151"/>
        <w:gridCol w:w="151"/>
        <w:gridCol w:w="151"/>
        <w:gridCol w:w="293"/>
        <w:gridCol w:w="274"/>
        <w:gridCol w:w="342"/>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Audit-related Fees </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Fees </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Fees </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r>
    </w:tbl>
    <w:p>
      <w:pPr>
        <w:pStyle w:val="TextBody"/>
        <w:bidi w:val="0"/>
        <w:spacing w:before="20" w:after="24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 xml:space="preserve">Audit Fees </w:t>
      </w:r>
      <w:r>
        <w:rPr>
          <w:rFonts w:ascii="Times New Roman;sans-serif" w:hAnsi="Times New Roman;sans-serif"/>
          <w:b w:val="false"/>
          <w:color w:val="000000"/>
          <w:sz w:val="20"/>
        </w:rPr>
        <w:t>consist of fees incurred for professional services rendered for the audit of our annual consolidated financial statements, review of our quarterly consolidated financial statements, and other services normally provided by PricewaterhouseCoopers LLP in connection with regulatory filings. The audit fee for the fiscal year ended December 31, 2023 includes $0.2 million related to services provided in connection with our follow-on public offering.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Tax Fees</w:t>
      </w:r>
      <w:r>
        <w:rPr>
          <w:color w:val="000000"/>
        </w:rPr>
        <w:t xml:space="preserve"> </w:t>
      </w:r>
      <w:r>
        <w:rPr>
          <w:rFonts w:ascii="Times New Roman;sans-serif" w:hAnsi="Times New Roman;sans-serif"/>
          <w:b w:val="false"/>
          <w:color w:val="000000"/>
          <w:sz w:val="20"/>
        </w:rPr>
        <w:t>consist of fees for professional services for tax compliance, tax advice and tax planning.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All Other Fees</w:t>
      </w:r>
      <w:r>
        <w:rPr>
          <w:color w:val="000000"/>
        </w:rPr>
        <w:t xml:space="preserve"> </w:t>
      </w:r>
      <w:r>
        <w:rPr>
          <w:rFonts w:ascii="Times New Roman;sans-serif" w:hAnsi="Times New Roman;sans-serif"/>
          <w:b w:val="false"/>
          <w:color w:val="000000"/>
          <w:sz w:val="20"/>
        </w:rPr>
        <w:t>consist of fees for professional services other than the services reported above, including permissible consulting services.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fees described above were pre-approved by the Audit Committee.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We also maintain a small standing authority for management to direct pre-approved fees, the uses of which are reviewed by the Audit Committee and the pre-approved amount of which is replenished as necessary at each meeting.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determined that the rendering of services other than audit services by PricewaterhouseCoopers LLP is compatible with maintaining the principal accountant’s independence.</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w:t>
      </w:r>
    </w:p>
    <w:p>
      <w:pPr>
        <w:pStyle w:val="TextBody"/>
        <w:bidi w:val="0"/>
        <w:spacing w:lineRule="auto" w:line="268" w:before="0" w:after="0"/>
        <w:jc w:val="center"/>
        <w:rPr/>
      </w:pPr>
      <w:r>
        <w:rPr>
          <w:rFonts w:ascii="Times New Roman;sans-serif" w:hAnsi="Times New Roman;sans-serif"/>
          <w:b/>
          <w:color w:val="000000"/>
          <w:sz w:val="20"/>
        </w:rPr>
        <w:t>A VOTE IN FAVOR OF PROPOSAL NO. 2</w:t>
      </w:r>
      <w:r>
        <w:rPr>
          <w:rFonts w:ascii="Times New Roman;sans-serif" w:hAnsi="Times New Roman;sans-serif"/>
          <w:b w:val="false"/>
          <w:color w:val="000000"/>
          <w:sz w:val="20"/>
        </w:rPr>
        <w:t>.</w:t>
      </w:r>
    </w:p>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3</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EXECUTIVE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Executive Compensation Narrative for a description of our compensation policies and decisions.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Board is asking our stockholders to indicate their support for the compensation of our named executive officers as described in this proxy statement by casting a non-binding advisory vote “FOR” the following resolution:</w:t>
      </w:r>
    </w:p>
    <w:p>
      <w:pPr>
        <w:pStyle w:val="TextBody"/>
        <w:bidi w:val="0"/>
        <w:spacing w:before="0" w:after="0"/>
        <w:ind w:left="0" w:right="0" w:firstLine="36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RESOLVED, that the compensation paid to our named executive officers, as disclosed pursuant to Item 402 of Regulation S-K, including the compensation tables and narrative discussion, is hereby APPROVED.”</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vote is advisory, it is not binding on the Board of Directors or SI-BONE.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Board decides to modify its policy regarding the frequency of soliciting advisory votes on the compensation of our named executives, the next scheduled say-on-pay vote will be at the 2025 Annual Meeting of Stockholders.</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 VOTE IN FAVOR OF PROPOSAL NO. 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APPROVAL OF AN AMENDMENT TO OUR AMENDED AND RESTATED CERTIFICATE OF INCORPORATION</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unanimously adopted a resolution to amend our Amended and Restated Certificate of Incorporation (the “Certificate of Incorporation”), subject to stockholder approval, to provide for the elimination or limitation of monetary liability of specified executive officers of SI-BONE, Inc. for breach of the duty of care. Article VI of our Certificate of Incorporation currently provides for the company to limit the monetary liability of directors in certain circumstances pursuant to and consistent with Section 102(b)(7) of the General Corporation Laws of Delaware (“DGCL”). Effective August 1, 2022, Section 102(b)(7) of the DGCL was amended to permit a corporation’s certificate of incorporation to include a provision eliminating or limiting monetary liability for certain senior corporate officers for breach of the fiduciary duty (“Section 102(b)(7) Amendment”).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Board is asking our stockholders to approve the proposal to add to our Certificate of Incorporation a new Article VIII, to read as follows:</w:t>
      </w:r>
    </w:p>
    <w:p>
      <w:pPr>
        <w:pStyle w:val="TextBody"/>
        <w:bidi w:val="0"/>
        <w:spacing w:before="0" w:after="0"/>
        <w:ind w:left="0" w:right="0" w:firstLine="720"/>
        <w:jc w:val="both"/>
        <w:rPr/>
      </w:pPr>
      <w:r>
        <w:rPr/>
      </w:r>
    </w:p>
    <w:p>
      <w:pPr>
        <w:pStyle w:val="TextBody"/>
        <w:bidi w:val="0"/>
        <w:spacing w:lineRule="auto" w:line="268" w:before="0" w:after="0"/>
        <w:jc w:val="center"/>
        <w:rPr>
          <w:color w:val="000000"/>
        </w:rPr>
      </w:pPr>
      <w:r>
        <w:rPr>
          <w:color w:val="000000"/>
        </w:rPr>
        <w:t>“</w:t>
      </w:r>
      <w:r>
        <w:rPr>
          <w:rFonts w:ascii="Times New Roman;sans-serif" w:hAnsi="Times New Roman;sans-serif"/>
          <w:b/>
          <w:color w:val="000000"/>
          <w:sz w:val="20"/>
        </w:rPr>
        <w:t>VIII.</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VIII, or the adoption of any provision of the Amended and Restated Certificate of Incorporation inconsistent with this Article VIII, shall not adversely affect any right or protection of an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officers, then the liability of an officer of the corporation shall be eliminated or limited to the fullest extent permitted by the DGCL as so amended.”</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stockholders approve this proposal at the Annual Meeting, we will file a Certificate of Amendment (the “Amendment”) to our Certificate of Incorporation that adds Article VIII to our Certificate of Incorporation. In accordance with the DGCL, however, the Board may elect to abandon the Amendment without further action by the stockholders at any time prior to the effectiveness of the filing of the Amendment with the Secretary of State of the State of Delaware, notwithstanding stockholder approval of the Amendment."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Purpose and Possible Effects of the Proposed Amendment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desires to amend its Certificate of Incorporation to maintain provisions consistent with the governing statutes contained in the DGCL.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is currently the case with directors under our Certificate of Incorporation,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Board believes it is necessary to provide protection to officers to the fullest extent permitted by law in order to attract and retain top talent. This protection has long been afforded to directors, and accordingly, the Board believes that this proposal which would extend exculpation to officers, as specifically permitted by the Section 102(b)(7) Amendment, is fair and in the best interests of the company and its stockholders.</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 VOTE IN FAVOR OF PROPOSAL NO. 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312"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w:t>
        <w:br/>
        <w:t>CERTAIN BENEFICIAL OWNERS AND MANAGEMENT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the ownership of SI-BONE’s common stock as of March 31, 2024,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41,078,762 shares outstanding on March 31, 2024, adjusted as required by rules promulgated by the SEC.</w:t>
      </w:r>
    </w:p>
    <w:tbl>
      <w:tblPr>
        <w:tblW w:w="10205" w:type="dxa"/>
        <w:jc w:val="center"/>
        <w:tblInd w:w="0" w:type="dxa"/>
        <w:tblLayout w:type="fixed"/>
        <w:tblCellMar>
          <w:top w:w="28" w:type="dxa"/>
          <w:left w:w="28" w:type="dxa"/>
          <w:bottom w:w="28" w:type="dxa"/>
          <w:right w:w="28" w:type="dxa"/>
        </w:tblCellMar>
      </w:tblPr>
      <w:tblGrid>
        <w:gridCol w:w="1235"/>
        <w:gridCol w:w="985"/>
        <w:gridCol w:w="992"/>
        <w:gridCol w:w="552"/>
        <w:gridCol w:w="424"/>
        <w:gridCol w:w="327"/>
        <w:gridCol w:w="850"/>
        <w:gridCol w:w="698"/>
        <w:gridCol w:w="701"/>
        <w:gridCol w:w="851"/>
        <w:gridCol w:w="708"/>
        <w:gridCol w:w="710"/>
        <w:gridCol w:w="278"/>
        <w:gridCol w:w="258"/>
        <w:gridCol w:w="636"/>
      </w:tblGrid>
      <w:tr>
        <w:trPr/>
        <w:tc>
          <w:tcPr>
            <w:tcW w:w="1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Beneficial Ownership</w:t>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Shares Owned</w:t>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Right to Acquire Shares Within 60 days</w:t>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 of Shares Beneficially Owned</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Percent of Total</w:t>
            </w:r>
          </w:p>
        </w:tc>
      </w:tr>
      <w:tr>
        <w:trPr/>
        <w:tc>
          <w:tcPr>
            <w:tcW w:w="3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Timothy E. Davis, Jr.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50,027 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88,633 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Jeffrey W. Dunn (1)</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100,199 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233,508 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333,707 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John G. Freund, M.D. (2)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Gregory K. Hinckley (3)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174,147 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52,343 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90,306 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 (4)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244,406 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94,050 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338,456 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51,198 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62,981 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Anthony J. Recupero</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210,689 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292,194 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All executive officers and directors as a group (11 persons)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889,500 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721,729 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1,611,229 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Brown Advisory Incorporated (5)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4,155,434 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4,155,434 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 (6)</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3,907,197 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3,907,197 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First Light Asset Management, LLC (7)</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2,532,227 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2,532,227 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 (8)</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2,419,831 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2,419,831 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OrbiMed Capital LLC (9)</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2,144,631 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2,144,631 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Less than one percent.</w:t>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    The outstanding shares consist of (i) 83,885 shares of common stock held by Jeffrey W. Dunn as Trustee of the Jeffrey W. Dunn Living Trust Dated May 17, 2012 and (ii) 16,314 shares held by Mr. Dunn.</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    The outstanding shares consist of (i) 103,899 shares of common stock held by the John Freund Family Partnership IV, L.P. (the “Family Partnership”) and (ii) 20,969 shares held by Dr. Freund. Dr. Freund disclaims beneficial ownership of the shares held by the Family Partnership, except to the extent of his pecuniary interest therein.</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    The outstanding shares consist of (i) 79,718 shares of common stock held by Mr. Hinckley and (ii) 75,603 shares of common stock held by Gregory K. Hinckley and Mary C. Hinckley as Community Property with the Right of Survivorship.</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    The outstanding shares consist of (i) 98,282 shares of common stock held by the David T and Laura A Francis Joint Revocable Trust and (ii) 146,124 shares held by Ms. Francis.</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    Based on a Schedule 13G/A filed on February 9, 2024, reporting beneficial ownership as of December 31, 2023. Brown Advisory Incorporated has sole voting power over 3,591,084 of these shares and shared dispositive power over all of these shares. Brown Investment Advisory &amp; Trust Company has sole voting power and shared dispositive power over 20,718 of these shares. The address for Brown Advisory Incorporated is 901 South Bond Street, Suite 400, Baltimore, Maryland 21231.</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(6)    Based on a Schedule 13G/A filed on January 24, 2024, reporting beneficial ownership as of December 31, 2023. Blackrock, Inc. has sole voting power over 3,834,413 of these shares and sole dispositive power over 3,907,197 shares. The address for Blackrock, Inc. is 50 Hudson Yards, New York, New York 10001.</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(7)    Based on a Schedule 13G filed on February 14, 2024, reporting beneficial ownership as of December 31, 2023. Each of First Light Asset Management, LLC (“First Light”) and Mathew P. Arens has shared voting power and shared dispositive power over all of these shares. First Light may be deemed to be the beneficial owner of these shares because it acts as an investment adviser to certain persons holding separately managed accounts with First Light and to certain private funds. Mr. Arens may also be deemed to be the beneficial owner of these shares because he controls First Light in his position as managing member and majority owner of First Light. Mr. Arens also directly holds 20,000 shares held in joint accounts over which he shares voting power and dispositive power. The business office of each of First Light and Mr. Arens is 3300 Edinborough Way, Suite 201, Edina, Minnesota 55435.</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(8)    Based on a Schedule 13G filed on February 13, 2024, reporting beneficial ownership as of December 31, 2023. The Vanguard Group has shared voting power over 73,684 shares, sole dispositive power over 2,310,807 shares and shared dispositive power over 109,024 shares. The address for The Vanguard Group is 100 Vanguard Boulevard, Malvern, Pennsylvania 19355.</w:t>
      </w:r>
    </w:p>
    <w:p>
      <w:pPr>
        <w:pStyle w:val="TextBody"/>
        <w:bidi w:val="0"/>
        <w:spacing w:before="0" w:after="0"/>
        <w:ind w:left="0" w:right="0" w:hanging="54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(9)    Based on a Schedule 13G/A filed on February 14, 2024, reporting beneficial ownership as of December 31, 2023. OrbiMed Capital LLC has sole voting power and sole dispositive power over all of these shares. OrbiMed Advisors LLC has shared voting and shared dispositive power over 147,900 of these shares. The address for OrbiMed Capital LLC and OrbiMed Advisors LLC is 601 Lexington Avenue, 54th Floor, New York, New York 10022.</w:t>
      </w:r>
    </w:p>
    <w:p>
      <w:pPr>
        <w:pStyle w:val="TextBody"/>
        <w:bidi w:val="0"/>
        <w:spacing w:before="0" w:after="0"/>
        <w:jc w:val="both"/>
        <w:rPr/>
      </w:pPr>
      <w:r>
        <w:rPr/>
      </w:r>
    </w:p>
    <w:p>
      <w:pPr>
        <w:pStyle w:val="TextBody"/>
        <w:bidi w:val="0"/>
        <w:spacing w:before="0" w:after="0"/>
        <w:ind w:left="0" w:right="0" w:hanging="540"/>
        <w:jc w:val="left"/>
        <w:rPr/>
      </w:pPr>
      <w:r>
        <w:rPr/>
      </w:r>
    </w:p>
    <w:p>
      <w:pPr>
        <w:pStyle w:val="TextBody"/>
        <w:bidi w:val="0"/>
        <w:spacing w:lineRule="auto" w:line="268" w:before="0" w:after="0"/>
        <w:ind w:left="0" w:right="0" w:hanging="540"/>
        <w:jc w:val="center"/>
        <w:rPr>
          <w:rFonts w:ascii="Times New Roman;sans-serif" w:hAnsi="Times New Roman;sans-serif"/>
          <w:b/>
          <w:color w:val="000000"/>
          <w:sz w:val="24"/>
        </w:rPr>
      </w:pPr>
      <w:r>
        <w:rPr>
          <w:rFonts w:ascii="Times New Roman;sans-serif" w:hAnsi="Times New Roman;sans-serif"/>
          <w:b/>
          <w:color w:val="000000"/>
          <w:sz w:val="24"/>
        </w:rPr>
        <w:t>DELINQUENT SECTION 16(A) REPORTS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directors and executive officers, and persons who own more than ten percent (10%) of a registered class of our equity securities, to file with the SEC initial reports of ownership and reports of changes in ownership of our common stock and other equity securities. To our knowledge, based solely on a review of such reports filed electronically with the SEC and written representations that no other reports were required during the fiscal year ended December 31, 2023, all Section 16(a) filing requirements applicable to our reporting persons were made and made timely, with the exception of one Form 4 that was inadvertently filed late by Jeffrey W. Dunn due to an administrative oversight, reporting one gift transaction on November 6, 2023, which should have been timely reported on Form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our executive officers as of April 29, 2024.</w:t>
      </w:r>
    </w:p>
    <w:tbl>
      <w:tblPr>
        <w:tblW w:w="5874" w:type="dxa"/>
        <w:jc w:val="center"/>
        <w:tblInd w:w="0" w:type="dxa"/>
        <w:tblLayout w:type="fixed"/>
        <w:tblCellMar>
          <w:top w:w="28" w:type="dxa"/>
          <w:left w:w="28" w:type="dxa"/>
          <w:bottom w:w="28" w:type="dxa"/>
          <w:right w:w="28" w:type="dxa"/>
        </w:tblCellMar>
      </w:tblPr>
      <w:tblGrid>
        <w:gridCol w:w="662"/>
        <w:gridCol w:w="582"/>
        <w:gridCol w:w="586"/>
        <w:gridCol w:w="109"/>
        <w:gridCol w:w="109"/>
        <w:gridCol w:w="109"/>
        <w:gridCol w:w="145"/>
        <w:gridCol w:w="145"/>
        <w:gridCol w:w="146"/>
        <w:gridCol w:w="109"/>
        <w:gridCol w:w="109"/>
        <w:gridCol w:w="109"/>
        <w:gridCol w:w="862"/>
        <w:gridCol w:w="862"/>
        <w:gridCol w:w="1230"/>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Laura A. Francis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J. Recupero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Commercial Operations </w:t>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Ms. Francis’s biography, see “Proposal No. 1 - Election of Directors” above.</w:t>
      </w:r>
    </w:p>
    <w:p>
      <w:pPr>
        <w:pStyle w:val="TextBody"/>
        <w:bidi w:val="0"/>
        <w:spacing w:before="0" w:after="0"/>
        <w:ind w:left="0" w:right="0" w:firstLine="360"/>
        <w:jc w:val="both"/>
        <w:rPr/>
      </w:pPr>
      <w:r>
        <w:rPr/>
      </w:r>
    </w:p>
    <w:p>
      <w:pPr>
        <w:pStyle w:val="TextBody"/>
        <w:bidi w:val="0"/>
        <w:spacing w:lineRule="auto" w:line="312" w:before="0" w:after="0"/>
        <w:jc w:val="both"/>
        <w:rPr/>
      </w:pPr>
      <w:r>
        <w:rPr>
          <w:rFonts w:ascii="Times New Roman;sans-serif" w:hAnsi="Times New Roman;sans-serif"/>
          <w:b/>
          <w:i/>
          <w:color w:val="000000"/>
          <w:sz w:val="20"/>
        </w:rPr>
        <w:t xml:space="preserve">Anshul Maheshwari </w:t>
      </w:r>
      <w:r>
        <w:rPr>
          <w:rFonts w:ascii="Times New Roman;sans-serif" w:hAnsi="Times New Roman;sans-serif"/>
          <w:b w:val="false"/>
          <w:color w:val="000000"/>
          <w:sz w:val="20"/>
        </w:rPr>
        <w:t>has served as our Chief Financial Officer since April 2021. Prior to joining us, Mr. Maheshwari was Vice President of Finance, Head 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i/>
          <w:color w:val="000000"/>
          <w:sz w:val="20"/>
        </w:rPr>
        <w:t xml:space="preserve">Anthony J. Recupero </w:t>
      </w:r>
      <w:r>
        <w:rPr>
          <w:rFonts w:ascii="Times New Roman;sans-serif" w:hAnsi="Times New Roman;sans-serif"/>
          <w:b w:val="false"/>
          <w:color w:val="000000"/>
          <w:sz w:val="20"/>
        </w:rPr>
        <w:t>has served as our President, Commercial Operations since April 2021, and previously served as our Chief Commercial Officer since 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312" w:before="240" w:after="24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Executive Compensation Narrative</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material is intended to assist our stockholders in understanding our executive compensation program by providing an overview of our executive compensation-related policies, practices, and decisions for fiscal 2023. It also explains how we determined the material elements of compensation for our principal executive officer, our former principal executive officer, and our other two executive officers as of the end of fiscal 2023, and who we refer to as our “Named Executive Officers.” For 2023, our Named Executive Officers were: </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ans-serif" w:hAnsi="Times New Roman;sans-serif"/>
          <w:b w:val="false"/>
          <w:color w:val="000000"/>
          <w:sz w:val="20"/>
        </w:rPr>
        <w:t>Laura Francis, our Chief Executive Officer (our “CEO”);</w:t>
      </w:r>
      <w:r>
        <w:rPr>
          <w:color w:val="000000"/>
        </w:rPr>
        <w:t xml:space="preserve"> </w:t>
      </w:r>
    </w:p>
    <w:p>
      <w:pPr>
        <w:pStyle w:val="TextBody"/>
        <w:bidi w:val="0"/>
        <w:spacing w:lineRule="auto" w:line="312" w:before="0" w:after="0"/>
        <w:ind w:left="0" w:right="0" w:hanging="360"/>
        <w:jc w:val="left"/>
        <w:rPr/>
      </w:pPr>
      <w:r>
        <w:rPr>
          <w:color w:val="000000"/>
        </w:rPr>
        <w:t>◦</w:t>
      </w:r>
      <w:r>
        <w:rPr>
          <w:rFonts w:ascii="Times New Roman;sans-serif" w:hAnsi="Times New Roman;sans-serif"/>
          <w:b w:val="false"/>
          <w:color w:val="000000"/>
          <w:sz w:val="20"/>
        </w:rPr>
        <w:t>Anshul Maheshwari, our Chief Financial Officer (our “CFO”); and</w:t>
      </w:r>
    </w:p>
    <w:p>
      <w:pPr>
        <w:pStyle w:val="TextBody"/>
        <w:bidi w:val="0"/>
        <w:spacing w:lineRule="auto" w:line="312" w:before="0" w:after="0"/>
        <w:ind w:left="0" w:right="0" w:hanging="360"/>
        <w:jc w:val="left"/>
        <w:rPr/>
      </w:pPr>
      <w:r>
        <w:rPr>
          <w:color w:val="000000"/>
        </w:rPr>
        <w:t>◦</w:t>
      </w:r>
      <w:r>
        <w:rPr>
          <w:rFonts w:ascii="Times New Roman;sans-serif" w:hAnsi="Times New Roman;sans-serif"/>
          <w:b w:val="false"/>
          <w:color w:val="000000"/>
          <w:sz w:val="20"/>
        </w:rPr>
        <w:t xml:space="preserve">Anthony Recupero, our President, Commercial Operations; </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“Compensation Committee”) and, in the case of our Chief Executive Officer, our Board of Directors after receiving the recommendation of our Compensation Committee, arrived at the specific compensation decisions for our Named Executive Officers in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In 2009, we introduced the iFuse Implant System for minimally invasive surgery of the sacroiliac joint, shown to be a source of pain in 15% to 30% of chronic low back pain. Since then, we have launched three new implant product lines to address sacroiliac joint dysfunction as well as address unmet clinical needs in pelvic fusion, fixation and management of pelvic fractures: iFuse-3D in 2017, iFuse-TORQ in 2021 and iFuse Bedrock Granite in 2022. Within the United States, iFuse, iFuse-3D and iFuse-TORQ have clearances for applications across sacroiliac joint dysfunction and fusion, adult spinal deformity and degeneration, and pelvic trauma.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Business Highlights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was a strong year for the company in many critical areas of performance, including strong revenue growth, record growth in our active surgeon base and improving operating leverage.</w:t>
      </w:r>
    </w:p>
    <w:p>
      <w:pPr>
        <w:pStyle w:val="TextBody"/>
        <w:bidi w:val="0"/>
        <w:spacing w:before="0" w:after="0"/>
        <w:jc w:val="left"/>
        <w:rPr/>
      </w:pPr>
      <w:r>
        <w:rPr/>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Achieved </w:t>
      </w:r>
      <w:r>
        <w:rPr>
          <w:rFonts w:ascii="Times New Roman;sans-serif" w:hAnsi="Times New Roman;sans-serif"/>
          <w:b/>
          <w:color w:val="000000"/>
          <w:sz w:val="20"/>
        </w:rPr>
        <w:t>worldwide revenue of ~$138.9 million</w:t>
      </w:r>
      <w:r>
        <w:rPr>
          <w:color w:val="000000"/>
        </w:rPr>
        <w:t xml:space="preserve"> </w:t>
      </w:r>
      <w:r>
        <w:rPr>
          <w:rFonts w:ascii="Times New Roman;sans-serif" w:hAnsi="Times New Roman;sans-serif"/>
          <w:b w:val="false"/>
          <w:color w:val="000000"/>
          <w:sz w:val="20"/>
        </w:rPr>
        <w:t>for the full year 2023, representing an</w:t>
      </w:r>
      <w:r>
        <w:rPr>
          <w:color w:val="000000"/>
        </w:rPr>
        <w:t xml:space="preserve"> </w:t>
      </w:r>
      <w:r>
        <w:rPr>
          <w:rFonts w:ascii="Times New Roman;sans-serif" w:hAnsi="Times New Roman;sans-serif"/>
          <w:b/>
          <w:color w:val="000000"/>
          <w:sz w:val="20"/>
        </w:rPr>
        <w:t>increase of ~31%</w:t>
      </w:r>
      <w:r>
        <w:rPr>
          <w:color w:val="000000"/>
        </w:rPr>
        <w:t xml:space="preserve"> </w:t>
      </w:r>
      <w:r>
        <w:rPr>
          <w:rFonts w:ascii="Times New Roman;sans-serif" w:hAnsi="Times New Roman;sans-serif"/>
          <w:b w:val="false"/>
          <w:color w:val="000000"/>
          <w:sz w:val="20"/>
        </w:rPr>
        <w:t>over the year 2022</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Surpassed </w:t>
      </w:r>
      <w:r>
        <w:rPr>
          <w:rFonts w:ascii="Times New Roman;sans-serif" w:hAnsi="Times New Roman;sans-serif"/>
          <w:b/>
          <w:color w:val="000000"/>
          <w:sz w:val="20"/>
        </w:rPr>
        <w:t>95,000 procedures</w:t>
      </w:r>
      <w:r>
        <w:rPr>
          <w:color w:val="000000"/>
        </w:rPr>
        <w:t xml:space="preserve"> </w:t>
      </w:r>
      <w:r>
        <w:rPr>
          <w:rFonts w:ascii="Times New Roman;sans-serif" w:hAnsi="Times New Roman;sans-serif"/>
          <w:b w:val="false"/>
          <w:color w:val="000000"/>
          <w:sz w:val="20"/>
        </w:rPr>
        <w:t xml:space="preserve">performed by over </w:t>
      </w:r>
      <w:r>
        <w:rPr>
          <w:rFonts w:ascii="Times New Roman;sans-serif" w:hAnsi="Times New Roman;sans-serif"/>
          <w:b/>
          <w:color w:val="000000"/>
          <w:sz w:val="20"/>
        </w:rPr>
        <w:t>3,600 physicians</w:t>
      </w:r>
      <w:r>
        <w:rPr>
          <w:color w:val="000000"/>
        </w:rPr>
        <w:t xml:space="preserve"> </w:t>
      </w:r>
      <w:r>
        <w:rPr>
          <w:rFonts w:ascii="Times New Roman;sans-serif" w:hAnsi="Times New Roman;sans-serif"/>
          <w:b w:val="false"/>
          <w:color w:val="000000"/>
          <w:sz w:val="20"/>
        </w:rPr>
        <w:t>worldwide since inception</w:t>
      </w:r>
    </w:p>
    <w:p>
      <w:pPr>
        <w:pStyle w:val="TextBody"/>
        <w:bidi w:val="0"/>
        <w:spacing w:lineRule="auto" w:line="312" w:before="0" w:after="0"/>
        <w:ind w:left="0" w:right="0" w:hanging="720"/>
        <w:jc w:val="both"/>
        <w:rPr/>
      </w:pPr>
      <w:r>
        <w:rPr>
          <w:color w:val="000000"/>
        </w:rPr>
        <w:t>•</w:t>
      </w:r>
      <w:r>
        <w:rPr>
          <w:rFonts w:ascii="Times New Roman;sans-serif" w:hAnsi="Times New Roman;sans-serif"/>
          <w:b/>
          <w:color w:val="000000"/>
          <w:sz w:val="20"/>
        </w:rPr>
        <w:t>Over 1,600 physicians performed an iFuse procedure</w:t>
      </w:r>
      <w:r>
        <w:rPr>
          <w:color w:val="000000"/>
        </w:rPr>
        <w:t xml:space="preserve"> </w:t>
      </w:r>
      <w:r>
        <w:rPr>
          <w:rFonts w:ascii="Times New Roman;sans-serif" w:hAnsi="Times New Roman;sans-serif"/>
          <w:b w:val="false"/>
          <w:color w:val="000000"/>
          <w:sz w:val="20"/>
        </w:rPr>
        <w:t>in 2023, an ~23% increase over 2022</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Achieved </w:t>
      </w:r>
      <w:r>
        <w:rPr>
          <w:rFonts w:ascii="Times New Roman;sans-serif" w:hAnsi="Times New Roman;sans-serif"/>
          <w:b/>
          <w:color w:val="000000"/>
          <w:sz w:val="20"/>
        </w:rPr>
        <w:t>gross margins of ~79%</w:t>
      </w:r>
      <w:r>
        <w:rPr>
          <w:color w:val="000000"/>
        </w:rPr>
        <w:t xml:space="preserve"> </w:t>
      </w:r>
      <w:r>
        <w:rPr>
          <w:rFonts w:ascii="Times New Roman;sans-serif" w:hAnsi="Times New Roman;sans-serif"/>
          <w:b w:val="false"/>
          <w:color w:val="000000"/>
          <w:sz w:val="20"/>
        </w:rPr>
        <w:t>for the full year 2023</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Achieved </w:t>
      </w:r>
      <w:r>
        <w:rPr>
          <w:rFonts w:ascii="Times New Roman;sans-serif" w:hAnsi="Times New Roman;sans-serif"/>
          <w:b/>
          <w:color w:val="000000"/>
          <w:sz w:val="20"/>
        </w:rPr>
        <w:t>~29% improvement in Net Loss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~48% improvement in Adjusted EBITDA loss</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Exited 2023 with a solid balance sheet with </w:t>
      </w:r>
      <w:r>
        <w:rPr>
          <w:rFonts w:ascii="Times New Roman;sans-serif" w:hAnsi="Times New Roman;sans-serif"/>
          <w:b/>
          <w:color w:val="000000"/>
          <w:sz w:val="20"/>
        </w:rPr>
        <w:t>~$166 million in cash and equivalents</w:t>
      </w:r>
      <w:r>
        <w:rPr>
          <w:rFonts w:ascii="Times New Roman;sans-serif" w:hAnsi="Times New Roman;sans-serif"/>
          <w:b w:val="false"/>
          <w:color w:val="000000"/>
          <w:sz w:val="20"/>
        </w:rPr>
        <w:t>, including ~$84 million in net proceeds from our follow-on offering in May 2023</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Launched closed head </w:t>
      </w:r>
      <w:r>
        <w:rPr>
          <w:rFonts w:ascii="Times New Roman;sans-serif" w:hAnsi="Times New Roman;sans-serif"/>
          <w:b/>
          <w:color w:val="000000"/>
          <w:sz w:val="20"/>
        </w:rPr>
        <w:t>iFuse Bedrock Granite</w:t>
      </w:r>
      <w:r>
        <w:rPr>
          <w:rFonts w:ascii="Times New Roman;sans-serif" w:hAnsi="Times New Roman;sans-serif"/>
          <w:b w:val="false"/>
          <w:color w:val="000000"/>
          <w:sz w:val="20"/>
        </w:rPr>
        <w:t>®</w:t>
      </w:r>
    </w:p>
    <w:p>
      <w:pPr>
        <w:pStyle w:val="TextBody"/>
        <w:bidi w:val="0"/>
        <w:spacing w:lineRule="auto" w:line="312" w:before="0" w:after="0"/>
        <w:ind w:left="0" w:right="0" w:hanging="720"/>
        <w:jc w:val="both"/>
        <w:rPr/>
      </w:pPr>
      <w:r>
        <w:rPr>
          <w:color w:val="000000"/>
        </w:rPr>
        <w:t>•</w:t>
      </w:r>
      <w:r>
        <w:rPr>
          <w:rFonts w:ascii="Times New Roman;sans-serif" w:hAnsi="Times New Roman;sans-serif"/>
          <w:b w:val="false"/>
          <w:color w:val="000000"/>
          <w:sz w:val="20"/>
        </w:rPr>
        <w:t xml:space="preserve">Received </w:t>
      </w:r>
      <w:r>
        <w:rPr>
          <w:rFonts w:ascii="Times New Roman;sans-serif" w:hAnsi="Times New Roman;sans-serif"/>
          <w:b/>
          <w:color w:val="000000"/>
          <w:sz w:val="20"/>
        </w:rPr>
        <w:t xml:space="preserve">extended protection of key aspects of our intellectual property </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Executive Compensation Highlights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executive compensation in 2023 reflected our measured approach to attracting, retaining, and incentivizing key members of our management team, and aligning their interests with our stockholders. Our overall compensation program consists of three components: base salary, annual cash incentive bonus, and long-term equity incentive compensation. Following are highlights of key compensation actions that were taken with respect to our Named Executive Officers for 2023:</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Base Salaries.</w:t>
      </w:r>
      <w:r>
        <w:rPr>
          <w:color w:val="000000"/>
        </w:rPr>
        <w:t xml:space="preserve"> </w:t>
      </w:r>
      <w:r>
        <w:rPr>
          <w:rFonts w:ascii="Times New Roman;sans-serif" w:hAnsi="Times New Roman;sans-serif"/>
          <w:b w:val="false"/>
          <w:color w:val="000000"/>
          <w:sz w:val="20"/>
        </w:rPr>
        <w:t>After considering our compensation philosophy and the competitive market environment, we provided our Named Executive Officers with 3% increases in base salary at the beginning of 2023, as further described in “Base Salary” below.</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Annual Cash Bonuses.</w:t>
      </w:r>
      <w:r>
        <w:rPr>
          <w:color w:val="000000"/>
        </w:rPr>
        <w:t xml:space="preserve"> </w:t>
      </w:r>
      <w:r>
        <w:rPr>
          <w:rFonts w:ascii="Times New Roman;sans-serif" w:hAnsi="Times New Roman;sans-serif"/>
          <w:b w:val="false"/>
          <w:color w:val="000000"/>
          <w:sz w:val="20"/>
        </w:rPr>
        <w:t>Our annual cash bonus program in 2023 was based on the achievement of financial goals – revenue and adjusted EBITDA – and operational metrics. Adjusted EBITDA excludes from net loss the effects of interest income, interest expense, depreciation and amortization and stock-based compensation. For 2023, our Compensation Committee made the determination to maintain the same annual cash incentive targets as a percentage of base salary for our Named Executive Officers that had been in place for 2022, except for Mr. Maheshwari, whose annual cash incentive target was increased from 45% to 50% of his annual base salary. Based on achievement against our 2023 targets, the actual cash incentive compensation payments made to our Named Executive Officers for 2023 represented 121.5% of their target cash bonus opportunities. Details of this program appear in “Annual Cash Bonuses” below.</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Long-Term Equity Incentive Compensation.</w:t>
      </w:r>
      <w:r>
        <w:rPr>
          <w:color w:val="000000"/>
        </w:rPr>
        <w:t xml:space="preserve"> </w:t>
      </w:r>
      <w:r>
        <w:rPr>
          <w:rFonts w:ascii="Times New Roman;sans-serif" w:hAnsi="Times New Roman;sans-serif"/>
          <w:b w:val="false"/>
          <w:color w:val="000000"/>
          <w:sz w:val="20"/>
        </w:rPr>
        <w:t>For 2023, in addition to granting restricted stock units (RSUs) to all NEOs, we also granted Performance Share Units (PSUs) to Ms. Francis and Messrs. Maheshwari and Recupero. Ms. Francis’ 2023 equity grants are issued 50% as PSUs and 50% as RSUs; Messrs. Maheshwari and Recupero’s 2023 equity grants are issued 25% as PSUs and 75% as RSUs. RSU grants serve to align the interests of management and our stockholders and act as an important retention mechanism, and PSUs, which are based on SI-BONE’s total shareholder return relative to a group of industry peers, promote the achievement of long-term share price growth and relative outperformance. These programs are detailed in “Long-Term Incentive Compensation” below.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Pay-for-Performance Alignment</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executive compensation program is reasonable and competitive, and appropriately balances the goals of attracting, motivating, and retaining a talented leadership team and appropriately rewarding them for their contributions to the business. Our 2023 executive compensation program was heavily weighted towards “at-risk” compensation: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Cash incentive opportunities under the annual bonus plan would have value only to the extent that we achieved certain predetermined financial and operational performance goals;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value of the PSUs depends on the performance of our total shareholder return relative to that of a group of industry peers over one, two, and three-year performance periods;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value of both RSUs and PSUs depends on our success in building and sustaining long-term shareholder value.</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following charts illustrate the pay mix for our Chief Executive Officer and our other Named Executive Officers in 2023</w:t>
      </w:r>
      <w:r>
        <w:rPr>
          <w:rFonts w:ascii="Times New Roman;sans-serif" w:hAnsi="Times New Roman;sans-serif"/>
          <w:b w:val="false"/>
          <w:color w:val="000000"/>
          <w:sz w:val="24"/>
        </w:rPr>
        <w:t>:</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drawing>
          <wp:inline distT="0" distB="0" distL="0" distR="0">
            <wp:extent cx="6400800" cy="371475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400800" cy="3714750"/>
                    </a:xfrm>
                    <a:prstGeom prst="rect">
                      <a:avLst/>
                    </a:prstGeom>
                  </pic:spPr>
                </pic:pic>
              </a:graphicData>
            </a:graphic>
          </wp:inline>
        </w:drawing>
      </w:r>
      <w:r>
        <w:rPr/>
        <w:drawing>
          <wp:inline distT="0" distB="0" distL="0" distR="0">
            <wp:extent cx="6400800" cy="37433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400800" cy="37433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percentages in the charts above represent the target compensation for our CEO and the average target compensation for our other Named Executive Officers for 2023.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 Policies and Practices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982"/>
        <w:gridCol w:w="1959"/>
        <w:gridCol w:w="1978"/>
        <w:gridCol w:w="109"/>
        <w:gridCol w:w="109"/>
        <w:gridCol w:w="109"/>
        <w:gridCol w:w="1275"/>
        <w:gridCol w:w="1065"/>
        <w:gridCol w:w="12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44546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shd w:fill="44546A"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What We Do</w:t>
            </w:r>
          </w:p>
        </w:tc>
        <w:tc>
          <w:tcPr>
            <w:tcW w:w="327" w:type="dxa"/>
            <w:gridSpan w:val="3"/>
            <w:tcBorders/>
            <w:shd w:fill="44546A"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7" w:type="dxa"/>
            <w:gridSpan w:val="3"/>
            <w:tcBorders/>
            <w:shd w:fill="44546A"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What We Don’t Do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Actively engage in year-round dialogue with our stockholders and incorporate feedback into our compensation programs</w:t>
            </w:r>
          </w:p>
          <w:p>
            <w:pPr>
              <w:pStyle w:val="TableContents"/>
              <w:bidi w:val="0"/>
              <w:spacing w:lineRule="auto" w:line="240" w:before="0" w:after="2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û</w:t>
            </w:r>
          </w:p>
        </w:tc>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pension plans or Supplemental Executive Retirement Plans</w:t>
              <w:br/>
              <w:t>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Provide compensation mix that more heavily weights variable pay and long-term equity</w:t>
            </w:r>
          </w:p>
          <w:p>
            <w:pPr>
              <w:pStyle w:val="TableContents"/>
              <w:bidi w:val="0"/>
              <w:spacing w:lineRule="auto" w:line="240" w:before="0" w:after="20"/>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û</w:t>
            </w:r>
          </w:p>
        </w:tc>
        <w:tc>
          <w:tcPr>
            <w:tcW w:w="3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hedging or pledging of our securities</w:t>
              <w:br/>
              <w:t>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ownership requirements apply to all Named Executive Officers and directors </w:t>
            </w:r>
          </w:p>
          <w:p>
            <w:pPr>
              <w:pStyle w:val="TableContents"/>
              <w:bidi w:val="0"/>
              <w:spacing w:lineRule="auto" w:line="240" w:before="0" w:after="20"/>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û</w:t>
            </w:r>
          </w:p>
        </w:tc>
        <w:tc>
          <w:tcPr>
            <w:tcW w:w="3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No excise tax gross-ups upon a change of control</w:t>
            </w:r>
            <w:r>
              <w:rPr>
                <w:color w:val="000000"/>
              </w:rPr>
              <w:t xml:space="preserve">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compensation consultant advises the Compensation Committee</w:t>
            </w:r>
          </w:p>
          <w:p>
            <w:pPr>
              <w:pStyle w:val="TableContents"/>
              <w:bidi w:val="0"/>
              <w:spacing w:lineRule="auto" w:line="240" w:before="0" w:after="20"/>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û</w:t>
            </w:r>
          </w:p>
        </w:tc>
        <w:tc>
          <w:tcPr>
            <w:tcW w:w="3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 significant perquisites to our Named Executive Officers</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Annually assess the risk-reward balance of our compensation programs in order to mitigate undue risks in our programs</w:t>
            </w:r>
          </w:p>
          <w:p>
            <w:pPr>
              <w:pStyle w:val="TableContents"/>
              <w:bidi w:val="0"/>
              <w:spacing w:lineRule="auto" w:line="240" w:before="0" w:after="20"/>
              <w:jc w:val="left"/>
              <w:rPr>
                <w:color w:val="FF0000"/>
              </w:rPr>
            </w:pPr>
            <w:r>
              <w:rPr>
                <w:color w:val="FF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û</w:t>
            </w:r>
          </w:p>
        </w:tc>
        <w:tc>
          <w:tcPr>
            <w:tcW w:w="3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 single-trigger equity acceleration or excessive severance benefits</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Maintain a fully independent Compensation Committee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clawback policy that provides for the recoupment of incentive compensation in the case of a financial restatement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ü</w:t>
            </w:r>
          </w:p>
        </w:tc>
        <w:tc>
          <w:tcPr>
            <w:tcW w:w="5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maintains a robust succession strategy</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35"/>
        <w:jc w:val="left"/>
        <w:rPr/>
      </w:pPr>
      <w:r>
        <w:rPr/>
      </w:r>
    </w:p>
    <w:p>
      <w:pPr>
        <w:pStyle w:val="TextBody"/>
        <w:bidi w:val="0"/>
        <w:spacing w:lineRule="auto" w:line="312"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 xml:space="preserve">Compensation Philosophy and Guiding Principles </w:t>
      </w:r>
    </w:p>
    <w:p>
      <w:pPr>
        <w:pStyle w:val="TextBody"/>
        <w:bidi w:val="0"/>
        <w:spacing w:before="0" w:after="0"/>
        <w:ind w:left="0" w:right="0" w:hanging="135"/>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Named Executive Officers with our performance and long-term value creation for our stockholders.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grow, the Compensation Committee evaluates our compensation philosophy and program objectives as circumstances require. At a minimum, the Compensation Committee reviews executive compensation annually.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Say-on-Pay Vote Results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our Annual Meeting of stockholders in June 2023, our stockholders had the opportunity to cast an annual advisory vote on the compensation of our Named Executive Officers (commonly known as a “say-on-pay” vote). Approximately 92% of the votes cast on the proposal approved, on an advisory basis, the compensation of our Named Executive Officers as disclosed in last year's proxy statement. Although the vote is non-binding, our Compensation Committee considers the results of the say-on-pay vote when making compensation decisions, allowing our stockholders to provide input on our compensation philosophy, policies and practices. The Compensation Committee believes that our voting results reflect the company's efforts to properly align pay with performance while also aligning management and stockholder interests. We value the opinions of our stockholders, and our Compensation Committee and Board of Directors will continue to consider the outcome of future advisory votes, including the say-on-pay vote which will take place at the Annual Meeting, when making compensation decisions for the Named Executive Officers.</w:t>
      </w:r>
    </w:p>
    <w:p>
      <w:pPr>
        <w:pStyle w:val="TextBody"/>
        <w:bidi w:val="0"/>
        <w:spacing w:before="0" w:after="0"/>
        <w:jc w:val="both"/>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Engagement on Executive Compensation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we received support from shareholders holding approximately 92% of our shares, we nonetheless reached out in late 2023 - early 2024 to holders of 71.1% of our outstanding common stock, seeking to engage with them on executive compensation and other governance topics. We held discussions with holders of 57.9% of our outstanding common stock, including 15 of our top 25 stockholders.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found these discussions to be extremely useful and received valuable feedback on our executive compensation program. Specific items of feedback relating to executive compensation that we heard through these engagements included: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An interest in detailed drivers of the annual bonus program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Acknowledgement of the continued alignment in our long-term incentive awards between the relative returns to our stockholders and the size and value of the equity awards granted to our Chief Executive Officer and Chief Financial Officer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Affirmation that our PSU program based on Relative TSR remains an effective way of further aligning management compensation with returns to our shareholders, and remains the preferred structure for performance-based equity amount our shareholders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this feedback, we took the following actions: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providing additional detail in this proxy statement on the operation of the 2023 annual bonus program and the factors in the Compensation Committee’s determination of achievement levels.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initiate dialog with our stockholders on executive compensation and other governance topics. In addition, we welcome stockholder communication with the Board through the channels set forth in this proxy statement.</w:t>
      </w:r>
    </w:p>
    <w:p>
      <w:pPr>
        <w:pStyle w:val="TextBody"/>
        <w:bidi w:val="0"/>
        <w:spacing w:before="0" w:after="0"/>
        <w:ind w:left="0" w:right="0" w:hanging="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Compensation-Setting Process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the Compensation Committee </w:t>
      </w:r>
    </w:p>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among its other responsibilities, establishes our overall compensation philosophy and reviews and approves our executive compensation program, including the specific compensation of our Named Executive Officers, though it makes recommendations to our Board of Directors in the case of our CEO. The Compensation Committee has the authority to retain special counsel and other advisors, including compensation consultants, to assist in carrying out its responsibilities to determine the compensation of our Named Executive Officers. The Compensation Committee’s authority, duties, and responsibilities are described in its charter, which is reviewed annually and revised and updated as warranted. The charter is available on our Company website at http://www.si-bone.com/.</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year, the Compensation Committee reviews our executive compensation program, including any incentive compensation plans and arrangements, to assess whether our compensation elements, actions, and decisions (i) are properly coordinated, (ii) are aligned with our mission, vision, values, and corporate goals, (iii) provide appropriate short-term and long-term incentives for our Named Executive Officers, (iv) achieve their intended purposes, and (v) are competitive with the compensation of executives in comparable positions at our peer companies. Following this assessment, the Compensation Committee makes any necessary or appropriate modifications to our existing plans and arrangements or adopts new plans or arrangements.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factors considered by the Compensation Committee in determining the compensation of our Named Executive Officers for 2023 (or recommending to the Board in the case of our CEO) included: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recommendations of our CEO (except with respect to her own compensation) as described below;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corporate growth and other elements of financial performance;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corporate achievements against one or more short-term and long-term performance objectives;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individual performance of each Named Executive Officer against his or her management objectives;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 review of the relevant competitive market data and executive retention analysis as prepared by its compensation consultant (as described below);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expected future contribution of the individual Named Executive Officer;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historical compensation awards we have made to our Named Executive Officers; 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internal pay equity based on the impact on our business and performance.</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Named Executive Officer, knowledge of the competitive market, and business judgment.</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this process, the Compensation Committee also evaluates the performance of our CEO each year and makes all decisions regarding recommending to the Board her base salary adjustments, target annual cash bonus opportunities, actual cash bonus payments, and long-term incentives in the form of equity awards. Our CEO is not present during any of the deliberations regarding her compensation, and no Named Executive Officer is present during any deliberations regarding their compensation.</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Times New Roman;sans-serif" w:hAnsi="Times New Roman;sans-serif"/>
          <w:b w:val="false"/>
          <w:i/>
          <w:color w:val="000000"/>
          <w:sz w:val="20"/>
        </w:rPr>
        <w:t>Role of Our CEO</w:t>
      </w:r>
      <w:r>
        <w:rPr>
          <w:color w:val="000000"/>
        </w:rPr>
        <w:t xml:space="preserve">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CEO works closely with the Compensation Committee in determining the compensation of our other Named Executive Officers. Typically, our CEO works with the Compensation Committee to recommend the structure of the annual bonus plan, to identify and develop corporate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Named Executive Officers who report to her.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year, our CEO reviews the performance of our other Named Executive Officers for the previous year, and then shares these evaluations with, and makes recommendations to, the Compensation Committee for each element of compensation. Using her subjective evaluation of each executive officer’s performance and taking into consideration historical compensation awards to our Named Executive Officers and our corporate performance during the preceding year, these recommendations concern base salary adjustments, target annual cash bonus opportunities, actual bonus payments, and long-term incentives in the form of equity awards for each of our Named Executive Officers (other than herself) based on our results, the individual executive officer’s contribution to these results, and his performance toward achieving his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Named Executive Officers. Ultimately, the Compensation Committee applies its own business judgment and experience to determine the individual compensation elements and amount of each element for our Named Executive Officers.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Compensation Consultant </w:t>
      </w:r>
    </w:p>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Reviewed and updated the compensation peer group;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Provided advice with respect to compensation best practices and market trends;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Conducted an analysis of the levels of overall compensation and each element of compensation for our Named Executive Officers and for the members of our Board of Directors;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Provided ad hoc advice and support on compensation and governance topics throughout the year.</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Representatives of Compensia attend meetings of the Compensation Committee as requested and also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2023, Compensia met with members of our management team to collect data and obtain their perspective on various executive compensation proposals.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replace its compensation consultant or hire additional advisors at any time. Compensia has not provided any other services to us and has received no compensation other than with respect to the services described above.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Competitive Positioning </w:t>
      </w:r>
    </w:p>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our unique business profile, history, and market competitors, the Compensation Committee believes that the competitive market for executive talent includes primarily medical device and equipment companies and, to a lesser extent, the broader healthcare sector. Accordingly, it develops a 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public medical device, technology, and life sciences companies that are of similar size to SI-BONE, as well as market trends and best practices in executive compensation and the judgment of the Compensation Committee members. Other important factors taken into consideration when determining executive pay levels include employee knowledge, skills and experience; individual performance; scope of responsibilities; and any retention concerns.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2023 Compensation Peer Group </w:t>
      </w:r>
    </w:p>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Compensation Committee, with the assistance of Compensia, approved of the following target criteria for determining the composition of our peer group for purposes of evaluating the compensation of our Named Executive Officers for 2023.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Revenue: 0.4x to 2.5x our revenue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Market capitalization: 0.25x to 4.0x our market capitalization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Industry: medical device and equipment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Location: public companies headquartered in the United States</w:t>
      </w:r>
    </w:p>
    <w:p>
      <w:pPr>
        <w:pStyle w:val="TextBody"/>
        <w:bidi w:val="0"/>
        <w:spacing w:before="0" w:after="0"/>
        <w:jc w:val="left"/>
        <w:rPr/>
      </w:pPr>
      <w:r>
        <w:rPr/>
      </w:r>
    </w:p>
    <w:p>
      <w:pPr>
        <w:pStyle w:val="TextBody"/>
        <w:bidi w:val="0"/>
        <w:spacing w:lineRule="auto" w:line="31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17 companies were selected by the Compensation Committee as the defined peer group for purposes of 2023 executive compensation decisions:</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ind w:left="0" w:right="0" w:firstLine="720"/>
        <w:jc w:val="left"/>
        <w:rPr/>
      </w:pPr>
      <w:r>
        <w:rPr/>
      </w:r>
    </w:p>
    <w:tbl>
      <w:tblPr>
        <w:tblW w:w="5669" w:type="dxa"/>
        <w:jc w:val="center"/>
        <w:tblInd w:w="0" w:type="dxa"/>
        <w:tblLayout w:type="fixed"/>
        <w:tblCellMar>
          <w:top w:w="28" w:type="dxa"/>
          <w:left w:w="28" w:type="dxa"/>
          <w:bottom w:w="28" w:type="dxa"/>
          <w:right w:w="28" w:type="dxa"/>
        </w:tblCellMar>
      </w:tblPr>
      <w:tblGrid>
        <w:gridCol w:w="597"/>
        <w:gridCol w:w="525"/>
        <w:gridCol w:w="528"/>
        <w:gridCol w:w="599"/>
        <w:gridCol w:w="599"/>
        <w:gridCol w:w="601"/>
        <w:gridCol w:w="649"/>
        <w:gridCol w:w="649"/>
        <w:gridCol w:w="92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Alphatec Holdings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LeMaitre Vascular</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 Sciences</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Apyx Medical</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NeuroPace</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Silk Road Medical</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AxoGen</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OrthoPediatrics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Treace Medical Concepts</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Cerus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Pulmonx</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ViewRay</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ConforMIS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SeaSpine Holdings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Zynex</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Cutera</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ShockWave Medical</w:t>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reviews the compensation peer group on an annual basis and adjusts the company composition as needed based on the current financial profile and business focus of the included companies relative to SI-BONE.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Compensation Elements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primary elements of our executive compensation programs are: (1) base salary, (2) annual cash bonus opportunities, and (3) long-term incentives in the form of equity awards.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compensation elements is discussed in detail below, including a description of the particular element and how it fits into our overall executive compensation and a discussion of the amounts of compensation paid to our Named Executive Officers in 2023 under each of these elements.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Base Salary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we establish the initial base salaries of our Named Executive Officers through arm’s-length negotiation at the time we hire the individual executive officer, taking into account his or her position, qualifications, experience, and the base salaries of our other Named Executive Officers.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Thereafter, the Compensation Committee reviews the base salaries of our Named Executive Officers annually and makes adjustments, or in the case of the CEO recommends to the Board adjustments, to base salaries as it determines to be necessary or appropriate.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Compensation Committee reviewed the base salaries of our Named Executive Officers, taking into consideration a competitive market analysis performed by Compensia and the recommendations of our CEO (except with respect to her own base salary), as well as the other factors described above. Following this review, the Compensation Committee set (recommended to our Board of Directors in the case of our CEO) the base salaries of our Named Executive Officers at levels that it believed were appropriate to maintain their competitiveness. The base salaries of our Named Executive Officers established at the beginning of 2023 were as follows:</w:t>
      </w:r>
    </w:p>
    <w:p>
      <w:pPr>
        <w:pStyle w:val="TextBody"/>
        <w:bidi w:val="0"/>
        <w:spacing w:before="0" w:after="0"/>
        <w:ind w:left="0" w:right="0" w:firstLine="720"/>
        <w:jc w:val="both"/>
        <w:rPr/>
      </w:pPr>
      <w:r>
        <w:rPr/>
      </w:r>
    </w:p>
    <w:tbl>
      <w:tblPr>
        <w:tblW w:w="7527" w:type="dxa"/>
        <w:jc w:val="left"/>
        <w:tblInd w:w="0" w:type="dxa"/>
        <w:tblLayout w:type="fixed"/>
        <w:tblCellMar>
          <w:top w:w="28" w:type="dxa"/>
          <w:left w:w="28" w:type="dxa"/>
          <w:bottom w:w="28" w:type="dxa"/>
          <w:right w:w="28" w:type="dxa"/>
        </w:tblCellMar>
      </w:tblPr>
      <w:tblGrid>
        <w:gridCol w:w="815"/>
        <w:gridCol w:w="716"/>
        <w:gridCol w:w="719"/>
        <w:gridCol w:w="529"/>
        <w:gridCol w:w="529"/>
        <w:gridCol w:w="531"/>
        <w:gridCol w:w="529"/>
        <w:gridCol w:w="529"/>
        <w:gridCol w:w="531"/>
        <w:gridCol w:w="614"/>
        <w:gridCol w:w="614"/>
        <w:gridCol w:w="87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2022 Base Salary</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2023 Base Salary</w:t>
            </w:r>
          </w:p>
        </w:tc>
        <w:tc>
          <w:tcPr>
            <w:tcW w:w="20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Percentage Adjustment</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Laura Francis</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$604,000</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$622,120</w:t>
            </w:r>
          </w:p>
        </w:tc>
        <w:tc>
          <w:tcPr>
            <w:tcW w:w="20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$426,000</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$439,000</w:t>
            </w:r>
          </w:p>
        </w:tc>
        <w:tc>
          <w:tcPr>
            <w:tcW w:w="20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2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Anthony Recupero</w:t>
            </w:r>
          </w:p>
        </w:tc>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$458,000</w:t>
            </w:r>
          </w:p>
        </w:tc>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$472,000</w:t>
            </w:r>
          </w:p>
        </w:tc>
        <w:tc>
          <w:tcPr>
            <w:tcW w:w="20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0"/>
        <w:ind w:left="0" w:right="0" w:firstLine="720"/>
        <w:jc w:val="left"/>
        <w:rPr/>
      </w:pPr>
      <w:r>
        <w:rPr/>
      </w:r>
    </w:p>
    <w:p>
      <w:pPr>
        <w:pStyle w:val="TextBody"/>
        <w:bidi w:val="0"/>
        <w:spacing w:lineRule="auto" w:line="312"/>
        <w:jc w:val="both"/>
        <w:rPr>
          <w:rFonts w:ascii="Times New Roman;sans-serif" w:hAnsi="Times New Roman;sans-serif"/>
          <w:b w:val="false"/>
          <w:color w:val="000000"/>
          <w:sz w:val="20"/>
        </w:rPr>
      </w:pPr>
      <w:r>
        <w:rPr>
          <w:rFonts w:ascii="Times New Roman;sans-serif" w:hAnsi="Times New Roman;sans-serif"/>
          <w:b w:val="false"/>
          <w:color w:val="000000"/>
          <w:sz w:val="20"/>
        </w:rPr>
        <w:t>The actual base salaries earned by our Named Executive Officers during 2023 are set forth in the “2023 Summary Compensation Table” below.</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Annual Cash Bonuses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annual bonuses to motivate our management team, including our Named Executive Officers, to achieve our short-term financial and operational objectives while making progress towards our longer-term growth and other goals. Consistent with our executive compensation philosophy, these annual bonuses are intended to help us deliver a competitive total direct compensation opportunity to our management team. Annual cash bonuses are entirely performance-based, are not guaranteed, and may vary materially from year-to-year.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Typically, the Compensation Committee establishes (recommends to our Board of Directors in the case of our CEO) cash bonus opportunities pursuant to a formal cash bonus plan that measures and rewards our management team for our actual corporate performance over the fiscal year. The cash bonus plan is designed to pay above-target bonuses when we exceed our annual corporate objectives and below-target bonuses (or no bonuses) when we do not achieve these objectives.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Compensation Committee determined to award (recommend to our Board of Directors in the case of our CEO) cash bonus opportunities to our Named Executive Officers, pursuant to the corporate bonus plan for 2023. The Compensation Committee has the authority to select the performance measures and related target levels applicable to the annual cash bonus opportunities for our Named Executive Officers. The Compensation Committee may also, in its sole discretion, increase, reduce, or eliminate a participant’s actual bonus payment.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Target Bonus Opportunities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2023 target annual cash bonus opportunities for each of our Named Executive Officers under the 2023 bonus plan, expressed as a percentage of his or her annual base salary, were as follows:</w:t>
      </w:r>
    </w:p>
    <w:p>
      <w:pPr>
        <w:pStyle w:val="TextBody"/>
        <w:bidi w:val="0"/>
        <w:spacing w:before="0" w:after="0"/>
        <w:ind w:left="0" w:right="0" w:firstLine="720"/>
        <w:jc w:val="both"/>
        <w:rPr/>
      </w:pPr>
      <w:r>
        <w:rPr/>
      </w:r>
    </w:p>
    <w:tbl>
      <w:tblPr>
        <w:tblW w:w="10033" w:type="dxa"/>
        <w:jc w:val="left"/>
        <w:tblInd w:w="0" w:type="dxa"/>
        <w:tblLayout w:type="fixed"/>
        <w:tblCellMar>
          <w:top w:w="28" w:type="dxa"/>
          <w:left w:w="28" w:type="dxa"/>
          <w:bottom w:w="28" w:type="dxa"/>
          <w:right w:w="28" w:type="dxa"/>
        </w:tblCellMar>
      </w:tblPr>
      <w:tblGrid>
        <w:gridCol w:w="815"/>
        <w:gridCol w:w="716"/>
        <w:gridCol w:w="719"/>
        <w:gridCol w:w="544"/>
        <w:gridCol w:w="544"/>
        <w:gridCol w:w="546"/>
        <w:gridCol w:w="924"/>
        <w:gridCol w:w="924"/>
        <w:gridCol w:w="927"/>
        <w:gridCol w:w="986"/>
        <w:gridCol w:w="986"/>
        <w:gridCol w:w="140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2023 Base Salary </w:t>
            </w:r>
          </w:p>
        </w:tc>
        <w:tc>
          <w:tcPr>
            <w:tcW w:w="27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Times New Roman;sans-serif" w:hAnsi="Times New Roman;sans-serif"/>
                <w:b/>
                <w:color w:val="000000"/>
                <w:sz w:val="20"/>
              </w:rPr>
              <w:t>2023 Target Bonus Percentage</w:t>
            </w:r>
          </w:p>
        </w:tc>
        <w:tc>
          <w:tcPr>
            <w:tcW w:w="33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 2023 Target Bonus Opportunity</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Laura Francis</w:t>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$622,120</w:t>
            </w:r>
          </w:p>
        </w:tc>
        <w:tc>
          <w:tcPr>
            <w:tcW w:w="27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3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$528,802</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$439,000</w:t>
            </w:r>
          </w:p>
        </w:tc>
        <w:tc>
          <w:tcPr>
            <w:tcW w:w="27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3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$219,500</w:t>
            </w:r>
          </w:p>
        </w:tc>
      </w:tr>
      <w:tr>
        <w:trPr/>
        <w:tc>
          <w:tcPr>
            <w:tcW w:w="2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Anthony Recupero</w:t>
            </w:r>
          </w:p>
        </w:tc>
        <w:tc>
          <w:tcPr>
            <w:tcW w:w="16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$472,000</w:t>
            </w:r>
          </w:p>
        </w:tc>
        <w:tc>
          <w:tcPr>
            <w:tcW w:w="27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3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$354,000</w:t>
            </w:r>
          </w:p>
        </w:tc>
      </w:tr>
    </w:tbl>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target annual cash bonus opportunities of our management team, including the Named Executive Officers, were driven entirely by achievement of corporate financial and operational objectives. The Compensation Committee determined this allocation to be appropriate to focus our management team on our short-term financial objectives as reflected in our annual operating plan while, at the same time, recognizing their contributions to the achievement of these objectives and the successful execution of their individual roles and responsibilities.</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Times New Roman;sans-serif" w:hAnsi="Times New Roman;sans-serif"/>
          <w:b w:val="false"/>
          <w:color w:val="000000"/>
          <w:sz w:val="20"/>
          <w:u w:val="single"/>
        </w:rPr>
        <w:t>Corporate Performance Objectives</w:t>
      </w:r>
      <w:r>
        <w:rPr>
          <w:color w:val="000000"/>
        </w:rPr>
        <w:t xml:space="preserve">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2023 bonus plan, the Compensation Committee selected the following as the corporate performance measures.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Revenue growth, weighted 50%;</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Adjusted EBITDA, weighted 20%;</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New product milestones ((i) Product Development Project #1, (ii) Product Development Project #2, and (iii) Product Development Project #3), weighted 20%;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Voluntary attrition rate, weighted 10%.</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believed these performance measures were appropriate for our business because they provide a balance between generating revenue, managing our expenses, and growing our business, which it believes most directly influence long-term stockholder value. At the same time, the Compensation Committee established target performance levels for each of these measures at levels that it believed to be challenging, but attainable, through the successful execution of our annual operating plan.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threshold, target, and maximum levels of achievement for each corporate performance measure and their respective payment amounts, with the actual bonus payment with respect to each measure to be determined independently, were as follows. Potential payouts under the plan range from 0% if the threshold performance level is not met, 80% of target at threshold performance, and up to 125% of target at or above maximum performance.</w: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6"/>
        <w:gridCol w:w="902"/>
        <w:gridCol w:w="903"/>
        <w:gridCol w:w="240"/>
        <w:gridCol w:w="240"/>
        <w:gridCol w:w="241"/>
        <w:gridCol w:w="755"/>
        <w:gridCol w:w="755"/>
        <w:gridCol w:w="757"/>
        <w:gridCol w:w="685"/>
        <w:gridCol w:w="685"/>
        <w:gridCol w:w="687"/>
        <w:gridCol w:w="679"/>
        <w:gridCol w:w="679"/>
        <w:gridCol w:w="971"/>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Corporate Performance Measure</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Weight</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Threshold Performance Level</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Target Performance Level</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Maximum Performance Level</w:t>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($24.5M)</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($20.5M)</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($16.5M)</w:t>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#1</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w:t>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#2</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w:t>
            </w:r>
          </w:p>
        </w:tc>
      </w:tr>
      <w:tr>
        <w:trPr/>
        <w:tc>
          <w:tcPr>
            <w:tcW w:w="28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#3</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20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w:t>
            </w:r>
          </w:p>
        </w:tc>
        <w:tc>
          <w:tcPr>
            <w:tcW w:w="23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w:t>
            </w:r>
          </w:p>
        </w:tc>
      </w:tr>
      <w:tr>
        <w:trPr/>
        <w:tc>
          <w:tcPr>
            <w:tcW w:w="28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Attrition Rate (year over year)</w:t>
            </w:r>
          </w:p>
        </w:tc>
        <w:tc>
          <w:tcPr>
            <w:tcW w:w="7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Flat</w:t>
            </w:r>
          </w:p>
        </w:tc>
        <w:tc>
          <w:tcPr>
            <w:tcW w:w="20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Down 1%</w:t>
            </w:r>
          </w:p>
        </w:tc>
        <w:tc>
          <w:tcPr>
            <w:tcW w:w="23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Down 2%</w:t>
            </w:r>
          </w:p>
        </w:tc>
      </w:tr>
    </w:tbl>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excludes from net loss the effects of interest income, interest expense, depreciation and amortization and stock-based compensation. In the event of actual revenue or adjusted EBITDA performance between the threshold and target, and target and maximum performance levels, the payment amount was to be calculated between each designated segment on a linear basis.</w:t>
      </w:r>
    </w:p>
    <w:p>
      <w:pPr>
        <w:pStyle w:val="TextBody"/>
        <w:bidi w:val="0"/>
        <w:spacing w:before="0" w:after="0"/>
        <w:jc w:val="left"/>
        <w:rPr/>
      </w:pPr>
      <w:r>
        <w:rPr/>
      </w:r>
    </w:p>
    <w:p>
      <w:pPr>
        <w:pStyle w:val="TextBody"/>
        <w:bidi w:val="0"/>
        <w:spacing w:lineRule="auto" w:line="312" w:before="0" w:after="0"/>
        <w:ind w:left="0" w:right="0" w:firstLine="720"/>
        <w:jc w:val="left"/>
        <w:rPr/>
      </w:pPr>
      <w:r>
        <w:rPr>
          <w:rFonts w:ascii="Times New Roman;sans-serif" w:hAnsi="Times New Roman;sans-serif"/>
          <w:b w:val="false"/>
          <w:color w:val="000000"/>
          <w:sz w:val="20"/>
          <w:u w:val="single"/>
        </w:rPr>
        <w:t>2023 Performance Results and Bonus Decisions</w:t>
      </w:r>
      <w:r>
        <w:rPr>
          <w:color w:val="000000"/>
        </w:rPr>
        <w:t xml:space="preserve">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Compensation Committee approved our actual achievement with respect to the corporate performance objectives under the 2023 bonus plan as follows:</w:t>
      </w:r>
    </w:p>
    <w:p>
      <w:pPr>
        <w:pStyle w:val="TextBody"/>
        <w:bidi w:val="0"/>
        <w:spacing w:before="0" w:after="0"/>
        <w:ind w:left="0" w:right="0" w:firstLine="720"/>
        <w:jc w:val="both"/>
        <w:rPr/>
      </w:pPr>
      <w:r>
        <w:rPr/>
      </w:r>
    </w:p>
    <w:tbl>
      <w:tblPr>
        <w:tblW w:w="10122" w:type="dxa"/>
        <w:jc w:val="left"/>
        <w:tblInd w:w="0" w:type="dxa"/>
        <w:tblLayout w:type="fixed"/>
        <w:tblCellMar>
          <w:top w:w="28" w:type="dxa"/>
          <w:left w:w="28" w:type="dxa"/>
          <w:bottom w:w="28" w:type="dxa"/>
          <w:right w:w="28" w:type="dxa"/>
        </w:tblCellMar>
      </w:tblPr>
      <w:tblGrid>
        <w:gridCol w:w="1239"/>
        <w:gridCol w:w="1089"/>
        <w:gridCol w:w="1091"/>
        <w:gridCol w:w="240"/>
        <w:gridCol w:w="240"/>
        <w:gridCol w:w="241"/>
        <w:gridCol w:w="599"/>
        <w:gridCol w:w="599"/>
        <w:gridCol w:w="601"/>
        <w:gridCol w:w="789"/>
        <w:gridCol w:w="789"/>
        <w:gridCol w:w="791"/>
        <w:gridCol w:w="531"/>
        <w:gridCol w:w="531"/>
        <w:gridCol w:w="75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Corporate Performance Measure</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Weight</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Actual Achievement</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Achievement Payout Level</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Bonus Contribution</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($17.3M)</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#1</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#2</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Project #3</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Attrition Rate (year over year)</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Down 1%</w:t>
            </w:r>
          </w:p>
        </w:tc>
        <w:tc>
          <w:tcPr>
            <w:tcW w:w="2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8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121.5%</w:t>
            </w:r>
          </w:p>
        </w:tc>
      </w:tr>
    </w:tbl>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determined that, based on our actual performance with respect to each corporate performance measure, the corporate performance objectives had been achieved, in the aggregate, at an 121.5% level. Accordingly, the Compensation Committee (our Board of Directors in the case of our CEO) approved bonus payments as follows for our Named Executive Officers: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0"/>
        <w:gridCol w:w="632"/>
        <w:gridCol w:w="635"/>
        <w:gridCol w:w="1001"/>
        <w:gridCol w:w="1001"/>
        <w:gridCol w:w="1004"/>
        <w:gridCol w:w="813"/>
        <w:gridCol w:w="813"/>
        <w:gridCol w:w="815"/>
        <w:gridCol w:w="805"/>
        <w:gridCol w:w="799"/>
        <w:gridCol w:w="1137"/>
      </w:tblGrid>
      <w:tr>
        <w:trPr/>
        <w:tc>
          <w:tcPr>
            <w:tcW w:w="75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3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 Annual Cash Bonus Opportunity</w:t>
            </w:r>
          </w:p>
        </w:tc>
        <w:tc>
          <w:tcPr>
            <w:tcW w:w="2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Bonus Achievement Percentage</w:t>
            </w:r>
          </w:p>
        </w:tc>
        <w:tc>
          <w:tcPr>
            <w:tcW w:w="2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Actual Annual Cash Bonus Payment</w:t>
            </w:r>
          </w:p>
        </w:tc>
      </w:tr>
      <w:tr>
        <w:trPr/>
        <w:tc>
          <w:tcPr>
            <w:tcW w:w="2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Laura Francis</w:t>
            </w:r>
          </w:p>
        </w:tc>
        <w:tc>
          <w:tcPr>
            <w:tcW w:w="3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$528,802</w:t>
            </w:r>
          </w:p>
        </w:tc>
        <w:tc>
          <w:tcPr>
            <w:tcW w:w="2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$642,494</w:t>
            </w:r>
          </w:p>
        </w:tc>
      </w:tr>
      <w:tr>
        <w:trPr/>
        <w:tc>
          <w:tcPr>
            <w:tcW w:w="2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$219,500</w:t>
            </w:r>
          </w:p>
        </w:tc>
        <w:tc>
          <w:tcPr>
            <w:tcW w:w="2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$266,693</w:t>
            </w:r>
          </w:p>
        </w:tc>
      </w:tr>
      <w:tr>
        <w:trPr/>
        <w:tc>
          <w:tcPr>
            <w:tcW w:w="20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Anthony Recupero</w:t>
            </w:r>
          </w:p>
        </w:tc>
        <w:tc>
          <w:tcPr>
            <w:tcW w:w="3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$354,000</w:t>
            </w:r>
          </w:p>
        </w:tc>
        <w:tc>
          <w:tcPr>
            <w:tcW w:w="2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74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$430,110</w:t>
            </w:r>
          </w:p>
        </w:tc>
      </w:tr>
    </w:tbl>
    <w:p>
      <w:pPr>
        <w:pStyle w:val="TextBody"/>
        <w:bidi w:val="0"/>
        <w:ind w:left="0" w:right="0" w:firstLine="72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annual cash bonuses paid to our Named Executive Officers for 2023 are also set forth in the “2023 Summary Compensation Table” below.</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Long-Term Incentive Compensation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long-term incentive compensation in the form of equity awards to motivate our management team,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vested. The Compensation Committee further believes these awards enable us to attract and retain key talent in our industry and align our management team's interests with the long-term interests of our stockholders.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in determining the size of the equity awards granted to our Named Executive Officers, the Compensation Committee takes into consideration the recommendations of our CEO (except with respect to her own equity awards), and other factors, including the comparative awards granted to similar positions at our peer companies, the performance and expected performance of the executive officer, the existing equity holdings of each executive officer, including the current economic value of their unvested equity awards and the ability of these unvested holdings to satisfy our retention objectives, overall market data, and information provided by our compensation consultant. The Compensation Committee also considers the dilutive effect of our long-term incentive compensation practices, and the overall impact that these equity awards, as well as awards to other employees, will have on stockholder value.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Compensation Committee (or our Board of Directors in the case of our CEO) granted equity awards in the form of relative total shareholder return (“TSR”) PSU awards and RSU awards to our Named Executive Officers. Further, the Compensation Committee determined Ms. Francis’ 2023 long-term incentive mix would be 50% PSUs and 50% RSUs, and Messrs. Maheshwari and Recupero’s mix would be 25% PSUs and 75% RSUs. The Compensation Committee determined the mix of RSUs and PSUs for each of our Named Executive Officers with reference to market norms and predominant practices among our peer companies. The equity awards granted to our Named Executive Officers in 2023 were as follows:</w:t>
      </w:r>
    </w:p>
    <w:p>
      <w:pPr>
        <w:pStyle w:val="TextBody"/>
        <w:bidi w:val="0"/>
        <w:spacing w:before="0" w:after="0"/>
        <w:jc w:val="both"/>
        <w:rPr/>
      </w:pPr>
      <w:r>
        <w:rPr/>
      </w:r>
    </w:p>
    <w:tbl>
      <w:tblPr>
        <w:tblW w:w="8892" w:type="dxa"/>
        <w:jc w:val="left"/>
        <w:tblInd w:w="0" w:type="dxa"/>
        <w:tblLayout w:type="fixed"/>
        <w:tblCellMar>
          <w:top w:w="28" w:type="dxa"/>
          <w:left w:w="28" w:type="dxa"/>
          <w:bottom w:w="28" w:type="dxa"/>
          <w:right w:w="28" w:type="dxa"/>
        </w:tblCellMar>
      </w:tblPr>
      <w:tblGrid>
        <w:gridCol w:w="815"/>
        <w:gridCol w:w="716"/>
        <w:gridCol w:w="719"/>
        <w:gridCol w:w="499"/>
        <w:gridCol w:w="499"/>
        <w:gridCol w:w="501"/>
        <w:gridCol w:w="1093"/>
        <w:gridCol w:w="1093"/>
        <w:gridCol w:w="1098"/>
        <w:gridCol w:w="543"/>
        <w:gridCol w:w="543"/>
        <w:gridCol w:w="77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 Number of Relative TSR PSUs</w:t>
            </w:r>
          </w:p>
        </w:tc>
        <w:tc>
          <w:tcPr>
            <w:tcW w:w="1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Total Target Value</w:t>
            </w:r>
            <w:r>
              <w:rPr>
                <w:rFonts w:ascii="Times New Roman;sans-serif" w:hAnsi="Times New Roman;sans-serif"/>
                <w:b/>
                <w:color w:val="000000"/>
                <w:sz w:val="13"/>
              </w:rPr>
              <w:t>1</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Laura Francis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70,252</w:t>
            </w:r>
          </w:p>
        </w:tc>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70,252</w:t>
            </w:r>
          </w:p>
        </w:tc>
        <w:tc>
          <w:tcPr>
            <w:tcW w:w="1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$2,026,000</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57,478</w:t>
            </w:r>
          </w:p>
        </w:tc>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19,159</w:t>
            </w:r>
          </w:p>
        </w:tc>
        <w:tc>
          <w:tcPr>
            <w:tcW w:w="1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$1,105,000</w:t>
            </w:r>
          </w:p>
        </w:tc>
      </w:tr>
      <w:tr>
        <w:trPr/>
        <w:tc>
          <w:tcPr>
            <w:tcW w:w="2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Anthony Recupero</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57,478</w:t>
            </w:r>
          </w:p>
        </w:tc>
        <w:tc>
          <w:tcPr>
            <w:tcW w:w="32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19,159</w:t>
            </w:r>
          </w:p>
        </w:tc>
        <w:tc>
          <w:tcPr>
            <w:tcW w:w="18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$1,105,000</w:t>
            </w:r>
          </w:p>
        </w:tc>
      </w:tr>
    </w:tbl>
    <w:p>
      <w:pPr>
        <w:pStyle w:val="TextBody"/>
        <w:bidi w:val="0"/>
        <w:spacing w:before="0" w:after="0"/>
        <w:ind w:left="0" w:right="0" w:hanging="36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The amounts reported in this column represent the target value of equity awards made in 2023. This differs from the aggregate grant date fair value of awards as computed in accordance with FASB ASC 718 and reported in the “2023 Summary Compensation Table” below. Target values were converted to shares using our 60-trading day average stock price as of December 31, 2022.</w:t>
      </w:r>
    </w:p>
    <w:p>
      <w:pPr>
        <w:pStyle w:val="TextBody"/>
        <w:bidi w:val="0"/>
        <w:spacing w:before="0" w:after="0"/>
        <w:ind w:left="0" w:right="0" w:hanging="36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PSU awards are designed to be earned based on our TSR as compared to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 </w:t>
      </w:r>
    </w:p>
    <w:p>
      <w:pPr>
        <w:pStyle w:val="TextBody"/>
        <w:bidi w:val="0"/>
        <w:spacing w:before="0" w:after="0"/>
        <w:jc w:val="left"/>
        <w:rPr/>
      </w:pPr>
      <w:r>
        <w:rPr/>
      </w:r>
    </w:p>
    <w:tbl>
      <w:tblPr>
        <w:tblW w:w="6223" w:type="dxa"/>
        <w:jc w:val="center"/>
        <w:tblInd w:w="0" w:type="dxa"/>
        <w:tblLayout w:type="fixed"/>
        <w:tblCellMar>
          <w:top w:w="28" w:type="dxa"/>
          <w:left w:w="28" w:type="dxa"/>
          <w:bottom w:w="28" w:type="dxa"/>
          <w:right w:w="28" w:type="dxa"/>
        </w:tblCellMar>
      </w:tblPr>
      <w:tblGrid>
        <w:gridCol w:w="629"/>
        <w:gridCol w:w="554"/>
        <w:gridCol w:w="556"/>
        <w:gridCol w:w="1059"/>
        <w:gridCol w:w="1059"/>
        <w:gridCol w:w="1062"/>
        <w:gridCol w:w="382"/>
        <w:gridCol w:w="382"/>
        <w:gridCol w:w="54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Achievement Level</w:t>
            </w:r>
          </w:p>
        </w:tc>
        <w:tc>
          <w:tcPr>
            <w:tcW w:w="3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Performance</w:t>
            </w:r>
          </w:p>
          <w:p>
            <w:pPr>
              <w:pStyle w:val="TableContents"/>
              <w:bidi w:val="0"/>
              <w:spacing w:lineRule="auto" w:line="268" w:before="0" w:after="0"/>
              <w:jc w:val="center"/>
              <w:rPr/>
            </w:pPr>
            <w:r>
              <w:rPr>
                <w:rFonts w:ascii="Times New Roman;sans-serif" w:hAnsi="Times New Roman;sans-serif"/>
                <w:b/>
                <w:color w:val="000000"/>
                <w:sz w:val="20"/>
              </w:rPr>
              <w:t>(Points vs. 50</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Percentile Company)</w:t>
            </w:r>
          </w:p>
        </w:tc>
        <w:tc>
          <w:tcPr>
            <w:tcW w:w="13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Payout</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of Target)</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Maximum</w:t>
            </w:r>
          </w:p>
        </w:tc>
        <w:tc>
          <w:tcPr>
            <w:tcW w:w="3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 xml:space="preserve">≥ </w:t>
            </w:r>
            <w:r>
              <w:rPr>
                <w:rFonts w:ascii="Times New Roman;sans-serif" w:hAnsi="Times New Roman;sans-serif"/>
                <w:b w:val="false"/>
                <w:color w:val="000000"/>
                <w:sz w:val="20"/>
              </w:rPr>
              <w:t>+50 Point</w:t>
            </w:r>
          </w:p>
        </w:tc>
        <w:tc>
          <w:tcPr>
            <w:tcW w:w="13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Target</w:t>
            </w:r>
          </w:p>
        </w:tc>
        <w:tc>
          <w:tcPr>
            <w:tcW w:w="3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Equal to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company</w:t>
            </w:r>
          </w:p>
        </w:tc>
        <w:tc>
          <w:tcPr>
            <w:tcW w:w="13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Threshold</w:t>
            </w:r>
          </w:p>
        </w:tc>
        <w:tc>
          <w:tcPr>
            <w:tcW w:w="31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Point</w:t>
            </w:r>
          </w:p>
        </w:tc>
        <w:tc>
          <w:tcPr>
            <w:tcW w:w="13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left"/>
        <w:rPr/>
      </w:pPr>
      <w:r>
        <w:rPr/>
      </w:r>
    </w:p>
    <w:p>
      <w:pPr>
        <w:pStyle w:val="TextBody"/>
        <w:bidi w:val="0"/>
        <w:spacing w:lineRule="auto" w:line="31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PSUs include interim payout opportunities after the end of the first and second years of the three-year performance period. The first interim payout opportunity is capped at 100% of one-third of the target level payout for the PSUs, while up to 200% of one-third of the target shares associated with the second-year performance period may be earned following that performance period, based on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relative TSR performance and continued service through the end of the relevant year. Up to 200% of the total target shares under the whole award may be earned after the conclusion of the three-year performance period based on relative TSR performance through the end of the three-year performance period, less any shares previously earned and paid out for the first and second interim periods. </w:t>
      </w:r>
    </w:p>
    <w:p>
      <w:pPr>
        <w:pStyle w:val="TextBody"/>
        <w:bidi w:val="0"/>
        <w:spacing w:before="0" w:after="0"/>
        <w:jc w:val="left"/>
        <w:rPr/>
      </w:pPr>
      <w:r>
        <w:rPr/>
        <w:drawing>
          <wp:inline distT="0" distB="0" distL="0" distR="0">
            <wp:extent cx="6858000" cy="4552950"/>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4"/>
                    <a:stretch>
                      <a:fillRect/>
                    </a:stretch>
                  </pic:blipFill>
                  <pic:spPr bwMode="auto">
                    <a:xfrm>
                      <a:off x="0" y="0"/>
                      <a:ext cx="6858000" cy="4552950"/>
                    </a:xfrm>
                    <a:prstGeom prst="rect">
                      <a:avLst/>
                    </a:prstGeom>
                  </pic:spPr>
                </pic:pic>
              </a:graphicData>
            </a:graphic>
          </wp:inline>
        </w:drawing>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group of relative TSR industry peers was selected using objective criteria determined in advance of the start of the performance period. For the 2023 awards, the Compensation Committee determined to include constituents of the S&amp;P Healthcare Equipment Select Index and other executive compensation peers with market cap between ~0.25x and ~4.0x SI-BONE.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 awards granted to our Named Executive Officers in January 2023 were subject to a time-based vesting requirement providing that these awards are to vest quarterly over four years, assuming the continued service of the executive officers on each such vesting date.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Earned PSU Awards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the PSUs include an interim payout opportunity after the end of the first and second years of the three-year performance period. Shares associated with the one-year performance period (one-third of total shares) are capped at the target level payout, while shares associated with the two-year performance period (one-third of total shares) may be earned at up to 200% of the target level payout, based on relative TSR performance and continued service through the end of each applicable year.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first year covered by the 2023 PSUs and the second year covered by the 2022 PSUs, we outperformed on a TSR basis the median issuer in our designated TSR industry peer group, resulting in payouts of 100% of target for FY23 Tranche One and 200% of target for FY22 Tranche Two. The first tranche of the 2023 PSUs would have paid out at 200% of the target shares eligible for release but for the cap of 100% on Year 1 achievement specified in our PSU grants.</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8"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tbl>
      <w:tblPr>
        <w:tblW w:w="6449" w:type="dxa"/>
        <w:jc w:val="center"/>
        <w:tblInd w:w="0" w:type="dxa"/>
        <w:tblLayout w:type="fixed"/>
        <w:tblCellMar>
          <w:top w:w="28" w:type="dxa"/>
          <w:left w:w="28" w:type="dxa"/>
          <w:bottom w:w="28" w:type="dxa"/>
          <w:right w:w="28" w:type="dxa"/>
        </w:tblCellMar>
      </w:tblPr>
      <w:tblGrid>
        <w:gridCol w:w="526"/>
        <w:gridCol w:w="463"/>
        <w:gridCol w:w="465"/>
        <w:gridCol w:w="1144"/>
        <w:gridCol w:w="1144"/>
        <w:gridCol w:w="1147"/>
        <w:gridCol w:w="457"/>
        <w:gridCol w:w="457"/>
        <w:gridCol w:w="646"/>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Award Tranche</w:t>
            </w:r>
          </w:p>
        </w:tc>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SI-BONE TSR Performance vs. Median</w:t>
            </w:r>
          </w:p>
        </w:tc>
        <w:tc>
          <w:tcPr>
            <w:tcW w:w="15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Tranche Payout </w:t>
              <w:br/>
              <w:t>(% of Target)</w:t>
            </w:r>
          </w:p>
        </w:tc>
      </w:tr>
      <w:tr>
        <w:trPr/>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FY23 Tranche 1</w:t>
            </w:r>
          </w:p>
        </w:tc>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 Points</w:t>
            </w:r>
          </w:p>
        </w:tc>
        <w:tc>
          <w:tcPr>
            <w:tcW w:w="15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FY22 Tranche 2</w:t>
            </w:r>
          </w:p>
        </w:tc>
        <w:tc>
          <w:tcPr>
            <w:tcW w:w="3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 Points</w:t>
            </w:r>
          </w:p>
        </w:tc>
        <w:tc>
          <w:tcPr>
            <w:tcW w:w="15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0"/>
        <w:jc w:val="both"/>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Welfare and Health Benefits </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medical and life insurance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These benefits are provided on the same basis as all of our full-time employees, therefore are excluded from the Summary Compensation table. We also provide vacation and other paid holidays to all employees, including our executive officers.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maintain a Section 401(k) retirement savings plan for our employees, including our Named Executive Officers, who satisfy certain eligibility requirements. The Internal Revenue Code allows eligible employees to defer a portion of their compensation, up to 100% of their eligible compensation on a pre-tax basis through contributions to the Section 401(k) plan, subject to applicable annual Code limits. All participants’ interests in their deferrals are 100% vested when contributed. We provide a Safe Harbor nonelective employer contribution to all eligible participants in an amount equal to 3% of eligible compensation up to $1,000. We believe that providing a vehicle for tax-deferred retirement savings though our Section 401(k) plan, and making fully vested employer contributions, adds to the overall desirability of our executive compensation package and further incentivizes our employees, including our executive officers, in accordance with our compensation policies. We do not offer our employees a non-qualified deferred compensation plan or pension plan.</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Perquisites and Other Personal Benefits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such Named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SI-BONE, Inc. Severance Benefit Plan</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Severance payments to our Named Executive Officers in connection with a change in control are as follows: (1) a lump sum cash payment equal to 12 months base salary (18 months in the case of Ms. Francis), (2) a lump sum cash payment of the then current annual target cash bonus (1.5 times annual target cash bonus in the case of Ms. Francis), (3) COBRA coverage for 12 months (18 months in the case of Ms. Francis), (4) full acceleration of vesting of all equity awards, and (5) extension of the post-termination exercise period to two years (or the closing of the change in control if provided in the equity award or change in control agreement).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obtain benefits under the Severance Plan the participant must sign and deliver to SI-BONE a release of liability in favor of SI-BONE.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Employment Arrangements</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Any severance provisions of the Named Executive Officers’ offer letters were superseded by the Severance Plan.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Other Compensation Policies</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Ownership Policy</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p>
      <w:pPr>
        <w:pStyle w:val="TextBody"/>
        <w:bidi w:val="0"/>
        <w:spacing w:before="0" w:after="0"/>
        <w:ind w:left="0" w:right="0" w:firstLine="720"/>
        <w:jc w:val="both"/>
        <w:rPr/>
      </w:pPr>
      <w:r>
        <w:rPr/>
      </w:r>
    </w:p>
    <w:tbl>
      <w:tblPr>
        <w:tblW w:w="7140" w:type="dxa"/>
        <w:jc w:val="center"/>
        <w:tblInd w:w="0" w:type="dxa"/>
        <w:tblLayout w:type="fixed"/>
        <w:tblCellMar>
          <w:top w:w="28" w:type="dxa"/>
          <w:left w:w="28" w:type="dxa"/>
          <w:bottom w:w="28" w:type="dxa"/>
          <w:right w:w="28" w:type="dxa"/>
        </w:tblCellMar>
      </w:tblPr>
      <w:tblGrid>
        <w:gridCol w:w="815"/>
        <w:gridCol w:w="716"/>
        <w:gridCol w:w="719"/>
        <w:gridCol w:w="1431"/>
        <w:gridCol w:w="1431"/>
        <w:gridCol w:w="202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4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Minimum Required Level of Stock Ownership</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4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 equivalent to three times annual salary</w:t>
            </w:r>
          </w:p>
        </w:tc>
      </w:tr>
      <w:tr>
        <w:trPr/>
        <w:tc>
          <w:tcPr>
            <w:tcW w:w="2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Executive Officers</w:t>
            </w:r>
          </w:p>
        </w:tc>
        <w:tc>
          <w:tcPr>
            <w:tcW w:w="4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 equivalent to annual salary</w:t>
            </w:r>
          </w:p>
        </w:tc>
      </w:tr>
      <w:tr>
        <w:trPr/>
        <w:tc>
          <w:tcPr>
            <w:tcW w:w="2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w:t>
            </w:r>
          </w:p>
        </w:tc>
        <w:tc>
          <w:tcPr>
            <w:tcW w:w="48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equivalent to three times annual Board cash retainer</w:t>
            </w:r>
          </w:p>
        </w:tc>
      </w:tr>
    </w:tbl>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non-employee Director guideline is based on the annual Board cash retainer and excludes additional cash retainers paid for Board committee service or for service as Chairperson or Lead Independent Director. 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fiscal year 2023, our CEO, each of our other Named Executive Officers, and each of our non-employee Directors had satisfied his or her required stock ownership level or was on track to do so.</w:t>
      </w:r>
    </w:p>
    <w:p>
      <w:pPr>
        <w:pStyle w:val="TextBody"/>
        <w:bidi w:val="0"/>
        <w:spacing w:before="0" w:after="0"/>
        <w:jc w:val="left"/>
        <w:rPr/>
      </w:pPr>
      <w:r>
        <w:rPr/>
      </w:r>
    </w:p>
    <w:p>
      <w:pPr>
        <w:pStyle w:val="TextBody"/>
        <w:bidi w:val="0"/>
        <w:spacing w:lineRule="auto" w:line="312"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Recoupment Policy </w:t>
      </w:r>
    </w:p>
    <w:p>
      <w:pPr>
        <w:pStyle w:val="TextBody"/>
        <w:bidi w:val="0"/>
        <w:spacing w:before="0" w:after="0"/>
        <w:ind w:left="0" w:right="0" w:firstLine="72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our Board of Directors adopted a new Compensation Recoupment Policy (“Clawback Policy”) applicable to our CEO and all of our current and former executive officers. Under this policy, our Compensation Committee is obligated to recover excess incentive compensation received by any executive officer covered by our Clawback Policy on or after October 2, 2023, if any, in the event SI-BONE is required to prepare an accounting restatement due to material noncompliance with any financial reporting requirement under the securities laws. For purposes of this policy, excess incentive compensation means the amount of certain incentive-based compensation actually received by the covered executive officer, minus the amount of such incentive-based compensation that otherwise would have been received had the incentive compensation been determined based on the applicable restated amounts. The Compensation Committee will not consider the executive officer’s responsibility or fault in enforcing our Clawback Policy to recoup the amount described above.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is intended to comply with, and will be interpreted in a manner consistent with, Section 10D of the Securities Exchange Act of 1934 (the “Exchange Act”), with Exchange Act Rule 10D-1 and with the Nasdaq listing standards.</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Hedging and Pledging Policies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Tax and Accounting Considerations </w:t>
      </w:r>
    </w:p>
    <w:p>
      <w:pPr>
        <w:pStyle w:val="TextBody"/>
        <w:bidi w:val="0"/>
        <w:spacing w:before="0" w:after="0"/>
        <w:ind w:left="0" w:right="0" w:firstLine="72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takes the applicable tax and accounting requirements into consideration in designing and overseeing our executive compensation program.</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Deductibility of Executive Compensation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“Code”).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Section 409A Considerations</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Stock-Based Compensation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Compensation Risk Assessment</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consultation with management and Compensia, our Compensation Committee’s independent compensation consultant, in September 2023 our Compensation Committee assessed our compensation plans, policies and practices for our Named Executive Officers and other employees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for the fiscal years ended 2023 and 2022 compensation awarded to or paid to, or earned by, our Named Executive Officers. </w:t>
      </w:r>
    </w:p>
    <w:p>
      <w:pPr>
        <w:pStyle w:val="TextBody"/>
        <w:bidi w:val="0"/>
        <w:spacing w:lineRule="auto" w:line="312"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Summary Compensation Table </w:t>
      </w:r>
    </w:p>
    <w:tbl>
      <w:tblPr>
        <w:tblW w:w="10205" w:type="dxa"/>
        <w:jc w:val="center"/>
        <w:tblInd w:w="0" w:type="dxa"/>
        <w:tblLayout w:type="fixed"/>
        <w:tblCellMar>
          <w:top w:w="28" w:type="dxa"/>
          <w:left w:w="28" w:type="dxa"/>
          <w:bottom w:w="28" w:type="dxa"/>
          <w:right w:w="28" w:type="dxa"/>
        </w:tblCellMar>
      </w:tblPr>
      <w:tblGrid>
        <w:gridCol w:w="419"/>
        <w:gridCol w:w="289"/>
        <w:gridCol w:w="289"/>
        <w:gridCol w:w="289"/>
        <w:gridCol w:w="289"/>
        <w:gridCol w:w="291"/>
        <w:gridCol w:w="109"/>
        <w:gridCol w:w="109"/>
        <w:gridCol w:w="109"/>
        <w:gridCol w:w="160"/>
        <w:gridCol w:w="160"/>
        <w:gridCol w:w="161"/>
        <w:gridCol w:w="109"/>
        <w:gridCol w:w="109"/>
        <w:gridCol w:w="109"/>
        <w:gridCol w:w="196"/>
        <w:gridCol w:w="736"/>
        <w:gridCol w:w="109"/>
        <w:gridCol w:w="109"/>
        <w:gridCol w:w="109"/>
        <w:gridCol w:w="109"/>
        <w:gridCol w:w="196"/>
        <w:gridCol w:w="871"/>
        <w:gridCol w:w="109"/>
        <w:gridCol w:w="109"/>
        <w:gridCol w:w="109"/>
        <w:gridCol w:w="109"/>
        <w:gridCol w:w="461"/>
        <w:gridCol w:w="1735"/>
        <w:gridCol w:w="257"/>
        <w:gridCol w:w="109"/>
        <w:gridCol w:w="109"/>
        <w:gridCol w:w="109"/>
        <w:gridCol w:w="196"/>
        <w:gridCol w:w="871"/>
        <w:gridCol w:w="109"/>
        <w:gridCol w:w="109"/>
        <w:gridCol w:w="109"/>
        <w:gridCol w:w="159"/>
      </w:tblGrid>
      <w:tr>
        <w:trPr/>
        <w:tc>
          <w:tcPr>
            <w:tcW w:w="4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w:t>
            </w:r>
          </w:p>
          <w:p>
            <w:pPr>
              <w:pStyle w:val="TableContents"/>
              <w:bidi w:val="0"/>
              <w:spacing w:lineRule="auto" w:line="240" w:before="0" w:after="0"/>
              <w:jc w:val="center"/>
              <w:rPr/>
            </w:pPr>
            <w:r>
              <w:rPr>
                <w:rFonts w:ascii="Times New Roman;sans-serif" w:hAnsi="Times New Roman;sans-serif"/>
                <w:b/>
                <w:color w:val="000000"/>
                <w:sz w:val="18"/>
              </w:rPr>
              <w:t>Awards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Non-Equity Incentive Plan Compensation</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622,120 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2,449,257 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642,494 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3,713,871 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504,159 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Anthony J. Recupero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337,317 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266,693 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188,249 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the aggregate grant date fair value of restricted stock units granted to the officer, computed in accordance with FASB ASC Topic 718. The fair value of the restricted stock units is based on the market price of our common stock on the date of grant. We did not grant any stock options in 2022 and 2023.</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Represents payments upon the achievement of 2023 and 2022 corporate goals, as applicable, as well as individual objectives, which were paid in the first quarter of 2024 and 2023, respectively. </w:t>
      </w:r>
    </w:p>
    <w:p>
      <w:pPr>
        <w:pStyle w:val="TextBody"/>
        <w:bidi w:val="0"/>
        <w:spacing w:before="0" w:after="0"/>
        <w:ind w:left="0" w:right="0" w:hanging="405"/>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1"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Outstanding Equity Awards at December 31, 2023</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certain information regarding outstanding equity awards at December 31, 2023, for our Named Executive Officers:</w:t>
      </w:r>
    </w:p>
    <w:tbl>
      <w:tblPr>
        <w:tblW w:w="13515" w:type="dxa"/>
        <w:jc w:val="center"/>
        <w:tblInd w:w="0" w:type="dxa"/>
        <w:tblLayout w:type="fixed"/>
        <w:tblCellMar>
          <w:top w:w="28" w:type="dxa"/>
          <w:left w:w="28" w:type="dxa"/>
          <w:bottom w:w="28" w:type="dxa"/>
          <w:right w:w="28" w:type="dxa"/>
        </w:tblCellMar>
      </w:tblPr>
      <w:tblGrid>
        <w:gridCol w:w="592"/>
        <w:gridCol w:w="207"/>
        <w:gridCol w:w="207"/>
        <w:gridCol w:w="109"/>
        <w:gridCol w:w="109"/>
        <w:gridCol w:w="185"/>
        <w:gridCol w:w="185"/>
        <w:gridCol w:w="186"/>
        <w:gridCol w:w="109"/>
        <w:gridCol w:w="109"/>
        <w:gridCol w:w="109"/>
        <w:gridCol w:w="420"/>
        <w:gridCol w:w="420"/>
        <w:gridCol w:w="421"/>
        <w:gridCol w:w="109"/>
        <w:gridCol w:w="109"/>
        <w:gridCol w:w="109"/>
        <w:gridCol w:w="325"/>
        <w:gridCol w:w="325"/>
        <w:gridCol w:w="326"/>
        <w:gridCol w:w="109"/>
        <w:gridCol w:w="109"/>
        <w:gridCol w:w="109"/>
        <w:gridCol w:w="325"/>
        <w:gridCol w:w="325"/>
        <w:gridCol w:w="326"/>
        <w:gridCol w:w="109"/>
        <w:gridCol w:w="109"/>
        <w:gridCol w:w="109"/>
        <w:gridCol w:w="321"/>
        <w:gridCol w:w="235"/>
        <w:gridCol w:w="236"/>
        <w:gridCol w:w="109"/>
        <w:gridCol w:w="109"/>
        <w:gridCol w:w="109"/>
        <w:gridCol w:w="295"/>
        <w:gridCol w:w="295"/>
        <w:gridCol w:w="296"/>
        <w:gridCol w:w="109"/>
        <w:gridCol w:w="109"/>
        <w:gridCol w:w="109"/>
        <w:gridCol w:w="506"/>
        <w:gridCol w:w="230"/>
        <w:gridCol w:w="231"/>
        <w:gridCol w:w="109"/>
        <w:gridCol w:w="109"/>
        <w:gridCol w:w="109"/>
        <w:gridCol w:w="656"/>
        <w:gridCol w:w="215"/>
        <w:gridCol w:w="216"/>
        <w:gridCol w:w="109"/>
        <w:gridCol w:w="109"/>
        <w:gridCol w:w="109"/>
        <w:gridCol w:w="383"/>
        <w:gridCol w:w="263"/>
        <w:gridCol w:w="165"/>
        <w:gridCol w:w="109"/>
        <w:gridCol w:w="109"/>
        <w:gridCol w:w="109"/>
        <w:gridCol w:w="608"/>
        <w:gridCol w:w="263"/>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Equity Incentive Plan Awards </w:t>
            </w:r>
            <w:r>
              <w:rPr>
                <w:rFonts w:ascii="Times New Roman;sans-serif" w:hAnsi="Times New Roman;sans-serif"/>
                <w:b/>
                <w:color w:val="000000"/>
                <w:sz w:val="10"/>
              </w:rPr>
              <w:t>(4)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Vesting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Number of Securities Underlying Unexercised Options Unvested </w:t>
            </w:r>
            <w:r>
              <w:rPr>
                <w:rFonts w:ascii="Times New Roman;sans-serif" w:hAnsi="Times New Roman;sans-serif"/>
                <w:b/>
                <w:color w:val="000000"/>
                <w:sz w:val="10"/>
              </w:rPr>
              <w:t>(2)</w:t>
            </w: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Exercise Price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Market Value of Shares or Units of Stock That Have Not Vested</w:t>
            </w:r>
            <w:r>
              <w:rPr>
                <w:rFonts w:ascii="Times New Roman;sans-serif" w:hAnsi="Times New Roman;sans-serif"/>
                <w:b/>
                <w:color w:val="000000"/>
                <w:sz w:val="10"/>
              </w:rPr>
              <w:t>(3)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Market Value of Shares or Units of Stock That Have Not Vested</w:t>
            </w:r>
            <w:r>
              <w:rPr>
                <w:color w:val="000000"/>
              </w:rPr>
              <w:t xml:space="preserve"> </w:t>
            </w:r>
            <w:r>
              <w:rPr>
                <w:rFonts w:ascii="Times New Roman;sans-serif" w:hAnsi="Times New Roman;sans-serif"/>
                <w:b/>
                <w:color w:val="000000"/>
                <w:sz w:val="10"/>
              </w:rPr>
              <w:t>(3)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Laura A. Francis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05/26/15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09/06/17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08/15/19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323,246 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05/15/21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258,681 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754,045 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2,234,176 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2,949,179 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57,080 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1,198,109 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Anthony J. Recupero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07/05/16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09/06/17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04/19/21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05/15/21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Anshul Maheshwari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04/21/21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05/15/21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300,997 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493,559 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487,472 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980,254 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804,295 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    Shares are subject to vesting as to 1/48 of the award upon continued service through each month following the vesting commencement date, through the fourth anniversary of the vesting commencement date.</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unvested shares subject to these options are subject to accelerated vesting in the event termination of the award recipient’s employment in connection with a change of control of the company. </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(3)    For purposes of determining market value, we assumed a stock price of $20.99, the closing sale price per share of our common stock on December 31, 2023, the last business day of our last fiscal year.</w:t>
      </w:r>
    </w:p>
    <w:p>
      <w:pPr>
        <w:pStyle w:val="TextBody"/>
        <w:bidi w:val="0"/>
        <w:spacing w:before="0" w:after="0"/>
        <w:ind w:left="0" w:right="0" w:hanging="405"/>
        <w:jc w:val="both"/>
        <w:rPr/>
      </w:pPr>
      <w:r>
        <w:rPr/>
      </w:r>
    </w:p>
    <w:p>
      <w:pPr>
        <w:pStyle w:val="TextBody"/>
        <w:bidi w:val="0"/>
        <w:spacing w:lineRule="auto" w:line="268" w:before="0" w:after="0"/>
        <w:ind w:left="0" w:right="0" w:hanging="405"/>
        <w:jc w:val="left"/>
        <w:rPr>
          <w:rFonts w:ascii="Times New Roman;sans-serif" w:hAnsi="Times New Roman;sans-serif"/>
          <w:b w:val="false"/>
          <w:color w:val="000000"/>
          <w:sz w:val="20"/>
        </w:rPr>
      </w:pPr>
      <w:r>
        <w:rPr>
          <w:rFonts w:ascii="Times New Roman;sans-serif" w:hAnsi="Times New Roman;sans-serif"/>
          <w:b w:val="false"/>
          <w:color w:val="000000"/>
          <w:sz w:val="20"/>
        </w:rPr>
        <w:t>(4)    This represents the maximum number of issuable shares under the awards. The target number of shares is 50% of the maximum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did not participate in, or otherwise receive any benefits under, any pension or retirement plan sponsored by us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2"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bidi w:val="0"/>
        <w:spacing w:lineRule="auto" w:line="312"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did not participate in, or earn any benefits under, a nonqualified deferred compensation plan sponsored by us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center"/>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312"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certain information with respect to all of our equity compensation plans in effect as of December 31, 2023.</w:t>
      </w:r>
    </w:p>
    <w:tbl>
      <w:tblPr>
        <w:tblW w:w="10205" w:type="dxa"/>
        <w:jc w:val="center"/>
        <w:tblInd w:w="0" w:type="dxa"/>
        <w:tblLayout w:type="fixed"/>
        <w:tblCellMar>
          <w:top w:w="28" w:type="dxa"/>
          <w:left w:w="28" w:type="dxa"/>
          <w:bottom w:w="28" w:type="dxa"/>
          <w:right w:w="28" w:type="dxa"/>
        </w:tblCellMar>
      </w:tblPr>
      <w:tblGrid>
        <w:gridCol w:w="736"/>
        <w:gridCol w:w="647"/>
        <w:gridCol w:w="652"/>
        <w:gridCol w:w="109"/>
        <w:gridCol w:w="109"/>
        <w:gridCol w:w="109"/>
        <w:gridCol w:w="801"/>
        <w:gridCol w:w="679"/>
        <w:gridCol w:w="681"/>
        <w:gridCol w:w="109"/>
        <w:gridCol w:w="109"/>
        <w:gridCol w:w="109"/>
        <w:gridCol w:w="659"/>
        <w:gridCol w:w="659"/>
        <w:gridCol w:w="661"/>
        <w:gridCol w:w="109"/>
        <w:gridCol w:w="109"/>
        <w:gridCol w:w="109"/>
        <w:gridCol w:w="109"/>
        <w:gridCol w:w="810"/>
        <w:gridCol w:w="810"/>
        <w:gridCol w:w="811"/>
        <w:gridCol w:w="116"/>
        <w:gridCol w:w="116"/>
        <w:gridCol w:w="116"/>
        <w:gridCol w:w="161"/>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w:t>
              <w:br/>
              <w:t xml:space="preserve">stock options and awards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outstanding </w:t>
              <w:br/>
              <w:t xml:space="preserve">stock options and awards </w:t>
              <w:br/>
              <w:t>(b)</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issuance under equity </w:t>
              <w:br/>
              <w:t>compensation plans (excluding securities reflected in column (a)</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Equity compensation plans approved by stockholders</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3,473,620 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5,673,008 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3,473,620 </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5,673,008 </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405"/>
        <w:jc w:val="left"/>
        <w:rPr>
          <w:rFonts w:ascii="Times New Roman;sans-serif" w:hAnsi="Times New Roman;sans-serif"/>
          <w:b w:val="false"/>
          <w:color w:val="000000"/>
          <w:sz w:val="20"/>
        </w:rPr>
      </w:pPr>
      <w:r>
        <w:rPr>
          <w:rFonts w:ascii="Times New Roman;sans-serif" w:hAnsi="Times New Roman;sans-serif"/>
          <w:b w:val="false"/>
          <w:color w:val="000000"/>
          <w:sz w:val="20"/>
        </w:rPr>
        <w:t>(1)    The equity compensation plans approved by security holders are described in Note 10 to our financial statements included in our Annual Report on Form 10-K for the year ended December 31, 2023.</w:t>
      </w:r>
    </w:p>
    <w:p>
      <w:pPr>
        <w:pStyle w:val="TextBody"/>
        <w:bidi w:val="0"/>
        <w:spacing w:lineRule="auto" w:line="312" w:before="120" w:after="283"/>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    The weighted-average exercise price includes 2,284,912 shares issuable upon vesting of outstanding awards of restricted stock units and performance-based restricted stock unit awards, which have no exercise price. Excluding these awards of restricted stock units, the weighted-average exercise price would be $10.14.</w:t>
      </w:r>
    </w:p>
    <w:p>
      <w:pPr>
        <w:pStyle w:val="TextBody"/>
        <w:bidi w:val="0"/>
        <w:spacing w:lineRule="auto" w:line="312" w:before="120" w:after="283"/>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(3)    Includes 4,454,432 and 1,218,576 shares of common stock available for issuance under the 2018 Equity Incentive Plan, or the 2018 Plan, and the 2018 Employee Stock Purchase Plan, or the ESPP, respectively, as of December 31, 2023. The shares issuable pursuant to our ESPP are not included in the number of shares to be issued pursuant to rights outstanding and the weighted-average exercise price of such rights as of December 31, 2023, as those numbers are not known.</w:t>
      </w:r>
    </w:p>
    <w:p>
      <w:pPr>
        <w:pStyle w:val="TextBody"/>
        <w:bidi w:val="0"/>
        <w:spacing w:lineRule="auto" w:line="312" w:before="120" w:after="283"/>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(4)    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3"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lineRule="auto" w:line="312" w:before="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of Non-Employee Board Members</w:t>
      </w:r>
    </w:p>
    <w:p>
      <w:pPr>
        <w:pStyle w:val="TextBody"/>
        <w:bidi w:val="0"/>
        <w:spacing w:lineRule="auto" w:line="312" w:before="0" w:after="240"/>
        <w:jc w:val="both"/>
        <w:rPr/>
      </w:pPr>
      <w:r>
        <w:rPr>
          <w:rFonts w:ascii="Times New Roman;sans-serif" w:hAnsi="Times New Roman;sans-serif"/>
          <w:b w:val="false"/>
          <w:color w:val="000000"/>
          <w:sz w:val="20"/>
          <w:shd w:fill="FFFFFF" w:val="clear"/>
        </w:rPr>
        <w:t xml:space="preserve">The following table shows for the fiscal year ended December 31, 2023, certain information with respect to the compensation of all non-employee directors of </w:t>
      </w:r>
      <w:r>
        <w:rPr>
          <w:rFonts w:ascii="Times New Roman;sans-serif" w:hAnsi="Times New Roman;sans-serif"/>
          <w:b w:val="false"/>
          <w:color w:val="000000"/>
          <w:sz w:val="20"/>
        </w:rPr>
        <w:t>SI-BONE and Mr. Dunn</w:t>
      </w:r>
      <w:r>
        <w:rPr>
          <w:rFonts w:ascii="Times New Roman;sans-serif" w:hAnsi="Times New Roman;sans-serif"/>
          <w:b w:val="false"/>
          <w:color w:val="000000"/>
          <w:sz w:val="20"/>
          <w:shd w:fill="FFFFFF" w:val="clear"/>
        </w:rPr>
        <w:t xml:space="preserve">: </w:t>
      </w:r>
    </w:p>
    <w:tbl>
      <w:tblPr>
        <w:tblW w:w="10081" w:type="dxa"/>
        <w:jc w:val="center"/>
        <w:tblInd w:w="0" w:type="dxa"/>
        <w:tblLayout w:type="fixed"/>
        <w:tblCellMar>
          <w:top w:w="28" w:type="dxa"/>
          <w:left w:w="28" w:type="dxa"/>
          <w:bottom w:w="28" w:type="dxa"/>
          <w:right w:w="28" w:type="dxa"/>
        </w:tblCellMar>
      </w:tblPr>
      <w:tblGrid>
        <w:gridCol w:w="668"/>
        <w:gridCol w:w="583"/>
        <w:gridCol w:w="594"/>
        <w:gridCol w:w="109"/>
        <w:gridCol w:w="109"/>
        <w:gridCol w:w="109"/>
        <w:gridCol w:w="255"/>
        <w:gridCol w:w="873"/>
        <w:gridCol w:w="133"/>
        <w:gridCol w:w="109"/>
        <w:gridCol w:w="109"/>
        <w:gridCol w:w="109"/>
        <w:gridCol w:w="1109"/>
        <w:gridCol w:w="1109"/>
        <w:gridCol w:w="1112"/>
        <w:gridCol w:w="109"/>
        <w:gridCol w:w="109"/>
        <w:gridCol w:w="109"/>
        <w:gridCol w:w="211"/>
        <w:gridCol w:w="826"/>
        <w:gridCol w:w="109"/>
        <w:gridCol w:w="109"/>
        <w:gridCol w:w="109"/>
        <w:gridCol w:w="109"/>
        <w:gridCol w:w="211"/>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Fees Earned or</w:t>
            </w:r>
          </w:p>
          <w:p>
            <w:pPr>
              <w:pStyle w:val="TableContents"/>
              <w:bidi w:val="0"/>
              <w:spacing w:lineRule="auto" w:line="240" w:before="0" w:after="0"/>
              <w:jc w:val="center"/>
              <w:rPr/>
            </w:pPr>
            <w:r>
              <w:rPr>
                <w:rFonts w:ascii="Times New Roman;sans-serif" w:hAnsi="Times New Roman;sans-serif"/>
                <w:b/>
                <w:color w:val="000000"/>
                <w:sz w:val="18"/>
              </w:rPr>
              <w:t>Paid in Cash</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Non-Equity Incentive Plan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w:t>
            </w:r>
          </w:p>
          <w:p>
            <w:pPr>
              <w:pStyle w:val="TableContents"/>
              <w:bidi w:val="0"/>
              <w:spacing w:lineRule="auto" w:line="240" w:before="0" w:after="0"/>
              <w:jc w:val="center"/>
              <w:rPr/>
            </w:pPr>
            <w:r>
              <w:rPr>
                <w:rFonts w:ascii="Times New Roman;sans-serif" w:hAnsi="Times New Roman;sans-serif"/>
                <w:b/>
                <w:color w:val="000000"/>
                <w:sz w:val="18"/>
              </w:rPr>
              <w:t>Awards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Jeffrey W. Dunn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126,567 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Helen Loh</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Keith C. Valentine</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    Payments earned for services rendered in the fourth quarter of 2023 were paid in January 2024.</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    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2, 2024. Only one RSU was granted to each non-employee director during 2023, with the exception of Mr. Dunn as he transitioned to Chair of the Board.</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(3)    Cash compensation of our Executive Chair is paid as salary. In January 2024, Mr. Dunn also received an annual bonus under the Corporate Bonus Plan for 2023.</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(4)    Ms. Loh is not standing for re-election at the Annual Meeting and will therefore step down as a director and as a member of the Nominating and Corporate Governance Committee upon the expiration of her term at the conclusion of the Annual Meeting.</w:t>
      </w:r>
    </w:p>
    <w:p>
      <w:pPr>
        <w:pStyle w:val="TextBody"/>
        <w:bidi w:val="0"/>
        <w:spacing w:before="0" w:after="0"/>
        <w:jc w:val="left"/>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(5) Mr. Valentine is not standing for re-election at the Annual Meeting and will therefore step down as a director and as chairperson of the Nominating and Corporate Governance Committee upon the expiration of his term at the conclusion of the Annual Meeting.</w:t>
      </w:r>
    </w:p>
    <w:p>
      <w:pPr>
        <w:pStyle w:val="TextBody"/>
        <w:bidi w:val="0"/>
        <w:spacing w:before="0" w:after="0"/>
        <w:ind w:left="0" w:right="0" w:hanging="405"/>
        <w:jc w:val="both"/>
        <w:rPr/>
      </w:pPr>
      <w:r>
        <w:rPr/>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lists the aggregate number of shares subject to outstanding stock awards held by each of our non-employee directors as of December 31, 2023.</w:t>
      </w:r>
    </w:p>
    <w:tbl>
      <w:tblPr>
        <w:tblW w:w="7598" w:type="dxa"/>
        <w:jc w:val="center"/>
        <w:tblInd w:w="0" w:type="dxa"/>
        <w:tblLayout w:type="fixed"/>
        <w:tblCellMar>
          <w:top w:w="28" w:type="dxa"/>
          <w:left w:w="28" w:type="dxa"/>
          <w:bottom w:w="28" w:type="dxa"/>
          <w:right w:w="28" w:type="dxa"/>
        </w:tblCellMar>
      </w:tblPr>
      <w:tblGrid>
        <w:gridCol w:w="668"/>
        <w:gridCol w:w="583"/>
        <w:gridCol w:w="594"/>
        <w:gridCol w:w="109"/>
        <w:gridCol w:w="109"/>
        <w:gridCol w:w="109"/>
        <w:gridCol w:w="869"/>
        <w:gridCol w:w="869"/>
        <w:gridCol w:w="871"/>
        <w:gridCol w:w="109"/>
        <w:gridCol w:w="109"/>
        <w:gridCol w:w="109"/>
        <w:gridCol w:w="729"/>
        <w:gridCol w:w="729"/>
        <w:gridCol w:w="1032"/>
      </w:tblGrid>
      <w:tr>
        <w:trPr/>
        <w:tc>
          <w:tcPr>
            <w:tcW w:w="66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br/>
              <w:t>Subject to</w:t>
              <w:br/>
              <w:t>Outstanding</w:t>
              <w:br/>
              <w:t>Options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br/>
              <w:t>Subject to</w:t>
              <w:br/>
              <w:t>Outstanding</w:t>
              <w:br/>
              <w:t>RSUs as of December 31, 2023</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71,138 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W. Dunn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228,754 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36,236 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4"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Non-Employee Director Compensation Policy</w:t>
      </w:r>
    </w:p>
    <w:p>
      <w:pPr>
        <w:pStyle w:val="TextBody"/>
        <w:bidi w:val="0"/>
        <w:spacing w:lineRule="auto" w:line="312"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non-employee director compensation policy, pursuant to which our non-employee directors will be eligible to receive cash compensation for service on our Board and committees of our Board.</w:t>
      </w:r>
    </w:p>
    <w:p>
      <w:pPr>
        <w:pStyle w:val="TextBody"/>
        <w:bidi w:val="0"/>
        <w:spacing w:lineRule="auto" w:line="312"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receives an annual cash retainer of $45,000 for serving on our Board.</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 and members of the three committees of our Board are entitled to the following annual cash retainers:</w:t>
      </w:r>
    </w:p>
    <w:tbl>
      <w:tblPr>
        <w:tblW w:w="7320" w:type="dxa"/>
        <w:jc w:val="left"/>
        <w:tblInd w:w="0" w:type="dxa"/>
        <w:tblLayout w:type="fixed"/>
        <w:tblCellMar>
          <w:top w:w="28" w:type="dxa"/>
          <w:left w:w="28" w:type="dxa"/>
          <w:bottom w:w="28" w:type="dxa"/>
          <w:right w:w="28" w:type="dxa"/>
        </w:tblCellMar>
      </w:tblPr>
      <w:tblGrid>
        <w:gridCol w:w="1559"/>
        <w:gridCol w:w="1370"/>
        <w:gridCol w:w="1375"/>
        <w:gridCol w:w="109"/>
        <w:gridCol w:w="109"/>
        <w:gridCol w:w="109"/>
        <w:gridCol w:w="258"/>
        <w:gridCol w:w="883"/>
        <w:gridCol w:w="135"/>
        <w:gridCol w:w="109"/>
        <w:gridCol w:w="109"/>
        <w:gridCol w:w="109"/>
        <w:gridCol w:w="211"/>
        <w:gridCol w:w="721"/>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Board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Chairperson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Member Fee</w:t>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 Committee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Nominating and Corporate Governance Committee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annual cash compensation amounts are payable in equal quarterly installments in arrears, on the last day of each fiscal quarter for which the service occurred, pro-rated based on the days served in the applicable fiscal quarter.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new non-employee director who joins our Board will receive a restricted stock unit award with a value of $250,000. The shares subject to these equity awards will vest ratably over 36 months, subject to the non-employee director’s continuous service with us on each applicable vesting date.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policy, on the date of each annual meeting of our stockholders, each continuing non-employee director may receive a restricted stock unit award with a value of $120,000, vesting approximately one year from the grant date, subject to the non-employee director’s continuous service with us on each applicable vesting date.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Compensation of Executive Chair</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Jeffrey Dunn became our Chair of the Board and was compensated according to our non-employee director compensation policy described below. Prior to May 1, 2023, Jeffrey Dunn served as our Executive Chairman, pursuant to the Amendment dated January 5, 2021 to the Offer Letter Agreement dated December 15, 2009 and the Severance Plan Participation (the "Executive Chairman Agreement"). Pursuant to the Executive Chairman Agreement, Mr. Dunn devoted 50% of his business time to the affairs of the company, including leadership of our Board, and was paid a salary equal to approximately 50% of his salary effective immediately prior to his transition from Chief Executive Officer of the company to Executive Chair of the company in April 2021. In addition, in January 2023, our Compensation Committee approved the grant of a restricted stock unit to Mr. Dunn, vesting quarterly over the four years following the date of grant. Mr. Dunn was also eligible to participate in our annual Corporate Bonus Plan in 2023, with a target bonus amount of 100% of the salary earned in the same period, with achievement based on corporate performance, consistent with our Named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5"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before="0" w:after="0"/>
        <w:jc w:val="center"/>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actually paid disclosed below for our Principal Executive Officer (“PEO”) and the average of our non-PEO Named Executive Officers “Non-PEO NEOs” was calculated in accordance with the requirements of Item 402(v) of Regulation S-K. The compensation actually paid figures presented in the table below incorporate total executive compensation as reported in the Summary Compensation Table adjusted for changes in the fair value of equity awards (we do not have any pension benefits). Accordingly, compensation actually paid does not equate to the amount that is actually paid to any executive in a given year and is merely a measurement determined by the SEC in an effort to identify the relationship between executive compensation and our financial performance.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actually paid to our PEO and average of our Non-PEO NEOs, serving in such capacity, along with certain measures of our performance in each of the three years ended December 31, 2023, December 31, 2022 and December 31, 2021:</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6"/>
        <w:gridCol w:w="163"/>
        <w:gridCol w:w="165"/>
        <w:gridCol w:w="212"/>
        <w:gridCol w:w="942"/>
        <w:gridCol w:w="117"/>
        <w:gridCol w:w="207"/>
        <w:gridCol w:w="920"/>
        <w:gridCol w:w="115"/>
        <w:gridCol w:w="212"/>
        <w:gridCol w:w="942"/>
        <w:gridCol w:w="117"/>
        <w:gridCol w:w="207"/>
        <w:gridCol w:w="923"/>
        <w:gridCol w:w="115"/>
        <w:gridCol w:w="220"/>
        <w:gridCol w:w="978"/>
        <w:gridCol w:w="122"/>
        <w:gridCol w:w="215"/>
        <w:gridCol w:w="959"/>
        <w:gridCol w:w="120"/>
        <w:gridCol w:w="395"/>
        <w:gridCol w:w="522"/>
        <w:gridCol w:w="174"/>
        <w:gridCol w:w="200"/>
        <w:gridCol w:w="588"/>
        <w:gridCol w:w="169"/>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Year</w:t>
            </w:r>
            <w:r>
              <w:rPr>
                <w:rFonts w:ascii="Times New Roman;sans-serif" w:hAnsi="Times New Roman;sans-serif"/>
                <w:b/>
                <w:color w:val="000000"/>
                <w:sz w:val="10"/>
              </w:rPr>
              <w:t>(1)</w:t>
            </w:r>
          </w:p>
        </w:tc>
        <w:tc>
          <w:tcPr>
            <w:tcW w:w="127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Summary Compensation Table Total for PEO#1</w:t>
            </w:r>
            <w:r>
              <w:rPr>
                <w:rFonts w:ascii="Times New Roman;sans-serif" w:hAnsi="Times New Roman;sans-serif"/>
                <w:b/>
                <w:color w:val="000000"/>
                <w:sz w:val="10"/>
              </w:rPr>
              <w:t>(2)</w:t>
            </w:r>
          </w:p>
        </w:tc>
        <w:tc>
          <w:tcPr>
            <w:tcW w:w="12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Actually Paid to PEO#1</w:t>
            </w:r>
          </w:p>
        </w:tc>
        <w:tc>
          <w:tcPr>
            <w:tcW w:w="127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Summary Compensation Table Total for PEO#2</w:t>
            </w:r>
            <w:r>
              <w:rPr>
                <w:rFonts w:ascii="Times New Roman;sans-serif" w:hAnsi="Times New Roman;sans-serif"/>
                <w:b/>
                <w:color w:val="000000"/>
                <w:sz w:val="10"/>
              </w:rPr>
              <w:t>(3)</w:t>
            </w:r>
          </w:p>
        </w:tc>
        <w:tc>
          <w:tcPr>
            <w:tcW w:w="124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Compensation Actually Paid to PEO#2</w:t>
            </w:r>
            <w:r>
              <w:rPr>
                <w:rFonts w:ascii="Times New Roman;sans-serif" w:hAnsi="Times New Roman;sans-serif"/>
                <w:b/>
                <w:color w:val="000000"/>
                <w:sz w:val="10"/>
              </w:rPr>
              <w:t>(4)</w:t>
            </w:r>
          </w:p>
        </w:tc>
        <w:tc>
          <w:tcPr>
            <w:tcW w:w="13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Average Summary Compensation Table Total for Non-PEO NEOs</w:t>
            </w:r>
            <w:r>
              <w:rPr>
                <w:rFonts w:ascii="Times New Roman;sans-serif" w:hAnsi="Times New Roman;sans-serif"/>
                <w:b/>
                <w:color w:val="000000"/>
                <w:sz w:val="10"/>
              </w:rPr>
              <w:t>(5)</w:t>
            </w:r>
          </w:p>
        </w:tc>
        <w:tc>
          <w:tcPr>
            <w:tcW w:w="129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Average Compensation Actually Paid to Non-PEO NEOs</w:t>
            </w:r>
            <w:r>
              <w:rPr>
                <w:rFonts w:ascii="Times New Roman;sans-serif" w:hAnsi="Times New Roman;sans-serif"/>
                <w:b/>
                <w:color w:val="000000"/>
                <w:sz w:val="10"/>
              </w:rPr>
              <w:t>(6)</w:t>
            </w:r>
          </w:p>
        </w:tc>
        <w:tc>
          <w:tcPr>
            <w:tcW w:w="10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w:t>
            </w:r>
          </w:p>
        </w:tc>
        <w:tc>
          <w:tcPr>
            <w:tcW w:w="95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Net Loss (millions)</w:t>
            </w:r>
            <w:r>
              <w:rPr>
                <w:rFonts w:ascii="Times New Roman;sans-serif" w:hAnsi="Times New Roman;sans-serif"/>
                <w:b/>
                <w:color w:val="000000"/>
                <w:sz w:val="10"/>
              </w:rPr>
              <w:t>(8)</w:t>
            </w:r>
          </w:p>
        </w:tc>
      </w:tr>
      <w:tr>
        <w:trPr/>
        <w:tc>
          <w:tcPr>
            <w:tcW w:w="51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7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42"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27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4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9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000000"/>
                <w:sz w:val="16"/>
              </w:rPr>
              <w:t>Total Shareholder Return</w:t>
            </w:r>
            <w:r>
              <w:rPr>
                <w:rFonts w:ascii="Times New Roman;sans-serif" w:hAnsi="Times New Roman;sans-serif"/>
                <w:b/>
                <w:color w:val="000000"/>
                <w:sz w:val="10"/>
              </w:rPr>
              <w:t>(7)</w:t>
            </w:r>
          </w:p>
        </w:tc>
        <w:tc>
          <w:tcPr>
            <w:tcW w:w="95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5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21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3,713,871 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7,085,626 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1,958,890 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3,453,403 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w:t>
            </w:r>
          </w:p>
        </w:tc>
        <w:tc>
          <w:tcPr>
            <w:tcW w:w="16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4,893,959 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2,243,715 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1,185,889 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(61.26)</w:t>
            </w:r>
          </w:p>
        </w:tc>
        <w:tc>
          <w:tcPr>
            <w:tcW w:w="16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212"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4,347,631 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1,058,832 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3,430,641 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2,203,680 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2,075,023 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1,418,469 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(56.57)</w:t>
            </w:r>
          </w:p>
        </w:tc>
        <w:tc>
          <w:tcPr>
            <w:tcW w:w="169"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 We are a smaller reporting company and, accordingly, we have not included any information in this table for 2019 and 2020.</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 The dollar amounts represent the amounts of total compensation reported for Mr. Dunn (our former CEO) for 2021 in the “Total” column of the Summary Compensation Table in our 2022 proxy statement.</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(3)    The dollar amounts represent the amounts of total compensation reported for Ms. Francis (our current CEO) for each corresponding year in the “Total” column of the Summary Compensation Table. Refer to “Executive Compensation—Summary Compensation Table.”</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dollar amounts represent the amount of “compensation actually paid” to Ms. Francis, as computed in accordance with Item 402(v) of Regulation S-K. The dollar amounts do not reflect the actual amount of compensation earned by or paid to Ms. Francis during the applicable year. In accordance with the requirements of Item 402(v) of Regulation S-K, the following adjustments were made to Ms. Francis’s total compensation for 2023 to determine the compensation actually paid: </w:t>
      </w:r>
    </w:p>
    <w:p>
      <w:pPr>
        <w:pStyle w:val="TextBody"/>
        <w:bidi w:val="0"/>
        <w:ind w:left="0" w:right="0" w:hanging="405"/>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6"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4"/>
        <w:gridCol w:w="153"/>
        <w:gridCol w:w="154"/>
        <w:gridCol w:w="216"/>
        <w:gridCol w:w="962"/>
        <w:gridCol w:w="120"/>
        <w:gridCol w:w="245"/>
        <w:gridCol w:w="1092"/>
        <w:gridCol w:w="136"/>
        <w:gridCol w:w="247"/>
        <w:gridCol w:w="1098"/>
        <w:gridCol w:w="137"/>
        <w:gridCol w:w="242"/>
        <w:gridCol w:w="1078"/>
        <w:gridCol w:w="134"/>
        <w:gridCol w:w="239"/>
        <w:gridCol w:w="900"/>
        <w:gridCol w:w="133"/>
        <w:gridCol w:w="250"/>
        <w:gridCol w:w="940"/>
        <w:gridCol w:w="139"/>
        <w:gridCol w:w="208"/>
        <w:gridCol w:w="926"/>
        <w:gridCol w:w="115"/>
        <w:gridCol w:w="16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9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Summary Compensation Table Total </w:t>
            </w:r>
          </w:p>
        </w:tc>
        <w:tc>
          <w:tcPr>
            <w:tcW w:w="147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Minus</w:t>
            </w:r>
            <w:r>
              <w:rPr>
                <w:color w:val="000000"/>
              </w:rPr>
              <w:t xml:space="preserve"> </w:t>
            </w:r>
            <w:r>
              <w:rPr>
                <w:rFonts w:ascii="Times New Roman;sans-serif" w:hAnsi="Times New Roman;sans-serif"/>
                <w:b/>
                <w:color w:val="000000"/>
                <w:sz w:val="16"/>
              </w:rPr>
              <w:t>Stock and Option Awards from Summary Compensation Table</w:t>
            </w:r>
          </w:p>
        </w:tc>
        <w:tc>
          <w:tcPr>
            <w:tcW w:w="148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 xml:space="preserve">Plus </w:t>
            </w:r>
            <w:r>
              <w:rPr>
                <w:rFonts w:ascii="Times New Roman;sans-serif" w:hAnsi="Times New Roman;sans-serif"/>
                <w:b/>
                <w:color w:val="000000"/>
                <w:sz w:val="16"/>
              </w:rPr>
              <w:t>Year-End Equity Value of Unvested Awards Granted During Year</w:t>
            </w:r>
          </w:p>
        </w:tc>
        <w:tc>
          <w:tcPr>
            <w:tcW w:w="145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Plus</w:t>
            </w:r>
            <w:r>
              <w:rPr>
                <w:color w:val="000000"/>
              </w:rPr>
              <w:t xml:space="preserve"> </w:t>
            </w:r>
            <w:r>
              <w:rPr>
                <w:rFonts w:ascii="Times New Roman;sans-serif" w:hAnsi="Times New Roman;sans-serif"/>
                <w:b/>
                <w:color w:val="000000"/>
                <w:sz w:val="16"/>
              </w:rPr>
              <w:t>Change in Value of Unvested Awards Granted in Prior Years</w:t>
            </w:r>
          </w:p>
        </w:tc>
        <w:tc>
          <w:tcPr>
            <w:tcW w:w="127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Plus</w:t>
            </w:r>
            <w:r>
              <w:rPr>
                <w:color w:val="000000"/>
              </w:rPr>
              <w:t xml:space="preserve"> </w:t>
            </w:r>
            <w:r>
              <w:rPr>
                <w:rFonts w:ascii="Times New Roman;sans-serif" w:hAnsi="Times New Roman;sans-serif"/>
                <w:b/>
                <w:color w:val="000000"/>
                <w:sz w:val="16"/>
              </w:rPr>
              <w:t>Value of Awards Granted and Vested During Year</w:t>
            </w:r>
          </w:p>
        </w:tc>
        <w:tc>
          <w:tcPr>
            <w:tcW w:w="132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Plus</w:t>
            </w:r>
            <w:r>
              <w:rPr>
                <w:color w:val="000000"/>
              </w:rPr>
              <w:t xml:space="preserve"> </w:t>
            </w:r>
            <w:r>
              <w:rPr>
                <w:rFonts w:ascii="Times New Roman;sans-serif" w:hAnsi="Times New Roman;sans-serif"/>
                <w:b/>
                <w:color w:val="000000"/>
                <w:sz w:val="16"/>
              </w:rPr>
              <w:t>Change in Value of Prior Years' Awards Vested During Year</w:t>
            </w:r>
          </w:p>
        </w:tc>
        <w:tc>
          <w:tcPr>
            <w:tcW w:w="124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Actually Paid</w:t>
            </w:r>
          </w:p>
        </w:tc>
        <w:tc>
          <w:tcPr>
            <w:tcW w:w="167" w:type="dxa"/>
            <w:tcBorders/>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9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7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8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5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7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2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4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216"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3,713,871 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2,449,257 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4,018,631 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1,002,852 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297,952 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501,577 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7,085,626 </w:t>
            </w:r>
          </w:p>
        </w:tc>
        <w:tc>
          <w:tcPr>
            <w:tcW w:w="115"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(5) The dollar amounts represent the average of the amounts reported for our non-PEO NEOs as a group in the “Total” column of the Summary Compensation Table in each applicable year. The Non-PEO NEOs included for purposes of calculating the average amounts in each applicable year were Mr. Maheshwari and Mr. Recupero.</w:t>
      </w:r>
    </w:p>
    <w:p>
      <w:pPr>
        <w:pStyle w:val="TextBody"/>
        <w:bidi w:val="0"/>
        <w:spacing w:before="0" w:after="0"/>
        <w:ind w:left="0" w:right="0" w:hanging="405"/>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(6) The dollar amounts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2023 to determine the compensation actually paid, using the same methodology described above in footnote 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219"/>
        <w:gridCol w:w="977"/>
        <w:gridCol w:w="122"/>
        <w:gridCol w:w="248"/>
        <w:gridCol w:w="1103"/>
        <w:gridCol w:w="138"/>
        <w:gridCol w:w="249"/>
        <w:gridCol w:w="1110"/>
        <w:gridCol w:w="138"/>
        <w:gridCol w:w="253"/>
        <w:gridCol w:w="952"/>
        <w:gridCol w:w="141"/>
        <w:gridCol w:w="243"/>
        <w:gridCol w:w="913"/>
        <w:gridCol w:w="135"/>
        <w:gridCol w:w="253"/>
        <w:gridCol w:w="952"/>
        <w:gridCol w:w="140"/>
        <w:gridCol w:w="212"/>
        <w:gridCol w:w="945"/>
        <w:gridCol w:w="118"/>
        <w:gridCol w:w="16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31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Avg. Summary Compensation Table Total</w:t>
            </w:r>
          </w:p>
        </w:tc>
        <w:tc>
          <w:tcPr>
            <w:tcW w:w="148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 xml:space="preserve">Minus </w:t>
            </w:r>
            <w:r>
              <w:rPr>
                <w:rFonts w:ascii="Times New Roman;sans-serif" w:hAnsi="Times New Roman;sans-serif"/>
                <w:b/>
                <w:color w:val="000000"/>
                <w:sz w:val="16"/>
              </w:rPr>
              <w:t>Avg. Stock and Option Awards from Summary Compensation Table</w:t>
            </w:r>
          </w:p>
        </w:tc>
        <w:tc>
          <w:tcPr>
            <w:tcW w:w="149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 xml:space="preserve">Plus </w:t>
            </w:r>
            <w:r>
              <w:rPr>
                <w:rFonts w:ascii="Times New Roman;sans-serif" w:hAnsi="Times New Roman;sans-serif"/>
                <w:b/>
                <w:color w:val="000000"/>
                <w:sz w:val="16"/>
              </w:rPr>
              <w:t>Avg. Year-End Equity Value of Unvested Awards Granted During Year</w:t>
            </w:r>
          </w:p>
        </w:tc>
        <w:tc>
          <w:tcPr>
            <w:tcW w:w="13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Plus</w:t>
            </w:r>
            <w:r>
              <w:rPr>
                <w:color w:val="000000"/>
              </w:rPr>
              <w:t xml:space="preserve"> </w:t>
            </w:r>
            <w:r>
              <w:rPr>
                <w:rFonts w:ascii="Times New Roman;sans-serif" w:hAnsi="Times New Roman;sans-serif"/>
                <w:b/>
                <w:color w:val="000000"/>
                <w:sz w:val="16"/>
              </w:rPr>
              <w:t>Avg. Change in Value of Unvested Awards Granted in Prior Years</w:t>
            </w:r>
          </w:p>
        </w:tc>
        <w:tc>
          <w:tcPr>
            <w:tcW w:w="129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 xml:space="preserve">Plus </w:t>
            </w:r>
            <w:r>
              <w:rPr>
                <w:rFonts w:ascii="Times New Roman;sans-serif" w:hAnsi="Times New Roman;sans-serif"/>
                <w:b/>
                <w:color w:val="000000"/>
                <w:sz w:val="16"/>
              </w:rPr>
              <w:t>Avg. Value of Awards Granted and Vested During Year</w:t>
            </w:r>
          </w:p>
        </w:tc>
        <w:tc>
          <w:tcPr>
            <w:tcW w:w="134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i/>
                <w:color w:val="000000"/>
                <w:sz w:val="16"/>
              </w:rPr>
              <w:t>Plus</w:t>
            </w:r>
            <w:r>
              <w:rPr>
                <w:color w:val="000000"/>
              </w:rPr>
              <w:t xml:space="preserve"> </w:t>
            </w:r>
            <w:r>
              <w:rPr>
                <w:rFonts w:ascii="Times New Roman;sans-serif" w:hAnsi="Times New Roman;sans-serif"/>
                <w:b/>
                <w:color w:val="000000"/>
                <w:sz w:val="16"/>
              </w:rPr>
              <w:t>Avg. Change in Value of Prior Years' Awards Vested During Year</w:t>
            </w:r>
          </w:p>
        </w:tc>
        <w:tc>
          <w:tcPr>
            <w:tcW w:w="127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Avg. Compensation Actually Paid</w:t>
            </w:r>
          </w:p>
        </w:tc>
        <w:tc>
          <w:tcPr>
            <w:tcW w:w="163" w:type="dxa"/>
            <w:tcBorders/>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1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8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9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9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4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7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21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1,958,890 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1,154,988 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1,749,296 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418,790 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243,780 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237,635 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3,453,403 </w:t>
            </w:r>
          </w:p>
        </w:tc>
        <w:tc>
          <w:tcPr>
            <w:tcW w:w="118"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 Cumulative TSR is calculated by dividing a fixed investment of $100 at the beginning of the measurement period (December 31, 2020) into a number of shares by the value of that investment at the end of the respective year plus the cumulative amount of dividends for the period, assuming dividend reinvestment. </w:t>
      </w:r>
    </w:p>
    <w:p>
      <w:pPr>
        <w:pStyle w:val="TextBody"/>
        <w:bidi w:val="0"/>
        <w:spacing w:before="0" w:after="0"/>
        <w:jc w:val="left"/>
        <w:rPr/>
      </w:pPr>
      <w:r>
        <w:rPr/>
      </w:r>
    </w:p>
    <w:p>
      <w:pPr>
        <w:pStyle w:val="TextBody"/>
        <w:bidi w:val="0"/>
        <w:spacing w:lineRule="auto" w:line="312" w:before="0" w:after="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(8) The dollar amounts reported represent the amount of net loss reflected in our audited financial statements for the applicable year.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Analysis of the Information Presented in the Pay Versus Performance Table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more detail above, our executive compensation program reflects a variable pay-for-performance philosophy. While we utilize several performance measures to align executive compensation with our performance, not all of those company measures are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Actually Paid and Cumulative TSR</w:t>
      </w:r>
    </w:p>
    <w:p>
      <w:pPr>
        <w:pStyle w:val="TextBody"/>
        <w:bidi w:val="0"/>
        <w:spacing w:before="0" w:after="0"/>
        <w:ind w:left="0" w:right="0" w:firstLine="72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shows the relationship between compensation actually paid and TSR. TSR shows the cumulative total return on an investment of $100 in cash in our common stock on December 31, 2020 through December 31, 2023, assuming that any dividends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7"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were reinvested. The return shown on the graph below is not necessarily indicative of future performance, and we do not make or endorse any predictions as to future stockholder returns.</w:t>
      </w:r>
    </w:p>
    <w:p>
      <w:pPr>
        <w:pStyle w:val="TextBody"/>
        <w:bidi w:val="0"/>
        <w:spacing w:before="0" w:after="0"/>
        <w:jc w:val="both"/>
        <w:rPr/>
      </w:pPr>
      <w:r>
        <w:rPr/>
        <w:drawing>
          <wp:inline distT="0" distB="0" distL="0" distR="0">
            <wp:extent cx="5486400" cy="3981450"/>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5"/>
                    <a:stretch>
                      <a:fillRect/>
                    </a:stretch>
                  </pic:blipFill>
                  <pic:spPr bwMode="auto">
                    <a:xfrm>
                      <a:off x="0" y="0"/>
                      <a:ext cx="5486400" cy="3981450"/>
                    </a:xfrm>
                    <a:prstGeom prst="rect">
                      <a:avLst/>
                    </a:prstGeom>
                  </pic:spPr>
                </pic:pic>
              </a:graphicData>
            </a:graphic>
          </wp:inline>
        </w:drawing>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Actually Paid and Net Loss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the relationship between compensation actually paid and Net Loss:</w:t>
      </w:r>
    </w:p>
    <w:p>
      <w:pPr>
        <w:pStyle w:val="TextBody"/>
        <w:bidi w:val="0"/>
        <w:spacing w:before="0" w:after="0"/>
        <w:ind w:left="0" w:right="0" w:firstLine="72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9"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ind w:left="0" w:right="0" w:firstLine="720"/>
        <w:jc w:val="both"/>
        <w:rPr/>
      </w:pPr>
      <w:r>
        <w:rPr/>
        <w:drawing>
          <wp:inline distT="0" distB="0" distL="0" distR="0">
            <wp:extent cx="5486400" cy="3981450"/>
            <wp:effectExtent l="0" t="0" r="0" b="0"/>
            <wp:docPr id="5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 descr=""/>
                    <pic:cNvPicPr>
                      <a:picLocks noChangeAspect="1" noChangeArrowheads="1"/>
                    </pic:cNvPicPr>
                  </pic:nvPicPr>
                  <pic:blipFill>
                    <a:blip r:embed="rId6"/>
                    <a:stretch>
                      <a:fillRect/>
                    </a:stretch>
                  </pic:blipFill>
                  <pic:spPr bwMode="auto">
                    <a:xfrm>
                      <a:off x="0" y="0"/>
                      <a:ext cx="5486400" cy="3981450"/>
                    </a:xfrm>
                    <a:prstGeom prst="rect">
                      <a:avLst/>
                    </a:prstGeom>
                  </pic:spPr>
                </pic:pic>
              </a:graphicData>
            </a:graphic>
          </wp:inline>
        </w:drawing>
      </w:r>
    </w:p>
    <w:p>
      <w:pPr>
        <w:pStyle w:val="TextBody"/>
        <w:bidi w:val="0"/>
        <w:spacing w:before="0" w:after="0"/>
        <w:ind w:left="0" w:right="0" w:firstLine="720"/>
        <w:jc w:val="both"/>
        <w:rPr/>
      </w:pPr>
      <w:r>
        <w:rPr/>
      </w:r>
    </w:p>
    <w:p>
      <w:pPr>
        <w:pStyle w:val="TextBody"/>
        <w:bidi w:val="0"/>
        <w:spacing w:lineRule="auto" w:line="268" w:before="0" w:after="0"/>
        <w:jc w:val="left"/>
        <w:rPr/>
      </w:pPr>
      <w:r>
        <w:rPr>
          <w:rFonts w:ascii="Times New Roman;sans-serif" w:hAnsi="Times New Roman;sans-serif"/>
          <w:b w:val="false"/>
          <w:i/>
          <w:color w:val="000000"/>
          <w:sz w:val="20"/>
        </w:rPr>
        <w:t>All information provided above under the “Pay Versus Performance” heading will not be deemed to be incorporated by reference into any filing of SI-BONE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r>
        <w:rPr>
          <w:rFonts w:ascii="Calibri;sans-serif" w:hAnsi="Calibri;sans-serif"/>
          <w:b w:val="false"/>
          <w:i/>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Related Person Transactions Policy and Procedures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Certain Related Person Transactions</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since January 1, 2022, to which we have been a party in which the amount involved exceeded the lesser of $120,000 or one percent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discussed above.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2020, we entered into a joint development agreement (the “Development Agreement”) with SeaSpine Orthopedics Corporation (“SeaSpine”), which recently merged with Orthofix Medical, Inc., to develop a next generation device for sacropelvic fixation. On April 27, 2022, Addendum No.1 to the Development Agreement was entered into by and between us and SeaSpine to extend certain obligations as described under the Development Agreement. Mr. Keith Valentine, served as the President, Chief Executive Officer and a member of the board of directors of SeaSpine, also serves as a member of our Board. On October 4, 2023, Mr. Valentine resigned as a member of the Board of Directors of Orthofix. As such, subsequent to October 4, 2023, SeaSpine is no longer a related party of the Company.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Development Agreement, we agreed to make monthly payments to SeaSpine to reimburse for full time resources employed by SeaSpine responsible for conducting the development activities. For the year ended December 31, 2023, we did not incur any reimbursement charges but purchased an immaterial amount of instrument components from Seaspine. For the year ended December 31, 2022, we expensed $38,725 of reimbursement charges from SeaSpine.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of our intellectual property incorporated into the product to be developed. We also agreed to pay SeaSpine a product royalty, in an amount specified in the Development Agreement, for each resulting product sold for a period of 10 years beginning on the initial market launch. For the year ended December 31, 2023, we paid $0.3 million of royalties and an immaterial amount 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pPr>
      <w:r>
        <w:rPr>
          <w:rFonts w:ascii="Times New Roman;sans-serif" w:hAnsi="Times New Roman;sans-serif"/>
          <w:b w:val="false"/>
          <w:color w:val="000000"/>
          <w:sz w:val="20"/>
        </w:rPr>
        <w:t>I</w:t>
      </w:r>
      <w:r>
        <w:rPr>
          <w:rFonts w:ascii="Times New Roman;sans-serif" w:hAnsi="Times New Roman;sans-serif"/>
          <w:b/>
          <w:color w:val="000000"/>
          <w:sz w:val="20"/>
        </w:rPr>
        <w:t>NDEMNIFICATION AGREEMENTS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2"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HOUSEHOLDING AND PROXY MATERIALS</w:t>
      </w:r>
    </w:p>
    <w:p>
      <w:pPr>
        <w:pStyle w:val="TextBody"/>
        <w:bidi w:val="0"/>
        <w:spacing w:before="0" w:after="0"/>
        <w:jc w:val="center"/>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General Counsel, 471 El Camino Real, Suite 101, Santa Clara, California 95050. Stockholders who currently receive multiple copies of the Annual Meeting materials at their addresses and would like to request “householding” of their communications should contact their brokers.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5040"/>
        <w:jc w:val="both"/>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p>
      <w:pPr>
        <w:pStyle w:val="TextBody"/>
        <w:bidi w:val="0"/>
        <w:spacing w:lineRule="auto" w:line="268" w:before="0" w:after="0"/>
        <w:ind w:left="0" w:right="0" w:firstLine="50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Michael A. Pisetsky </w:t>
      </w:r>
    </w:p>
    <w:p>
      <w:pPr>
        <w:pStyle w:val="TextBody"/>
        <w:bidi w:val="0"/>
        <w:spacing w:lineRule="auto" w:line="26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Michael A. Pisetsky</w:t>
      </w:r>
    </w:p>
    <w:p>
      <w:pPr>
        <w:pStyle w:val="TextBody"/>
        <w:bidi w:val="0"/>
        <w:spacing w:lineRule="auto" w:line="26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Secretary and General Counsel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29,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 copy of SI-BONE, Inc.’s Annual Report to the Securities and Exchange Commission on Form 10-K for the fiscal year ending December 31, 2023 is available without charge upon written request to: Corporate Secretary, SI-BONE, Inc, 471 El Camino Real, Suite 101, Santa Clara, California 95050.</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3"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jc w:val="center"/>
        <w:rPr/>
      </w:pPr>
      <w:r>
        <w:rPr/>
        <w:drawing>
          <wp:inline distT="0" distB="0" distL="0" distR="0">
            <wp:extent cx="6858000" cy="8763000"/>
            <wp:effectExtent l="0" t="0" r="0" b="0"/>
            <wp:docPr id="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 descr=""/>
                    <pic:cNvPicPr>
                      <a:picLocks noChangeAspect="1" noChangeArrowheads="1"/>
                    </pic:cNvPicPr>
                  </pic:nvPicPr>
                  <pic:blipFill>
                    <a:blip r:embed="rId7"/>
                    <a:stretch>
                      <a:fillRect/>
                    </a:stretch>
                  </pic:blipFill>
                  <pic:spPr bwMode="auto">
                    <a:xfrm>
                      <a:off x="0" y="0"/>
                      <a:ext cx="6858000" cy="8763000"/>
                    </a:xfrm>
                    <a:prstGeom prst="rect">
                      <a:avLst/>
                    </a:prstGeom>
                  </pic:spPr>
                </pic:pic>
              </a:graphicData>
            </a:graphic>
          </wp:inline>
        </w:drawing>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5"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jc w:val="center"/>
        <w:rPr/>
      </w:pPr>
      <w:r>
        <w:rPr/>
        <w:drawing>
          <wp:inline distT="0" distB="0" distL="0" distR="0">
            <wp:extent cx="6858000" cy="886777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6858000" cy="88677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28656</Words>
  <Characters>157404</Characters>
  <CharactersWithSpaces>184955</CharactersWithSpaces>
  <Paragraphs>1813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