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165100</wp:posOffset>
            </wp:positionV>
            <wp:extent cx="20237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274955</wp:posOffset>
            </wp:positionV>
            <wp:extent cx="20237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2018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001-38701</w:t>
      </w:r>
    </w:p>
    <w:p>
      <w:pPr>
        <w:spacing w:after="0" w:line="200" w:lineRule="exact"/>
        <w:rPr>
          <w:sz w:val="24"/>
          <w:szCs w:val="24"/>
          <w:color w:val="auto"/>
        </w:rPr>
      </w:pPr>
    </w:p>
    <w:p>
      <w:pPr>
        <w:spacing w:after="0" w:line="223"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3"/>
          </w:tcPr>
          <w:p>
            <w:pPr>
              <w:jc w:val="center"/>
              <w:ind w:right="2877"/>
              <w:spacing w:after="0"/>
              <w:rPr>
                <w:sz w:val="20"/>
                <w:szCs w:val="20"/>
                <w:color w:val="auto"/>
              </w:rPr>
            </w:pPr>
            <w:r>
              <w:rPr>
                <w:rFonts w:ascii="Arial" w:cs="Arial" w:eastAsia="Arial" w:hAnsi="Arial"/>
                <w:sz w:val="18"/>
                <w:szCs w:val="18"/>
                <w:b w:val="1"/>
                <w:bCs w:val="1"/>
                <w:color w:val="auto"/>
                <w:w w:val="99"/>
              </w:rPr>
              <w:t>SI-BONE, INC.</w:t>
            </w: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gridSpan w:val="3"/>
          </w:tcPr>
          <w:p>
            <w:pPr>
              <w:jc w:val="center"/>
              <w:ind w:right="2877"/>
              <w:spacing w:after="0"/>
              <w:rPr>
                <w:sz w:val="20"/>
                <w:szCs w:val="20"/>
                <w:color w:val="auto"/>
              </w:rPr>
            </w:pPr>
            <w:r>
              <w:rPr>
                <w:rFonts w:ascii="Arial" w:cs="Arial" w:eastAsia="Arial" w:hAnsi="Arial"/>
                <w:sz w:val="13"/>
                <w:szCs w:val="13"/>
                <w:color w:val="auto"/>
                <w:w w:val="88"/>
              </w:rPr>
              <w:t>(Exact Name of Registrant as Specified in its Charter)</w:t>
            </w:r>
          </w:p>
        </w:tc>
        <w:tc>
          <w:tcPr>
            <w:tcW w:w="0" w:type="dxa"/>
            <w:vAlign w:val="bottom"/>
          </w:tcPr>
          <w:p>
            <w:pPr>
              <w:spacing w:after="0"/>
              <w:rPr>
                <w:sz w:val="1"/>
                <w:szCs w:val="1"/>
                <w:color w:val="auto"/>
              </w:rPr>
            </w:pPr>
          </w:p>
        </w:tc>
      </w:tr>
      <w:tr>
        <w:trPr>
          <w:trHeight w:val="307"/>
        </w:trPr>
        <w:tc>
          <w:tcPr>
            <w:tcW w:w="3140" w:type="dxa"/>
            <w:vAlign w:val="bottom"/>
            <w:vMerge w:val="restart"/>
          </w:tcPr>
          <w:p>
            <w:pPr>
              <w:jc w:val="center"/>
              <w:ind w:right="1137"/>
              <w:spacing w:after="0"/>
              <w:rPr>
                <w:sz w:val="20"/>
                <w:szCs w:val="20"/>
                <w:color w:val="auto"/>
              </w:rPr>
            </w:pPr>
            <w:r>
              <w:rPr>
                <w:rFonts w:ascii="Arial" w:cs="Arial" w:eastAsia="Arial" w:hAnsi="Arial"/>
                <w:sz w:val="13"/>
                <w:szCs w:val="13"/>
                <w:b w:val="1"/>
                <w:bCs w:val="1"/>
                <w:color w:val="auto"/>
                <w:w w:val="87"/>
              </w:rPr>
              <w:t>Delaware</w:t>
            </w: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6"/>
        </w:trPr>
        <w:tc>
          <w:tcPr>
            <w:tcW w:w="3140" w:type="dxa"/>
            <w:vAlign w:val="bottom"/>
            <w:vMerge w:val="continue"/>
          </w:tcPr>
          <w:p>
            <w:pPr>
              <w:spacing w:after="0"/>
              <w:rPr>
                <w:sz w:val="24"/>
                <w:szCs w:val="24"/>
                <w:color w:val="auto"/>
              </w:rPr>
            </w:pPr>
          </w:p>
        </w:tc>
        <w:tc>
          <w:tcPr>
            <w:tcW w:w="612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26-2216351</w:t>
            </w:r>
          </w:p>
        </w:tc>
        <w:tc>
          <w:tcPr>
            <w:tcW w:w="0" w:type="dxa"/>
            <w:vAlign w:val="bottom"/>
          </w:tcPr>
          <w:p>
            <w:pPr>
              <w:spacing w:after="0"/>
              <w:rPr>
                <w:sz w:val="1"/>
                <w:szCs w:val="1"/>
                <w:color w:val="auto"/>
              </w:rPr>
            </w:pPr>
          </w:p>
        </w:tc>
      </w:tr>
      <w:tr>
        <w:trPr>
          <w:trHeight w:val="164"/>
        </w:trPr>
        <w:tc>
          <w:tcPr>
            <w:tcW w:w="3140" w:type="dxa"/>
            <w:vAlign w:val="bottom"/>
          </w:tcPr>
          <w:p>
            <w:pPr>
              <w:jc w:val="center"/>
              <w:ind w:right="1137"/>
              <w:spacing w:after="0"/>
              <w:rPr>
                <w:sz w:val="20"/>
                <w:szCs w:val="20"/>
                <w:color w:val="auto"/>
              </w:rPr>
            </w:pPr>
            <w:r>
              <w:rPr>
                <w:rFonts w:ascii="Arial" w:cs="Arial" w:eastAsia="Arial" w:hAnsi="Arial"/>
                <w:sz w:val="13"/>
                <w:szCs w:val="13"/>
                <w:color w:val="auto"/>
                <w:w w:val="88"/>
              </w:rPr>
              <w:t>(State or Other Jurisdiction of</w:t>
            </w:r>
          </w:p>
        </w:tc>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Pr>
          <w:p>
            <w:pPr>
              <w:jc w:val="center"/>
              <w:ind w:left="1677"/>
              <w:spacing w:after="0"/>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140" w:type="dxa"/>
            <w:vAlign w:val="bottom"/>
          </w:tcPr>
          <w:p>
            <w:pPr>
              <w:jc w:val="center"/>
              <w:ind w:right="1137"/>
              <w:spacing w:after="0"/>
              <w:rPr>
                <w:sz w:val="20"/>
                <w:szCs w:val="20"/>
                <w:color w:val="auto"/>
              </w:rPr>
            </w:pPr>
            <w:r>
              <w:rPr>
                <w:rFonts w:ascii="Arial" w:cs="Arial" w:eastAsia="Arial" w:hAnsi="Arial"/>
                <w:sz w:val="13"/>
                <w:szCs w:val="13"/>
                <w:color w:val="auto"/>
                <w:w w:val="89"/>
              </w:rPr>
              <w:t>Incorporation or Organization)</w:t>
            </w:r>
          </w:p>
        </w:tc>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Pr>
          <w:p>
            <w:pPr>
              <w:jc w:val="center"/>
              <w:ind w:left="1677"/>
              <w:spacing w:after="0"/>
              <w:rPr>
                <w:sz w:val="20"/>
                <w:szCs w:val="20"/>
                <w:color w:val="auto"/>
              </w:rPr>
            </w:pPr>
            <w:r>
              <w:rPr>
                <w:rFonts w:ascii="Arial" w:cs="Arial" w:eastAsia="Arial" w:hAnsi="Arial"/>
                <w:sz w:val="13"/>
                <w:szCs w:val="13"/>
                <w:color w:val="auto"/>
                <w:w w:val="92"/>
              </w:rPr>
              <w:t>Identification Number)</w:t>
            </w:r>
          </w:p>
        </w:tc>
        <w:tc>
          <w:tcPr>
            <w:tcW w:w="0" w:type="dxa"/>
            <w:vAlign w:val="bottom"/>
          </w:tcPr>
          <w:p>
            <w:pPr>
              <w:spacing w:after="0"/>
              <w:rPr>
                <w:sz w:val="1"/>
                <w:szCs w:val="1"/>
                <w:color w:val="auto"/>
              </w:rPr>
            </w:pPr>
          </w:p>
        </w:tc>
      </w:tr>
      <w:tr>
        <w:trPr>
          <w:trHeight w:val="635"/>
        </w:trPr>
        <w:tc>
          <w:tcPr>
            <w:tcW w:w="314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471 El Camino Real, Suite 101, Santa Clara, California</w:t>
            </w:r>
          </w:p>
        </w:tc>
        <w:tc>
          <w:tcPr>
            <w:tcW w:w="6120" w:type="dxa"/>
            <w:vAlign w:val="bottom"/>
            <w:gridSpan w:val="4"/>
          </w:tcPr>
          <w:p>
            <w:pPr>
              <w:jc w:val="right"/>
              <w:ind w:right="697"/>
              <w:spacing w:after="0"/>
              <w:rPr>
                <w:sz w:val="20"/>
                <w:szCs w:val="20"/>
                <w:color w:val="auto"/>
              </w:rPr>
            </w:pPr>
            <w:r>
              <w:rPr>
                <w:rFonts w:ascii="Arial" w:cs="Arial" w:eastAsia="Arial" w:hAnsi="Arial"/>
                <w:sz w:val="13"/>
                <w:szCs w:val="13"/>
                <w:b w:val="1"/>
                <w:bCs w:val="1"/>
                <w:color w:val="auto"/>
              </w:rPr>
              <w:t>95050</w:t>
            </w:r>
          </w:p>
        </w:tc>
        <w:tc>
          <w:tcPr>
            <w:tcW w:w="0" w:type="dxa"/>
            <w:vAlign w:val="bottom"/>
          </w:tcPr>
          <w:p>
            <w:pPr>
              <w:spacing w:after="0"/>
              <w:rPr>
                <w:sz w:val="1"/>
                <w:szCs w:val="1"/>
                <w:color w:val="auto"/>
              </w:rPr>
            </w:pPr>
          </w:p>
        </w:tc>
      </w:tr>
      <w:tr>
        <w:trPr>
          <w:trHeight w:val="270"/>
        </w:trPr>
        <w:tc>
          <w:tcPr>
            <w:tcW w:w="3140" w:type="dxa"/>
            <w:vAlign w:val="bottom"/>
          </w:tcPr>
          <w:p>
            <w:pPr>
              <w:jc w:val="center"/>
              <w:ind w:right="117"/>
              <w:spacing w:after="0"/>
              <w:rPr>
                <w:sz w:val="20"/>
                <w:szCs w:val="20"/>
                <w:color w:val="auto"/>
              </w:rPr>
            </w:pPr>
            <w:r>
              <w:rPr>
                <w:rFonts w:ascii="Arial" w:cs="Arial" w:eastAsia="Arial" w:hAnsi="Arial"/>
                <w:sz w:val="13"/>
                <w:szCs w:val="13"/>
                <w:color w:val="auto"/>
                <w:w w:val="89"/>
              </w:rPr>
              <w:t>(Address of principal executive offices)</w:t>
            </w:r>
          </w:p>
        </w:tc>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20" w:type="dxa"/>
            <w:vAlign w:val="bottom"/>
          </w:tcPr>
          <w:p>
            <w:pPr>
              <w:jc w:val="center"/>
              <w:ind w:left="1017"/>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760"/>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3"/>
          </w:tcPr>
          <w:p>
            <w:pPr>
              <w:jc w:val="right"/>
              <w:ind w:right="457"/>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(408) 207-0700</w:t>
            </w:r>
          </w:p>
        </w:tc>
        <w:tc>
          <w:tcPr>
            <w:tcW w:w="0" w:type="dxa"/>
            <w:vAlign w:val="bottom"/>
          </w:tcPr>
          <w:p>
            <w:pPr>
              <w:spacing w:after="0"/>
              <w:rPr>
                <w:sz w:val="1"/>
                <w:szCs w:val="1"/>
                <w:color w:val="auto"/>
              </w:rPr>
            </w:pPr>
          </w:p>
        </w:tc>
      </w:tr>
      <w:tr>
        <w:trPr>
          <w:trHeight w:val="262"/>
        </w:trPr>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53" w:lineRule="exact"/>
        <w:rPr>
          <w:sz w:val="24"/>
          <w:szCs w:val="24"/>
          <w:color w:val="auto"/>
        </w:rPr>
      </w:pPr>
    </w:p>
    <w:p>
      <w:pPr>
        <w:ind w:right="20" w:firstLine="324"/>
        <w:spacing w:after="0" w:line="36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right="80" w:firstLine="324"/>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33" w:lineRule="exact"/>
        <w:rPr>
          <w:sz w:val="24"/>
          <w:szCs w:val="24"/>
          <w:color w:val="auto"/>
        </w:rPr>
      </w:pPr>
    </w:p>
    <w:p>
      <w:pPr>
        <w:ind w:firstLine="324"/>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79" w:lineRule="exact"/>
        <w:rPr>
          <w:sz w:val="24"/>
          <w:szCs w:val="24"/>
          <w:color w:val="auto"/>
        </w:rPr>
      </w:pPr>
    </w:p>
    <w:p>
      <w:pPr>
        <w:ind w:right="1300" w:firstLine="27"/>
        <w:spacing w:after="0" w:line="302" w:lineRule="auto"/>
        <w:rPr>
          <w:sz w:val="20"/>
          <w:szCs w:val="20"/>
          <w:color w:val="auto"/>
        </w:rPr>
      </w:pPr>
      <w:r>
        <w:rPr>
          <w:rFonts w:ascii="Arial" w:cs="Arial" w:eastAsia="Arial" w:hAnsi="Arial"/>
          <w:sz w:val="13"/>
          <w:szCs w:val="13"/>
          <w:color w:val="auto"/>
        </w:rPr>
        <w:t>Large accelerated filer o Accelerated filer o Non-accelerated filer x Smaller reporting company x Emerging growth company x</w:t>
      </w:r>
    </w:p>
    <w:p>
      <w:pPr>
        <w:spacing w:after="0" w:line="23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33"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w:t>
      </w:r>
    </w:p>
    <w:p>
      <w:pPr>
        <w:spacing w:after="0" w:line="256"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number of shares outstanding of the registrant’s Common Stock, par value $.0001 per share, was 24,335,690 as of November 28, 2018.</w:t>
      </w:r>
    </w:p>
    <w:p>
      <w:pPr>
        <w:sectPr>
          <w:pgSz w:w="11900" w:h="16838" w:orient="portrait"/>
          <w:cols w:equalWidth="0" w:num="1">
            <w:col w:w="11400"/>
          </w:cols>
          <w:pgMar w:left="240" w:top="70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43"/>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4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2018 and December 31, 2017</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and Comprehensive Loss for the three and nine months ended September 30,</w:t>
              </w:r>
            </w:hyperlink>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8160" w:type="dxa"/>
            <w:vAlign w:val="bottom"/>
            <w:tcBorders>
              <w:top w:val="single" w:sz="8" w:color="0000EE"/>
            </w:tcBorders>
            <w:gridSpan w:val="10"/>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2018 and 2017</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40" w:type="dxa"/>
            <w:vAlign w:val="bottom"/>
            <w:tcBorders>
              <w:top w:val="single" w:sz="8" w:color="0000EE"/>
            </w:tcBorders>
            <w:gridSpan w:val="4"/>
          </w:tcPr>
          <w:p>
            <w:pPr>
              <w:spacing w:after="0"/>
              <w:rPr>
                <w:sz w:val="21"/>
                <w:szCs w:val="21"/>
                <w:color w:val="auto"/>
              </w:rPr>
            </w:pPr>
          </w:p>
        </w:tc>
        <w:tc>
          <w:tcPr>
            <w:tcW w:w="172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56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956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200" w:type="dxa"/>
            <w:vAlign w:val="bottom"/>
            <w:tcBorders>
              <w:left w:val="single" w:sz="8" w:color="0000EE"/>
            </w:tcBorders>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956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561"/>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rPr>
              <w:t>PART II-OTHER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95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w:t>
              </w:r>
            </w:hyperlink>
          </w:p>
        </w:tc>
        <w:tc>
          <w:tcPr>
            <w:tcW w:w="620" w:type="dxa"/>
            <w:vAlign w:val="bottom"/>
            <w:gridSpan w:val="2"/>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3.</w:t>
              </w:r>
            </w:hyperlink>
          </w:p>
        </w:tc>
        <w:tc>
          <w:tcPr>
            <w:tcW w:w="9560" w:type="dxa"/>
            <w:vAlign w:val="bottom"/>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w:t>
              </w:r>
            </w:hyperlink>
          </w:p>
        </w:tc>
        <w:tc>
          <w:tcPr>
            <w:tcW w:w="9560" w:type="dxa"/>
            <w:vAlign w:val="bottom"/>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8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5.</w:t>
              </w:r>
            </w:hyperlink>
          </w:p>
        </w:tc>
        <w:tc>
          <w:tcPr>
            <w:tcW w:w="9560" w:type="dxa"/>
            <w:vAlign w:val="bottom"/>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6.</w:t>
              </w:r>
            </w:hyperlink>
          </w:p>
        </w:tc>
        <w:tc>
          <w:tcPr>
            <w:tcW w:w="956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100" w:type="dxa"/>
            <w:vAlign w:val="bottom"/>
            <w:gridSpan w:val="3"/>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this Quarterly Report on Form 10-Q, “we,” “our,” “us,” “SI-BONE,” and “the Company” refer to SI-BONE, Inc.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0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SPECIAL NOTE REGARDING FORWARD-LOOKING STATEMENTS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their expected properties, performance and impact on healthcare costs, the expected timeline for achievement of our clinical milestones, the timing of, and potential results from, clinical and other trials, marketing authorization from the U.S. Food and Drug Administration, or FDA, or regulatory authorities in other jurisdictions, coverage and reimbursement for procedures using our product candidates, if approved, research and development costs, timing of regulatory filings and feedback, timing and likelihood of success, plans and objectives of management for future operations and future results of anticipated products, are forward-looking statements.</w:t>
      </w:r>
    </w:p>
    <w:p>
      <w:pPr>
        <w:spacing w:after="0" w:line="18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are subject to numerous risks, including, without limitation, the following:</w:t>
      </w:r>
    </w:p>
    <w:p>
      <w:pPr>
        <w:spacing w:after="0" w:line="17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status as a clinical-stage company and our expectation to incur losses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lengthy and expensive clinical development process with its uncertain outcome and potential for clinical failure or delay;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decision by any applicable regulatory authority whether to clear our product candidates for clinical development and, ultimately, whether to approve them for marketing and sale;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anticipate and prevent adverse events caused by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in-license, acquire, discover or develop additional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have our product candidates manufactured;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acceptance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and successfully develop and commercialize our existing and future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physician awareness and adoption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size of the market for our product candidates;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elsewhere in this Quarterly Report on Form 10-Q and our prior filings with the SEC. 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92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14,004</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22,408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7"/>
              </w:rPr>
              <w:t>Accounts receivable, net of allowance for doubtful accounts of $264 and $268 at September 30, 2018 and December 31, 2017, respectively</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3,028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9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24,861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33,629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9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TOTAL ASSETS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28,395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35,834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REDEEMABLE CONVERTIBLE PREFERRED STOCK AND STOCKHOLDERS’ DEFICIT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Accrued liabilities and other</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9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Redeemable convertible preferred stock warrants</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38,899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6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92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49,276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46,664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convertible preferred stock, $0.0001 par value;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920" w:type="dxa"/>
            <w:vAlign w:val="bottom"/>
          </w:tcPr>
          <w:p>
            <w:pPr>
              <w:ind w:left="460"/>
              <w:spacing w:after="0" w:line="157" w:lineRule="exact"/>
              <w:rPr>
                <w:sz w:val="20"/>
                <w:szCs w:val="20"/>
                <w:color w:val="auto"/>
              </w:rPr>
            </w:pPr>
            <w:r>
              <w:rPr>
                <w:rFonts w:ascii="Arial" w:cs="Arial" w:eastAsia="Arial" w:hAnsi="Arial"/>
                <w:sz w:val="14"/>
                <w:szCs w:val="14"/>
                <w:color w:val="auto"/>
                <w:w w:val="96"/>
              </w:rPr>
              <w:t>Authorized: 12,104,749 shares at September 30, 2018 and December 31, 2017; issued and outstanding: 11,871,578 shares at September 30,</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9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2018 and December 31, 2017; (Liquidation preference of $119,194 at September 30, 2018 and December 31, 2017.</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118,548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118,548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0"/>
              <w:spacing w:after="0"/>
              <w:rPr>
                <w:sz w:val="20"/>
                <w:szCs w:val="20"/>
                <w:color w:val="auto"/>
              </w:rPr>
            </w:pPr>
            <w:r>
              <w:rPr>
                <w:rFonts w:ascii="Arial" w:cs="Arial" w:eastAsia="Arial" w:hAnsi="Arial"/>
                <w:sz w:val="14"/>
                <w:szCs w:val="14"/>
                <w:color w:val="auto"/>
              </w:rPr>
              <w:t>STOCKHOLDERS’ DEFICIT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92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w w:val="97"/>
              </w:rPr>
              <w:t>Common stock, $0.0001 par value; Authorized: 19,333,333 shares at September 30, 2018 and December 31, 2017; issued and outstanding:</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3,912,907 and 3,603,140 shares, at September 30, 2018 and December 31, 2017, respectively.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12,003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9,943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92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(151,864)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(139,724)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9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9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(139,429)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(129,378)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9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920" w:type="dxa"/>
            <w:vAlign w:val="bottom"/>
          </w:tcPr>
          <w:p>
            <w:pPr>
              <w:ind w:left="90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28,395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35,834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9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7620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-130175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9" w:right="239" w:bottom="1440" w:gutter="0" w:footer="0" w:header="0"/>
        </w:sectPr>
      </w:pPr>
    </w:p>
    <w:bookmarkStart w:id="4" w:name="page5"/>
    <w:bookmarkEnd w:id="4"/>
    <w:p>
      <w:pPr>
        <w:spacing w:after="0" w:line="196" w:lineRule="auto"/>
        <w:framePr w:w="180" w:h="160" w:wrap="auto" w:vAnchor="page" w:hAnchor="page" w:x="5860" w:y="10095"/>
        <w:rPr>
          <w:rFonts w:ascii="Arial" w:cs="Arial" w:eastAsia="Arial" w:hAnsi="Arial"/>
          <w:sz w:val="17"/>
          <w:szCs w:val="17"/>
          <w:color w:val="auto"/>
        </w:rPr>
      </w:pPr>
      <w:r>
        <w:rPr>
          <w:rFonts w:ascii="Arial" w:cs="Arial" w:eastAsia="Arial" w:hAnsi="Arial"/>
          <w:sz w:val="17"/>
          <w:szCs w:val="17"/>
          <w:color w:val="auto"/>
        </w:rPr>
        <w:t>4</w:t>
      </w:r>
    </w:p>
    <w:p>
      <w:pPr>
        <w:spacing w:after="0" w:line="223" w:lineRule="auto"/>
        <w:framePr w:w="700" w:h="160" w:wrap="auto" w:vAnchor="page" w:hAnchor="page" w:x="240" w:y="2708"/>
        <w:rPr>
          <w:rFonts w:ascii="Arial" w:cs="Arial" w:eastAsia="Arial" w:hAnsi="Arial"/>
          <w:sz w:val="15"/>
          <w:szCs w:val="15"/>
          <w:color w:val="auto"/>
        </w:rPr>
      </w:pPr>
      <w:r>
        <w:rPr>
          <w:rFonts w:ascii="Arial" w:cs="Arial" w:eastAsia="Arial" w:hAnsi="Arial"/>
          <w:sz w:val="15"/>
          <w:szCs w:val="15"/>
          <w:color w:val="auto"/>
        </w:rPr>
        <w:t>Revenue</w:t>
      </w:r>
    </w:p>
    <w:p>
      <w:pPr>
        <w:spacing w:after="0" w:line="280" w:lineRule="auto"/>
        <w:framePr w:w="1420" w:h="431" w:wrap="auto" w:vAnchor="page" w:hAnchor="page" w:x="240" w:y="2978"/>
        <w:rPr>
          <w:rFonts w:ascii="Arial" w:cs="Arial" w:eastAsia="Arial" w:hAnsi="Arial"/>
          <w:sz w:val="16"/>
          <w:szCs w:val="16"/>
          <w:color w:val="auto"/>
        </w:rPr>
      </w:pPr>
      <w:r>
        <w:rPr>
          <w:rFonts w:ascii="Arial" w:cs="Arial" w:eastAsia="Arial" w:hAnsi="Arial"/>
          <w:sz w:val="16"/>
          <w:szCs w:val="16"/>
          <w:color w:val="auto"/>
        </w:rPr>
        <w:t>Cost of goods sold Gross profit</w:t>
      </w: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62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39,756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34,214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30,320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30,987</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46,029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(18,194)</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40"/>
              <w:spacing w:after="0"/>
              <w:rPr>
                <w:sz w:val="20"/>
                <w:szCs w:val="20"/>
                <w:color w:val="auto"/>
              </w:rPr>
            </w:pPr>
            <w:r>
              <w:rPr>
                <w:rFonts w:ascii="Arial" w:cs="Arial" w:eastAsia="Arial" w:hAnsi="Arial"/>
                <w:sz w:val="18"/>
                <w:szCs w:val="18"/>
                <w:color w:val="auto"/>
                <w:w w:val="92"/>
              </w:rPr>
              <w:t>Weighted-average number of common shares used to compute basic and diluted net</w:t>
            </w:r>
          </w:p>
        </w:tc>
        <w:tc>
          <w:tcPr>
            <w:tcW w:w="300" w:type="dxa"/>
            <w:vAlign w:val="bottom"/>
          </w:tcPr>
          <w:p>
            <w:pPr>
              <w:spacing w:after="0"/>
              <w:rPr>
                <w:sz w:val="19"/>
                <w:szCs w:val="19"/>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3,712,876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3,475,628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w w:val="97"/>
              </w:rPr>
              <w:t>3,638,905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3,450,252</w:t>
            </w: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loss per share</w:t>
            </w:r>
          </w:p>
        </w:tc>
        <w:tc>
          <w:tcPr>
            <w:tcW w:w="3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3992880</wp:posOffset>
            </wp:positionH>
            <wp:positionV relativeFrom="paragraph">
              <wp:posOffset>8890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13335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7" w:lineRule="exact"/>
        <w:rPr>
          <w:sz w:val="20"/>
          <w:szCs w:val="20"/>
          <w:color w:val="auto"/>
        </w:rPr>
      </w:pPr>
    </w:p>
    <w:p>
      <w:pPr>
        <w:jc w:val="both"/>
        <w:ind w:left="9700"/>
        <w:spacing w:after="0"/>
        <w:tabs>
          <w:tab w:leader="none" w:pos="108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23495</wp:posOffset>
            </wp:positionV>
            <wp:extent cx="1363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60" w:right="3880" w:hanging="431"/>
        <w:spacing w:after="0" w:line="352" w:lineRule="auto"/>
        <w:rPr>
          <w:sz w:val="20"/>
          <w:szCs w:val="20"/>
          <w:color w:val="auto"/>
        </w:rPr>
      </w:pPr>
      <w:r>
        <w:rPr>
          <w:rFonts w:ascii="Arial" w:cs="Arial" w:eastAsia="Arial" w:hAnsi="Arial"/>
          <w:sz w:val="16"/>
          <w:szCs w:val="16"/>
          <w:color w:val="auto"/>
        </w:rPr>
        <w:t>Adjustments to reconcile net loss to net cash used in operating activities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Change in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fair value of 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on write-off of property and equipment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Write-off of public offering costs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Forgiveness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operating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400"/>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(12,140)   $</w:t>
      </w:r>
      <w:r>
        <w:rPr>
          <w:rFonts w:ascii="Arial" w:cs="Arial" w:eastAsia="Arial" w:hAnsi="Arial"/>
          <w:sz w:val="14"/>
          <w:szCs w:val="14"/>
          <w:color w:val="auto"/>
        </w:rPr>
        <w:t>(18,134)</w:t>
      </w:r>
    </w:p>
    <w:p>
      <w:pPr>
        <w:spacing w:after="0" w:line="356" w:lineRule="exact"/>
        <w:rPr>
          <w:sz w:val="20"/>
          <w:szCs w:val="20"/>
          <w:color w:val="auto"/>
        </w:rPr>
      </w:pPr>
    </w:p>
    <w:p>
      <w:pPr>
        <w:ind w:left="1760" w:hanging="1112"/>
        <w:spacing w:after="0"/>
        <w:tabs>
          <w:tab w:leader="none" w:pos="1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817</w:t>
      </w:r>
    </w:p>
    <w:p>
      <w:pPr>
        <w:spacing w:after="0" w:line="86" w:lineRule="exact"/>
        <w:rPr>
          <w:rFonts w:ascii="Arial" w:cs="Arial" w:eastAsia="Arial" w:hAnsi="Arial"/>
          <w:sz w:val="16"/>
          <w:szCs w:val="16"/>
          <w:color w:val="auto"/>
        </w:rPr>
      </w:pPr>
    </w:p>
    <w:p>
      <w:pPr>
        <w:ind w:left="1940" w:hanging="1184"/>
        <w:spacing w:after="0"/>
        <w:tabs>
          <w:tab w:leader="none" w:pos="1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8</w:t>
      </w:r>
    </w:p>
    <w:p>
      <w:pPr>
        <w:spacing w:after="0" w:line="86" w:lineRule="exact"/>
        <w:rPr>
          <w:sz w:val="20"/>
          <w:szCs w:val="20"/>
          <w:color w:val="auto"/>
        </w:rPr>
      </w:pPr>
    </w:p>
    <w:tbl>
      <w:tblPr>
        <w:tblLayout w:type="fixed"/>
        <w:tblInd w:w="520" w:type="dxa"/>
        <w:tblCellMar>
          <w:top w:w="0" w:type="dxa"/>
          <w:left w:w="0" w:type="dxa"/>
          <w:bottom w:w="0" w:type="dxa"/>
          <w:right w:w="0" w:type="dxa"/>
        </w:tblCellMar>
      </w:tblPr>
      <w:tr>
        <w:trPr>
          <w:trHeight w:val="206"/>
        </w:trPr>
        <w:tc>
          <w:tcPr>
            <w:tcW w:w="740" w:type="dxa"/>
            <w:vAlign w:val="bottom"/>
          </w:tcPr>
          <w:p>
            <w:pPr>
              <w:jc w:val="right"/>
              <w:ind w:right="279"/>
              <w:spacing w:after="0"/>
              <w:rPr>
                <w:sz w:val="20"/>
                <w:szCs w:val="20"/>
                <w:color w:val="auto"/>
              </w:rPr>
            </w:pPr>
            <w:r>
              <w:rPr>
                <w:rFonts w:ascii="Arial" w:cs="Arial" w:eastAsia="Arial" w:hAnsi="Arial"/>
                <w:sz w:val="16"/>
                <w:szCs w:val="16"/>
                <w:color w:val="auto"/>
                <w:w w:val="89"/>
              </w:rPr>
              <w:t>1,081</w:t>
            </w:r>
          </w:p>
        </w:tc>
        <w:tc>
          <w:tcPr>
            <w:tcW w:w="80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70"/>
        </w:trPr>
        <w:tc>
          <w:tcPr>
            <w:tcW w:w="740" w:type="dxa"/>
            <w:vAlign w:val="bottom"/>
          </w:tcPr>
          <w:p>
            <w:pPr>
              <w:jc w:val="right"/>
              <w:ind w:right="279"/>
              <w:spacing w:after="0"/>
              <w:rPr>
                <w:sz w:val="20"/>
                <w:szCs w:val="20"/>
                <w:color w:val="auto"/>
              </w:rPr>
            </w:pPr>
            <w:r>
              <w:rPr>
                <w:rFonts w:ascii="Arial" w:cs="Arial" w:eastAsia="Arial" w:hAnsi="Arial"/>
                <w:sz w:val="16"/>
                <w:szCs w:val="16"/>
                <w:color w:val="auto"/>
              </w:rPr>
              <w:t>681</w:t>
            </w:r>
          </w:p>
        </w:tc>
        <w:tc>
          <w:tcPr>
            <w:tcW w:w="8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70"/>
        </w:trPr>
        <w:tc>
          <w:tcPr>
            <w:tcW w:w="740" w:type="dxa"/>
            <w:vAlign w:val="bottom"/>
          </w:tcPr>
          <w:p>
            <w:pPr>
              <w:jc w:val="right"/>
              <w:ind w:right="279"/>
              <w:spacing w:after="0"/>
              <w:rPr>
                <w:sz w:val="20"/>
                <w:szCs w:val="20"/>
                <w:color w:val="auto"/>
              </w:rPr>
            </w:pPr>
            <w:r>
              <w:rPr>
                <w:rFonts w:ascii="Arial" w:cs="Arial" w:eastAsia="Arial" w:hAnsi="Arial"/>
                <w:sz w:val="16"/>
                <w:szCs w:val="16"/>
                <w:color w:val="auto"/>
              </w:rPr>
              <w:t>95</w:t>
            </w:r>
          </w:p>
        </w:tc>
        <w:tc>
          <w:tcPr>
            <w:tcW w:w="800" w:type="dxa"/>
            <w:vAlign w:val="bottom"/>
          </w:tcPr>
          <w:p>
            <w:pPr>
              <w:jc w:val="right"/>
              <w:spacing w:after="0"/>
              <w:rPr>
                <w:sz w:val="20"/>
                <w:szCs w:val="20"/>
                <w:color w:val="auto"/>
              </w:rPr>
            </w:pPr>
            <w:r>
              <w:rPr>
                <w:rFonts w:ascii="Arial" w:cs="Arial" w:eastAsia="Arial" w:hAnsi="Arial"/>
                <w:sz w:val="16"/>
                <w:szCs w:val="16"/>
                <w:color w:val="auto"/>
              </w:rPr>
              <w:t>172</w:t>
            </w:r>
          </w:p>
        </w:tc>
      </w:tr>
    </w:tbl>
    <w:p>
      <w:pPr>
        <w:spacing w:after="0" w:line="64" w:lineRule="exact"/>
        <w:rPr>
          <w:sz w:val="20"/>
          <w:szCs w:val="20"/>
          <w:color w:val="auto"/>
        </w:rPr>
      </w:pPr>
    </w:p>
    <w:p>
      <w:pPr>
        <w:ind w:left="1760" w:hanging="1112"/>
        <w:spacing w:after="0"/>
        <w:tabs>
          <w:tab w:leader="none" w:pos="1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235</w:t>
      </w:r>
    </w:p>
    <w:p>
      <w:pPr>
        <w:spacing w:after="0" w:line="8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1,292</w:t>
      </w:r>
    </w:p>
    <w:p>
      <w:pPr>
        <w:spacing w:after="0" w:line="8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437</w:t>
      </w:r>
    </w:p>
    <w:p>
      <w:pPr>
        <w:spacing w:after="0" w:line="356" w:lineRule="exact"/>
        <w:rPr>
          <w:sz w:val="20"/>
          <w:szCs w:val="20"/>
          <w:color w:val="auto"/>
        </w:rPr>
      </w:pPr>
    </w:p>
    <w:p>
      <w:pPr>
        <w:jc w:val="both"/>
        <w:ind w:left="640"/>
        <w:spacing w:after="0"/>
        <w:tabs>
          <w:tab w:leader="none" w:pos="1700" w:val="left"/>
        </w:tabs>
        <w:rPr>
          <w:sz w:val="20"/>
          <w:szCs w:val="20"/>
          <w:color w:val="auto"/>
        </w:rPr>
      </w:pPr>
      <w:r>
        <w:rPr>
          <w:rFonts w:ascii="Arial" w:cs="Arial" w:eastAsia="Arial" w:hAnsi="Arial"/>
          <w:sz w:val="16"/>
          <w:szCs w:val="16"/>
          <w:color w:val="auto"/>
        </w:rPr>
        <w:t>357</w:t>
      </w:r>
      <w:r>
        <w:rPr>
          <w:sz w:val="20"/>
          <w:szCs w:val="20"/>
          <w:color w:val="auto"/>
        </w:rPr>
        <w:tab/>
      </w:r>
      <w:r>
        <w:rPr>
          <w:rFonts w:ascii="Arial" w:cs="Arial" w:eastAsia="Arial" w:hAnsi="Arial"/>
          <w:sz w:val="16"/>
          <w:szCs w:val="16"/>
          <w:color w:val="auto"/>
        </w:rPr>
        <w:t>(405)</w:t>
      </w:r>
    </w:p>
    <w:p>
      <w:pPr>
        <w:spacing w:after="0" w:line="86" w:lineRule="exact"/>
        <w:rPr>
          <w:sz w:val="20"/>
          <w:szCs w:val="20"/>
          <w:color w:val="auto"/>
        </w:rPr>
      </w:pPr>
    </w:p>
    <w:p>
      <w:pPr>
        <w:ind w:left="1600" w:hanging="1006"/>
        <w:spacing w:after="0"/>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(1,146)</w:t>
      </w:r>
    </w:p>
    <w:p>
      <w:pPr>
        <w:spacing w:after="0" w:line="109" w:lineRule="exact"/>
        <w:rPr>
          <w:sz w:val="20"/>
          <w:szCs w:val="20"/>
          <w:color w:val="auto"/>
        </w:rPr>
      </w:pPr>
    </w:p>
    <w:p>
      <w:pPr>
        <w:jc w:val="both"/>
        <w:ind w:left="640"/>
        <w:spacing w:after="0"/>
        <w:tabs>
          <w:tab w:leader="none" w:pos="1780" w:val="left"/>
        </w:tabs>
        <w:rPr>
          <w:sz w:val="20"/>
          <w:szCs w:val="20"/>
          <w:color w:val="auto"/>
        </w:rPr>
      </w:pPr>
      <w:r>
        <w:rPr>
          <w:rFonts w:ascii="Arial" w:cs="Arial" w:eastAsia="Arial" w:hAnsi="Arial"/>
          <w:sz w:val="16"/>
          <w:szCs w:val="16"/>
          <w:color w:val="auto"/>
        </w:rPr>
        <w:t>495</w:t>
      </w:r>
      <w:r>
        <w:rPr>
          <w:sz w:val="20"/>
          <w:szCs w:val="20"/>
          <w:color w:val="auto"/>
        </w:rPr>
        <w:tab/>
      </w:r>
      <w:r>
        <w:rPr>
          <w:rFonts w:ascii="Arial" w:cs="Arial" w:eastAsia="Arial" w:hAnsi="Arial"/>
          <w:sz w:val="16"/>
          <w:szCs w:val="16"/>
          <w:color w:val="auto"/>
        </w:rPr>
        <w:t>(43)</w:t>
      </w:r>
    </w:p>
    <w:p>
      <w:pPr>
        <w:spacing w:after="0" w:line="86" w:lineRule="exact"/>
        <w:rPr>
          <w:sz w:val="20"/>
          <w:szCs w:val="20"/>
          <w:color w:val="auto"/>
        </w:rPr>
      </w:pPr>
    </w:p>
    <w:p>
      <w:pPr>
        <w:ind w:left="1640" w:hanging="1046"/>
        <w:spacing w:after="0"/>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1,447</w:t>
      </w:r>
    </w:p>
    <w:p>
      <w:pPr>
        <w:spacing w:after="0" w:line="8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1,844</w:t>
      </w:r>
      <w:r>
        <w:rPr>
          <w:rFonts w:ascii="Arial" w:cs="Arial" w:eastAsia="Arial" w:hAnsi="Arial"/>
          <w:sz w:val="15"/>
          <w:szCs w:val="15"/>
          <w:color w:val="auto"/>
        </w:rPr>
        <w:t>1,023</w:t>
      </w:r>
    </w:p>
    <w:p>
      <w:pPr>
        <w:spacing w:after="0" w:line="86" w:lineRule="exact"/>
        <w:rPr>
          <w:sz w:val="20"/>
          <w:szCs w:val="20"/>
          <w:color w:val="auto"/>
        </w:rPr>
      </w:pPr>
    </w:p>
    <w:p>
      <w:pPr>
        <w:jc w:val="both"/>
        <w:ind w:left="480"/>
        <w:spacing w:after="0"/>
        <w:tabs>
          <w:tab w:leader="none" w:pos="1500" w:val="left"/>
        </w:tabs>
        <w:rPr>
          <w:sz w:val="20"/>
          <w:szCs w:val="20"/>
          <w:color w:val="auto"/>
        </w:rPr>
      </w:pPr>
      <w:r>
        <w:rPr>
          <w:rFonts w:ascii="Arial" w:cs="Arial" w:eastAsia="Arial" w:hAnsi="Arial"/>
          <w:sz w:val="16"/>
          <w:szCs w:val="16"/>
          <w:color w:val="auto"/>
        </w:rPr>
        <w:t>(8,202)</w:t>
      </w:r>
      <w:r>
        <w:rPr>
          <w:sz w:val="20"/>
          <w:szCs w:val="20"/>
          <w:color w:val="auto"/>
        </w:rPr>
        <w:tab/>
      </w:r>
      <w:r>
        <w:rPr>
          <w:rFonts w:ascii="Arial" w:cs="Arial" w:eastAsia="Arial" w:hAnsi="Arial"/>
          <w:sz w:val="16"/>
          <w:szCs w:val="16"/>
          <w:color w:val="auto"/>
        </w:rPr>
        <w:t>(13,494)</w:t>
      </w:r>
    </w:p>
    <w:p>
      <w:pPr>
        <w:spacing w:after="0" w:line="325" w:lineRule="exact"/>
        <w:rPr>
          <w:sz w:val="20"/>
          <w:szCs w:val="20"/>
          <w:color w:val="auto"/>
        </w:rPr>
      </w:pPr>
    </w:p>
    <w:p>
      <w:pPr>
        <w:sectPr>
          <w:pgSz w:w="11900" w:h="16838" w:orient="portrait"/>
          <w:cols w:equalWidth="0" w:num="2">
            <w:col w:w="8580" w:space="720"/>
            <w:col w:w="2120"/>
          </w:cols>
          <w:pgMar w:left="240" w:top="1026"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7"/>
        </w:trPr>
        <w:tc>
          <w:tcPr>
            <w:tcW w:w="9280" w:type="dxa"/>
            <w:vAlign w:val="bottom"/>
          </w:tcPr>
          <w:p>
            <w:pPr>
              <w:ind w:left="9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Proceeds from the exercise of common stock options, net</w:t>
            </w: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5,426</w:t>
            </w: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Payments of public offering costs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33"/>
        </w:trPr>
        <w:tc>
          <w:tcPr>
            <w:tcW w:w="9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9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0" w:type="dxa"/>
            <w:vAlign w:val="bottom"/>
          </w:tcPr>
          <w:p>
            <w:pPr>
              <w:spacing w:after="0"/>
              <w:rPr>
                <w:sz w:val="1"/>
                <w:szCs w:val="1"/>
                <w:color w:val="auto"/>
              </w:rPr>
            </w:pPr>
          </w:p>
        </w:tc>
      </w:tr>
      <w:tr>
        <w:trPr>
          <w:trHeight w:val="224"/>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27,900</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End of period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8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14,004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18,500</w:t>
            </w:r>
          </w:p>
        </w:tc>
        <w:tc>
          <w:tcPr>
            <w:tcW w:w="0" w:type="dxa"/>
            <w:vAlign w:val="bottom"/>
          </w:tcPr>
          <w:p>
            <w:pPr>
              <w:spacing w:after="0"/>
              <w:rPr>
                <w:sz w:val="1"/>
                <w:szCs w:val="1"/>
                <w:color w:val="auto"/>
              </w:rPr>
            </w:pPr>
          </w:p>
        </w:tc>
      </w:tr>
      <w:tr>
        <w:trPr>
          <w:trHeight w:val="33"/>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33"/>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Vesting of early exercised stock options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26"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2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consolidated financial statements have been adjusted to reflect this reverse stock split for all periods presented.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$113.7 million to the Company, net of underwriting discounts and commissions and offering costs.</w:t>
      </w:r>
    </w:p>
    <w:p>
      <w:pPr>
        <w:spacing w:after="0" w:line="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the IPO,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284,983 shares of common stock, resulting in reclassification of the related redeemable convertible preferred stock warrant liability of $1.1 million in additional paid-in-capital.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2017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(consisting only of normal recurring adjustments) that are necessary for a fair statement of the Company’s consolidated financial information. The results of operations for the three and nine months ended September 30, 2018 are not necessarily indicative of the results to be expected for the year ending December 31, 2018 or for any other interim period or for any other future year.</w:t>
      </w:r>
    </w:p>
    <w:p>
      <w:pPr>
        <w:spacing w:after="0" w:line="20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audited financial statements and related notes thereto for the year ended December 31, 2017 contained in the Company’s prospectus filed pursuant to Rule 424(b) under the Securities Act of 1933, as amended, with the SEC on October 18, 2018.</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3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35,672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30,915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39,756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34,214</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9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and for the nine months ended September 30, 2018, the Company had an accumulated deficit of $151.9 million and used $8.2 million of cash in operations. The Company has not achieved positive cash flow from operations to date. The Company held cash and cash equivalents of $14.0 million and $22.4 million as of September 30, 2018 and December 31, 2017, respectively.</w:t>
      </w:r>
    </w:p>
    <w:p>
      <w:pPr>
        <w:spacing w:after="0" w:line="12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September 30, 2018; however there can be no assurances that the Company will continue to meet these targets in the future.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3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3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19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2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Company’s cash equivalents consist of money market funds as of September 30, 2018 and December 31, 2017. The money market funds are classified as Level 1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each reporting period. The related input assumptions are discussed in Note 8.</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September 30, 2018 and December 31, 2017, inventory consisted entirely of finished goods.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10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7"/>
        </w:trPr>
        <w:tc>
          <w:tcPr>
            <w:tcW w:w="6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10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7"/>
        </w:trPr>
        <w:tc>
          <w:tcPr>
            <w:tcW w:w="630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Intangible assets consist of intellectual property related to the sacroiliac-joint developed technologies acquired by the Company in March 2008. Intangible assets are amortized over the period of estimated benefit using the straight-line method and estimated useful lives of approximately 15 years. No residual value is estimated for intangible assets.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September 30, 2018 and December 31, 2017, the Company has not experienced impairment losses on its long-lived assets.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$1.2 million and $0 of offering costs capitalized as of September 30, 2018 and December 31, 2017, respectively, in other non-current assets on the consolidated balance sheets. Such costs were transferred to additional paid-in capital upon completion of the IPO on October 16, 2018. Offering costs of $1.3 million were also incurred and expensed in the three and nine months ended September 30, 2017, as a result of delays in the IPO process during the periods.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 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The Company will continue to adjust the liability for changes in fair value until the earlier of (i) exercise of the warrants,</w:t>
      </w:r>
    </w:p>
    <w:p>
      <w:pPr>
        <w:spacing w:after="0" w:line="35" w:lineRule="exact"/>
        <w:rPr>
          <w:sz w:val="20"/>
          <w:szCs w:val="20"/>
          <w:color w:val="auto"/>
        </w:rPr>
      </w:pPr>
    </w:p>
    <w:p>
      <w:pPr>
        <w:jc w:val="both"/>
        <w:ind w:firstLine="8"/>
        <w:spacing w:after="0" w:line="255"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conversion into equity classified warrants to purchase common stock, or (iii) expiration of the warrants. The remaining value of the redeemable convertible preferred stock warrants will be reclassified to common stock with no further remeasurement required upon exercise of the warrants or conversion into equity classified warrants to purchase common stock.</w:t>
      </w:r>
    </w:p>
    <w:p>
      <w:pPr>
        <w:spacing w:after="0" w:line="136"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16"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7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 $0.1 million as of September 30, 2018 and December 31, 2017.</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46"/>
        <w:spacing w:after="0" w:line="274" w:lineRule="auto"/>
        <w:rPr>
          <w:sz w:val="20"/>
          <w:szCs w:val="20"/>
          <w:color w:val="auto"/>
        </w:rPr>
      </w:pPr>
      <w:r>
        <w:rPr>
          <w:rFonts w:ascii="Arial" w:cs="Arial" w:eastAsia="Arial" w:hAnsi="Arial"/>
          <w:sz w:val="17"/>
          <w:szCs w:val="17"/>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(3) other expenses, which include direct and allocated expenses for facilities and other costs.</w:t>
      </w:r>
    </w:p>
    <w:p>
      <w:pPr>
        <w:spacing w:after="0" w:line="15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Advertising Expenditures</w:t>
      </w:r>
    </w:p>
    <w:p>
      <w:pPr>
        <w:spacing w:after="0" w:line="17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cost of advertising is expensed as incurred. Advertising costs totaled $0.2 million for each of the three months ended September 30, 2018 and 2017, and $0.5 million and $0.6 million for the nine months ended September 30, 2018 and 2017,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33"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9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9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04"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 Management is undergoing its assessment of the new standard, which includes the review of contracts and revenue channels, and will adopt the standard for the fiscal year ending December 31, 2019.</w:t>
      </w:r>
    </w:p>
    <w:p>
      <w:pPr>
        <w:spacing w:after="0" w:line="12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35"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24"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1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24"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w:t>
      </w:r>
    </w:p>
    <w:p>
      <w:pPr>
        <w:jc w:val="both"/>
        <w:ind w:firstLine="8"/>
        <w:spacing w:after="0" w:line="281" w:lineRule="auto"/>
        <w:tabs>
          <w:tab w:leader="none" w:pos="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jc w:val="both"/>
        <w:ind w:firstLine="8"/>
        <w:spacing w:after="0" w:line="290" w:lineRule="auto"/>
        <w:tabs>
          <w:tab w:leader="none" w:pos="2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 material impact on the Company’s consolidated financial statements.</w:t>
      </w:r>
    </w:p>
    <w:p>
      <w:pPr>
        <w:spacing w:after="0" w:line="139"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this standard will have on its consolidated financial statements, and anticipates adopting the standard for the fiscal year ending December 31, 2020.</w:t>
      </w:r>
    </w:p>
    <w:p>
      <w:pPr>
        <w:spacing w:after="0" w:line="129"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119" w:lineRule="exact"/>
        <w:rPr>
          <w:sz w:val="20"/>
          <w:szCs w:val="20"/>
          <w:color w:val="auto"/>
        </w:rPr>
      </w:pPr>
    </w:p>
    <w:p>
      <w:pPr>
        <w:jc w:val="both"/>
        <w:ind w:firstLine="446"/>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5" w:lineRule="exact"/>
        <w:rPr>
          <w:sz w:val="20"/>
          <w:szCs w:val="20"/>
          <w:color w:val="auto"/>
        </w:rPr>
      </w:pPr>
    </w:p>
    <w:p>
      <w:pPr>
        <w:ind w:right="20" w:firstLine="8"/>
        <w:spacing w:after="0" w:line="261" w:lineRule="auto"/>
        <w:tabs>
          <w:tab w:leader="none" w:pos="3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evaluating the impact that the adoption of this standard will have on the consolidated financial statements, and anticipates adopting the standard for the fiscal year ending December 31,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12"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13,668</w:t>
            </w:r>
          </w:p>
        </w:tc>
        <w:tc>
          <w:tcPr>
            <w:tcW w:w="0" w:type="dxa"/>
            <w:vAlign w:val="bottom"/>
          </w:tcPr>
          <w:p>
            <w:pPr>
              <w:spacing w:after="0"/>
              <w:rPr>
                <w:sz w:val="1"/>
                <w:szCs w:val="1"/>
                <w:color w:val="auto"/>
              </w:rPr>
            </w:pPr>
          </w:p>
        </w:tc>
      </w:tr>
      <w:tr>
        <w:trPr>
          <w:trHeight w:val="297"/>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60"/>
              <w:spacing w:after="0"/>
              <w:rPr>
                <w:sz w:val="20"/>
                <w:szCs w:val="20"/>
                <w:color w:val="auto"/>
              </w:rPr>
            </w:pPr>
            <w:r>
              <w:rPr>
                <w:rFonts w:ascii="Arial" w:cs="Arial" w:eastAsia="Arial" w:hAnsi="Arial"/>
                <w:sz w:val="18"/>
                <w:szCs w:val="18"/>
                <w:color w:val="auto"/>
              </w:rPr>
              <w:t>Redeemable convertible preferred stock warrants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567"/>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338"/>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60"/>
              <w:spacing w:after="0"/>
              <w:rPr>
                <w:sz w:val="20"/>
                <w:szCs w:val="20"/>
                <w:color w:val="auto"/>
              </w:rPr>
            </w:pPr>
            <w:r>
              <w:rPr>
                <w:rFonts w:ascii="Arial" w:cs="Arial" w:eastAsia="Arial" w:hAnsi="Arial"/>
                <w:sz w:val="18"/>
                <w:szCs w:val="18"/>
                <w:color w:val="auto"/>
              </w:rPr>
              <w:t>Redeemable convertible preferred stock warrants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379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276"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cash and cash equivalents on the consolidated balance sheet</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center"/>
              <w:ind w:left="3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recorded in 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Balances at September 30, 2018</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460"/>
              <w:spacing w:after="0"/>
              <w:rPr>
                <w:sz w:val="20"/>
                <w:szCs w:val="20"/>
                <w:color w:val="auto"/>
              </w:rPr>
            </w:pPr>
            <w:r>
              <w:rPr>
                <w:rFonts w:ascii="Arial" w:cs="Arial" w:eastAsia="Arial" w:hAnsi="Arial"/>
                <w:sz w:val="18"/>
                <w:szCs w:val="18"/>
                <w:color w:val="auto"/>
              </w:rPr>
              <w:t>Property and Equipment, net (in thousands):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Depreciation expense were $0.2 million and $0.5 million for the three and nine months ended September 30, 2018, respectively, and $0.3 million and $0.8 million for the three and nine months ended September 30, 2017, respectively.</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240" w:type="dxa"/>
            <w:vAlign w:val="bottom"/>
          </w:tcPr>
          <w:p>
            <w:pPr>
              <w:ind w:left="460"/>
              <w:spacing w:after="0"/>
              <w:rPr>
                <w:sz w:val="20"/>
                <w:szCs w:val="20"/>
                <w:color w:val="auto"/>
              </w:rPr>
            </w:pPr>
            <w:r>
              <w:rPr>
                <w:rFonts w:ascii="Arial" w:cs="Arial" w:eastAsia="Arial" w:hAnsi="Arial"/>
                <w:sz w:val="18"/>
                <w:szCs w:val="18"/>
                <w:color w:val="auto"/>
              </w:rPr>
              <w:t>Accrued Liabilities and Other (in thousands):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8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534"/>
        </w:trPr>
        <w:tc>
          <w:tcPr>
            <w:tcW w:w="8240" w:type="dxa"/>
            <w:vAlign w:val="bottom"/>
          </w:tcPr>
          <w:p>
            <w:pPr>
              <w:ind w:left="40"/>
              <w:spacing w:after="0"/>
              <w:rPr>
                <w:sz w:val="20"/>
                <w:szCs w:val="20"/>
                <w:color w:val="auto"/>
              </w:rPr>
            </w:pPr>
            <w:r>
              <w:rPr>
                <w:rFonts w:ascii="Arial" w:cs="Arial" w:eastAsia="Arial" w:hAnsi="Arial"/>
                <w:sz w:val="18"/>
                <w:szCs w:val="18"/>
                <w:color w:val="auto"/>
              </w:rPr>
              <w:t>Accrued compensation, travel and related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3,732</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Accrued professional services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Liability for early exercise of unvested stock options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warranty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2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March 2011, the Company entered into a six-year non-cancelable operating lease for its office building space in Milan, Italy. In February 2017, the terms of the lease were extended for another six years under the same agreement. In September 2015, the Company entered into a six-year non-cancelable operating lease for additional floor space in its office building in Milan, Italy.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November 2014, the Company entered into a five-year non-cancelable operating lease for its office building space in Mannheim, Germany.</w:t>
      </w:r>
    </w:p>
    <w:p>
      <w:pPr>
        <w:spacing w:after="0" w:line="18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December 2015, the Company entered into a three-year non-cancelable operating lease for its office building space in Knaresborough, United Kingdom.</w:t>
      </w:r>
    </w:p>
    <w:p>
      <w:pPr>
        <w:spacing w:after="0" w:line="116"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2021.</w:t>
      </w:r>
    </w:p>
    <w:p>
      <w:pPr>
        <w:spacing w:after="0" w:line="116"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$0.3 million for both the three-month periods ended September 30, 2018 and 2017, and $0.9 million and $0.7 million for the nine-month periods ended September 30, 2018 and 2017, respectively.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r>
              <w:rPr>
                <w:rFonts w:ascii="Arial" w:cs="Arial" w:eastAsia="Arial" w:hAnsi="Arial"/>
                <w:sz w:val="18"/>
                <w:szCs w:val="18"/>
                <w:color w:val="auto"/>
              </w:rPr>
              <w:t>The aggregate future minimum lease payments under all leases as of September 30, 2018 are as follows (in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40"/>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(with three months remaining)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1,921</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7"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017"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at $0.3 million and $0.1 million at September 30, 2018 and December 31, 2017, respectively. The amounts paid under these arrangements may be less in the event that the arrangement is renegotiated or canceled.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is subject to claims and assessments from time to time in the ordinary course of business but does not believe that any such matters known to the Company as of September 30, 2018, individually or in the aggregate, will have a material adverse effect on the Company’s financial position, results of operations or cash flows.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75"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Company had $38.9 million and $38.7 million of outstanding debt, net of debt discounts, as of September 30, 2018 and December 31, 2017, respectively.</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Term Loan</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August 2016, the Company entered into a Term Loan facility and a revolving line of credit with Silicon Valley Bank, or SVB and Oxford Finance LLC, or Oxford for $35.2 million. The Term Loan had interest only periods for six months up to October 1, 2017 and was then to be repaid over 27 months of equal principal payments plus interest. The maturity date of the term loan was December 1, 2019, and it carried an interest rate equal to the greater of 11% or the WSJ Prime rate plus 7.75%. The Term Loan borrowings were senior unsecured obligations of the Company, ranking equally and ratably among themselves and with the Company’s existing and future unsecured and unsubordinated debt.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the above Term Loan agreement, the Company issued redeemable convertible preferred stock warrants (refer to Note 8 for details).</w:t>
      </w:r>
    </w:p>
    <w:p>
      <w:pPr>
        <w:spacing w:after="0" w:line="19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3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requires the Company to maintain a minimum cash balance of $5.0 million and to achieve certain revenue targets.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New Term Loan is a senior obligation secured with a blanket first lien on the assets of the Company. As of September 30, 2018 and December 31, 2017, the total loan balance, net of debt discount, was $38.9 million and $38.7 million, respectively, with an effective interest rate of 12.3% and 12.0%, respectively, and the Company was in compliance with all debt covenants.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September 30, 2018 are as follows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Ending at, December 31,</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7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 (with three months remaining)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w:t>
            </w: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17,778</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w:t>
            </w:r>
          </w:p>
        </w:tc>
      </w:tr>
      <w:tr>
        <w:trPr>
          <w:trHeight w:val="237"/>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Total future minimum payments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0120" w:type="dxa"/>
            <w:vAlign w:val="bottom"/>
            <w:gridSpan w:val="2"/>
          </w:tcPr>
          <w:p>
            <w:pPr>
              <w:ind w:left="420"/>
              <w:spacing w:after="0"/>
              <w:rPr>
                <w:sz w:val="20"/>
                <w:szCs w:val="20"/>
                <w:color w:val="auto"/>
              </w:rPr>
            </w:pPr>
            <w:r>
              <w:rPr>
                <w:rFonts w:ascii="Arial" w:cs="Arial" w:eastAsia="Arial" w:hAnsi="Arial"/>
                <w:sz w:val="18"/>
                <w:szCs w:val="18"/>
                <w:color w:val="auto"/>
              </w:rPr>
              <w:t>Amount representing debt discount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was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at September 30, 2018 and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Preferred stock at September 30, 2018 and December 31, 2017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700" w:type="dxa"/>
            <w:vAlign w:val="bottom"/>
            <w:gridSpan w:val="4"/>
          </w:tcPr>
          <w:p>
            <w:pPr>
              <w:ind w:left="10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Series</w:t>
            </w:r>
          </w:p>
        </w:tc>
        <w:tc>
          <w:tcPr>
            <w:tcW w:w="2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Issued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Value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Liquidation Value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340" w:type="dxa"/>
            <w:vAlign w:val="bottom"/>
          </w:tcPr>
          <w:p>
            <w:pPr>
              <w:ind w:left="40"/>
              <w:spacing w:after="0"/>
              <w:rPr>
                <w:sz w:val="20"/>
                <w:szCs w:val="20"/>
                <w:color w:val="auto"/>
              </w:rPr>
            </w:pPr>
            <w:r>
              <w:rPr>
                <w:rFonts w:ascii="Arial" w:cs="Arial" w:eastAsia="Arial" w:hAnsi="Arial"/>
                <w:sz w:val="18"/>
                <w:szCs w:val="18"/>
                <w:color w:val="auto"/>
              </w:rPr>
              <w:t>Series 1</w:t>
            </w:r>
          </w:p>
        </w:tc>
        <w:tc>
          <w:tcPr>
            <w:tcW w:w="3680" w:type="dxa"/>
            <w:vAlign w:val="bottom"/>
            <w:gridSpan w:val="2"/>
          </w:tcPr>
          <w:p>
            <w:pPr>
              <w:jc w:val="right"/>
              <w:ind w:right="39"/>
              <w:spacing w:after="0"/>
              <w:rPr>
                <w:sz w:val="20"/>
                <w:szCs w:val="20"/>
                <w:color w:val="auto"/>
              </w:rPr>
            </w:pPr>
            <w:r>
              <w:rPr>
                <w:rFonts w:ascii="Arial" w:cs="Arial" w:eastAsia="Arial" w:hAnsi="Arial"/>
                <w:sz w:val="18"/>
                <w:szCs w:val="18"/>
                <w:color w:val="auto"/>
              </w:rPr>
              <w:t>245,096</w:t>
            </w: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245,096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2</w:t>
            </w:r>
          </w:p>
        </w:tc>
        <w:tc>
          <w:tcPr>
            <w:tcW w:w="3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709,617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Series 3</w:t>
            </w:r>
          </w:p>
        </w:tc>
        <w:tc>
          <w:tcPr>
            <w:tcW w:w="3680" w:type="dxa"/>
            <w:vAlign w:val="bottom"/>
            <w:gridSpan w:val="2"/>
          </w:tcPr>
          <w:p>
            <w:pPr>
              <w:jc w:val="right"/>
              <w:ind w:right="39"/>
              <w:spacing w:after="0"/>
              <w:rPr>
                <w:sz w:val="20"/>
                <w:szCs w:val="20"/>
                <w:color w:val="auto"/>
              </w:rPr>
            </w:pPr>
            <w:r>
              <w:rPr>
                <w:rFonts w:ascii="Arial" w:cs="Arial" w:eastAsia="Arial" w:hAnsi="Arial"/>
                <w:sz w:val="18"/>
                <w:szCs w:val="18"/>
                <w:color w:val="auto"/>
              </w:rPr>
              <w:t>498,958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498,938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4</w:t>
            </w:r>
          </w:p>
        </w:tc>
        <w:tc>
          <w:tcPr>
            <w:tcW w:w="3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2,509,047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2,509,032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Series 5</w:t>
            </w:r>
          </w:p>
        </w:tc>
        <w:tc>
          <w:tcPr>
            <w:tcW w:w="3680" w:type="dxa"/>
            <w:vAlign w:val="bottom"/>
            <w:gridSpan w:val="2"/>
          </w:tcPr>
          <w:p>
            <w:pPr>
              <w:jc w:val="right"/>
              <w:ind w:right="39"/>
              <w:spacing w:after="0"/>
              <w:rPr>
                <w:sz w:val="20"/>
                <w:szCs w:val="20"/>
                <w:color w:val="auto"/>
              </w:rPr>
            </w:pPr>
            <w:r>
              <w:rPr>
                <w:rFonts w:ascii="Arial" w:cs="Arial" w:eastAsia="Arial" w:hAnsi="Arial"/>
                <w:sz w:val="18"/>
                <w:szCs w:val="18"/>
                <w:color w:val="auto"/>
              </w:rPr>
              <w:t>2,086,138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2,009,226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6</w:t>
            </w:r>
          </w:p>
        </w:tc>
        <w:tc>
          <w:tcPr>
            <w:tcW w:w="3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3,389,227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3,319,274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Series 7</w:t>
            </w:r>
          </w:p>
        </w:tc>
        <w:tc>
          <w:tcPr>
            <w:tcW w:w="3680" w:type="dxa"/>
            <w:vAlign w:val="bottom"/>
            <w:gridSpan w:val="2"/>
          </w:tcPr>
          <w:p>
            <w:pPr>
              <w:jc w:val="right"/>
              <w:ind w:right="39"/>
              <w:spacing w:after="0"/>
              <w:rPr>
                <w:sz w:val="20"/>
                <w:szCs w:val="20"/>
                <w:color w:val="auto"/>
              </w:rPr>
            </w:pPr>
            <w:r>
              <w:rPr>
                <w:rFonts w:ascii="Arial" w:cs="Arial" w:eastAsia="Arial" w:hAnsi="Arial"/>
                <w:sz w:val="18"/>
                <w:szCs w:val="18"/>
                <w:color w:val="auto"/>
              </w:rPr>
              <w:t>2,666,666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2,580,404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25,752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12,104,749</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11,871,578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118,548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340" w:type="dxa"/>
            <w:vAlign w:val="bottom"/>
          </w:tcPr>
          <w:p>
            <w:pPr>
              <w:spacing w:after="0"/>
              <w:rPr>
                <w:sz w:val="24"/>
                <w:szCs w:val="24"/>
                <w:color w:val="auto"/>
              </w:rPr>
            </w:pPr>
          </w:p>
        </w:tc>
        <w:tc>
          <w:tcPr>
            <w:tcW w:w="3680" w:type="dxa"/>
            <w:vAlign w:val="bottom"/>
            <w:gridSpan w:val="2"/>
          </w:tcPr>
          <w:p>
            <w:pPr>
              <w:jc w:val="right"/>
              <w:ind w:right="113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The holders of Series 1, Series 2, Series 3, Series 4, Series 5, Series 6, and Series 7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or Series 7 shares are outstanding, the holders of such Series 4, Series 5, Series 6 or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25"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As long as at least 277,778 preferred stock shares remain outstanding, the Company must obtain approval from a majority of the holders of a majority of the then outstanding shares of preferred stock and a majority of the voting power of all outstanding shares of Series 5 preferred stock in order to</w:t>
      </w:r>
    </w:p>
    <w:p>
      <w:pPr>
        <w:jc w:val="both"/>
        <w:ind w:firstLine="8"/>
        <w:spacing w:after="0" w:line="267" w:lineRule="auto"/>
        <w:tabs>
          <w:tab w:leader="none" w:pos="2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 are $0.050112, $0.171360, $0.4608, $0.504, $0.72774, $1.317744, and $0.802656, respectively, (adjusted to reflect subsequent stock dividends, stock splits or recapitalization).</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September 30, 2018 and December 31, 2017.</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 (x) 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surviving or resulting corporation); (C)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 are $0.6264, $2.142, $5.76, $6.30, $9.0954, $16.4718, and $10.0332,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128"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Upon the closing of the distribution as above, the remaining proceeds shall be distributed among the holders of Series 4, Series 5, Series 6, Series 7 preferred stock and common stock pro rata based on the number of shares of common stock held by each until the holders of the preferred stock have received the “participation cap.” Thereafter, if proceeds remain, the holders of Series 7 preferred stock and common stock shall receive all of the remaining proceeds pro rata based on the number of shares of common stock held by each (assuming full conversion of all such Series 7 preferred stock). The Company has a per share “Participation Cap” of $32.9436 for the Series 6 preferred stock, $18.1908 for the Series 5 preferred stock, and $12.60 for the Series 4 preferred stock (each as adjusted for any stock splits, stock dividends, combinations, subdivisions, recapitalizations or the like with respect to such series of preferred stock).</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In March 2017, due to the issuance of additional shares of Series 7 preferred stock, the conversion price per share for the Series 6 preferred stock was amended from $15.714 per share to $15.5574 per share which resulted in the conversion ratio increasing from 1.05 to 1.06 per share.</w:t>
      </w:r>
    </w:p>
    <w:p>
      <w:pPr>
        <w:spacing w:after="0" w:line="13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$30.0996, or</w:t>
      </w:r>
    </w:p>
    <w:p>
      <w:pPr>
        <w:ind w:right="20" w:firstLine="8"/>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receipt of a written request for such conversion from the holders of at least the voting majority of all outstanding preferred stock (voting as a single class and on an as-converted basis).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Matters</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did not adjust the carrying values of the preferred stock to the liquidation preferences of such shares because it was uncertain whether or when an event would occur that would obligate the Company to pay the liquidation preferences to holders of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Warrants issued and outstanding at both September 30, 2018 and December 31, 2017 are as follows (in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ind w:left="1040"/>
              <w:spacing w:after="0"/>
              <w:rPr>
                <w:sz w:val="20"/>
                <w:szCs w:val="20"/>
                <w:color w:val="auto"/>
              </w:rPr>
            </w:pPr>
            <w:r>
              <w:rPr>
                <w:rFonts w:ascii="Arial" w:cs="Arial" w:eastAsia="Arial" w:hAnsi="Arial"/>
                <w:sz w:val="16"/>
                <w:szCs w:val="16"/>
                <w:b w:val="1"/>
                <w:bCs w:val="1"/>
                <w:color w:val="auto"/>
              </w:rPr>
              <w:t>Date</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3"/>
              </w:rPr>
              <w:t>Underlying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15"/>
                <w:szCs w:val="15"/>
                <w:color w:val="auto"/>
              </w:rPr>
            </w:pPr>
          </w:p>
        </w:tc>
        <w:tc>
          <w:tcPr>
            <w:tcW w:w="1000" w:type="dxa"/>
            <w:vAlign w:val="bottom"/>
          </w:tcPr>
          <w:p>
            <w:pPr>
              <w:ind w:left="40"/>
              <w:spacing w:after="0" w:line="182" w:lineRule="exact"/>
              <w:rPr>
                <w:sz w:val="20"/>
                <w:szCs w:val="20"/>
                <w:color w:val="auto"/>
              </w:rPr>
            </w:pPr>
            <w:r>
              <w:rPr>
                <w:rFonts w:ascii="Arial" w:cs="Arial" w:eastAsia="Arial" w:hAnsi="Arial"/>
                <w:sz w:val="16"/>
                <w:szCs w:val="16"/>
                <w:b w:val="1"/>
                <w:bCs w:val="1"/>
                <w:color w:val="auto"/>
              </w:rPr>
              <w:t>at the Date</w:t>
            </w: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Warrants to purchase</w:t>
            </w:r>
          </w:p>
        </w:tc>
        <w:tc>
          <w:tcPr>
            <w:tcW w:w="12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b w:val="1"/>
                <w:bCs w:val="1"/>
                <w:color w:val="auto"/>
              </w:rPr>
              <w:t>Series</w:t>
            </w:r>
          </w:p>
        </w:tc>
        <w:tc>
          <w:tcPr>
            <w:tcW w:w="1420" w:type="dxa"/>
            <w:vAlign w:val="bottom"/>
            <w:gridSpan w:val="3"/>
          </w:tcPr>
          <w:p>
            <w:pPr>
              <w:ind w:left="280"/>
              <w:spacing w:after="0"/>
              <w:rPr>
                <w:sz w:val="20"/>
                <w:szCs w:val="20"/>
                <w:color w:val="auto"/>
              </w:rPr>
            </w:pPr>
            <w:r>
              <w:rPr>
                <w:rFonts w:ascii="Arial" w:cs="Arial" w:eastAsia="Arial" w:hAnsi="Arial"/>
                <w:sz w:val="16"/>
                <w:szCs w:val="16"/>
                <w:b w:val="1"/>
                <w:bCs w:val="1"/>
                <w:color w:val="auto"/>
              </w:rPr>
              <w:t>Issuance</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9"/>
              </w:rPr>
              <w:t>Expiration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w:t>
            </w:r>
          </w:p>
        </w:tc>
        <w:tc>
          <w:tcPr>
            <w:tcW w:w="14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6"/>
                <w:szCs w:val="16"/>
                <w:b w:val="1"/>
                <w:bCs w:val="1"/>
                <w:color w:val="auto"/>
              </w:rPr>
              <w:t>of Issuance</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7/19/2013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7/22/2023 [a]</w:t>
            </w:r>
          </w:p>
        </w:tc>
        <w:tc>
          <w:tcPr>
            <w:tcW w:w="1240" w:type="dxa"/>
            <w:vAlign w:val="bottom"/>
          </w:tcPr>
          <w:p>
            <w:pPr>
              <w:jc w:val="right"/>
              <w:spacing w:after="0"/>
              <w:rPr>
                <w:sz w:val="20"/>
                <w:szCs w:val="20"/>
                <w:color w:val="auto"/>
              </w:rPr>
            </w:pPr>
            <w:r>
              <w:rPr>
                <w:rFonts w:ascii="Arial" w:cs="Arial" w:eastAsia="Arial" w:hAnsi="Arial"/>
                <w:sz w:val="18"/>
                <w:szCs w:val="18"/>
                <w:color w:val="auto"/>
              </w:rPr>
              <w:t>101,010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11/26/2014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11/26/2024 [a]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3/1/2017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3/1/2027 [a]</w:t>
            </w:r>
          </w:p>
        </w:tc>
        <w:tc>
          <w:tcPr>
            <w:tcW w:w="1240" w:type="dxa"/>
            <w:vAlign w:val="bottom"/>
          </w:tcPr>
          <w:p>
            <w:pPr>
              <w:jc w:val="right"/>
              <w:spacing w:after="0"/>
              <w:rPr>
                <w:sz w:val="20"/>
                <w:szCs w:val="20"/>
                <w:color w:val="auto"/>
              </w:rPr>
            </w:pPr>
            <w:r>
              <w:rPr>
                <w:rFonts w:ascii="Arial" w:cs="Arial" w:eastAsia="Arial" w:hAnsi="Arial"/>
                <w:sz w:val="18"/>
                <w:szCs w:val="18"/>
                <w:color w:val="auto"/>
              </w:rPr>
              <w:t>1,388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common stock warrants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7/25/2019 [b]</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Series 5</w:t>
            </w:r>
          </w:p>
        </w:tc>
        <w:tc>
          <w:tcPr>
            <w:tcW w:w="1140" w:type="dxa"/>
            <w:vAlign w:val="bottom"/>
          </w:tcPr>
          <w:p>
            <w:pPr>
              <w:jc w:val="right"/>
              <w:spacing w:after="0"/>
              <w:rPr>
                <w:sz w:val="20"/>
                <w:szCs w:val="20"/>
                <w:color w:val="auto"/>
              </w:rPr>
            </w:pPr>
            <w:r>
              <w:rPr>
                <w:rFonts w:ascii="Arial" w:cs="Arial" w:eastAsia="Arial" w:hAnsi="Arial"/>
                <w:sz w:val="18"/>
                <w:szCs w:val="18"/>
                <w:color w:val="auto"/>
              </w:rPr>
              <w:t>7/19/2013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7/22/2023 [c]</w:t>
            </w:r>
          </w:p>
        </w:tc>
        <w:tc>
          <w:tcPr>
            <w:tcW w:w="1240" w:type="dxa"/>
            <w:vAlign w:val="bottom"/>
          </w:tcPr>
          <w:p>
            <w:pPr>
              <w:jc w:val="right"/>
              <w:spacing w:after="0"/>
              <w:rPr>
                <w:sz w:val="20"/>
                <w:szCs w:val="20"/>
                <w:color w:val="auto"/>
              </w:rPr>
            </w:pPr>
            <w:r>
              <w:rPr>
                <w:rFonts w:ascii="Arial" w:cs="Arial" w:eastAsia="Arial" w:hAnsi="Arial"/>
                <w:sz w:val="18"/>
                <w:szCs w:val="18"/>
                <w:color w:val="auto"/>
              </w:rPr>
              <w:t>21,989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11/26/2014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11/26/2024 [c]</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Series 6</w:t>
            </w:r>
          </w:p>
        </w:tc>
        <w:tc>
          <w:tcPr>
            <w:tcW w:w="1140" w:type="dxa"/>
            <w:vAlign w:val="bottom"/>
          </w:tcPr>
          <w:p>
            <w:pPr>
              <w:jc w:val="right"/>
              <w:spacing w:after="0"/>
              <w:rPr>
                <w:sz w:val="20"/>
                <w:szCs w:val="20"/>
                <w:color w:val="auto"/>
              </w:rPr>
            </w:pPr>
            <w:r>
              <w:rPr>
                <w:rFonts w:ascii="Arial" w:cs="Arial" w:eastAsia="Arial" w:hAnsi="Arial"/>
                <w:sz w:val="18"/>
                <w:szCs w:val="18"/>
                <w:color w:val="auto"/>
              </w:rPr>
              <w:t>10/20/2015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10/20/2025 [c]</w:t>
            </w:r>
          </w:p>
        </w:tc>
        <w:tc>
          <w:tcPr>
            <w:tcW w:w="1240" w:type="dxa"/>
            <w:vAlign w:val="bottom"/>
          </w:tcPr>
          <w:p>
            <w:pPr>
              <w:jc w:val="right"/>
              <w:spacing w:after="0"/>
              <w:rPr>
                <w:sz w:val="20"/>
                <w:szCs w:val="20"/>
                <w:color w:val="auto"/>
              </w:rPr>
            </w:pPr>
            <w:r>
              <w:rPr>
                <w:rFonts w:ascii="Arial" w:cs="Arial" w:eastAsia="Arial" w:hAnsi="Arial"/>
                <w:sz w:val="18"/>
                <w:szCs w:val="18"/>
                <w:color w:val="auto"/>
              </w:rPr>
              <w:t>39,339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11/9/2025 [c]</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Series 7</w:t>
            </w:r>
          </w:p>
        </w:tc>
        <w:tc>
          <w:tcPr>
            <w:tcW w:w="1140" w:type="dxa"/>
            <w:vAlign w:val="bottom"/>
          </w:tcPr>
          <w:p>
            <w:pPr>
              <w:jc w:val="right"/>
              <w:spacing w:after="0"/>
              <w:rPr>
                <w:sz w:val="20"/>
                <w:szCs w:val="20"/>
                <w:color w:val="auto"/>
              </w:rPr>
            </w:pPr>
            <w:r>
              <w:rPr>
                <w:rFonts w:ascii="Arial" w:cs="Arial" w:eastAsia="Arial" w:hAnsi="Arial"/>
                <w:sz w:val="18"/>
                <w:szCs w:val="18"/>
                <w:color w:val="auto"/>
              </w:rPr>
              <w:t>12/22/2016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12/22/2026 [c]</w:t>
            </w:r>
          </w:p>
        </w:tc>
        <w:tc>
          <w:tcPr>
            <w:tcW w:w="1240" w:type="dxa"/>
            <w:vAlign w:val="bottom"/>
          </w:tcPr>
          <w:p>
            <w:pPr>
              <w:jc w:val="right"/>
              <w:spacing w:after="0"/>
              <w:rPr>
                <w:sz w:val="20"/>
                <w:szCs w:val="20"/>
                <w:color w:val="auto"/>
              </w:rPr>
            </w:pPr>
            <w:r>
              <w:rPr>
                <w:rFonts w:ascii="Arial" w:cs="Arial" w:eastAsia="Arial" w:hAnsi="Arial"/>
                <w:sz w:val="18"/>
                <w:szCs w:val="18"/>
                <w:color w:val="auto"/>
              </w:rPr>
              <w:t>9,712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Total redeemable convertible preferred stock warrants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156,550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Total outstanding common and redeemable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280,876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spacing w:after="0" w:line="13"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340" w:hanging="332"/>
        <w:spacing w:after="0" w:line="255"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pacing w:after="0" w:line="19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previously issued debt, the Company issued 101,010 warrants to purchase common shares of the Company at an exercise price of $3.96 per share in July 2013. Additionally, the Company issued warrants to purchase an additional 21,928 shares of common stock at an exercise price of $3.42 per share in November 2014. The Company determined that its warrants to purchase shares of common stock meet the requirements for equity classification.</w:t>
      </w:r>
    </w:p>
    <w:p>
      <w:pPr>
        <w:spacing w:after="0" w:line="18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which became exercisable for an aggregate of 54,917 shares of Series 5 preferred stock of the Company at an exercise price of $9.10 per share.</w:t>
      </w:r>
    </w:p>
    <w:p>
      <w:pPr>
        <w:spacing w:after="0" w:line="1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conjunction with debt issued in 2013 and 2014, the Company issued 21,989 warrants to purchase Series 5 redeemable convertible preferred stock of the Company at an exercise price of $9.10 per share. Subsequently, the Company issued additional warrants to purchase 6,310 shares of Series 6 redeemable convertible preferred stock at an exercise price of $16.47 per share.</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conjunction with the debt agreement with SVB and Oxford, or Term Loan agreement (refer to Note 6), the Company issued warrants to purchase 39,339 shares of Series 6 redeemable convertible preferred stock at an exercise price of $16.47 per share in October 2015 and additional 24,283 shares of Series 6 redeemable convertible preferred stock at an exercise price of $16.47 per share in November 2015.</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conjunction with the Term Loan agreement and its modification (refer to Note 6), the Company issued additional warrants for the purchase of 9,712 shares of Series 7 redeemable convertible preferred stock at an exercise price of $10.03 per share in December 2016.</w:t>
      </w:r>
    </w:p>
    <w:p>
      <w:pPr>
        <w:spacing w:after="0" w:line="211"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March 2017, the Company issued a warrant to purchase 1,388 shares of common stock at an exercise price of $5.94 to a consultant. The Company determined that such warrant meets the requirements for equity classification.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 loan.</w:t>
      </w:r>
    </w:p>
    <w:p>
      <w:pPr>
        <w:spacing w:after="0" w:line="23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Weighted-average assumptions used in computation of the fair value of the redeemable convertible preferred stock warrants are summarized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534"/>
        </w:trPr>
        <w:tc>
          <w:tcPr>
            <w:tcW w:w="7980" w:type="dxa"/>
            <w:vAlign w:val="bottom"/>
          </w:tcPr>
          <w:p>
            <w:pPr>
              <w:ind w:left="40"/>
              <w:spacing w:after="0"/>
              <w:rPr>
                <w:sz w:val="20"/>
                <w:szCs w:val="20"/>
                <w:color w:val="auto"/>
              </w:rPr>
            </w:pPr>
            <w:r>
              <w:rPr>
                <w:rFonts w:ascii="Arial" w:cs="Arial" w:eastAsia="Arial" w:hAnsi="Arial"/>
                <w:sz w:val="18"/>
                <w:szCs w:val="18"/>
                <w:color w:val="auto"/>
              </w:rPr>
              <w:t>Remaining contractual term (in years)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5.3</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In March 2017, the Board of Directors approved an increase of 555,555 Series 2 common stock. As a result, the Company’s restated certificate of incorporation, as amended, authorizes the Company to issue 19,333,333 shares of $0.0001 par value common stock, of which 6,000,000 has been designated as Series 1 common stock and 13,333,333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37465</wp:posOffset>
            </wp:positionV>
            <wp:extent cx="2272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tbl>
      <w:tblPr>
        <w:tblLayout w:type="fixed"/>
        <w:tblInd w:w="4460" w:type="dxa"/>
        <w:tblCellMar>
          <w:top w:w="0" w:type="dxa"/>
          <w:left w:w="0" w:type="dxa"/>
          <w:bottom w:w="0" w:type="dxa"/>
          <w:right w:w="0" w:type="dxa"/>
        </w:tblCellMar>
      </w:tblPr>
      <w:tr>
        <w:trPr>
          <w:trHeight w:val="203"/>
        </w:trPr>
        <w:tc>
          <w:tcPr>
            <w:tcW w:w="1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Issued and</w:t>
            </w:r>
          </w:p>
        </w:tc>
        <w:tc>
          <w:tcPr>
            <w:tcW w:w="1720" w:type="dxa"/>
            <w:vAlign w:val="bottom"/>
          </w:tcPr>
          <w:p>
            <w:pPr>
              <w:spacing w:after="0"/>
              <w:rPr>
                <w:sz w:val="17"/>
                <w:szCs w:val="17"/>
                <w:color w:val="auto"/>
              </w:rPr>
            </w:pPr>
          </w:p>
        </w:tc>
      </w:tr>
      <w:tr>
        <w:trPr>
          <w:trHeight w:val="203"/>
        </w:trPr>
        <w:tc>
          <w:tcPr>
            <w:tcW w:w="1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Outstanding</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w:t>
            </w:r>
          </w:p>
        </w:tc>
      </w:tr>
      <w:tr>
        <w:trPr>
          <w:trHeight w:val="210"/>
        </w:trPr>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Equivalent Shares</w:t>
            </w:r>
          </w:p>
        </w:tc>
      </w:tr>
      <w:tr>
        <w:trPr>
          <w:trHeight w:val="33"/>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2075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Issued and</w:t>
            </w:r>
          </w:p>
        </w:tc>
        <w:tc>
          <w:tcPr>
            <w:tcW w:w="1740" w:type="dxa"/>
            <w:vAlign w:val="bottom"/>
          </w:tcPr>
          <w:p>
            <w:pPr>
              <w:spacing w:after="0"/>
              <w:rPr>
                <w:sz w:val="17"/>
                <w:szCs w:val="17"/>
                <w:color w:val="auto"/>
              </w:rPr>
            </w:pPr>
          </w:p>
        </w:tc>
      </w:tr>
      <w:tr>
        <w:trPr>
          <w:trHeight w:val="203"/>
        </w:trPr>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74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Common Stock</w:t>
            </w:r>
          </w:p>
        </w:tc>
      </w:tr>
      <w:tr>
        <w:trPr>
          <w:trHeight w:val="210"/>
        </w:trPr>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740" w:type="dxa"/>
            <w:vAlign w:val="bottom"/>
          </w:tcPr>
          <w:p>
            <w:pPr>
              <w:jc w:val="center"/>
              <w:ind w:left="79"/>
              <w:spacing w:after="0"/>
              <w:rPr>
                <w:sz w:val="20"/>
                <w:szCs w:val="20"/>
                <w:color w:val="auto"/>
              </w:rPr>
            </w:pPr>
            <w:r>
              <w:rPr>
                <w:rFonts w:ascii="Arial" w:cs="Arial" w:eastAsia="Arial" w:hAnsi="Arial"/>
                <w:sz w:val="16"/>
                <w:szCs w:val="16"/>
                <w:b w:val="1"/>
                <w:bCs w:val="1"/>
                <w:color w:val="auto"/>
                <w:w w:val="90"/>
              </w:rPr>
              <w:t>Equivalent Shares</w:t>
            </w:r>
          </w:p>
        </w:tc>
      </w:tr>
      <w:tr>
        <w:trPr>
          <w:trHeight w:val="33"/>
        </w:trPr>
        <w:tc>
          <w:tcPr>
            <w:tcW w:w="1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040" w:space="120"/>
            <w:col w:w="3260"/>
          </w:cols>
          <w:pgMar w:left="240" w:top="121" w:right="2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Series 1 common stock</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3,422,722</w:t>
            </w:r>
          </w:p>
        </w:tc>
        <w:tc>
          <w:tcPr>
            <w:tcW w:w="1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3,422,722</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3,112,955</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3,112,955</w:t>
            </w:r>
          </w:p>
        </w:tc>
      </w:tr>
      <w:tr>
        <w:trPr>
          <w:trHeight w:val="27"/>
        </w:trPr>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2 common stock</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490,185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490,185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490,185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490,185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11,871,578</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12,066,654</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11,871,578</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12,066,654</w:t>
            </w:r>
          </w:p>
        </w:tc>
      </w:tr>
      <w:tr>
        <w:trPr>
          <w:trHeight w:val="27"/>
        </w:trPr>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2,711,667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2,711,667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3,001,929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3,001,929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 options available for grant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29,654</w:t>
            </w:r>
          </w:p>
        </w:tc>
      </w:tr>
      <w:tr>
        <w:trPr>
          <w:trHeight w:val="27"/>
        </w:trPr>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124,326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Redeemable convertible preferred stock warrants</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156,550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160,657</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156,550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160,657</w:t>
            </w:r>
          </w:p>
        </w:tc>
      </w:tr>
      <w:tr>
        <w:trPr>
          <w:trHeight w:val="27"/>
        </w:trPr>
        <w:tc>
          <w:tcPr>
            <w:tcW w:w="44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18,787,177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18,986,360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18,787,177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18,986,360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5,350,080 shares of common stock have been reserved for issuance under the Plan. 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8"/>
          </w:tcPr>
          <w:p>
            <w:pPr>
              <w:ind w:left="460"/>
              <w:spacing w:after="0"/>
              <w:rPr>
                <w:sz w:val="20"/>
                <w:szCs w:val="20"/>
                <w:color w:val="auto"/>
              </w:rPr>
            </w:pPr>
            <w:r>
              <w:rPr>
                <w:rFonts w:ascii="Arial" w:cs="Arial" w:eastAsia="Arial" w:hAnsi="Arial"/>
                <w:sz w:val="18"/>
                <w:szCs w:val="18"/>
                <w:color w:val="auto"/>
                <w:w w:val="98"/>
              </w:rPr>
              <w:t>The following table summarizes activity under the Plan for the nine months ended September 30, 2018:</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4"/>
                <w:szCs w:val="24"/>
                <w:color w:val="auto"/>
              </w:rPr>
            </w:pPr>
          </w:p>
        </w:tc>
        <w:tc>
          <w:tcPr>
            <w:tcW w:w="256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89"/>
              </w:rPr>
              <w:t>Options Outstanding</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Available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29,654</w:t>
            </w:r>
          </w:p>
        </w:tc>
        <w:tc>
          <w:tcPr>
            <w:tcW w:w="1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3,001,929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(73,783)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(309,767)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cancelled</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54,278</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Balances at September 30, 2018</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2,711,667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23,957</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Options vested and exercisable - September 30, 2018</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1,639,606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15,271</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Options vested and expected to vest - September 30, 2018</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2,489,664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aggregate intrinsic values of options outstanding, options exercisable, options vested and exercisable, and options vested and expected to vest were calculated as the difference between the exercise price of the options and the estimated fair value of the Company’s common stock, as determined by the board of directors, as of September 30, 2018 and December 31, 2017.</w:t>
      </w: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September 30, 2018 and December 31, 2017, the Company had a total of 78,757 and 16,117 shares of common stock, respectively, subject to repurchase under the Plan and $0.4 million and $0.1 million, respectively, of associated liabilities for the repurchase.</w:t>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22860</wp:posOffset>
            </wp:positionV>
            <wp:extent cx="15093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8" w:lineRule="exact"/>
        <w:rPr>
          <w:sz w:val="20"/>
          <w:szCs w:val="20"/>
          <w:color w:val="auto"/>
        </w:rPr>
      </w:pPr>
    </w:p>
    <w:p>
      <w:pPr>
        <w:ind w:left="7200"/>
        <w:spacing w:after="0"/>
        <w:tabs>
          <w:tab w:leader="none" w:pos="84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48895</wp:posOffset>
            </wp:positionV>
            <wp:extent cx="15093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Nine Months Ended</w:t>
      </w:r>
    </w:p>
    <w:p>
      <w:pPr>
        <w:spacing w:after="0" w:line="5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22860</wp:posOffset>
            </wp:positionV>
            <wp:extent cx="1355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41910</wp:posOffset>
            </wp:positionV>
            <wp:extent cx="1355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20" w:space="720"/>
            <w:col w:w="1880"/>
          </w:cols>
          <w:pgMar w:left="240" w:top="121" w:right="239" w:bottom="1440" w:gutter="0" w:footer="0" w:header="0"/>
          <w:type w:val="continuous"/>
        </w:sectPr>
      </w:pP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6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313</w:t>
            </w:r>
          </w:p>
        </w:tc>
      </w:tr>
      <w:tr>
        <w:trPr>
          <w:trHeight w:val="27"/>
        </w:trPr>
        <w:tc>
          <w:tcPr>
            <w:tcW w:w="6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r>
      <w:tr>
        <w:trPr>
          <w:trHeight w:val="237"/>
        </w:trPr>
        <w:tc>
          <w:tcPr>
            <w:tcW w:w="67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w:t>
            </w:r>
          </w:p>
        </w:tc>
      </w:tr>
      <w:tr>
        <w:trPr>
          <w:trHeight w:val="27"/>
        </w:trPr>
        <w:tc>
          <w:tcPr>
            <w:tcW w:w="6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above do not include $0.4 million of stock-based compensation expense related to forgiveness of notes receivable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No amounts of stock-based compensation expense related to forgiveness of notes receivable were recognized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Refer to Note 12 for details.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During the three months ended September 30, 2018, the Company granted stock options to employees to purchase 19,998 shares of common stock with a weighted-average exercise price of $9.88 per share. During the nine months ended September 30, 2018, the</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Company granted stock options to employees to purchase 73,783 shares of common stock with a weighted-average exercise price of $5.51 per share. As of September 30, 2018, there was a total unrecognized compensation cost of $1.9 million. These costs are expected to be recognized over a period of approximately 2.1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March 2017, the Company granted 564,098 performance stock options at a grant price of $5.94, of which 408,544 performance options will vest monthly over four years and 155,554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As of September 30, 2018 an IPO was not deemed probable and thus no expense was recognized.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has been no public market for the Company’s common stock,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Three months ended</w:t>
            </w:r>
          </w:p>
        </w:tc>
        <w:tc>
          <w:tcPr>
            <w:tcW w:w="3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70"/>
        </w:trPr>
        <w:tc>
          <w:tcPr>
            <w:tcW w:w="5040" w:type="dxa"/>
            <w:vAlign w:val="bottom"/>
          </w:tcPr>
          <w:p>
            <w:pPr>
              <w:spacing w:after="0"/>
              <w:rPr>
                <w:sz w:val="23"/>
                <w:szCs w:val="23"/>
                <w:color w:val="auto"/>
              </w:rPr>
            </w:pPr>
          </w:p>
        </w:tc>
        <w:tc>
          <w:tcPr>
            <w:tcW w:w="3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3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34"/>
        </w:trPr>
        <w:tc>
          <w:tcPr>
            <w:tcW w:w="504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6.04</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1"/>
              </w:rPr>
              <w:t>6.03</w:t>
            </w:r>
          </w:p>
        </w:tc>
        <w:tc>
          <w:tcPr>
            <w:tcW w:w="2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5.98</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5.05</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41%-44%</w:t>
            </w:r>
          </w:p>
        </w:tc>
        <w:tc>
          <w:tcPr>
            <w:tcW w:w="13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42%-46%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41%-46%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41%-55%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2.74%-2.80%</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0"/>
              </w:rPr>
              <w:t>1.73%-2.15%</w:t>
            </w:r>
          </w:p>
        </w:tc>
        <w:tc>
          <w:tcPr>
            <w:tcW w:w="2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2.35%-2.93%</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1.73%-2.75%</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5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August 2018, the Company granted 37,036 restricted stock units with a grant-date fair value of $7.74 per share. Fifty percent of these awards will vest on the first day of the first open trading window that occurs after the one-year anniversary of the closing of an IPO, and fifty percent will vest on the first day of the first open trading window that occurs after the two-year anniversary of the closing of an IPO, subject to continued service through each relevant vesting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88"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was due in February 2019. In March 2017, the Company forgave $0.2 million of principal and interest due on this promissory note from its Chief Executive Officer. In addition, the Board of Directors approved the forgiveness of the remaining 50% of the principal balance of the note in January 2018. At the time of the forgiveness, all of the related stock options were fully vested. As a result, the Company expensed the principal note balance of $0.4 million to stock-based compensation expense and accrued interest of $0.1 million to general and administrative expenses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jc w:val="right"/>
        <w:ind w:left="440" w:right="8240" w:hanging="432"/>
        <w:spacing w:after="0" w:line="425" w:lineRule="auto"/>
        <w:tabs>
          <w:tab w:leader="none" w:pos="278"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Three Months Ended September</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Weighted-average shares used to compute basic and diluted net loss per share*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3,712,876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3,475,628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3,638,905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3,450,252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w w:val="95"/>
              </w:rPr>
              <w:t>* Calculated based on the 1-for-18 reverse stock split effected October 4, 2018.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Unvested shares for the years ended September 30, 2018 and December 31, 2017 were excluded from the weighted-average shares used to compute basic and diluted net loss per share.</w:t>
      </w:r>
    </w:p>
    <w:p>
      <w:pPr>
        <w:spacing w:after="0" w:line="1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 Months Ended September</w:t>
            </w:r>
          </w:p>
        </w:tc>
        <w:tc>
          <w:tcPr>
            <w:tcW w:w="26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6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34"/>
        </w:trPr>
        <w:tc>
          <w:tcPr>
            <w:tcW w:w="60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2,711,667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3,015,021</w:t>
            </w:r>
          </w:p>
        </w:tc>
        <w:tc>
          <w:tcPr>
            <w:tcW w:w="120" w:type="dxa"/>
            <w:vAlign w:val="bottom"/>
          </w:tcPr>
          <w:p>
            <w:pPr>
              <w:spacing w:after="0"/>
              <w:rPr>
                <w:sz w:val="24"/>
                <w:szCs w:val="24"/>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2,711,667</w:t>
            </w:r>
          </w:p>
        </w:tc>
        <w:tc>
          <w:tcPr>
            <w:tcW w:w="1100" w:type="dxa"/>
            <w:vAlign w:val="bottom"/>
          </w:tcPr>
          <w:p>
            <w:pPr>
              <w:jc w:val="right"/>
              <w:spacing w:after="0"/>
              <w:rPr>
                <w:sz w:val="20"/>
                <w:szCs w:val="20"/>
                <w:color w:val="auto"/>
              </w:rPr>
            </w:pPr>
            <w:r>
              <w:rPr>
                <w:rFonts w:ascii="Arial" w:cs="Arial" w:eastAsia="Arial" w:hAnsi="Arial"/>
                <w:sz w:val="18"/>
                <w:szCs w:val="18"/>
                <w:color w:val="auto"/>
              </w:rPr>
              <w:t>3,015,021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subject to repurchase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78,757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12,066,654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12,066,654</w:t>
            </w:r>
          </w:p>
        </w:tc>
        <w:tc>
          <w:tcPr>
            <w:tcW w:w="120" w:type="dxa"/>
            <w:vAlign w:val="bottom"/>
          </w:tcPr>
          <w:p>
            <w:pPr>
              <w:spacing w:after="0"/>
              <w:rPr>
                <w:sz w:val="21"/>
                <w:szCs w:val="21"/>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12,066,654</w:t>
            </w:r>
          </w:p>
        </w:tc>
        <w:tc>
          <w:tcPr>
            <w:tcW w:w="1100" w:type="dxa"/>
            <w:vAlign w:val="bottom"/>
          </w:tcPr>
          <w:p>
            <w:pPr>
              <w:jc w:val="right"/>
              <w:spacing w:after="0"/>
              <w:rPr>
                <w:sz w:val="20"/>
                <w:szCs w:val="20"/>
                <w:color w:val="auto"/>
              </w:rPr>
            </w:pPr>
            <w:r>
              <w:rPr>
                <w:rFonts w:ascii="Arial" w:cs="Arial" w:eastAsia="Arial" w:hAnsi="Arial"/>
                <w:sz w:val="18"/>
                <w:szCs w:val="18"/>
                <w:color w:val="auto"/>
              </w:rPr>
              <w:t>12,066,654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 warrants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160,657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160,657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124,326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124,326</w:t>
            </w:r>
          </w:p>
        </w:tc>
        <w:tc>
          <w:tcPr>
            <w:tcW w:w="120" w:type="dxa"/>
            <w:vAlign w:val="bottom"/>
          </w:tcPr>
          <w:p>
            <w:pPr>
              <w:spacing w:after="0"/>
              <w:rPr>
                <w:sz w:val="21"/>
                <w:szCs w:val="21"/>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124,326</w:t>
            </w:r>
          </w:p>
        </w:tc>
        <w:tc>
          <w:tcPr>
            <w:tcW w:w="1100" w:type="dxa"/>
            <w:vAlign w:val="bottom"/>
          </w:tcPr>
          <w:p>
            <w:pPr>
              <w:jc w:val="right"/>
              <w:spacing w:after="0"/>
              <w:rPr>
                <w:sz w:val="20"/>
                <w:szCs w:val="20"/>
                <w:color w:val="auto"/>
              </w:rPr>
            </w:pPr>
            <w:r>
              <w:rPr>
                <w:rFonts w:ascii="Arial" w:cs="Arial" w:eastAsia="Arial" w:hAnsi="Arial"/>
                <w:sz w:val="18"/>
                <w:szCs w:val="18"/>
                <w:color w:val="auto"/>
              </w:rPr>
              <w:t>124,326</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and with the consolidated financial statements and management’s discussion and analysis of our financial condition and results of operations in our prospectus filed with the SEC on October 18, 2018.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this Quarterly Report on Form 10-Q, our actual results could differ materially from the results described in, or implied, by these forward-looking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35,000 procedures had been performed by over 1,700 surgeons in the United States and 33 other countries as of September 30, 2018.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jc w:val="both"/>
        <w:ind w:firstLine="446"/>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have incurred net losses since our inception in 2008. We had net losses of $12.1 million for the nine months ended September 30, 2018 and $23.0 million and $20.6 million for the years ended December 31, 2017 and 2016, respectively. As of September 30, 2018, we had an accumulated deficit of $151.9 million. To date, we have financed our operations primarily through private placements of equity securities, certain debt-related financing arrangements, and sales of our products. We have devoted substantially all of our resources to research and development of our products, reimbursement-related initiatives, sales and marketing activities, and clinical, quality assurance, and regulatory matters for our products.</w:t>
      </w:r>
    </w:p>
    <w:p>
      <w:pPr>
        <w:spacing w:after="0" w:line="1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October 2018, we completed our IPO by issuing 8.28 million shares of common stock, at an offering price of $15.00 per share, for net proceeds of $113.7 million after deducting underwriting discounts and commissions and offering expenses payable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8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93"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As of September 30, 2016, because of the iFuse clinical evidence, all Medicare Administrative Contractors were covering the procedure. At the time, very few private payors were covering. By September 30, 2017, U.S. payors covering approximately 211 million lives regularly reimbursed for the iFuse procedure, and as of September 30, 2018, U.S. payors covering 254 million lives reimburse for iFuse, 119 million of which are covered by private payors. Forty-one of the largest 65 private payors were covering regularly, or had announced coverage for, the iFuse procedure, while the remaining private payors were reevaluating their coverage policies. Of these 41 private payors, 24 of them have issued positive coverage policies exclusive to iFuse for sacroiliac joint fusion because of the clinical evidence. Eighteen of these exclusive coverage policies have published since January 1, 2018, which we believe has contributed to our accelerating sales growth in our fiscal year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a number of large and small private payors, including Aetna, Cigna, Humana, and Anthem that are not yet reimbursing for the procedure.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Some of these non-covering payors are reevaluating coverage given the latest data, but there can be no assurance they will reach positive coverage decisions.</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U.S.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September 30, 2018, our territory sales managers were led by seven regional sales managers who reported to our Vice President of U.S. Sales. The Vice President of U.S. Sales reports to our Chief Commercial Officer. As of September 30, 2018, our U.S. sales force consisted of 46 sales representatives directly employed by us and 32 third-party distributors.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446"/>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As of September 30, 2018, we had 29 employees working in our European operations, and have established operations in Italy (2010), Germany (2014), and the United Kingdom (2015). As of September 30, 2018, our international sales force consisted of 15 sales representatives directly employed by us and 21 exclusive third-party distributors, which together had sales in 33 countries through September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September 30, 2018, beyond Europe and the United States, surgeons had performed the first iFuse procedures in Australia, Cayman Islands, Hong Kong, Israel, Japan, Kuwait, New Zealand, Taiwan, Turkey, and Saudi Arabia.</w:t>
      </w:r>
    </w:p>
    <w:p>
      <w:pPr>
        <w:spacing w:after="0" w:line="13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may include minimum guaranteed commissions. This has impacted our compensation expenses in the past and we expect it will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in absolute dollars as case levels increase.</w:t>
      </w:r>
    </w:p>
    <w:p>
      <w:pPr>
        <w:spacing w:after="0" w:line="18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 In July 2018, the U.S. House of Representatives voted to repeal this tax. It is unclear when the U.S. Senate will vote on this matter. Our gross margins have been and will continue to be affected by a variety of factors, including the cost to have our products manufactured for us, pricing pressure from increasing competition, and the factors described above impacting our revenue. Our gross margins are typically higher on products we sell directly as compared to products we sell through third-party distributors. As a result, changes in the mix of direct versus distributor sales can directly influence our gross margins.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September 2017, we implemented cost-saving measures, which reduced our operational expenses though headcount reductions, reduced project spending, and more targeted marketing and surgeon training activities.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8"/>
          <w:szCs w:val="18"/>
          <w:color w:val="auto"/>
        </w:rPr>
        <w:t>the continued commercialization of our current and future products and continued investment in our global sales organization, including broadening our relationships with third-party distributors, expanding exclusivity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Other income (expense), net consists primarily of the changes in fair value of our preferred stock warrant liability and net gain (loss) on foreign currency transactions. In connection with our initial public offering, or IPO, our preferred stock warrant liability was settled.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080" w:type="dxa"/>
            <w:vAlign w:val="bottom"/>
            <w:gridSpan w:val="7"/>
          </w:tcPr>
          <w:p>
            <w:pPr>
              <w:ind w:left="440"/>
              <w:spacing w:after="0"/>
              <w:rPr>
                <w:sz w:val="20"/>
                <w:szCs w:val="20"/>
                <w:color w:val="auto"/>
              </w:rPr>
            </w:pPr>
            <w:r>
              <w:rPr>
                <w:rFonts w:ascii="Arial" w:cs="Arial" w:eastAsia="Arial" w:hAnsi="Arial"/>
                <w:sz w:val="18"/>
                <w:szCs w:val="18"/>
                <w:color w:val="auto"/>
              </w:rPr>
              <w:t>The following table sets forth our results of operations for the period presented:</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820" w:type="dxa"/>
            <w:vAlign w:val="bottom"/>
            <w:gridSpan w:val="7"/>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9"/>
          </w:tcPr>
          <w:p>
            <w:pPr>
              <w:ind w:left="5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34,214</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3,894</w:t>
            </w:r>
          </w:p>
        </w:tc>
      </w:tr>
      <w:tr>
        <w:trPr>
          <w:trHeight w:val="27"/>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30,320</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4,234</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w:t>
            </w:r>
          </w:p>
        </w:tc>
      </w:tr>
      <w:tr>
        <w:trPr>
          <w:trHeight w:val="237"/>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15,394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43,963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46,029</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(15,709)</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 (expense), net: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57"/>
        </w:trPr>
        <w:tc>
          <w:tcPr>
            <w:tcW w:w="20" w:type="dxa"/>
            <w:vAlign w:val="bottom"/>
          </w:tcPr>
          <w:p>
            <w:pPr>
              <w:spacing w:after="0"/>
              <w:rPr>
                <w:sz w:val="22"/>
                <w:szCs w:val="22"/>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(5,683)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(12,140)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(18,134)</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7080" w:type="dxa"/>
            <w:vAlign w:val="bottom"/>
            <w:gridSpan w:val="7"/>
          </w:tcPr>
          <w:p>
            <w:pPr>
              <w:ind w:left="640"/>
              <w:spacing w:after="0"/>
              <w:rPr>
                <w:sz w:val="20"/>
                <w:szCs w:val="20"/>
                <w:color w:val="auto"/>
              </w:rPr>
            </w:pPr>
            <w:r>
              <w:rPr>
                <w:rFonts w:ascii="Arial" w:cs="Arial" w:eastAsia="Arial" w:hAnsi="Arial"/>
                <w:sz w:val="18"/>
                <w:szCs w:val="18"/>
                <w:color w:val="auto"/>
                <w:w w:val="97"/>
              </w:rPr>
              <w:t>The following table sets forth our results of operations as a percentage of revenue: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9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9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 (expense), net: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9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580" w:right="2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ind w:left="460"/>
              <w:spacing w:after="0"/>
              <w:rPr>
                <w:sz w:val="20"/>
                <w:szCs w:val="20"/>
                <w:color w:val="auto"/>
              </w:rPr>
            </w:pPr>
            <w:r>
              <w:rPr>
                <w:rFonts w:ascii="Arial" w:cs="Arial" w:eastAsia="Arial" w:hAnsi="Arial"/>
                <w:sz w:val="18"/>
                <w:szCs w:val="18"/>
                <w:color w:val="auto"/>
                <w:w w:val="99"/>
              </w:rPr>
              <w:t>The following table sets forth our United States and international revenue: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0"/>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5"/>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35,672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30,915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r>
      <w:tr>
        <w:trPr>
          <w:trHeight w:val="237"/>
        </w:trPr>
        <w:tc>
          <w:tcPr>
            <w:tcW w:w="60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34,214</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w w:val="95"/>
              </w:rPr>
              <w:t>Comparison of the Three Months Ended September 30, 2018 and 2017</w:t>
            </w: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99"/>
              </w:rPr>
              <w:t>Revenue, Cost of Goods Sold, Gross Profit, and Gross Margin</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11"/>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960" w:type="dxa"/>
            <w:vAlign w:val="bottom"/>
            <w:gridSpan w:val="11"/>
          </w:tcPr>
          <w:p>
            <w:pPr>
              <w:spacing w:after="0"/>
              <w:rPr>
                <w:sz w:val="20"/>
                <w:szCs w:val="20"/>
                <w:color w:val="auto"/>
              </w:rPr>
            </w:pPr>
            <w:r>
              <w:rPr>
                <w:rFonts w:ascii="Arial" w:cs="Arial" w:eastAsia="Arial" w:hAnsi="Arial"/>
                <w:sz w:val="18"/>
                <w:szCs w:val="18"/>
                <w:b w:val="1"/>
                <w:bCs w:val="1"/>
                <w:color w:val="auto"/>
                <w:w w:val="88"/>
              </w:rPr>
              <w:t>(in thousands, except for percentages)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13,381</w:t>
            </w:r>
          </w:p>
        </w:tc>
        <w:tc>
          <w:tcPr>
            <w:tcW w:w="66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11,683</w:t>
            </w:r>
          </w:p>
        </w:tc>
        <w:tc>
          <w:tcPr>
            <w:tcW w:w="120" w:type="dxa"/>
            <w:vAlign w:val="bottom"/>
          </w:tcPr>
          <w:p>
            <w:pPr>
              <w:spacing w:after="0"/>
              <w:rPr>
                <w:sz w:val="23"/>
                <w:szCs w:val="23"/>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12,160</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1,805</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$1.7 million or 15%, for the three months ended September 30, 2018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The increase is attributable to $1.7 million in growth from U.S. sales as a result of higher sales force productivity and improved U.S. reimbursement coverage.</w:t>
      </w:r>
    </w:p>
    <w:p>
      <w:pPr>
        <w:spacing w:after="0" w:line="18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Total cost of goods sold decreased $0.1 million, or 8%,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three months ended September 30, 2017. The decrease in cost of goods sold is primarily due to a decrease in depreciation expense of $0.1 million related to instrument sets becoming fully depreciated. Gross profit increased $1.8 million, or 17%, to $12.2 million due to higher revenue and lower cost of goods sold.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5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 Change</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6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200" w:type="dxa"/>
            <w:vAlign w:val="bottom"/>
          </w:tcPr>
          <w:p>
            <w:pPr>
              <w:spacing w:after="0"/>
              <w:rPr>
                <w:sz w:val="20"/>
                <w:szCs w:val="20"/>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10,605</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$0.7 million, or 8%, for the three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2017. The increase was primarily due to $0.3 million in increased employee incentive expenses and an increase of $0.1 million in distributor commissions related to improved company</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performance during the period, an increase of $0.1 million in website enhancement costs, and an increase of $0.1 million in consultants related to increased surgeon training events.</w:t>
      </w:r>
    </w:p>
    <w:p>
      <w:pPr>
        <w:spacing w:after="0" w:line="1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$0.1 million, or 6%,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three months ended September 30, 2017. The decrease was primarily due to lower spend in clinical research as our trials continue to mature.</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decreased $0.8 million, or 21%,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three months ended September 30, 2017. The decrease was primarily due to a decrease of $1.3 million in offering costs written off in the three months ended September 30, 2017 as a result of delays in the public offering process in 2017. This decrease was offset by an increase in employee incentive expenses of $0.3 million related to improved company performance during the period, and an increase in general corporate legal and other fees of $0.2 million.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0"/>
        </w:trPr>
        <w:tc>
          <w:tcPr>
            <w:tcW w:w="5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 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7"/>
              </w:rPr>
              <w:t>(in thousands except for percentages)</w:t>
            </w:r>
          </w:p>
        </w:tc>
        <w:tc>
          <w:tcPr>
            <w:tcW w:w="1240" w:type="dxa"/>
            <w:vAlign w:val="bottom"/>
          </w:tcPr>
          <w:p>
            <w:pPr>
              <w:spacing w:after="0"/>
              <w:rPr>
                <w:sz w:val="20"/>
                <w:szCs w:val="20"/>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9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12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(852)</w:t>
            </w:r>
          </w:p>
        </w:tc>
        <w:tc>
          <w:tcPr>
            <w:tcW w:w="1240" w:type="dxa"/>
            <w:vAlign w:val="bottom"/>
          </w:tcPr>
          <w:p>
            <w:pPr>
              <w:jc w:val="right"/>
              <w:spacing w:after="0"/>
              <w:rPr>
                <w:sz w:val="20"/>
                <w:szCs w:val="20"/>
                <w:color w:val="auto"/>
              </w:rPr>
            </w:pPr>
            <w:r>
              <w:rPr>
                <w:rFonts w:ascii="Arial" w:cs="Arial" w:eastAsia="Arial" w:hAnsi="Arial"/>
                <w:sz w:val="18"/>
                <w:szCs w:val="18"/>
                <w:color w:val="auto"/>
              </w:rPr>
              <w:t>(269)%</w:t>
            </w:r>
          </w:p>
        </w:tc>
      </w:tr>
    </w:tbl>
    <w:p>
      <w:pPr>
        <w:spacing w:after="0" w:line="22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remained relatively consistent for the three months ended September 30, 2018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and is related to investments of excess cash in money market funds.</w:t>
      </w:r>
    </w:p>
    <w:p>
      <w:pPr>
        <w:spacing w:after="0" w:line="17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$0.3 million for the three months ended September 30, 2018 as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due to a $10.0 million increase in the level of borrowings associated with closing a new debt arrangement in October 2017.</w:t>
      </w:r>
    </w:p>
    <w:p>
      <w:pPr>
        <w:spacing w:after="0" w:line="14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$0.9 million for the three months ended September 30,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2017, primarily due to losses from the change in the fair value of our preferred stock warrants outstanding, which are accounted for as a liability and revalued at each reporting period, and foreign currency exchange losses.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w w:val="97"/>
              </w:rPr>
              <w:t>Comparison of the Nine Months Ended September 30, 2018 and 2017</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74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99"/>
              </w:rPr>
              <w:t>Revenue, Cost of Goods Sold, Gross Profit, and Gross Margin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39,756</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34,214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5,542</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36,305</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30,320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5,985</w:t>
            </w:r>
          </w:p>
        </w:tc>
        <w:tc>
          <w:tcPr>
            <w:tcW w:w="3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7"/>
        </w:trPr>
        <w:tc>
          <w:tcPr>
            <w:tcW w:w="5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$5.5 million, or 16%, for the nine months ended September 30, 2018 compared to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primarily due to an increase of $4.8 million from growth of domestic revenue from additional hiring of sales personnel and improved U.S. reimbursement coverage. In addition, we had $0.8 million from growth of international revenue from our branch in the United Kingdom, increased sales force productivity in Germany, and new business in Australia and Taiwan.</w:t>
      </w:r>
    </w:p>
    <w:p>
      <w:pPr>
        <w:spacing w:after="0" w:line="18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Total cost of goods sold decreased $0.4 million, or 11%,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nine months ended September 30, 2017. This is primarily due to a decrease of $0.3 million in depreciation expense related to instrument sets that have become fully depreciated, and a decrease in employee related costs of $0.2 million related to decreases in headcount, and a decrease of $0.1 million in consulting and other professional fees. These decreases were</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92" w:right="239" w:bottom="1440" w:gutter="0" w:footer="0" w:header="0"/>
          <w:type w:val="continuous"/>
        </w:sectPr>
      </w:pPr>
    </w:p>
    <w:bookmarkStart w:id="32" w:name="page33"/>
    <w:bookmarkEnd w:id="32"/>
    <w:p>
      <w:pPr>
        <w:jc w:val="both"/>
        <w:ind w:right="20"/>
        <w:spacing w:after="0" w:line="308" w:lineRule="auto"/>
        <w:rPr>
          <w:sz w:val="20"/>
          <w:szCs w:val="20"/>
          <w:color w:val="auto"/>
        </w:rPr>
      </w:pPr>
      <w:r>
        <w:rPr>
          <w:rFonts w:ascii="Arial" w:cs="Arial" w:eastAsia="Arial" w:hAnsi="Arial"/>
          <w:sz w:val="17"/>
          <w:szCs w:val="17"/>
          <w:color w:val="auto"/>
        </w:rPr>
        <w:t>partially offset by the increase in direct product costs from higher case volumes. Gross profit increased $6.0 million, or 20%, to $36.3 million for the nine months ended September 30, 2018 compared to the nine months ended September 30, 2017 due to higher revenue and lower cost of goods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94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Nine Months Ended September 30,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7"/>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240" w:type="dxa"/>
            <w:vAlign w:val="bottom"/>
          </w:tcPr>
          <w:p>
            <w:pPr>
              <w:spacing w:after="0"/>
              <w:rPr>
                <w:sz w:val="20"/>
                <w:szCs w:val="20"/>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31,890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30,987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$0.9 million, or 3%, for the nine months ended September 30, 2018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nine months ended September 30, 2017. The increase was primarily due to $1.2 million in increased salaries and other employee incentive expense and related costs as a result of improved company performance during the period, $0.2 million in increased commissions, net of lower minimum guaranteed commissions, and $0.2 million in distributor commissions due to higher revenues. These increases were partially offset by a decrease of $0.3 million in general marketing expenses, and $0.4 million in surgeon training programs including training facilities and consulting surgeon costs due to continued focus on maximizing class sizes to more fully leverage training events.</w:t>
      </w:r>
    </w:p>
    <w:p>
      <w:pPr>
        <w:spacing w:after="0" w:line="17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$0.4 million, or 8%,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nine months ended September 30, 2017. The decrease was primarily due to a $0.4 million reduction in salaries and related expenditures from lower headcount.</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decreased $2.6 million, or 24%,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nine months ended September 30, 2017. The decrease was primarily due to $1.3 million of offering costs written off in September 2017 as a result of delays in the public offering process, a decrease of $0.5 million due to the forgiveness of a loan to the Chief Executive Officer in the 2017 period, a decrease in consulting spend of $0.5 million related to cost control measures put in place at the end of the third quarter 2017, and a settlement charge of $0.2 million incurred during the nine months ended September 2017.</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 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7"/>
              </w:rPr>
              <w:t>(in thousands except for percentages)</w:t>
            </w:r>
          </w:p>
        </w:tc>
        <w:tc>
          <w:tcPr>
            <w:tcW w:w="1240" w:type="dxa"/>
            <w:vAlign w:val="bottom"/>
          </w:tcPr>
          <w:p>
            <w:pPr>
              <w:spacing w:after="0"/>
              <w:rPr>
                <w:sz w:val="20"/>
                <w:szCs w:val="20"/>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82</w:t>
            </w:r>
          </w:p>
        </w:tc>
        <w:tc>
          <w:tcPr>
            <w:tcW w:w="12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(1,238)</w:t>
            </w:r>
          </w:p>
        </w:tc>
        <w:tc>
          <w:tcPr>
            <w:tcW w:w="124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22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$0.1 million, or 70%, for the nine months ended September 30, 2018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due to investment of excess cash in money market funds.</w:t>
      </w:r>
    </w:p>
    <w:p>
      <w:pPr>
        <w:spacing w:after="0" w:line="17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$0.9 million, or 31%, for the nine months ended September 30, 2018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due to a $10.0 million increase in the level of borrowings associated with closing a new debt arrangement in October 2017.</w:t>
      </w:r>
    </w:p>
    <w:p>
      <w:pPr>
        <w:spacing w:after="0" w:line="14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$1.2 million or 323%, for the nine months ended September 30, 2018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2017, as a result of losses from the change in the fair value of outstanding preferred stock warrants, which are accounted for as a liability and revalued at each reporting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3" w:name="page34"/>
    <w:bookmarkEnd w:id="33"/>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September 30, 2018, we had cash and cash equivalents of $14.0 million. Since inception, we have financed our operations through private placements of preferred stock, debt financing arrangements, and the sale of our products. As of September 30, 2018, we had $38.9 million principal amount of outstanding debt, net of debt discounts.</w:t>
      </w:r>
    </w:p>
    <w:p>
      <w:pPr>
        <w:spacing w:after="0" w:line="18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As of September 30, 2018, we had an accumulated deficit of $151.9 million. During the nine months ended September 30, 2018, we incurred a net loss of $12.1 million. During the years ended December 31, 2017 and 2016, we incurred net losses of $23.0 million and $20.6 million, respectively, and expect to incur additional losses in the future. We have not achieved positive cash flow from operations to date. The debt covenants associated with our current debt agreement require us to maintain a minimum cash balance of $5.0 million and revenue targets. Beginning with the three months ended March 31, 2019, we are required to meet either revenue or earnings targets. If we do not comply with these covenants, the debt will immediately become due.</w:t>
      </w:r>
    </w:p>
    <w:p>
      <w:pPr>
        <w:spacing w:after="0" w:line="15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Based upon our current operating plan, we believe that the net proceeds from our IPO, together with our existing cash and cash equivalents,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3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In October 2017, we extinguished a term loan and revolving line of credit facility with Silicon Valley Bank and Oxford Finance, LLC and concurrently, entered into the New Term Loan with Pharmakon Advisors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requires us to maintain a minimum cash balance of $5.0 million and revenue targets. Beginning with the three months ended March 31, 2019, we are required to meet either revenue or earnings targets. Under the New Term Loan, we also have a second tranche of $10.0 million available through January 2019, contingent upon the achievement of certain revenue milestones. The New Term Loan is collateralized by all of our assets, including intellectual property.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September 30, 2018, we were in compliance with all of our debt obligations and covenants.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the nine months ended September 30, 2018, there have been no material changes to our contractual obligations and commitments outside the ordinary course of business from December 31, 2017, other than in February 2018, we entered into a new seven-year lease for our Santa Clara, California facility. The total commitment is $5.1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4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4"/>
        </w:trPr>
        <w:tc>
          <w:tcPr>
            <w:tcW w:w="8340" w:type="dxa"/>
            <w:vAlign w:val="bottom"/>
            <w:gridSpan w:val="7"/>
          </w:tcPr>
          <w:p>
            <w:pPr>
              <w:ind w:left="460"/>
              <w:spacing w:after="0"/>
              <w:rPr>
                <w:sz w:val="20"/>
                <w:szCs w:val="20"/>
                <w:color w:val="auto"/>
              </w:rPr>
            </w:pPr>
            <w:r>
              <w:rPr>
                <w:rFonts w:ascii="Arial" w:cs="Arial" w:eastAsia="Arial" w:hAnsi="Arial"/>
                <w:sz w:val="18"/>
                <w:szCs w:val="18"/>
                <w:color w:val="auto"/>
                <w:w w:val="91"/>
              </w:rPr>
              <w:t>The following table sets forth the primary sources and uses of cash for each of the periods presented below:</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0"/>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 Change</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6"/>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6"/>
          </w:tcPr>
          <w:p>
            <w:pPr>
              <w:jc w:val="right"/>
              <w:ind w:right="1230"/>
              <w:spacing w:after="0"/>
              <w:rPr>
                <w:sz w:val="20"/>
                <w:szCs w:val="20"/>
                <w:color w:val="auto"/>
              </w:rPr>
            </w:pPr>
            <w:r>
              <w:rPr>
                <w:rFonts w:ascii="Arial" w:cs="Arial" w:eastAsia="Arial" w:hAnsi="Arial"/>
                <w:sz w:val="18"/>
                <w:szCs w:val="18"/>
                <w:b w:val="1"/>
                <w:bCs w:val="1"/>
                <w:color w:val="auto"/>
                <w:w w:val="89"/>
              </w:rPr>
              <w:t>(in thousands, except for percentages)</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Net cash (used in) provided by:</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5,292</w:t>
            </w:r>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c>
          <w:tcPr>
            <w:tcW w:w="1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w:t>
            </w:r>
          </w:p>
        </w:tc>
        <w:tc>
          <w:tcPr>
            <w:tcW w:w="19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used in operating activities decreased $5.3 million, or 39%, from the nine months ended September 30, 2017 to the nine months ended September 30, 2018. The decrease in the net cash used in operating activities was primarily due to a decrease of $6.0 million in our net loss from higher sales and lower operating expenses, partially offset by a decrease of $0.7 million in non-cash charges. These non-cash charges include a $1.3 million write-off of public offering costs as result of a delayed offering process and $0.4 million in notes receivable forgiveness during the nine months ended September 30, 2017, partially offset by the changes in the fair value of our preferred stock warrants outstanding of $0.9 million in the nine months ended September 30, 2018 compared to the nine months ended September 30, 2017.</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Net cash used in investing activities increased $0.4 million, or 110%, from the nine months ended September 30, 2017 to the nine months ended September 30, 2018. Cash used in investing activities for the nine months ended September 30, 2018 primarily consisted of leasehold improvements related to the new building lease entered into in February 2018 of $0.6 million. Cash used in investing activities for the nine months ended September 30, 2017 primarily consisted of instrument set purchases of $0.4 million. The instrument sets are carried by our sales representatives and used during iFuse procedures.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Cash provided by financing activities decreased $3.7 million, or 85%, from the nine months ended September 30, 2017 to the nine months ended September 30, 2018. Cash provided by financing activities for the nine months ended September 30, 2017 consisted primarily of net proceeds of $5.4 million from the issuance of Series 7 preferred stock from February through March 2017 and $0.2 million in proceeds from exercises of common stock options, offset in part by payments for public offering costs of $1.3 million. Cash provided by financing activities for the nine months ended September 30, 2018 consisted of proceeds from exercises of common stock options of $0.9 million, offset in part by $0.3 million of financing costs associated with our IPO.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5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Operations—Critical Accounting Policies and Estimates" in our final prospectus for our IPO filed pursuant to Rule 424(b)(4) under the Securities Act with the SEC on October 18, 2018. We have reviewed and determined that those critical accounting policies and estimates remain our critical accounting policies and estimates as of and for the three and nine months ended September 30, 2018.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more detail on our critical accounting policies, see Note 2 to our condensed financial statements appearing elsewhere in Part I, Item 1, of this Form 10-Q.</w:t>
      </w:r>
    </w:p>
    <w:p>
      <w:pPr>
        <w:spacing w:after="0" w:line="14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believe that the accounting policies discussed in Note 2 to our condensed financial statements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During the nine months ended September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 xml:space="preserve">In May 2014, the Financial Accounting Standards Board, or FASB, issued Accounting Standards Update, or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required an entity to recognize the amount of revenue to which it expects to be entitled for the transfer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Agent Considerations (Reporting Revenue Gross versus Net)</w:t>
      </w:r>
      <w:r>
        <w:rPr>
          <w:rFonts w:ascii="Arial" w:cs="Arial" w:eastAsia="Arial" w:hAnsi="Arial"/>
          <w:sz w:val="17"/>
          <w:szCs w:val="17"/>
          <w:color w:val="auto"/>
        </w:rPr>
        <w:t>, which clarifies the implementation guidance on principal versus agent considerations in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2014-09. In April 2016, the FASB issued ASU 2016-10, </w:t>
      </w:r>
      <w:r>
        <w:rPr>
          <w:rFonts w:ascii="Arial" w:cs="Arial" w:eastAsia="Arial" w:hAnsi="Arial"/>
          <w:sz w:val="17"/>
          <w:szCs w:val="17"/>
          <w:i w:val="1"/>
          <w:iCs w:val="1"/>
          <w:color w:val="auto"/>
        </w:rPr>
        <w:t>Revenue from Contracts with Customers (Topic 606):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Licensing</w:t>
      </w:r>
      <w:r>
        <w:rPr>
          <w:rFonts w:ascii="Arial" w:cs="Arial" w:eastAsia="Arial" w:hAnsi="Arial"/>
          <w:sz w:val="17"/>
          <w:szCs w:val="17"/>
          <w:color w:val="auto"/>
        </w:rPr>
        <w:t>, which clarifies certain aspects of identifying performance obligations and licensing implementation guidance. In May 2016, the FASB issued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 Our management is undergoing its assessment of the new standard, which includes the review of contracts and revenue channels, and will adopt the standard for the fiscal year ending December 31, 2019.</w:t>
      </w:r>
    </w:p>
    <w:p>
      <w:pPr>
        <w:spacing w:after="0" w:line="18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xml:space="preserve">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have adopted this standard for the fiscal year ended December 31, 2017, which did not have a material impact on our consolidated financial statements.</w:t>
      </w:r>
    </w:p>
    <w:p>
      <w:pPr>
        <w:spacing w:after="0" w:line="165" w:lineRule="exact"/>
        <w:rPr>
          <w:sz w:val="20"/>
          <w:szCs w:val="20"/>
          <w:color w:val="auto"/>
        </w:rPr>
      </w:pPr>
    </w:p>
    <w:p>
      <w:pPr>
        <w:jc w:val="both"/>
        <w:ind w:right="20" w:firstLine="446"/>
        <w:spacing w:after="0" w:line="258"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specifies that deferred tax assets and liabilities shall be classified as noncurrent, or long-term, in 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entities as of the beginning of an interim or an annual reporting period. We have early adopted this standard for the fiscal year ended December 31, 2017, which did not have a material impact on our consolidated financial statements.</w:t>
      </w:r>
    </w:p>
    <w:p>
      <w:pPr>
        <w:spacing w:after="0" w:line="170"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 adopting the standard for the fiscal year ending December 31, 2020.</w:t>
      </w:r>
    </w:p>
    <w:p>
      <w:pPr>
        <w:spacing w:after="0" w:line="169"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78"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ASU 2016-15 provides guidance on the following eight specific cash flow classification issues: (1) debt prepayment or debt extinguishment costs;</w:t>
      </w:r>
    </w:p>
    <w:p>
      <w:pPr>
        <w:jc w:val="both"/>
        <w:ind w:firstLine="8"/>
        <w:spacing w:after="0" w:line="281" w:lineRule="auto"/>
        <w:tabs>
          <w:tab w:leader="none" w:pos="2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jc w:val="both"/>
        <w:ind w:firstLine="8"/>
        <w:spacing w:after="0" w:line="290" w:lineRule="auto"/>
        <w:tabs>
          <w:tab w:leader="none" w:pos="2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reporting periods beginning after December 15, 2018 and interim periods with fiscal years beginning after December 15, 2019 for private companies, with early adoption permitted. We are currently evaluating the impact of adopting ASU 2016-15 on our consolidated financial statements, and anticipate adopting the standard for the fiscal year ending December 31, 2019.</w:t>
      </w:r>
    </w:p>
    <w:p>
      <w:pPr>
        <w:spacing w:after="0" w:line="16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We have adopted this standard for the fiscal year ending December 31, 2018, which did not have a material impact on our consolidated financial statements.</w:t>
      </w:r>
    </w:p>
    <w:p>
      <w:pPr>
        <w:spacing w:after="0" w:line="193"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I. Accounting for Certain Financial Instruments with Down Round Features II. </w:t>
      </w:r>
      <w:r>
        <w:rPr>
          <w:rFonts w:ascii="Arial" w:cs="Arial" w:eastAsia="Arial" w:hAnsi="Arial"/>
          <w:sz w:val="17"/>
          <w:szCs w:val="17"/>
          <w:color w:val="auto"/>
        </w:rPr>
        <w:t>Replacement of the Indefinite Deferral for Mandatorily</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 adopting the standard for the fiscal year ending December 31, 2020.</w:t>
      </w:r>
    </w:p>
    <w:p>
      <w:pPr>
        <w:spacing w:after="0" w:line="183"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This update provides companies with the option to reclassify stranded tax effects caused by the 2017 Tax Cuts and Jobs Act, or the 2017 Tax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 adopting the standard for the fiscal year ending December 31, 2019.</w:t>
      </w:r>
    </w:p>
    <w:p>
      <w:pPr>
        <w:spacing w:after="0" w:line="166"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expands the scope of </w:t>
      </w:r>
      <w:r>
        <w:rPr>
          <w:rFonts w:ascii="Arial" w:cs="Arial" w:eastAsia="Arial" w:hAnsi="Arial"/>
          <w:sz w:val="18"/>
          <w:szCs w:val="18"/>
          <w:i w:val="1"/>
          <w:iCs w:val="1"/>
          <w:color w:val="auto"/>
        </w:rPr>
        <w:t>Topic 718, Compensation—Stock Compensation</w:t>
      </w:r>
      <w:r>
        <w:rPr>
          <w:rFonts w:ascii="Arial" w:cs="Arial" w:eastAsia="Arial" w:hAnsi="Arial"/>
          <w:sz w:val="18"/>
          <w:szCs w:val="18"/>
          <w:color w:val="auto"/>
        </w:rPr>
        <w:t>, to include share-based payments issued to nonemployees for goods or services. Consequently,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for share-based payments to nonemployees and employees will be substantially aligned. ASU 2018-07 supersedes </w:t>
      </w:r>
      <w:r>
        <w:rPr>
          <w:rFonts w:ascii="Arial" w:cs="Arial" w:eastAsia="Arial" w:hAnsi="Arial"/>
          <w:sz w:val="18"/>
          <w:szCs w:val="18"/>
          <w:i w:val="1"/>
          <w:iCs w:val="1"/>
          <w:color w:val="auto"/>
        </w:rPr>
        <w:t>Subtopic 505-50,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Equity-Based Payments to Non-Employees. </w:t>
      </w:r>
      <w:r>
        <w:rPr>
          <w:rFonts w:ascii="Arial" w:cs="Arial" w:eastAsia="Arial" w:hAnsi="Arial"/>
          <w:sz w:val="18"/>
          <w:szCs w:val="18"/>
          <w:color w:val="auto"/>
        </w:rPr>
        <w:t>For public business entities, the amendments are effective for fiscal years beginning after December 15, 2018,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w:t>
      </w:r>
      <w:r>
        <w:rPr>
          <w:rFonts w:ascii="Arial" w:cs="Arial" w:eastAsia="Arial" w:hAnsi="Arial"/>
          <w:sz w:val="18"/>
          <w:szCs w:val="18"/>
          <w:i w:val="1"/>
          <w:iCs w:val="1"/>
          <w:color w:val="auto"/>
        </w:rPr>
        <w:t>ASC 606.</w:t>
      </w:r>
      <w:r>
        <w:rPr>
          <w:rFonts w:ascii="Arial" w:cs="Arial" w:eastAsia="Arial" w:hAnsi="Arial"/>
          <w:sz w:val="18"/>
          <w:szCs w:val="18"/>
          <w:color w:val="auto"/>
        </w:rPr>
        <w:t xml:space="preserve"> We are evaluating the impact that the adoption of this standard will have on our consolidated financial statements, and anticipate adopting the standard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are exposed to interest rate risks related to our cash and cash equivalents. We had cash and cash equivalents of $14.0 million and $22.4 million as of September 30, 2018 and December 31, 2017, respectively, which consist of bank deposits and money market funds. Our cash balance consisted of bank deposits and money market funds in 2017. Such interest-earning instruments carry a degree of interest rate risk; however, historical fluctuations in interest income have not been significant.</w:t>
      </w:r>
    </w:p>
    <w:p>
      <w:pPr>
        <w:spacing w:after="0" w:line="18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We had outstanding debt of $38.9 million and $38.7 million as of September 30, 2018 and December 31, 2017, respectively, which accrues interest at a fixed rate of 11.5%.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operate in countries other than the United States, and, therefore, we are exposed to foreign currency risks.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evaluated the effectiveness of the design and operation of our disclosure controls and procedures as defined in Rules 13a-15(e) and 15d-15(e) of the Exchange Act as of the end of the period covered by this report. Based on this evaluation, our Chief Executive Officer and Chief Financial Officer have concluded that, as of September 30, 2018,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Investors should carefully consider the risks described below, as well as the other information in this Quarterly Report on Form 10-Q,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We have incurred net losses since our inception in 2008. For 2017 and the nine months ended September 30, 2018, we had net losses of $23.0 million and $12.1 million, respectively. As of September 30, 2018, we had an accumulated deficit of $151.9 million. To date, we have financed our operations primarily through the proceeds of our initial public offering of our common stock, or IPO,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t>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jc w:val="both"/>
        <w:ind w:right="20"/>
        <w:spacing w:after="0" w:line="261" w:lineRule="auto"/>
        <w:rPr>
          <w:sz w:val="20"/>
          <w:szCs w:val="20"/>
          <w:color w:val="auto"/>
        </w:rPr>
      </w:pPr>
      <w:r>
        <w:rPr>
          <w:rFonts w:ascii="Arial" w:cs="Arial" w:eastAsia="Arial" w:hAnsi="Arial"/>
          <w:sz w:val="18"/>
          <w:szCs w:val="18"/>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3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7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or CMS, which administers the Medicare program, as guidelines for setting their coverage and reimbursement policies. By September 30,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7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surgery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0" w:name="page41"/>
    <w:bookmarkEnd w:id="40"/>
    <w:p>
      <w:pPr>
        <w:jc w:val="both"/>
        <w:ind w:firstLine="446"/>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2018, the national average Medicare payment to hospital outpatient departments is $15,371. Effective January 1, 2018, the Medicare payment to an ambulatory surgery center for a sacroiliac joint fusion is $12,456.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2018,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82"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3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As of September 30, 2018, 24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the first six months of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7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color w:val="auto"/>
        </w:rPr>
        <w:t>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6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8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United States has grown from zero to 22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17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3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62"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manufacture and sell products used in a single procedure, which could negatively affect our operations and financial condition.</w:t>
      </w:r>
    </w:p>
    <w:p>
      <w:pPr>
        <w:spacing w:after="0" w:line="12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As of September 30, 2018, our U.S. sales force consisted of 46 sales representatives directly employed by us and 32 third-party distributors. As of September 30, 2018, our international sales force consisted of 18 sales representatives and 27 exclusive third-party distributors, which together have had sales in 33 countries through September 30, 2018.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8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investors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7"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62"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ectPr>
          <w:pgSz w:w="11900" w:h="16838" w:orient="portrait"/>
          <w:cols w:equalWidth="0" w:num="1">
            <w:col w:w="11420"/>
          </w:cols>
          <w:pgMar w:left="240" w:top="9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908" w:right="239" w:bottom="1440" w:gutter="0" w:footer="0" w:header="0"/>
          <w:type w:val="continuous"/>
        </w:sectPr>
      </w:pPr>
    </w:p>
    <w:bookmarkStart w:id="45" w:name="page46"/>
    <w:bookmarkEnd w:id="45"/>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85"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87"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Although subject to lock-up agreements and other restrictions on trading, a portion of the equity of our management team will not contain other contractual transfer restrictions at the time of this offering and may become tradable in April 2019 after the expiration of the lock-up agreements entered into with the underwriters in our IPO. This liquidity may represent material wealth to such individuals and impact retention and focus of existing key members of management.</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3"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73" w:lineRule="exact"/>
        <w:rPr>
          <w:sz w:val="20"/>
          <w:szCs w:val="20"/>
          <w:color w:val="auto"/>
        </w:rPr>
      </w:pPr>
    </w:p>
    <w:p>
      <w:pPr>
        <w:ind w:left="880" w:right="2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7" w:name="page48"/>
    <w:bookmarkEnd w:id="47"/>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40"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46"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8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7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73"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be unable to compete effectively.</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a material adverse effect on our earnings and cash flows due to the resulting costs associated with the inventory impairment charges and costs required to replace such inventory.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79"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446"/>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8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1" w:name="page52"/>
    <w:bookmarkEnd w:id="51"/>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3"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8"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allege that we have breached our license agreement with them, and accordingly seek to terminate our license, which could adversely affect our competitive business position and harm our business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w:t>
      </w:r>
    </w:p>
    <w:p>
      <w:pPr>
        <w:sectPr>
          <w:pgSz w:w="11900" w:h="16838" w:orient="portrait"/>
          <w:cols w:equalWidth="0" w:num="1">
            <w:col w:w="11420"/>
          </w:cols>
          <w:pgMar w:left="240" w:top="800"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800" w:right="239" w:bottom="1440" w:gutter="0" w:footer="0" w:header="0"/>
          <w:type w:val="continuous"/>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8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4" w:name="page55"/>
    <w:bookmarkEnd w:id="54"/>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73"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4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62" w:lineRule="exact"/>
        <w:rPr>
          <w:sz w:val="20"/>
          <w:szCs w:val="20"/>
          <w:color w:val="auto"/>
        </w:rPr>
      </w:pPr>
    </w:p>
    <w:p>
      <w:pPr>
        <w:jc w:val="both"/>
        <w:ind w:left="880" w:hanging="440"/>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78" w:lineRule="exact"/>
        <w:rPr>
          <w:rFonts w:ascii="Arial" w:cs="Arial" w:eastAsia="Arial" w:hAnsi="Arial"/>
          <w:sz w:val="18"/>
          <w:szCs w:val="18"/>
          <w:color w:val="auto"/>
        </w:rPr>
      </w:pPr>
    </w:p>
    <w:p>
      <w:pPr>
        <w:jc w:val="both"/>
        <w:ind w:left="880" w:hanging="440"/>
        <w:spacing w:after="0" w:line="297"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50" w:lineRule="exact"/>
        <w:rPr>
          <w:rFonts w:ascii="Arial" w:cs="Arial" w:eastAsia="Arial" w:hAnsi="Arial"/>
          <w:sz w:val="16"/>
          <w:szCs w:val="16"/>
          <w:color w:val="auto"/>
        </w:rPr>
      </w:pPr>
    </w:p>
    <w:p>
      <w:pPr>
        <w:jc w:val="both"/>
        <w:ind w:left="880" w:hanging="440"/>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5" w:name="page56"/>
    <w:bookmarkEnd w:id="55"/>
    <w:p>
      <w:pPr>
        <w:ind w:left="880" w:right="20"/>
        <w:spacing w:after="0" w:line="324" w:lineRule="auto"/>
        <w:rPr>
          <w:sz w:val="20"/>
          <w:szCs w:val="20"/>
          <w:color w:val="auto"/>
        </w:rPr>
      </w:pPr>
      <w:r>
        <w:rPr>
          <w:rFonts w:ascii="Arial" w:cs="Arial" w:eastAsia="Arial" w:hAnsi="Arial"/>
          <w:sz w:val="18"/>
          <w:szCs w:val="18"/>
          <w:color w:val="auto"/>
        </w:rPr>
        <w:t>document knowing the same to contain any materially false, fictitious, or fraudulent statement or entry in connection with the delivery of or payment for healthcare benefits, items, or services;</w:t>
      </w:r>
    </w:p>
    <w:p>
      <w:pPr>
        <w:spacing w:after="0" w:line="35" w:lineRule="exact"/>
        <w:rPr>
          <w:sz w:val="20"/>
          <w:szCs w:val="20"/>
          <w:color w:val="auto"/>
        </w:rPr>
      </w:pPr>
    </w:p>
    <w:p>
      <w:pPr>
        <w:jc w:val="both"/>
        <w:ind w:left="880" w:hanging="440"/>
        <w:spacing w:after="0" w:line="25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80" w:lineRule="exact"/>
        <w:rPr>
          <w:rFonts w:ascii="Arial" w:cs="Arial" w:eastAsia="Arial" w:hAnsi="Arial"/>
          <w:sz w:val="18"/>
          <w:szCs w:val="18"/>
          <w:color w:val="auto"/>
        </w:rPr>
      </w:pPr>
    </w:p>
    <w:p>
      <w:pPr>
        <w:jc w:val="both"/>
        <w:ind w:left="880" w:hanging="440"/>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4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w:t>
      </w:r>
    </w:p>
    <w:p>
      <w:pPr>
        <w:spacing w:after="0" w:line="181"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9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82"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1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5"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5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superseded current EU data protection legislation, imposed more stringent EU data protection requirements and provides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2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8"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4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6"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59" w:name="page60"/>
    <w:bookmarkEnd w:id="59"/>
    <w:p>
      <w:pPr>
        <w:jc w:val="both"/>
        <w:ind w:firstLine="446"/>
        <w:spacing w:after="0" w:line="269"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7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60" w:right="239" w:bottom="1440" w:gutter="0" w:footer="0" w:header="0"/>
        </w:sectPr>
      </w:pPr>
    </w:p>
    <w:bookmarkStart w:id="60" w:name="page61"/>
    <w:bookmarkEnd w:id="60"/>
    <w:p>
      <w:pPr>
        <w:jc w:val="both"/>
        <w:ind w:firstLine="446"/>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8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4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3"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5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discovery of adverse side effects.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64"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115th United States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7"/>
          <w:szCs w:val="17"/>
          <w:color w:val="auto"/>
        </w:rPr>
        <w:t>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 In July 2018, the U.S. House of Representatives voted to repeal this tax. It is unclear when the U.S. Senate will vote on this matter.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w:t>
      </w:r>
    </w:p>
    <w:p>
      <w:pPr>
        <w:sectPr>
          <w:pgSz w:w="11900" w:h="16838" w:orient="portrait"/>
          <w:cols w:equalWidth="0" w:num="1">
            <w:col w:w="11420"/>
          </w:cols>
          <w:pgMar w:left="240" w:top="800"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800" w:right="239" w:bottom="1440" w:gutter="0" w:footer="0" w:header="0"/>
          <w:type w:val="continuous"/>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September 30, 2018, we owned 34 issued U.S. patents and had 11 pending U.S. patent applications, and we owned six issued foreign patents and had seven pending foreign patent applications. As of September 30, 2018, we have 12 registered trademarks in the United States and have filed for one more. We have sought protection for at least two of these trademarks in 60 countries including the 28 European member countries of the Madrid Protocol.</w:t>
      </w:r>
    </w:p>
    <w:p>
      <w:pPr>
        <w:spacing w:after="0" w:line="188"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8"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58"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3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6" w:lineRule="exact"/>
        <w:rPr>
          <w:sz w:val="20"/>
          <w:szCs w:val="20"/>
          <w:color w:val="auto"/>
        </w:rPr>
      </w:pPr>
    </w:p>
    <w:p>
      <w:pPr>
        <w:jc w:val="both"/>
        <w:ind w:firstLine="446"/>
        <w:spacing w:after="0" w:line="267"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Prior to October 17, 2018, there was no public market for our common stock. 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57"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including when the “lock-up” or “market standoff” period from our IPO ends, or the perception that sales might occur, could reduce the price of our common stock and may dilute our stockholders' voting power and ownership interest in us.</w:t>
      </w:r>
    </w:p>
    <w:p>
      <w:pPr>
        <w:spacing w:after="0" w:line="73"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could occur, could adversely affect the market price of our common stock, and may make it more difficult for our stockholders to sell our common stock at a time and price that they deem appropriate. All of the shares of common stock sold in our IPO are freely tradable without restrictions or further registration under the Securities Act of 1933, as amended, or the Securities Act, except for any shares held by our “affiliates” as defined in Rule 144 under the Securities Act. However, subject to certain exceptions, we, our directors and officers and the holders of substantially all of our capital stock, warrants and stock options prior to the IPO have agreed not to offer, sell or agree to sell, directly or indirectly, any shares of common stock without the permission of Morgan Stanley &amp; Co. LLC and Merrill Lynch, Pierce, Fenner &amp; Smith Incorporated until April 14, 2019.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Sales of a substantial number of such shares upon expiration or early release of the lock-up, or the perception that such sales may occur, could cause our share price to fall, or make it more difficult for our stockholders to sell our common stock at a time and price that they deem appropriate.</w:t>
      </w:r>
    </w:p>
    <w:p>
      <w:pPr>
        <w:spacing w:after="0" w:line="7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holders of approximately 12 million shares, or approximately 55.4%, of our common stock, have rights, subject to some conditions, to require us to file registration statements covering the sale of their shares or to include their shares in registration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904"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that we may file for ourselves or other stockholders. We have also registered the offer and sale of all shares of common stock that we may issue under our equity compensation plans.</w:t>
      </w:r>
    </w:p>
    <w:p>
      <w:pPr>
        <w:spacing w:after="0" w:line="1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could limit our other stockholders' ability to influence the outcome of key transactions, including a change of control.</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beneficially own approximately 52.0% of the outstanding shares of our common stock. As a result, these stockholders will be able to influence or control matters requiring approval by our stockholders, including the election of directors and the approval of mergers, acquisitions or other extraordinary transactions. They may also have interests that differ from our other stockholders' interests and may vote in a manner that is adverse to our other stockholders'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As of December 31, 2017, we had net operating loss, or NOL, carryforwards of $124.9 million and $101.7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w:t>
      </w:r>
    </w:p>
    <w:p>
      <w:pPr>
        <w:spacing w:after="0" w:line="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have not yet analyzed the effect that our IPO may have had on our NOLs, and we may experience ownership changes in the future as a result of subsequent shifts in our stock ownership, some of which may be outside of our control. As a result of our IPO, or if a future ownership change occurs, our ability to use our NOL tax credit carryforwards may be materially limited, which would harm our future operating results by effectively increasing our future tax obligations.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or the Exchange Act, and are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7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w:t>
      </w:r>
    </w:p>
    <w:p>
      <w:pPr>
        <w:sectPr>
          <w:pgSz w:w="11900" w:h="16838" w:orient="portrait"/>
          <w:cols w:equalWidth="0" w:num="1">
            <w:col w:w="11420"/>
          </w:cols>
          <w:pgMar w:left="240" w:top="69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692" w:right="239" w:bottom="1440" w:gutter="0" w:footer="0" w:header="0"/>
          <w:type w:val="continuous"/>
        </w:sectPr>
      </w:pPr>
    </w:p>
    <w:bookmarkStart w:id="68" w:name="page69"/>
    <w:bookmarkEnd w:id="68"/>
    <w:p>
      <w:pPr>
        <w:jc w:val="both"/>
        <w:spacing w:after="0" w:line="255" w:lineRule="auto"/>
        <w:rPr>
          <w:sz w:val="20"/>
          <w:szCs w:val="20"/>
          <w:color w:val="auto"/>
        </w:rPr>
      </w:pPr>
      <w:r>
        <w:rPr>
          <w:rFonts w:ascii="Arial" w:cs="Arial" w:eastAsia="Arial" w:hAnsi="Arial"/>
          <w:sz w:val="18"/>
          <w:szCs w:val="18"/>
          <w:color w:val="auto"/>
        </w:rPr>
        <w:t>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To date,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93" w:lineRule="exact"/>
        <w:rPr>
          <w:sz w:val="20"/>
          <w:szCs w:val="20"/>
          <w:color w:val="auto"/>
        </w:rPr>
      </w:pPr>
    </w:p>
    <w:p>
      <w:pPr>
        <w:jc w:val="both"/>
        <w:ind w:firstLine="446"/>
        <w:spacing w:after="0" w:line="258"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5"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62" w:lineRule="exact"/>
        <w:rPr>
          <w:sz w:val="20"/>
          <w:szCs w:val="20"/>
          <w:color w:val="auto"/>
        </w:rPr>
      </w:pPr>
    </w:p>
    <w:p>
      <w:pPr>
        <w:ind w:left="880" w:right="2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40" w:lineRule="exact"/>
        <w:rPr>
          <w:rFonts w:ascii="Arial" w:cs="Arial" w:eastAsia="Arial" w:hAnsi="Arial"/>
          <w:sz w:val="16"/>
          <w:szCs w:val="16"/>
          <w:color w:val="auto"/>
        </w:rPr>
      </w:pPr>
    </w:p>
    <w:p>
      <w:pPr>
        <w:ind w:left="880" w:right="2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some investors find our common stock less attractive because we will rely on these exemptions,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in 2023,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under our credit facility are secured by substantially all of our assets. Our credit facility also restricts our ability to, among other things:</w:t>
      </w:r>
    </w:p>
    <w:p>
      <w:pPr>
        <w:spacing w:after="0" w:line="129" w:lineRule="exact"/>
        <w:rPr>
          <w:sz w:val="20"/>
          <w:szCs w:val="20"/>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185"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4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880" w:right="2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7"/>
          <w:szCs w:val="17"/>
          <w:color w:val="auto"/>
        </w:rPr>
      </w:pPr>
    </w:p>
    <w:p>
      <w:pPr>
        <w:ind w:left="880" w:right="20" w:hanging="440"/>
        <w:spacing w:after="0" w:line="308"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908" w:right="239" w:bottom="1440" w:gutter="0" w:footer="0" w:header="0"/>
        </w:sectPr>
      </w:pPr>
    </w:p>
    <w:bookmarkStart w:id="70" w:name="page71"/>
    <w:bookmarkEnd w:id="70"/>
    <w:p>
      <w:pPr>
        <w:jc w:val="both"/>
        <w:ind w:left="880" w:hanging="440"/>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73"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1"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24"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8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23"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Our amended and restated certificate of incorporation further provides that the federal district courts of the United States of America are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364" w:lineRule="exact"/>
        <w:rPr>
          <w:sz w:val="20"/>
          <w:szCs w:val="20"/>
          <w:color w:val="auto"/>
        </w:rPr>
      </w:pPr>
    </w:p>
    <w:p>
      <w:pPr>
        <w:ind w:right="80" w:firstLine="392"/>
        <w:spacing w:after="0" w:line="273" w:lineRule="auto"/>
        <w:rPr>
          <w:sz w:val="20"/>
          <w:szCs w:val="20"/>
          <w:color w:val="auto"/>
        </w:rPr>
      </w:pPr>
      <w:r>
        <w:rPr>
          <w:rFonts w:ascii="Arial" w:cs="Arial" w:eastAsia="Arial" w:hAnsi="Arial"/>
          <w:sz w:val="17"/>
          <w:szCs w:val="17"/>
          <w:color w:val="auto"/>
        </w:rPr>
        <w:t>In August 2018, we granted restricted stock units for an aggregate of 37,036 shares of our common stock outside of the 2008 Stock Plan. The grants were deemed to be exempt from registration under the Securities Act in reliance upon Section 4(a)(2) of the Securities Act as transactions by an issuer not involving any public offering. The recipients of the securities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1" w:name="page72"/>
    <w:bookmarkEnd w:id="71"/>
    <w:p>
      <w:pPr>
        <w:ind w:firstLine="648"/>
        <w:spacing w:after="0" w:line="291" w:lineRule="auto"/>
        <w:rPr>
          <w:sz w:val="20"/>
          <w:szCs w:val="20"/>
          <w:color w:val="auto"/>
        </w:rPr>
      </w:pPr>
      <w:r>
        <w:rPr>
          <w:rFonts w:ascii="Arial" w:cs="Arial" w:eastAsia="Arial" w:hAnsi="Arial"/>
          <w:sz w:val="16"/>
          <w:szCs w:val="16"/>
          <w:color w:val="auto"/>
        </w:rPr>
        <w:t>Under our 2008 Stock Plan, during the three months ended September 30, 2018, we granted options to purchase an aggregate of 19,998 shares of our common stock with a per share exercise price of $9.88. For the three months ended September 30, 2018 we issued 205,617 shares of our common stock upon exercise of stock options. These grants and issuances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7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On October 16, 2018, our registration statement on Form S-1 (File No. 333-227445) relating to our IPO of common stock became effective. The IPO closed on October 19, 2016 at which time we issued 8,280,000 shares of our common stock at an initial offering price of $15.00 per share for gross proceeds of $124.2 million. We received net proceeds from the IPO of approximately $113.7 million, after deducting the underwriting discount of $8.7 million and other estimated offering-related expenses paid or payable by us of approximately $1.7 million. None of the expenses associated with the IPO or private placement were paid to directors, officers, persons owning 10% or more of any class of equity securities, or to their associates, or to our affiliates. Morgan Stanley &amp; Co. LLC, Merrill Lynch, Pierce, Fenner &amp; Smith Incorporated, Canaccord Genuity Inc. and JMP Securities LLC acted as underwriters for the offering.</w:t>
      </w:r>
    </w:p>
    <w:p>
      <w:pPr>
        <w:spacing w:after="0" w:line="18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Shares of our common stock began trading on the Nasdaq Global Market on October 17, 2018. The shares were registered under the Securities Act on registration statement on Form S-1 (Registration No. 333-227445).</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18,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584"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2"/>
              </w:rPr>
              <w:t>Incorporation By Reference</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40" w:type="dxa"/>
            <w:vAlign w:val="bottom"/>
            <w:gridSpan w:val="16"/>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200" w:type="dxa"/>
            <w:vAlign w:val="bottom"/>
            <w:vMerge w:val="restart"/>
          </w:tcPr>
          <w:p>
            <w:pPr>
              <w:spacing w:after="0"/>
              <w:rPr>
                <w:sz w:val="13"/>
                <w:szCs w:val="13"/>
                <w:color w:val="auto"/>
              </w:rPr>
            </w:pPr>
          </w:p>
        </w:tc>
        <w:tc>
          <w:tcPr>
            <w:tcW w:w="80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SEC File No.</w:t>
            </w:r>
          </w:p>
        </w:tc>
        <w:tc>
          <w:tcPr>
            <w:tcW w:w="200" w:type="dxa"/>
            <w:vAlign w:val="bottom"/>
            <w:vMerge w:val="restart"/>
          </w:tcPr>
          <w:p>
            <w:pPr>
              <w:spacing w:after="0"/>
              <w:rPr>
                <w:sz w:val="13"/>
                <w:szCs w:val="13"/>
                <w:color w:val="auto"/>
              </w:rPr>
            </w:pPr>
          </w:p>
        </w:tc>
        <w:tc>
          <w:tcPr>
            <w:tcW w:w="11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Exhibit/</w:t>
            </w: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6"/>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2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60" w:type="dxa"/>
            <w:vAlign w:val="bottom"/>
            <w:gridSpan w:val="19"/>
          </w:tcPr>
          <w:p>
            <w:pPr>
              <w:spacing w:after="0"/>
              <w:rPr>
                <w:rFonts w:ascii="Arial" w:cs="Arial" w:eastAsia="Arial" w:hAnsi="Arial"/>
                <w:sz w:val="18"/>
                <w:szCs w:val="18"/>
                <w:color w:val="0000FF"/>
              </w:rPr>
            </w:pPr>
            <w:hyperlink r:id="rId34">
              <w:r>
                <w:rPr>
                  <w:rFonts w:ascii="Arial" w:cs="Arial" w:eastAsia="Arial" w:hAnsi="Arial"/>
                  <w:sz w:val="18"/>
                  <w:szCs w:val="18"/>
                  <w:color w:val="0000FF"/>
                </w:rPr>
                <w:t>Amended and Restated Certificate of Incorporation.</w:t>
              </w:r>
            </w:hyperlink>
          </w:p>
        </w:tc>
        <w:tc>
          <w:tcPr>
            <w:tcW w:w="800" w:type="dxa"/>
            <w:vAlign w:val="bottom"/>
          </w:tcPr>
          <w:p>
            <w:pPr>
              <w:jc w:val="center"/>
              <w:ind w:left="112"/>
              <w:spacing w:after="0"/>
              <w:rPr>
                <w:sz w:val="20"/>
                <w:szCs w:val="20"/>
                <w:color w:val="auto"/>
              </w:rPr>
            </w:pPr>
            <w:r>
              <w:rPr>
                <w:rFonts w:ascii="Arial" w:cs="Arial" w:eastAsia="Arial" w:hAnsi="Arial"/>
                <w:sz w:val="18"/>
                <w:szCs w:val="18"/>
                <w:color w:val="auto"/>
                <w:w w:val="99"/>
              </w:rPr>
              <w:t>8-K</w:t>
            </w:r>
          </w:p>
        </w:tc>
        <w:tc>
          <w:tcPr>
            <w:tcW w:w="1620" w:type="dxa"/>
            <w:vAlign w:val="bottom"/>
            <w:gridSpan w:val="3"/>
          </w:tcPr>
          <w:p>
            <w:pPr>
              <w:jc w:val="center"/>
              <w:ind w:left="312"/>
              <w:spacing w:after="0"/>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top w:val="single" w:sz="8" w:color="0000FF"/>
            </w:tcBorders>
            <w:gridSpan w:val="7"/>
          </w:tcPr>
          <w:p>
            <w:pPr>
              <w:spacing w:after="0"/>
              <w:rPr>
                <w:rFonts w:ascii="Arial" w:cs="Arial" w:eastAsia="Arial" w:hAnsi="Arial"/>
                <w:sz w:val="18"/>
                <w:szCs w:val="18"/>
                <w:color w:val="0000FF"/>
              </w:rPr>
            </w:pPr>
            <w:hyperlink r:id="rId35">
              <w:r>
                <w:rPr>
                  <w:rFonts w:ascii="Arial" w:cs="Arial" w:eastAsia="Arial" w:hAnsi="Arial"/>
                  <w:sz w:val="18"/>
                  <w:szCs w:val="18"/>
                  <w:color w:val="0000FF"/>
                </w:rPr>
                <w:t>Amended and Restated Bylaws.</w:t>
              </w:r>
            </w:hyperlink>
          </w:p>
        </w:tc>
        <w:tc>
          <w:tcPr>
            <w:tcW w:w="1620" w:type="dxa"/>
            <w:vAlign w:val="bottom"/>
            <w:gridSpan w:val="12"/>
          </w:tcPr>
          <w:p>
            <w:pPr>
              <w:spacing w:after="0"/>
              <w:rPr>
                <w:sz w:val="24"/>
                <w:szCs w:val="24"/>
                <w:color w:val="auto"/>
              </w:rPr>
            </w:pP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FF"/>
              </w:rPr>
            </w:pPr>
            <w:hyperlink r:id="rId36">
              <w:r>
                <w:rPr>
                  <w:rFonts w:ascii="Arial" w:cs="Arial" w:eastAsia="Arial" w:hAnsi="Arial"/>
                  <w:sz w:val="18"/>
                  <w:szCs w:val="18"/>
                  <w:color w:val="0000FF"/>
                </w:rPr>
                <w:t>Form of Common Stock Certificate of the Company.</w:t>
              </w:r>
            </w:hyperlink>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Reference is made to Exhibits 3.1 and 3.2.</w:t>
            </w:r>
          </w:p>
        </w:tc>
        <w:tc>
          <w:tcPr>
            <w:tcW w:w="15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2018 Equity Incentive Plan.</w:t>
              </w:r>
            </w:hyperlink>
          </w:p>
        </w:tc>
        <w:tc>
          <w:tcPr>
            <w:tcW w:w="3340" w:type="dxa"/>
            <w:vAlign w:val="bottom"/>
            <w:gridSpan w:val="17"/>
          </w:tcPr>
          <w:p>
            <w:pPr>
              <w:spacing w:after="0"/>
              <w:rPr>
                <w:sz w:val="19"/>
                <w:szCs w:val="19"/>
                <w:color w:val="auto"/>
              </w:rPr>
            </w:pP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20" w:type="dxa"/>
            <w:vAlign w:val="bottom"/>
            <w:tcBorders>
              <w:bottom w:val="single" w:sz="8" w:color="0000FF"/>
            </w:tcBorders>
            <w:gridSpan w:val="17"/>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Forms of Stock Option Grant Notice, Option Agreement and Notice of</w:t>
              </w:r>
            </w:hyperlink>
          </w:p>
        </w:tc>
        <w:tc>
          <w:tcPr>
            <w:tcW w:w="24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Exercise under the 2018 Equity Incentive Plan.</w:t>
              </w:r>
            </w:hyperlink>
          </w:p>
        </w:tc>
        <w:tc>
          <w:tcPr>
            <w:tcW w:w="800" w:type="dxa"/>
            <w:vAlign w:val="bottom"/>
          </w:tcPr>
          <w:p>
            <w:pPr>
              <w:jc w:val="center"/>
              <w:ind w:left="92"/>
              <w:spacing w:after="0" w:line="196" w:lineRule="exact"/>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line="196" w:lineRule="exact"/>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tcBorders>
              <w:bottom w:val="single" w:sz="8" w:color="0000FF"/>
            </w:tcBorders>
            <w:gridSpan w:val="11"/>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Forms of Restricted Stock Unit Grant Notice and Restricted Stock</w:t>
              </w:r>
            </w:hyperlink>
          </w:p>
        </w:tc>
        <w:tc>
          <w:tcPr>
            <w:tcW w:w="580" w:type="dxa"/>
            <w:vAlign w:val="bottom"/>
            <w:gridSpan w:val="8"/>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Unit Award Agreement under the 2018 Equity Incentive Plan.</w:t>
              </w:r>
            </w:hyperlink>
          </w:p>
        </w:tc>
        <w:tc>
          <w:tcPr>
            <w:tcW w:w="800" w:type="dxa"/>
            <w:vAlign w:val="bottom"/>
          </w:tcPr>
          <w:p>
            <w:pPr>
              <w:jc w:val="center"/>
              <w:ind w:left="92"/>
              <w:spacing w:after="0" w:line="196" w:lineRule="exact"/>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line="196" w:lineRule="exact"/>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50"/>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Borders>
              <w:top w:val="single" w:sz="8" w:color="0000FF"/>
            </w:tcBorders>
            <w:gridSpan w:val="9"/>
          </w:tcPr>
          <w:p>
            <w:pPr>
              <w:spacing w:after="0"/>
              <w:rPr>
                <w:rFonts w:ascii="Arial" w:cs="Arial" w:eastAsia="Arial" w:hAnsi="Arial"/>
                <w:sz w:val="18"/>
                <w:szCs w:val="18"/>
                <w:color w:val="0000FF"/>
              </w:rPr>
            </w:pPr>
            <w:hyperlink r:id="rId40">
              <w:r>
                <w:rPr>
                  <w:rFonts w:ascii="Arial" w:cs="Arial" w:eastAsia="Arial" w:hAnsi="Arial"/>
                  <w:sz w:val="18"/>
                  <w:szCs w:val="18"/>
                  <w:color w:val="0000FF"/>
                </w:rPr>
                <w:t>2018 Employee Stock Purchase Plan.</w:t>
              </w:r>
            </w:hyperlink>
          </w:p>
        </w:tc>
        <w:tc>
          <w:tcPr>
            <w:tcW w:w="900" w:type="dxa"/>
            <w:vAlign w:val="bottom"/>
            <w:gridSpan w:val="10"/>
          </w:tcPr>
          <w:p>
            <w:pPr>
              <w:spacing w:after="0"/>
              <w:rPr>
                <w:sz w:val="21"/>
                <w:szCs w:val="21"/>
                <w:color w:val="auto"/>
              </w:rPr>
            </w:pPr>
          </w:p>
        </w:tc>
        <w:tc>
          <w:tcPr>
            <w:tcW w:w="800" w:type="dxa"/>
            <w:vAlign w:val="bottom"/>
          </w:tcPr>
          <w:p>
            <w:pPr>
              <w:jc w:val="center"/>
              <w:ind w:left="92"/>
              <w:spacing w:after="0"/>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tcBorders>
              <w:bottom w:val="single" w:sz="8" w:color="0000FF"/>
            </w:tcBorders>
            <w:gridSpan w:val="13"/>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Amended and Restated Investors’ Rights Agreement, dated June 2,</w:t>
              </w:r>
            </w:hyperlink>
          </w:p>
        </w:tc>
        <w:tc>
          <w:tcPr>
            <w:tcW w:w="520" w:type="dxa"/>
            <w:vAlign w:val="bottom"/>
            <w:gridSpan w:val="6"/>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2016, by and among the Registrant and the parties thereto, as amended</w:t>
              </w:r>
            </w:hyperlink>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on October 4, 2018.</w:t>
              </w:r>
            </w:hyperlink>
          </w:p>
        </w:tc>
        <w:tc>
          <w:tcPr>
            <w:tcW w:w="260" w:type="dxa"/>
            <w:vAlign w:val="bottom"/>
            <w:gridSpan w:val="3"/>
          </w:tcPr>
          <w:p>
            <w:pPr>
              <w:spacing w:after="0"/>
              <w:rPr>
                <w:sz w:val="17"/>
                <w:szCs w:val="17"/>
                <w:color w:val="auto"/>
              </w:rPr>
            </w:pPr>
          </w:p>
        </w:tc>
        <w:tc>
          <w:tcPr>
            <w:tcW w:w="800" w:type="dxa"/>
            <w:vAlign w:val="bottom"/>
          </w:tcPr>
          <w:p>
            <w:pPr>
              <w:jc w:val="center"/>
              <w:ind w:left="92"/>
              <w:spacing w:after="0" w:line="196" w:lineRule="exact"/>
              <w:rPr>
                <w:sz w:val="20"/>
                <w:szCs w:val="20"/>
                <w:color w:val="auto"/>
              </w:rPr>
            </w:pPr>
            <w:r>
              <w:rPr>
                <w:rFonts w:ascii="Arial" w:cs="Arial" w:eastAsia="Arial" w:hAnsi="Arial"/>
                <w:sz w:val="18"/>
                <w:szCs w:val="18"/>
                <w:color w:val="auto"/>
                <w:w w:val="93"/>
              </w:rPr>
              <w:t>S-1/A</w:t>
            </w:r>
          </w:p>
        </w:tc>
        <w:tc>
          <w:tcPr>
            <w:tcW w:w="1620" w:type="dxa"/>
            <w:vAlign w:val="bottom"/>
            <w:gridSpan w:val="3"/>
          </w:tcPr>
          <w:p>
            <w:pPr>
              <w:jc w:val="center"/>
              <w:ind w:left="292"/>
              <w:spacing w:after="0" w:line="196" w:lineRule="exact"/>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10.21</w:t>
            </w:r>
          </w:p>
        </w:tc>
        <w:tc>
          <w:tcPr>
            <w:tcW w:w="2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2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Certification of Principal Executive Officer Pursuant to Rules 13a-</w:t>
              </w:r>
            </w:hyperlink>
          </w:p>
        </w:tc>
        <w:tc>
          <w:tcPr>
            <w:tcW w:w="540" w:type="dxa"/>
            <w:vAlign w:val="bottom"/>
            <w:gridSpan w:val="7"/>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w w:val="99"/>
              </w:rPr>
            </w:pPr>
            <w:hyperlink w:anchor="page75">
              <w:r>
                <w:rPr>
                  <w:rFonts w:ascii="Arial" w:cs="Arial" w:eastAsia="Arial" w:hAnsi="Arial"/>
                  <w:sz w:val="18"/>
                  <w:szCs w:val="18"/>
                  <w:color w:val="0000FF"/>
                  <w:w w:val="99"/>
                </w:rPr>
                <w:t>14(a) and 15d-14(a) under the Securities Exchange Act of 1934, as</w:t>
              </w:r>
            </w:hyperlink>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Adopted Pursuant to Section 302 of the Sarbanes-Oxley Act of 2002.</w:t>
              </w:r>
            </w:hyperlink>
          </w:p>
        </w:tc>
        <w:tc>
          <w:tcPr>
            <w:tcW w:w="3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60" w:type="dxa"/>
            <w:vAlign w:val="bottom"/>
            <w:gridSpan w:val="19"/>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Principal Financial Officer Pursuant to Rules 13a-</w:t>
              </w:r>
            </w:hyperlink>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14(a) and 15d-14(a) under the Securities Exchange Act of 1934, as</w:t>
              </w:r>
            </w:hyperlink>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Adopted Pursuant to Section 302 of the Sarbanes-Oxley Act of 2002.</w:t>
              </w:r>
            </w:hyperlink>
          </w:p>
        </w:tc>
        <w:tc>
          <w:tcPr>
            <w:tcW w:w="3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Principal Executive Officer and Principal Financial</w:t>
              </w:r>
            </w:hyperlink>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Officer Pursuant to 18 U.S.C. Section 1350, as Adopted Pursuant to</w:t>
              </w:r>
            </w:hyperlink>
          </w:p>
        </w:tc>
        <w:tc>
          <w:tcPr>
            <w:tcW w:w="46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9"/>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Section 906 of the Sarbanes-Oxley Act of 2002.</w:t>
              </w:r>
            </w:hyperlink>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4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19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53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80"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20" w:type="dxa"/>
            <w:vAlign w:val="bottom"/>
            <w:gridSpan w:val="2"/>
          </w:tcPr>
          <w:p>
            <w:pPr>
              <w:ind w:left="2080"/>
              <w:spacing w:after="0"/>
              <w:rPr>
                <w:sz w:val="20"/>
                <w:szCs w:val="20"/>
                <w:color w:val="auto"/>
              </w:rPr>
            </w:pPr>
            <w:r>
              <w:rPr>
                <w:rFonts w:ascii="Arial" w:cs="Arial" w:eastAsia="Arial" w:hAnsi="Arial"/>
                <w:sz w:val="18"/>
                <w:szCs w:val="18"/>
                <w:color w:val="auto"/>
              </w:rPr>
              <w:t>SI-BONE, Inc.</w:t>
            </w:r>
          </w:p>
        </w:tc>
      </w:tr>
      <w:tr>
        <w:trPr>
          <w:trHeight w:val="500"/>
        </w:trPr>
        <w:tc>
          <w:tcPr>
            <w:tcW w:w="3960" w:type="dxa"/>
            <w:vAlign w:val="bottom"/>
          </w:tcPr>
          <w:p>
            <w:pPr>
              <w:spacing w:after="0"/>
              <w:rPr>
                <w:sz w:val="20"/>
                <w:szCs w:val="20"/>
                <w:color w:val="auto"/>
              </w:rPr>
            </w:pPr>
            <w:r>
              <w:rPr>
                <w:rFonts w:ascii="Arial" w:cs="Arial" w:eastAsia="Arial" w:hAnsi="Arial"/>
                <w:sz w:val="18"/>
                <w:szCs w:val="18"/>
                <w:color w:val="auto"/>
              </w:rPr>
              <w:t>Date: November 29, 2018</w:t>
            </w:r>
          </w:p>
        </w:tc>
        <w:tc>
          <w:tcPr>
            <w:tcW w:w="2860" w:type="dxa"/>
            <w:vAlign w:val="bottom"/>
          </w:tcPr>
          <w:p>
            <w:pPr>
              <w:ind w:left="208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Jeffrey W. Dunn</w:t>
            </w:r>
          </w:p>
        </w:tc>
      </w:tr>
      <w:tr>
        <w:trPr>
          <w:trHeight w:val="27"/>
        </w:trPr>
        <w:tc>
          <w:tcPr>
            <w:tcW w:w="3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70"/>
        </w:trPr>
        <w:tc>
          <w:tcPr>
            <w:tcW w:w="39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9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(Duly Authorized Officer and Principal Executive Officer</w:t>
            </w:r>
            <w:r>
              <w:rPr>
                <w:rFonts w:ascii="Arial" w:cs="Arial" w:eastAsia="Arial" w:hAnsi="Arial"/>
                <w:sz w:val="14"/>
                <w:szCs w:val="14"/>
                <w:color w:val="auto"/>
              </w:rPr>
              <w:t>)</w:t>
            </w:r>
          </w:p>
        </w:tc>
      </w:tr>
      <w:tr>
        <w:trPr>
          <w:trHeight w:val="770"/>
        </w:trPr>
        <w:tc>
          <w:tcPr>
            <w:tcW w:w="3960" w:type="dxa"/>
            <w:vAlign w:val="bottom"/>
          </w:tcPr>
          <w:p>
            <w:pPr>
              <w:spacing w:after="0"/>
              <w:rPr>
                <w:sz w:val="24"/>
                <w:szCs w:val="24"/>
                <w:color w:val="auto"/>
              </w:rPr>
            </w:pPr>
          </w:p>
        </w:tc>
        <w:tc>
          <w:tcPr>
            <w:tcW w:w="7420" w:type="dxa"/>
            <w:vAlign w:val="bottom"/>
            <w:gridSpan w:val="2"/>
          </w:tcPr>
          <w:p>
            <w:pPr>
              <w:ind w:left="2080"/>
              <w:spacing w:after="0"/>
              <w:rPr>
                <w:sz w:val="20"/>
                <w:szCs w:val="20"/>
                <w:color w:val="auto"/>
              </w:rPr>
            </w:pPr>
            <w:r>
              <w:rPr>
                <w:rFonts w:ascii="Arial" w:cs="Arial" w:eastAsia="Arial" w:hAnsi="Arial"/>
                <w:sz w:val="18"/>
                <w:szCs w:val="18"/>
                <w:color w:val="auto"/>
              </w:rPr>
              <w:t>SI-BONE,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November 29, 2018</w:t>
            </w:r>
          </w:p>
        </w:tc>
        <w:tc>
          <w:tcPr>
            <w:tcW w:w="2860" w:type="dxa"/>
            <w:vAlign w:val="bottom"/>
          </w:tcPr>
          <w:p>
            <w:pPr>
              <w:ind w:left="208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Laura A. Francis</w:t>
            </w:r>
          </w:p>
        </w:tc>
      </w:tr>
      <w:tr>
        <w:trPr>
          <w:trHeight w:val="27"/>
        </w:trPr>
        <w:tc>
          <w:tcPr>
            <w:tcW w:w="3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70"/>
        </w:trPr>
        <w:tc>
          <w:tcPr>
            <w:tcW w:w="39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9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93" w:lineRule="exact"/>
        <w:rPr>
          <w:sz w:val="20"/>
          <w:szCs w:val="20"/>
          <w:color w:val="auto"/>
        </w:rPr>
      </w:pPr>
    </w:p>
    <w:p>
      <w:pPr>
        <w:ind w:left="940" w:hanging="412"/>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Jeffrey W. Dunn</w:t>
      </w:r>
    </w:p>
    <w:p>
      <w:pPr>
        <w:spacing w:after="0" w:line="63" w:lineRule="exact"/>
        <w:rPr>
          <w:sz w:val="20"/>
          <w:szCs w:val="20"/>
          <w:color w:val="auto"/>
        </w:rPr>
      </w:pPr>
    </w:p>
    <w:p>
      <w:pPr>
        <w:ind w:left="500"/>
        <w:spacing w:after="0"/>
        <w:tabs>
          <w:tab w:leader="none" w:pos="772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93" w:lineRule="exact"/>
        <w:rPr>
          <w:sz w:val="20"/>
          <w:szCs w:val="20"/>
          <w:color w:val="auto"/>
        </w:rPr>
      </w:pPr>
    </w:p>
    <w:p>
      <w:pPr>
        <w:ind w:left="940" w:hanging="412"/>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Laura A. Francis</w:t>
      </w:r>
    </w:p>
    <w:p>
      <w:pPr>
        <w:spacing w:after="0" w:line="63" w:lineRule="exact"/>
        <w:rPr>
          <w:sz w:val="20"/>
          <w:szCs w:val="20"/>
          <w:color w:val="auto"/>
        </w:rPr>
      </w:pPr>
    </w:p>
    <w:p>
      <w:pPr>
        <w:ind w:left="7540" w:right="2200" w:hanging="7035"/>
        <w:spacing w:after="0" w:line="374" w:lineRule="auto"/>
        <w:tabs>
          <w:tab w:leader="none" w:pos="752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7"/>
          <w:szCs w:val="17"/>
          <w:color w:val="auto"/>
        </w:rPr>
        <w:t>Laura A. Francis Chief Financial Officer</w:t>
      </w:r>
    </w:p>
    <w:p>
      <w:pPr>
        <w:sectPr>
          <w:pgSz w:w="11900" w:h="16838" w:orient="portrait"/>
          <w:cols w:equalWidth="0" w:num="1">
            <w:col w:w="11420"/>
          </w:cols>
          <w:pgMar w:left="240" w:top="58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Financial Officer of the Company, each hereby certify that, to the best of his or her knowledge:</w:t>
      </w:r>
    </w:p>
    <w:p>
      <w:pPr>
        <w:spacing w:after="0" w:line="166" w:lineRule="exact"/>
        <w:rPr>
          <w:sz w:val="20"/>
          <w:szCs w:val="20"/>
          <w:color w:val="auto"/>
        </w:rPr>
      </w:pPr>
    </w:p>
    <w:p>
      <w:pPr>
        <w:ind w:right="520" w:firstLine="8"/>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2018,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Jeffrey W. Dunn</w:t>
      </w:r>
    </w:p>
    <w:p>
      <w:pPr>
        <w:spacing w:after="0" w:line="63"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Laura A. Francis</w:t>
      </w:r>
    </w:p>
    <w:p>
      <w:pPr>
        <w:spacing w:after="0" w:line="63" w:lineRule="exact"/>
        <w:rPr>
          <w:sz w:val="20"/>
          <w:szCs w:val="20"/>
          <w:color w:val="auto"/>
        </w:rPr>
      </w:pPr>
    </w:p>
    <w:p>
      <w:pPr>
        <w:ind w:left="7460" w:right="2280" w:hanging="7420"/>
        <w:spacing w:after="0" w:line="374" w:lineRule="auto"/>
        <w:tabs>
          <w:tab w:leader="none" w:pos="744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7"/>
          <w:szCs w:val="17"/>
          <w:color w:val="auto"/>
        </w:rPr>
        <w:t>Laura A. Francis Chief Financial Officer</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536"/>
    </w:lvl>
    <w:lvl w:ilvl="1">
      <w:lvlJc w:val="left"/>
      <w:lvlText w:val="(%2)"/>
      <w:numFmt w:val="decimal"/>
      <w:start w:val="3"/>
    </w:lvl>
  </w:abstractNum>
  <w:abstractNum w:abstractNumId="3">
    <w:nsid w:val="54E49EB4"/>
    <w:multiLevelType w:val="hybridMultilevel"/>
    <w:lvl w:ilvl="0">
      <w:lvlJc w:val="left"/>
      <w:lvlText w:val="%1"/>
      <w:numFmt w:val="decimal"/>
      <w:start w:val="194"/>
    </w:lvl>
  </w:abstractNum>
  <w:abstractNum w:abstractNumId="4">
    <w:nsid w:val="71F32454"/>
    <w:multiLevelType w:val="hybridMultilevel"/>
    <w:lvl w:ilvl="0">
      <w:lvlJc w:val="left"/>
      <w:lvlText w:val="(%1)"/>
      <w:numFmt w:val="decimal"/>
      <w:start w:val="458"/>
    </w:lvl>
  </w:abstractNum>
  <w:abstractNum w:abstractNumId="5">
    <w:nsid w:val="2CA88611"/>
    <w:multiLevelType w:val="hybridMultilevel"/>
    <w:lvl w:ilvl="0">
      <w:lvlJc w:val="left"/>
      <w:lvlText w:val="(%1)"/>
      <w:numFmt w:val="decimal"/>
      <w:start w:val="884"/>
    </w:lvl>
  </w:abstractNum>
  <w:abstractNum w:abstractNumId="6">
    <w:nsid w:val="836C40E"/>
    <w:multiLevelType w:val="hybridMultilevel"/>
    <w:lvl w:ilvl="0">
      <w:lvlJc w:val="left"/>
      <w:lvlText w:val="(%1)"/>
      <w:numFmt w:val="lowerRoman"/>
      <w:start w:val="2"/>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1)"/>
      <w:numFmt w:val="decimal"/>
      <w:start w:val="2"/>
    </w:lvl>
  </w:abstractNum>
  <w:abstractNum w:abstractNumId="9">
    <w:nsid w:val="8138641"/>
    <w:multiLevelType w:val="hybridMultilevel"/>
    <w:lvl w:ilvl="0">
      <w:lvlJc w:val="left"/>
      <w:lvlText w:val="(%1)"/>
      <w:numFmt w:val="decimal"/>
      <w:start w:val="5"/>
    </w:lvl>
  </w:abstractNum>
  <w:abstractNum w:abstractNumId="10">
    <w:nsid w:val="1E7FF521"/>
    <w:multiLevelType w:val="hybridMultilevel"/>
    <w:lvl w:ilvl="0">
      <w:lvlJc w:val="left"/>
      <w:lvlText w:val="%1."/>
      <w:numFmt w:val="decimal"/>
      <w:start w:val="606"/>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lowerRoman"/>
      <w:start w:val="1"/>
    </w:lvl>
  </w:abstractNum>
  <w:abstractNum w:abstractNumId="13">
    <w:nsid w:val="6CEAF087"/>
    <w:multiLevelType w:val="hybridMultilevel"/>
    <w:lvl w:ilvl="0">
      <w:lvlJc w:val="left"/>
      <w:lvlText w:val="(%1)"/>
      <w:numFmt w:val="lowerRoman"/>
      <w:start w:val="2"/>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13"/>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1)"/>
      <w:numFmt w:val="decimal"/>
      <w:start w:val="5"/>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hyperlink" Target="http://www.sec.gov/Archives/edgar/data/1459839/000119312518303020/d641574dex31.htm" TargetMode="External"/><Relationship Id="rId35" Type="http://schemas.openxmlformats.org/officeDocument/2006/relationships/hyperlink" Target="http://www.sec.gov/Archives/edgar/data/1459839/000119312518293978/d452987dex34.htm" TargetMode="External"/><Relationship Id="rId36" Type="http://schemas.openxmlformats.org/officeDocument/2006/relationships/hyperlink" Target="http://www.sec.gov/Archives/edgar/data/1459839/000119312518293978/d452987dex41.htm" TargetMode="External"/><Relationship Id="rId37" Type="http://schemas.openxmlformats.org/officeDocument/2006/relationships/hyperlink" Target="http://www.sec.gov/Archives/edgar/data/1459839/000119312518293978/d452987dex103.htm" TargetMode="External"/><Relationship Id="rId38" Type="http://schemas.openxmlformats.org/officeDocument/2006/relationships/hyperlink" Target="http://www.sec.gov/Archives/edgar/data/1459839/000119312518293978/d452987dex104.htm" TargetMode="External"/><Relationship Id="rId39" Type="http://schemas.openxmlformats.org/officeDocument/2006/relationships/hyperlink" Target="http://www.sec.gov/Archives/edgar/data/1459839/000119312518293978/d452987dex105.htm" TargetMode="External"/><Relationship Id="rId40" Type="http://schemas.openxmlformats.org/officeDocument/2006/relationships/hyperlink" Target="http://www.sec.gov/Archives/edgar/data/1459839/000119312518293978/d452987dex106.htm" TargetMode="External"/><Relationship Id="rId41" Type="http://schemas.openxmlformats.org/officeDocument/2006/relationships/hyperlink" Target="http://www.sec.gov/Archives/edgar/data/1459839/000119312518293978/d452987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2019-12-28T17:26:48Z</dcterms:created>
  <dcterms:modified xsi:type="dcterms:W3CDTF">2019-12-28T17:26:48Z</dcterms:modified>
</cp:coreProperties>
</file>