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6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2625090</wp:posOffset>
            </wp:positionH>
            <wp:positionV relativeFrom="paragraph">
              <wp:posOffset>130810</wp:posOffset>
            </wp:positionV>
            <wp:extent cx="203263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1397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2625090</wp:posOffset>
            </wp:positionH>
            <wp:positionV relativeFrom="paragraph">
              <wp:posOffset>223520</wp:posOffset>
            </wp:positionV>
            <wp:extent cx="203263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1397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(Mark one)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x </w:t>
      </w: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o </w:t>
      </w: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Commission File Number: 001-38701</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SI-BONE,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2625090</wp:posOffset>
            </wp:positionH>
            <wp:positionV relativeFrom="paragraph">
              <wp:posOffset>154940</wp:posOffset>
            </wp:positionV>
            <wp:extent cx="203263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13970"/>
                    </a:xfrm>
                    <a:prstGeom prst="rect">
                      <a:avLst/>
                    </a:prstGeom>
                    <a:noFill/>
                  </pic:spPr>
                </pic:pic>
              </a:graphicData>
            </a:graphic>
          </wp:anchor>
        </w:drawing>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060" w:type="dxa"/>
            <w:vAlign w:val="bottom"/>
            <w:gridSpan w:val="3"/>
          </w:tcPr>
          <w:p>
            <w:pPr>
              <w:jc w:val="center"/>
              <w:ind w:left="92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ind w:left="1300"/>
              <w:spacing w:after="0"/>
              <w:rPr>
                <w:sz w:val="20"/>
                <w:szCs w:val="20"/>
                <w:color w:val="auto"/>
              </w:rPr>
            </w:pPr>
            <w:r>
              <w:rPr>
                <w:rFonts w:ascii="Times New Roman" w:cs="Times New Roman" w:eastAsia="Times New Roman" w:hAnsi="Times New Roman"/>
                <w:sz w:val="13"/>
                <w:szCs w:val="13"/>
                <w:b w:val="1"/>
                <w:bCs w:val="1"/>
                <w:color w:val="auto"/>
              </w:rPr>
              <w:t>26-2216351</w:t>
            </w:r>
          </w:p>
        </w:tc>
        <w:tc>
          <w:tcPr>
            <w:tcW w:w="0" w:type="dxa"/>
            <w:vAlign w:val="bottom"/>
          </w:tcPr>
          <w:p>
            <w:pPr>
              <w:spacing w:after="0"/>
              <w:rPr>
                <w:sz w:val="1"/>
                <w:szCs w:val="1"/>
                <w:color w:val="auto"/>
              </w:rPr>
            </w:pPr>
          </w:p>
        </w:tc>
      </w:tr>
      <w:tr>
        <w:trPr>
          <w:trHeight w:val="147"/>
        </w:trPr>
        <w:tc>
          <w:tcPr>
            <w:tcW w:w="4060" w:type="dxa"/>
            <w:vAlign w:val="bottom"/>
            <w:gridSpan w:val="3"/>
          </w:tcPr>
          <w:p>
            <w:pPr>
              <w:jc w:val="center"/>
              <w:ind w:left="92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jc w:val="center"/>
              <w:ind w:left="843"/>
              <w:spacing w:after="0"/>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50"/>
        </w:trPr>
        <w:tc>
          <w:tcPr>
            <w:tcW w:w="4060" w:type="dxa"/>
            <w:vAlign w:val="bottom"/>
            <w:gridSpan w:val="3"/>
          </w:tcPr>
          <w:p>
            <w:pPr>
              <w:jc w:val="center"/>
              <w:ind w:left="9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jc w:val="center"/>
              <w:ind w:left="82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c>
          <w:tcPr>
            <w:tcW w:w="0" w:type="dxa"/>
            <w:vAlign w:val="bottom"/>
          </w:tcPr>
          <w:p>
            <w:pPr>
              <w:spacing w:after="0"/>
              <w:rPr>
                <w:sz w:val="1"/>
                <w:szCs w:val="1"/>
                <w:color w:val="auto"/>
              </w:rPr>
            </w:pPr>
          </w:p>
        </w:tc>
      </w:tr>
      <w:tr>
        <w:trPr>
          <w:trHeight w:val="489"/>
        </w:trPr>
        <w:tc>
          <w:tcPr>
            <w:tcW w:w="4060" w:type="dxa"/>
            <w:vAlign w:val="bottom"/>
            <w:gridSpan w:val="3"/>
          </w:tcPr>
          <w:p>
            <w:pPr>
              <w:jc w:val="center"/>
              <w:ind w:left="920"/>
              <w:spacing w:after="0"/>
              <w:rPr>
                <w:sz w:val="20"/>
                <w:szCs w:val="20"/>
                <w:color w:val="auto"/>
              </w:rPr>
            </w:pPr>
            <w:r>
              <w:rPr>
                <w:rFonts w:ascii="Times New Roman" w:cs="Times New Roman" w:eastAsia="Times New Roman" w:hAnsi="Times New Roman"/>
                <w:sz w:val="13"/>
                <w:szCs w:val="13"/>
                <w:b w:val="1"/>
                <w:bCs w:val="1"/>
                <w:color w:val="auto"/>
                <w:w w:val="99"/>
              </w:rPr>
              <w:t>471 El Camino Real, Suite 101, Santa Clara, California</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95050</w:t>
            </w:r>
          </w:p>
        </w:tc>
        <w:tc>
          <w:tcPr>
            <w:tcW w:w="0" w:type="dxa"/>
            <w:vAlign w:val="bottom"/>
          </w:tcPr>
          <w:p>
            <w:pPr>
              <w:spacing w:after="0"/>
              <w:rPr>
                <w:sz w:val="1"/>
                <w:szCs w:val="1"/>
                <w:color w:val="auto"/>
              </w:rPr>
            </w:pPr>
          </w:p>
        </w:tc>
      </w:tr>
      <w:tr>
        <w:trPr>
          <w:trHeight w:val="233"/>
        </w:trPr>
        <w:tc>
          <w:tcPr>
            <w:tcW w:w="4060" w:type="dxa"/>
            <w:vAlign w:val="bottom"/>
            <w:gridSpan w:val="3"/>
          </w:tcPr>
          <w:p>
            <w:pPr>
              <w:jc w:val="center"/>
              <w:ind w:left="9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ind w:left="118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(408) 207-0700</w:t>
            </w: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1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65"/>
        </w:trPr>
        <w:tc>
          <w:tcPr>
            <w:tcW w:w="4060" w:type="dxa"/>
            <w:vAlign w:val="bottom"/>
            <w:gridSpan w:val="3"/>
          </w:tcPr>
          <w:p>
            <w:pPr>
              <w:jc w:val="center"/>
              <w:ind w:left="1680"/>
              <w:spacing w:after="0"/>
              <w:rPr>
                <w:sz w:val="20"/>
                <w:szCs w:val="20"/>
                <w:color w:val="auto"/>
              </w:rPr>
            </w:pPr>
            <w:r>
              <w:rPr>
                <w:rFonts w:ascii="Times New Roman" w:cs="Times New Roman" w:eastAsia="Times New Roman" w:hAnsi="Times New Roman"/>
                <w:sz w:val="11"/>
                <w:szCs w:val="11"/>
                <w:color w:val="auto"/>
              </w:rPr>
              <w:t>Common Stock, par value $0.0001 per share</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gridSpan w:val="3"/>
          </w:tcPr>
          <w:p>
            <w:pPr>
              <w:jc w:val="center"/>
              <w:ind w:right="1140"/>
              <w:spacing w:after="0"/>
              <w:rPr>
                <w:sz w:val="20"/>
                <w:szCs w:val="20"/>
                <w:color w:val="auto"/>
              </w:rPr>
            </w:pPr>
            <w:r>
              <w:rPr>
                <w:rFonts w:ascii="Times New Roman" w:cs="Times New Roman" w:eastAsia="Times New Roman" w:hAnsi="Times New Roman"/>
                <w:sz w:val="11"/>
                <w:szCs w:val="11"/>
                <w:color w:val="auto"/>
              </w:rPr>
              <w:t>SIBN</w:t>
            </w:r>
          </w:p>
        </w:tc>
        <w:tc>
          <w:tcPr>
            <w:tcW w:w="1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Market</w:t>
            </w:r>
          </w:p>
        </w:tc>
        <w:tc>
          <w:tcPr>
            <w:tcW w:w="0" w:type="dxa"/>
            <w:vAlign w:val="bottom"/>
          </w:tcPr>
          <w:p>
            <w:pPr>
              <w:spacing w:after="0"/>
              <w:rPr>
                <w:sz w:val="1"/>
                <w:szCs w:val="1"/>
                <w:color w:val="auto"/>
              </w:rPr>
            </w:pPr>
          </w:p>
        </w:tc>
      </w:tr>
    </w:tbl>
    <w:p>
      <w:pPr>
        <w:spacing w:after="0" w:line="250"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0" w:lineRule="exact"/>
        <w:rPr>
          <w:sz w:val="24"/>
          <w:szCs w:val="24"/>
          <w:color w:val="auto"/>
        </w:rPr>
      </w:pPr>
    </w:p>
    <w:p>
      <w:pPr>
        <w:jc w:val="center"/>
        <w:ind w:left="240" w:right="80"/>
        <w:spacing w:after="0" w:line="28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380" w:type="dxa"/>
        <w:tblCellMar>
          <w:top w:w="0" w:type="dxa"/>
          <w:left w:w="0" w:type="dxa"/>
          <w:bottom w:w="0" w:type="dxa"/>
          <w:right w:w="0" w:type="dxa"/>
        </w:tblCellMar>
      </w:tblPr>
      <w:tr>
        <w:trPr>
          <w:trHeight w:val="148"/>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Large accelerated filer o</w:t>
            </w:r>
          </w:p>
        </w:tc>
        <w:tc>
          <w:tcPr>
            <w:tcW w:w="1280" w:type="dxa"/>
            <w:vAlign w:val="bottom"/>
          </w:tcPr>
          <w:p>
            <w:pPr>
              <w:spacing w:after="0"/>
              <w:rPr>
                <w:sz w:val="12"/>
                <w:szCs w:val="12"/>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Accelerated filer o</w:t>
            </w:r>
          </w:p>
        </w:tc>
        <w:tc>
          <w:tcPr>
            <w:tcW w:w="2320" w:type="dxa"/>
            <w:vAlign w:val="bottom"/>
          </w:tcPr>
          <w:p>
            <w:pPr>
              <w:ind w:left="1220"/>
              <w:spacing w:after="0"/>
              <w:rPr>
                <w:sz w:val="20"/>
                <w:szCs w:val="20"/>
                <w:color w:val="auto"/>
              </w:rPr>
            </w:pPr>
            <w:r>
              <w:rPr>
                <w:rFonts w:ascii="Times New Roman" w:cs="Times New Roman" w:eastAsia="Times New Roman" w:hAnsi="Times New Roman"/>
                <w:sz w:val="11"/>
                <w:szCs w:val="11"/>
                <w:color w:val="auto"/>
              </w:rPr>
              <w:t>Non-accelerated filer x</w:t>
            </w:r>
          </w:p>
        </w:tc>
        <w:tc>
          <w:tcPr>
            <w:tcW w:w="0" w:type="dxa"/>
            <w:vAlign w:val="bottom"/>
          </w:tcPr>
          <w:p>
            <w:pPr>
              <w:spacing w:after="0"/>
              <w:rPr>
                <w:sz w:val="1"/>
                <w:szCs w:val="1"/>
                <w:color w:val="auto"/>
              </w:rPr>
            </w:pPr>
          </w:p>
        </w:tc>
      </w:tr>
      <w:tr>
        <w:trPr>
          <w:trHeight w:val="280"/>
        </w:trPr>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2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x</w:t>
            </w:r>
          </w:p>
        </w:tc>
        <w:tc>
          <w:tcPr>
            <w:tcW w:w="37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Emerging growth company x</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760" w:type="dxa"/>
            <w:vAlign w:val="bottom"/>
            <w:vMerge w:val="continue"/>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center"/>
        <w:ind w:left="240" w:right="160"/>
        <w:spacing w:after="0" w:line="286" w:lineRule="auto"/>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 Yes o No x</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number of shares outstanding of the registrant’s Common Stock was 25,005,329 as of November 8, 2019.</w:t>
      </w:r>
    </w:p>
    <w:p>
      <w:pPr>
        <w:sectPr>
          <w:pgSz w:w="11900" w:h="16838" w:orient="portrait"/>
          <w:cols w:equalWidth="0" w:num="1">
            <w:col w:w="11460"/>
          </w:cols>
          <w:pgMar w:left="220" w:top="524"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93"/>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40" w:type="dxa"/>
            <w:vAlign w:val="bottom"/>
            <w:gridSpan w:val="6"/>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20" w:type="dxa"/>
            <w:vAlign w:val="bottom"/>
          </w:tcPr>
          <w:p>
            <w:pPr>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Item 1.</w:t>
              </w:r>
            </w:hyperlink>
          </w:p>
        </w:tc>
        <w:tc>
          <w:tcPr>
            <w:tcW w:w="460" w:type="dxa"/>
            <w:vAlign w:val="bottom"/>
            <w:gridSpan w:val="2"/>
          </w:tcPr>
          <w:p>
            <w:pPr>
              <w:spacing w:after="0"/>
              <w:rPr>
                <w:sz w:val="16"/>
                <w:szCs w:val="16"/>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Financial Statements</w:t>
              </w:r>
            </w:hyperlink>
          </w:p>
        </w:tc>
        <w:tc>
          <w:tcPr>
            <w:tcW w:w="560" w:type="dxa"/>
            <w:vAlign w:val="bottom"/>
            <w:gridSpan w:val="3"/>
          </w:tcPr>
          <w:p>
            <w:pPr>
              <w:jc w:val="right"/>
              <w:ind w:right="20"/>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4</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7"/>
          </w:tcPr>
          <w:p>
            <w:pPr>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Unaudited Condensed Consolidated Balance Sheets</w:t>
              </w:r>
            </w:hyperlink>
          </w:p>
        </w:tc>
        <w:tc>
          <w:tcPr>
            <w:tcW w:w="634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gridSpan w:val="2"/>
          </w:tcPr>
          <w:p>
            <w:pPr>
              <w:jc w:val="right"/>
              <w:ind w:right="20"/>
              <w:spacing w:after="0"/>
              <w:rPr>
                <w:rFonts w:ascii="Times New Roman" w:cs="Times New Roman" w:eastAsia="Times New Roman" w:hAnsi="Times New Roman"/>
                <w:sz w:val="14"/>
                <w:szCs w:val="14"/>
                <w:color w:val="0000EE"/>
                <w:w w:val="84"/>
              </w:rPr>
            </w:pPr>
            <w:hyperlink w:anchor="page5">
              <w:r>
                <w:rPr>
                  <w:rFonts w:ascii="Times New Roman" w:cs="Times New Roman" w:eastAsia="Times New Roman" w:hAnsi="Times New Roman"/>
                  <w:sz w:val="14"/>
                  <w:szCs w:val="14"/>
                  <w:color w:val="0000EE"/>
                  <w:w w:val="84"/>
                </w:rPr>
                <w:t>4</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20" w:type="dxa"/>
            <w:vAlign w:val="bottom"/>
            <w:gridSpan w:val="14"/>
          </w:tcPr>
          <w:p>
            <w:pPr>
              <w:spacing w:after="0"/>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Unaudited Condensed Consolidated Statements of Operations and Comprehensive Loss</w:t>
              </w:r>
            </w:hyperlink>
          </w:p>
        </w:tc>
        <w:tc>
          <w:tcPr>
            <w:tcW w:w="560" w:type="dxa"/>
            <w:vAlign w:val="bottom"/>
            <w:gridSpan w:val="3"/>
          </w:tcPr>
          <w:p>
            <w:pPr>
              <w:jc w:val="right"/>
              <w:ind w:right="20"/>
              <w:spacing w:after="0"/>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20" w:type="dxa"/>
            <w:vAlign w:val="bottom"/>
            <w:gridSpan w:val="14"/>
          </w:tcPr>
          <w:p>
            <w:pPr>
              <w:spacing w:after="0"/>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Unaudited Condensed Consolidated Statements of Changes in Redeemable Convertible Preferred Stock and Stockholders' Equity (Deficit)</w:t>
              </w:r>
            </w:hyperlink>
          </w:p>
        </w:tc>
        <w:tc>
          <w:tcPr>
            <w:tcW w:w="560" w:type="dxa"/>
            <w:vAlign w:val="bottom"/>
            <w:gridSpan w:val="3"/>
          </w:tcPr>
          <w:p>
            <w:pPr>
              <w:jc w:val="right"/>
              <w:ind w:right="20"/>
              <w:spacing w:after="0"/>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6</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gridSpan w:val="9"/>
          </w:tcPr>
          <w:p>
            <w:pPr>
              <w:spacing w:after="0"/>
              <w:rPr>
                <w:rFonts w:ascii="Times New Roman" w:cs="Times New Roman" w:eastAsia="Times New Roman" w:hAnsi="Times New Roman"/>
                <w:sz w:val="14"/>
                <w:szCs w:val="14"/>
                <w:color w:val="0000EE"/>
              </w:rPr>
            </w:pPr>
            <w:hyperlink w:anchor="page9">
              <w:r>
                <w:rPr>
                  <w:rFonts w:ascii="Times New Roman" w:cs="Times New Roman" w:eastAsia="Times New Roman" w:hAnsi="Times New Roman"/>
                  <w:sz w:val="14"/>
                  <w:szCs w:val="14"/>
                  <w:color w:val="0000EE"/>
                </w:rPr>
                <w:t>Unaudited Condensed Consolidated Statements of Cash Flows</w:t>
              </w:r>
            </w:hyperlink>
          </w:p>
        </w:tc>
        <w:tc>
          <w:tcPr>
            <w:tcW w:w="4360" w:type="dxa"/>
            <w:vAlign w:val="bottom"/>
            <w:gridSpan w:val="4"/>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gridSpan w:val="2"/>
          </w:tcPr>
          <w:p>
            <w:pPr>
              <w:jc w:val="right"/>
              <w:ind w:right="20"/>
              <w:spacing w:after="0"/>
              <w:rPr>
                <w:rFonts w:ascii="Times New Roman" w:cs="Times New Roman" w:eastAsia="Times New Roman" w:hAnsi="Times New Roman"/>
                <w:sz w:val="14"/>
                <w:szCs w:val="14"/>
                <w:color w:val="0000EE"/>
                <w:w w:val="84"/>
              </w:rPr>
            </w:pPr>
            <w:hyperlink w:anchor="page9">
              <w:r>
                <w:rPr>
                  <w:rFonts w:ascii="Times New Roman" w:cs="Times New Roman" w:eastAsia="Times New Roman" w:hAnsi="Times New Roman"/>
                  <w:sz w:val="14"/>
                  <w:szCs w:val="14"/>
                  <w:color w:val="0000EE"/>
                  <w:w w:val="84"/>
                </w:rPr>
                <w:t>8</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20" w:type="dxa"/>
            <w:vAlign w:val="bottom"/>
            <w:gridSpan w:val="14"/>
          </w:tcPr>
          <w:p>
            <w:pPr>
              <w:spacing w:after="0"/>
              <w:rPr>
                <w:rFonts w:ascii="Times New Roman" w:cs="Times New Roman" w:eastAsia="Times New Roman" w:hAnsi="Times New Roman"/>
                <w:sz w:val="14"/>
                <w:szCs w:val="14"/>
                <w:color w:val="0000EE"/>
              </w:rPr>
            </w:pPr>
            <w:hyperlink w:anchor="page10">
              <w:r>
                <w:rPr>
                  <w:rFonts w:ascii="Times New Roman" w:cs="Times New Roman" w:eastAsia="Times New Roman" w:hAnsi="Times New Roman"/>
                  <w:sz w:val="14"/>
                  <w:szCs w:val="14"/>
                  <w:color w:val="0000EE"/>
                </w:rPr>
                <w:t>Notes to Unaudited Condensed Consolidated Financial Statements</w:t>
              </w:r>
            </w:hyperlink>
          </w:p>
        </w:tc>
        <w:tc>
          <w:tcPr>
            <w:tcW w:w="560" w:type="dxa"/>
            <w:vAlign w:val="bottom"/>
            <w:gridSpan w:val="3"/>
          </w:tcPr>
          <w:p>
            <w:pPr>
              <w:jc w:val="right"/>
              <w:ind w:right="20"/>
              <w:spacing w:after="0"/>
              <w:rPr>
                <w:rFonts w:ascii="Times New Roman" w:cs="Times New Roman" w:eastAsia="Times New Roman" w:hAnsi="Times New Roman"/>
                <w:sz w:val="14"/>
                <w:szCs w:val="14"/>
                <w:color w:val="0000EE"/>
              </w:rPr>
            </w:pPr>
            <w:hyperlink w:anchor="page10">
              <w:r>
                <w:rPr>
                  <w:rFonts w:ascii="Times New Roman" w:cs="Times New Roman" w:eastAsia="Times New Roman" w:hAnsi="Times New Roman"/>
                  <w:sz w:val="14"/>
                  <w:szCs w:val="14"/>
                  <w:color w:val="0000EE"/>
                </w:rPr>
                <w:t>9</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22">
              <w:r>
                <w:rPr>
                  <w:rFonts w:ascii="Times New Roman" w:cs="Times New Roman" w:eastAsia="Times New Roman" w:hAnsi="Times New Roman"/>
                  <w:sz w:val="14"/>
                  <w:szCs w:val="14"/>
                  <w:color w:val="0000EE"/>
                </w:rPr>
                <w:t>Item 2.</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22">
              <w:r>
                <w:rPr>
                  <w:rFonts w:ascii="Times New Roman" w:cs="Times New Roman" w:eastAsia="Times New Roman" w:hAnsi="Times New Roman"/>
                  <w:sz w:val="14"/>
                  <w:szCs w:val="14"/>
                  <w:color w:val="0000EE"/>
                </w:rPr>
                <w:t>Management’s Discussion and Analysis of Financial Condition and Results of Operations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22">
              <w:r>
                <w:rPr>
                  <w:rFonts w:ascii="Times New Roman" w:cs="Times New Roman" w:eastAsia="Times New Roman" w:hAnsi="Times New Roman"/>
                  <w:sz w:val="14"/>
                  <w:szCs w:val="14"/>
                  <w:color w:val="0000EE"/>
                </w:rPr>
                <w:t>21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700" w:type="dxa"/>
            <w:vAlign w:val="bottom"/>
            <w:tcBorders>
              <w:left w:val="single" w:sz="8" w:color="0000EE"/>
            </w:tcBorders>
            <w:gridSpan w:val="3"/>
            <w:shd w:val="clear" w:color="auto" w:fill="0000EE"/>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Item 3.</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Quantitative and Qualitative Disclosures About Market Risk</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30</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140" w:type="dxa"/>
            <w:vAlign w:val="bottom"/>
            <w:tcBorders>
              <w:left w:val="single" w:sz="8" w:color="0000EE"/>
            </w:tcBorders>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Item 4.</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Controls and Procedures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30</w:t>
              </w:r>
            </w:hyperlink>
          </w:p>
        </w:tc>
        <w:tc>
          <w:tcPr>
            <w:tcW w:w="20" w:type="dxa"/>
            <w:vAlign w:val="bottom"/>
          </w:tcPr>
          <w:p>
            <w:pPr>
              <w:spacing w:after="0"/>
              <w:rPr>
                <w:sz w:val="17"/>
                <w:szCs w:val="17"/>
                <w:color w:val="auto"/>
              </w:rPr>
            </w:pPr>
          </w:p>
        </w:tc>
      </w:tr>
      <w:tr>
        <w:trPr>
          <w:trHeight w:val="442"/>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gridSpan w:val="6"/>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20" w:type="dxa"/>
            <w:vAlign w:val="bottom"/>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1.</w:t>
              </w:r>
            </w:hyperlink>
          </w:p>
        </w:tc>
        <w:tc>
          <w:tcPr>
            <w:tcW w:w="460" w:type="dxa"/>
            <w:vAlign w:val="bottom"/>
            <w:gridSpan w:val="2"/>
          </w:tcPr>
          <w:p>
            <w:pPr>
              <w:spacing w:after="0"/>
              <w:rPr>
                <w:sz w:val="16"/>
                <w:szCs w:val="16"/>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Legal Proceedings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31</w:t>
              </w:r>
            </w:hyperlink>
          </w:p>
        </w:tc>
        <w:tc>
          <w:tcPr>
            <w:tcW w:w="20" w:type="dxa"/>
            <w:vAlign w:val="bottom"/>
          </w:tcPr>
          <w:p>
            <w:pPr>
              <w:spacing w:after="0"/>
              <w:rPr>
                <w:sz w:val="16"/>
                <w:szCs w:val="16"/>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1A.</w:t>
              </w:r>
            </w:hyperlink>
          </w:p>
        </w:tc>
        <w:tc>
          <w:tcPr>
            <w:tcW w:w="360" w:type="dxa"/>
            <w:vAlign w:val="bottom"/>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Risk Factors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31</w:t>
              </w:r>
            </w:hyperlink>
          </w:p>
        </w:tc>
        <w:tc>
          <w:tcPr>
            <w:tcW w:w="20" w:type="dxa"/>
            <w:vAlign w:val="bottom"/>
          </w:tcPr>
          <w:p>
            <w:pPr>
              <w:spacing w:after="0"/>
              <w:rPr>
                <w:sz w:val="17"/>
                <w:szCs w:val="17"/>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Item 2.</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Unregistered Sales of Equity Securities and Use of Proceeds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66</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Item 3.</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Defaults Upon Senior Securities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67</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Item 4.</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Mine Safety Disclosures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67</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Item 5.</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Other Information</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67</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56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Item 6.</w:t>
              </w:r>
            </w:hyperlink>
          </w:p>
        </w:tc>
        <w:tc>
          <w:tcPr>
            <w:tcW w:w="460" w:type="dxa"/>
            <w:vAlign w:val="bottom"/>
            <w:gridSpan w:val="2"/>
          </w:tcPr>
          <w:p>
            <w:pPr>
              <w:spacing w:after="0"/>
              <w:rPr>
                <w:sz w:val="17"/>
                <w:szCs w:val="17"/>
                <w:color w:val="auto"/>
              </w:rPr>
            </w:pPr>
          </w:p>
        </w:tc>
        <w:tc>
          <w:tcPr>
            <w:tcW w:w="10000" w:type="dxa"/>
            <w:vAlign w:val="bottom"/>
            <w:gridSpan w:val="16"/>
          </w:tcPr>
          <w:p>
            <w:pPr>
              <w:ind w:left="400"/>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Exhibits</w:t>
              </w:r>
            </w:hyperlink>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69">
              <w:r>
                <w:rPr>
                  <w:rFonts w:ascii="Times New Roman" w:cs="Times New Roman" w:eastAsia="Times New Roman" w:hAnsi="Times New Roman"/>
                  <w:sz w:val="14"/>
                  <w:szCs w:val="14"/>
                  <w:color w:val="0000EE"/>
                </w:rPr>
                <w:t>68</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880" w:type="dxa"/>
            <w:vAlign w:val="bottom"/>
            <w:gridSpan w:val="3"/>
          </w:tcPr>
          <w:p>
            <w:pPr>
              <w:spacing w:after="0"/>
              <w:rPr>
                <w:rFonts w:ascii="Times New Roman" w:cs="Times New Roman" w:eastAsia="Times New Roman" w:hAnsi="Times New Roman"/>
                <w:sz w:val="14"/>
                <w:szCs w:val="14"/>
                <w:color w:val="0000EE"/>
                <w:w w:val="98"/>
              </w:rPr>
            </w:pPr>
            <w:hyperlink w:anchor="page70">
              <w:r>
                <w:rPr>
                  <w:rFonts w:ascii="Times New Roman" w:cs="Times New Roman" w:eastAsia="Times New Roman" w:hAnsi="Times New Roman"/>
                  <w:sz w:val="14"/>
                  <w:szCs w:val="14"/>
                  <w:color w:val="0000EE"/>
                  <w:w w:val="98"/>
                </w:rPr>
                <w:t>SIGNATURES</w:t>
              </w:r>
            </w:hyperlink>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gridSpan w:val="2"/>
          </w:tcPr>
          <w:p>
            <w:pPr>
              <w:jc w:val="right"/>
              <w:spacing w:after="0"/>
              <w:rPr>
                <w:rFonts w:ascii="Times New Roman" w:cs="Times New Roman" w:eastAsia="Times New Roman" w:hAnsi="Times New Roman"/>
                <w:sz w:val="14"/>
                <w:szCs w:val="14"/>
                <w:color w:val="0000EE"/>
              </w:rPr>
            </w:pPr>
            <w:hyperlink w:anchor="page70">
              <w:r>
                <w:rPr>
                  <w:rFonts w:ascii="Times New Roman" w:cs="Times New Roman" w:eastAsia="Times New Roman" w:hAnsi="Times New Roman"/>
                  <w:sz w:val="14"/>
                  <w:szCs w:val="14"/>
                  <w:color w:val="0000EE"/>
                </w:rPr>
                <w:t>69</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60"/>
          </w:cols>
          <w:pgMar w:left="220" w:top="748"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6" w:lineRule="exact"/>
        <w:rPr>
          <w:sz w:val="20"/>
          <w:szCs w:val="20"/>
          <w:color w:val="auto"/>
        </w:rPr>
      </w:pPr>
    </w:p>
    <w:p>
      <w:pPr>
        <w:jc w:val="both"/>
        <w:ind w:firstLine="388"/>
        <w:spacing w:after="0" w:line="27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136"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3" w:lineRule="exact"/>
        <w:rPr>
          <w:sz w:val="20"/>
          <w:szCs w:val="20"/>
          <w:color w:val="auto"/>
        </w:rPr>
      </w:pPr>
    </w:p>
    <w:p>
      <w:pPr>
        <w:jc w:val="both"/>
        <w:ind w:firstLine="388"/>
        <w:spacing w:after="0" w:line="266"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229" w:lineRule="exact"/>
        <w:rPr>
          <w:sz w:val="20"/>
          <w:szCs w:val="20"/>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a significant portion of our revenues will be derived from sales of the iFuse Implant System, or iFuse;</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additional revenue opportunities, including new indications for use and new devices;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sales team to increase demand for our products and expand geographically;</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train, and retain surgeons to perform procedures using our products;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favorable coverage and reimbursement determinations from third-party payors;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our market opportunity;</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scope of protection from intellectual property rights covering our products;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and results from clinical and other trials;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authorization from the FDA;</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regulatory filings and feedback;</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markets we serve;</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of the reliability and performance of our product;</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of the benefits to patients, providers, and payors of our products;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a limited number of suppliers which may impact the availability of instruments and materials;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demand for our products and sustain or increase such demand;</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our costs and risks associated with our international operations and expansion;</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retain and recruit key personnel and expand our sales force;</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acquisitions and strategic operations;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our working capital requirements;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and the cost of, federal, state, and foreign regulatory requirements;</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that may impact our financial results; and</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the markets in which we operate.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60"/>
          </w:cols>
          <w:pgMar w:left="220" w:top="489" w:right="219" w:bottom="1440" w:gutter="0" w:footer="0" w:header="0"/>
        </w:sectPr>
      </w:pPr>
    </w:p>
    <w:bookmarkStart w:id="3" w:name="page4"/>
    <w:bookmarkEnd w:id="3"/>
    <w:p>
      <w:pPr>
        <w:jc w:val="both"/>
        <w:ind w:firstLine="388"/>
        <w:spacing w:after="0" w:line="262" w:lineRule="auto"/>
        <w:rPr>
          <w:sz w:val="20"/>
          <w:szCs w:val="20"/>
          <w:color w:val="auto"/>
        </w:rPr>
      </w:pPr>
      <w:r>
        <w:rPr>
          <w:rFonts w:ascii="Times New Roman" w:cs="Times New Roman" w:eastAsia="Times New Roman" w:hAnsi="Times New Roman"/>
          <w:sz w:val="14"/>
          <w:szCs w:val="14"/>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60"/>
          </w:cols>
          <w:pgMar w:left="220" w:top="491" w:right="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35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55"/>
        </w:trPr>
        <w:tc>
          <w:tcPr>
            <w:tcW w:w="7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20" w:type="dxa"/>
            <w:vAlign w:val="bottom"/>
          </w:tcPr>
          <w:p>
            <w:pPr>
              <w:spacing w:after="0"/>
              <w:rPr>
                <w:sz w:val="13"/>
                <w:szCs w:val="13"/>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December 31, 2018</w:t>
            </w:r>
          </w:p>
        </w:tc>
      </w:tr>
      <w:tr>
        <w:trPr>
          <w:trHeight w:val="191"/>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
        </w:trPr>
        <w:tc>
          <w:tcPr>
            <w:tcW w:w="7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6"/>
        </w:trPr>
        <w:tc>
          <w:tcPr>
            <w:tcW w:w="7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12,614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25,120</w:t>
            </w:r>
          </w:p>
        </w:tc>
      </w:tr>
      <w:tr>
        <w:trPr>
          <w:trHeight w:val="189"/>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Short-term investments</w:t>
            </w:r>
          </w:p>
        </w:tc>
        <w:tc>
          <w:tcPr>
            <w:tcW w:w="14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83,609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97,103</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$310 and $263,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9,918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8,486</w:t>
            </w:r>
          </w:p>
        </w:tc>
      </w:tr>
      <w:tr>
        <w:trPr>
          <w:trHeight w:val="189"/>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Inventory</w:t>
            </w:r>
          </w:p>
        </w:tc>
        <w:tc>
          <w:tcPr>
            <w:tcW w:w="14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4,953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3,343</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1,990</w:t>
            </w: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112,713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136,042</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5,273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2,154</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325</w:t>
            </w:r>
          </w:p>
        </w:tc>
      </w:tr>
      <w:tr>
        <w:trPr>
          <w:trHeight w:val="169"/>
        </w:trPr>
        <w:tc>
          <w:tcPr>
            <w:tcW w:w="74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121,316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138,521</w:t>
            </w:r>
          </w:p>
        </w:tc>
      </w:tr>
      <w:tr>
        <w:trPr>
          <w:trHeight w:val="67"/>
        </w:trPr>
        <w:tc>
          <w:tcPr>
            <w:tcW w:w="74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9"/>
        </w:trPr>
        <w:tc>
          <w:tcPr>
            <w:tcW w:w="7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7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AND STOCKHOLDERS’ EQUITY</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
        </w:trPr>
        <w:tc>
          <w:tcPr>
            <w:tcW w:w="7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9"/>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2,146</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7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6,860</w:t>
            </w: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12,834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9,006</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borrowings</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39,158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38,963</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360</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52,355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48,329</w:t>
            </w:r>
          </w:p>
        </w:tc>
      </w:tr>
      <w:tr>
        <w:trPr>
          <w:trHeight w:val="228"/>
        </w:trPr>
        <w:tc>
          <w:tcPr>
            <w:tcW w:w="7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6)</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26"/>
        </w:trPr>
        <w:tc>
          <w:tcPr>
            <w:tcW w:w="7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$0.0001 par value; 5,000,000 shares authorized; no shares issued and outstanding</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$0.0001 par value; 100,000,000 shares authorized; 24,965,512 and 24,450,757 shares issued and outstanding,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254,965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246,927</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439</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(157,177)</w:t>
            </w:r>
          </w:p>
        </w:tc>
      </w:tr>
      <w:tr>
        <w:trPr>
          <w:trHeight w:val="27"/>
        </w:trPr>
        <w:tc>
          <w:tcPr>
            <w:tcW w:w="7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68,961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90,192</w:t>
            </w:r>
          </w:p>
        </w:tc>
      </w:tr>
      <w:tr>
        <w:trPr>
          <w:trHeight w:val="169"/>
        </w:trPr>
        <w:tc>
          <w:tcPr>
            <w:tcW w:w="74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121,316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138,521</w:t>
            </w:r>
          </w:p>
        </w:tc>
      </w:tr>
      <w:tr>
        <w:trPr>
          <w:trHeight w:val="27"/>
        </w:trPr>
        <w:tc>
          <w:tcPr>
            <w:tcW w:w="7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9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40"/>
          </w:cols>
          <w:pgMar w:left="220" w:top="662" w:right="8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40" w:type="dxa"/>
            <w:vAlign w:val="bottom"/>
          </w:tcPr>
          <w:p>
            <w:pPr>
              <w:spacing w:after="0"/>
              <w:rPr>
                <w:sz w:val="11"/>
                <w:szCs w:val="11"/>
                <w:color w:val="auto"/>
              </w:rPr>
            </w:pPr>
          </w:p>
        </w:tc>
      </w:tr>
      <w:tr>
        <w:trPr>
          <w:trHeight w:val="155"/>
        </w:trPr>
        <w:tc>
          <w:tcPr>
            <w:tcW w:w="5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40" w:type="dxa"/>
            <w:vAlign w:val="bottom"/>
            <w:tcBorders>
              <w:bottom w:val="single" w:sz="8" w:color="auto"/>
            </w:tcBorders>
          </w:tcPr>
          <w:p>
            <w:pPr>
              <w:spacing w:after="0"/>
              <w:rPr>
                <w:sz w:val="13"/>
                <w:szCs w:val="13"/>
                <w:color w:val="auto"/>
              </w:rPr>
            </w:pPr>
          </w:p>
        </w:tc>
      </w:tr>
      <w:tr>
        <w:trPr>
          <w:trHeight w:val="206"/>
        </w:trPr>
        <w:tc>
          <w:tcPr>
            <w:tcW w:w="5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16,182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13,381</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47,490</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39,756</w:t>
            </w:r>
          </w:p>
        </w:tc>
      </w:tr>
      <w:tr>
        <w:trPr>
          <w:trHeight w:val="189"/>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1,630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1,221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4,744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3,451</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Gross profit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14,552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12,160</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42,746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36,305</w:t>
            </w:r>
          </w:p>
        </w:tc>
      </w:tr>
      <w:tr>
        <w:trPr>
          <w:trHeight w:val="158"/>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48"/>
        </w:trPr>
        <w:tc>
          <w:tcPr>
            <w:tcW w:w="5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9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Sales and marketing</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16,443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10,605</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48,985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31,890</w:t>
            </w:r>
          </w:p>
        </w:tc>
      </w:tr>
      <w:tr>
        <w:trPr>
          <w:trHeight w:val="189"/>
        </w:trPr>
        <w:tc>
          <w:tcPr>
            <w:tcW w:w="5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1,373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5,503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3,875</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6,816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3,226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15,776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8,198</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25,133</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15,204</w:t>
            </w: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70,264</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43,963</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(10,581)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(27,518)</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(7,658)</w:t>
            </w:r>
          </w:p>
        </w:tc>
      </w:tr>
      <w:tr>
        <w:trPr>
          <w:trHeight w:val="178"/>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other income (expense), net: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7"/>
        </w:trPr>
        <w:tc>
          <w:tcPr>
            <w:tcW w:w="5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2,051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199</w:t>
            </w:r>
          </w:p>
        </w:tc>
      </w:tr>
      <w:tr>
        <w:trPr>
          <w:trHeight w:val="189"/>
        </w:trPr>
        <w:tc>
          <w:tcPr>
            <w:tcW w:w="5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(3,826)</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expense, net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(855)</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(11,306)</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(4,792)</w:t>
            </w:r>
          </w:p>
        </w:tc>
        <w:tc>
          <w:tcPr>
            <w:tcW w:w="22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(29,305)</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(12,140)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9"/>
        </w:trPr>
        <w:tc>
          <w:tcPr>
            <w:tcW w:w="5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Changes in foreign currency translation</w:t>
            </w:r>
          </w:p>
        </w:tc>
        <w:tc>
          <w:tcPr>
            <w:tcW w:w="3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Unrealized gain (loss) on marketable securities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3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(11,347)</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(4,796)</w:t>
            </w:r>
          </w:p>
        </w:tc>
        <w:tc>
          <w:tcPr>
            <w:tcW w:w="22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(29,269)</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(12,111)</w:t>
            </w:r>
          </w:p>
        </w:tc>
      </w:tr>
      <w:tr>
        <w:trPr>
          <w:trHeight w:val="67"/>
        </w:trPr>
        <w:tc>
          <w:tcPr>
            <w:tcW w:w="5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09"/>
        </w:trPr>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8"/>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tcPr>
          <w:p>
            <w:pPr>
              <w:spacing w:after="0"/>
              <w:rPr>
                <w:sz w:val="15"/>
                <w:szCs w:val="15"/>
                <w:color w:val="auto"/>
              </w:rPr>
            </w:pP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5"/>
                <w:szCs w:val="15"/>
                <w:color w:val="auto"/>
              </w:rPr>
            </w:pP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(3.34)</w:t>
            </w:r>
          </w:p>
        </w:tc>
      </w:tr>
      <w:tr>
        <w:trPr>
          <w:trHeight w:val="67"/>
        </w:trPr>
        <w:tc>
          <w:tcPr>
            <w:tcW w:w="5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09"/>
        </w:trPr>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8"/>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number of common shares used to compute basic and diluted net loss per share</w:t>
            </w:r>
          </w:p>
        </w:tc>
        <w:tc>
          <w:tcPr>
            <w:tcW w:w="3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24,803,452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3,712,876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24,596,788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3,638,905</w:t>
            </w:r>
          </w:p>
        </w:tc>
      </w:tr>
      <w:tr>
        <w:trPr>
          <w:trHeight w:val="27"/>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160"/>
          </w:cols>
          <w:pgMar w:left="380" w:top="489" w:right="359" w:bottom="1440" w:gutter="0" w:footer="0" w:header="0"/>
        </w:sectPr>
      </w:pPr>
    </w:p>
    <w:bookmarkStart w:id="6" w:name="page7"/>
    <w:bookmarkEnd w:id="6"/>
    <w:p>
      <w:pPr>
        <w:ind w:left="5060"/>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REDEEMABLE CONVERTIBLE PREFERRED STOCK</w:t>
      </w:r>
    </w:p>
    <w:p>
      <w:pPr>
        <w:spacing w:after="0" w:line="8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AND STOCKHOLDERS' EQUITY (DEFICIT)</w:t>
      </w:r>
    </w:p>
    <w:p>
      <w:pPr>
        <w:spacing w:after="0" w:line="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5100" w:type="dxa"/>
            <w:vAlign w:val="bottom"/>
          </w:tcPr>
          <w:p>
            <w:pPr>
              <w:spacing w:after="0"/>
              <w:rPr>
                <w:sz w:val="13"/>
                <w:szCs w:val="13"/>
                <w:color w:val="auto"/>
              </w:rPr>
            </w:pPr>
          </w:p>
        </w:tc>
        <w:tc>
          <w:tcPr>
            <w:tcW w:w="168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5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76"/>
        </w:trPr>
        <w:tc>
          <w:tcPr>
            <w:tcW w:w="5100" w:type="dxa"/>
            <w:vAlign w:val="bottom"/>
          </w:tcPr>
          <w:p>
            <w:pPr>
              <w:spacing w:after="0"/>
              <w:rPr>
                <w:sz w:val="15"/>
                <w:szCs w:val="15"/>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0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2018</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24,450,757</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246,927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439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(157,177)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90,192</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 net of shares withheld</w:t>
            </w: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46,809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125</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1,871</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accrual of IPO related cost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gain on marketable securities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(9,345)</w:t>
            </w:r>
          </w:p>
        </w:tc>
      </w:tr>
      <w:tr>
        <w:trPr>
          <w:trHeight w:val="20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2019</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24,497,566</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248,829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445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(166,522)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82,755</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137,185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442</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related to employee stock purchase plan</w:t>
            </w: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99,086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1,263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1,263</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27,320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1,814</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56</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12</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gain on marketable securities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59</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(8,654)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(8,654)</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2019</w:t>
            </w:r>
          </w:p>
        </w:tc>
        <w:tc>
          <w:tcPr>
            <w:tcW w:w="9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24,761,157</w:t>
            </w: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252,404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516</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(175,176)</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77,747</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175,070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611</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38,115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unvested early exercised stock options</w:t>
            </w:r>
          </w:p>
        </w:tc>
        <w:tc>
          <w:tcPr>
            <w:tcW w:w="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(8,830)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1,911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1,911</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39</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loss on marketable securities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r>
      <w:tr>
        <w:trPr>
          <w:trHeight w:val="211"/>
        </w:trPr>
        <w:tc>
          <w:tcPr>
            <w:tcW w:w="5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(11,306)</w:t>
            </w:r>
          </w:p>
        </w:tc>
      </w:tr>
      <w:tr>
        <w:trPr>
          <w:trHeight w:val="189"/>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2019</w:t>
            </w:r>
          </w:p>
        </w:tc>
        <w:tc>
          <w:tcPr>
            <w:tcW w:w="9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24,965,512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254,965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(186,482)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68,961</w:t>
            </w:r>
          </w:p>
        </w:tc>
      </w:tr>
      <w:tr>
        <w:trPr>
          <w:trHeight w:val="20"/>
        </w:trPr>
        <w:tc>
          <w:tcPr>
            <w:tcW w:w="5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060"/>
          </w:cols>
          <w:pgMar w:left="420" w:top="532"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260" w:type="dxa"/>
            <w:vAlign w:val="bottom"/>
            <w:gridSpan w:val="3"/>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6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20" w:type="dxa"/>
            <w:vAlign w:val="bottom"/>
          </w:tcPr>
          <w:p>
            <w:pPr>
              <w:spacing w:after="0"/>
              <w:rPr>
                <w:sz w:val="10"/>
                <w:szCs w:val="10"/>
                <w:color w:val="auto"/>
              </w:rPr>
            </w:pPr>
          </w:p>
        </w:tc>
        <w:tc>
          <w:tcPr>
            <w:tcW w:w="1260" w:type="dxa"/>
            <w:vAlign w:val="bottom"/>
            <w:gridSpan w:val="3"/>
          </w:tcPr>
          <w:p>
            <w:pPr>
              <w:jc w:val="center"/>
              <w:ind w:left="583"/>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vMerge w:val="restart"/>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060" w:type="dxa"/>
            <w:vAlign w:val="bottom"/>
            <w:tcBorders>
              <w:right w:val="single" w:sz="8" w:color="auto"/>
            </w:tcBorders>
            <w:gridSpan w:val="5"/>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30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restart"/>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3"/>
                <w:szCs w:val="3"/>
                <w:color w:val="auto"/>
              </w:rPr>
            </w:pPr>
          </w:p>
        </w:tc>
        <w:tc>
          <w:tcPr>
            <w:tcW w:w="1020" w:type="dxa"/>
            <w:vAlign w:val="bottom"/>
            <w:gridSpan w:val="2"/>
            <w:vMerge w:val="restart"/>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3"/>
                <w:szCs w:val="3"/>
                <w:color w:val="auto"/>
              </w:rPr>
            </w:pPr>
          </w:p>
        </w:tc>
        <w:tc>
          <w:tcPr>
            <w:tcW w:w="900" w:type="dxa"/>
            <w:vAlign w:val="bottom"/>
            <w:gridSpan w:val="2"/>
            <w:vMerge w:val="restart"/>
          </w:tcPr>
          <w:p>
            <w:pPr>
              <w:jc w:val="center"/>
              <w:ind w:right="200"/>
              <w:spacing w:after="0" w:line="89"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3"/>
                <w:szCs w:val="3"/>
                <w:color w:val="auto"/>
              </w:rPr>
            </w:pPr>
          </w:p>
        </w:tc>
        <w:tc>
          <w:tcPr>
            <w:tcW w:w="780" w:type="dxa"/>
            <w:vAlign w:val="bottom"/>
            <w:vMerge w:val="restart"/>
          </w:tcPr>
          <w:p>
            <w:pPr>
              <w:jc w:val="center"/>
              <w:ind w:right="23"/>
              <w:spacing w:after="0" w:line="89"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02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5"/>
                <w:szCs w:val="15"/>
                <w:color w:val="auto"/>
              </w:rPr>
            </w:pPr>
          </w:p>
        </w:tc>
        <w:tc>
          <w:tcPr>
            <w:tcW w:w="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0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2017</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11,871,578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118,548</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3,603,140</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9,943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(139,724)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(129,378)</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4,207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391</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(4,201)</w:t>
            </w:r>
          </w:p>
        </w:tc>
        <w:tc>
          <w:tcPr>
            <w:tcW w:w="0" w:type="dxa"/>
            <w:vAlign w:val="bottom"/>
          </w:tcPr>
          <w:p>
            <w:pPr>
              <w:spacing w:after="0"/>
              <w:rPr>
                <w:sz w:val="1"/>
                <w:szCs w:val="1"/>
                <w:color w:val="auto"/>
              </w:rPr>
            </w:pPr>
          </w:p>
        </w:tc>
      </w:tr>
      <w:tr>
        <w:trPr>
          <w:trHeight w:val="20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2018</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11,871,578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118,548</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3,607,347</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10,372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381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(143,925)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(133,171)</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44,195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exercises of unvested stock</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80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55,726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10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(3,147)</w:t>
            </w:r>
          </w:p>
        </w:tc>
        <w:tc>
          <w:tcPr>
            <w:tcW w:w="0" w:type="dxa"/>
            <w:vAlign w:val="bottom"/>
          </w:tcPr>
          <w:p>
            <w:pPr>
              <w:spacing w:after="0"/>
              <w:rPr>
                <w:sz w:val="1"/>
                <w:szCs w:val="1"/>
                <w:color w:val="auto"/>
              </w:rPr>
            </w:pP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2018</w:t>
            </w:r>
          </w:p>
        </w:tc>
        <w:tc>
          <w:tcPr>
            <w:tcW w:w="9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11,871,578</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118,548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3,707,268</w:t>
            </w: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10,933</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435</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(147,072)</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(135,703)</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205,639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707</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327</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(4,792)</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2018</w:t>
            </w: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11,871,578</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118,548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3,912,907</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12,003</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431</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(151,864)</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(139,429)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100"/>
          </w:cols>
          <w:pgMar w:left="400" w:top="867"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ectPr>
          <w:pgSz w:w="11900" w:h="16838" w:orient="portrait"/>
          <w:cols w:equalWidth="0" w:num="1">
            <w:col w:w="10200"/>
          </w:cols>
          <w:pgMar w:left="860" w:top="84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6487160" cy="143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7160" cy="14351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Accretion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Amortization of debt issuance costs</w:t>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Change in fair value of 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871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Loss on sale and disposal of property and equipment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Accrued liabilities and other</w:t>
      </w:r>
    </w:p>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Purchases of marketable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4871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7160" cy="137160"/>
                    </a:xfrm>
                    <a:prstGeom prst="rect">
                      <a:avLst/>
                    </a:prstGeom>
                    <a:noFill/>
                  </pic:spPr>
                </pic:pic>
              </a:graphicData>
            </a:graphic>
          </wp:anchor>
        </w:drawing>
      </w:r>
    </w:p>
    <w:p>
      <w:pPr>
        <w:spacing w:after="0" w:line="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7449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400"/>
        </w:trPr>
        <w:tc>
          <w:tcPr>
            <w:tcW w:w="34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(29,305)</w:t>
            </w:r>
          </w:p>
        </w:tc>
        <w:tc>
          <w:tcPr>
            <w:tcW w:w="100" w:type="dxa"/>
            <w:vAlign w:val="bottom"/>
          </w:tcPr>
          <w:p>
            <w:pPr>
              <w:spacing w:after="0"/>
              <w:rPr>
                <w:sz w:val="24"/>
                <w:szCs w:val="24"/>
                <w:color w:val="auto"/>
              </w:rPr>
            </w:pP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(12,140)</w:t>
            </w:r>
          </w:p>
        </w:tc>
      </w:tr>
      <w:tr>
        <w:trPr>
          <w:trHeight w:val="431"/>
        </w:trPr>
        <w:tc>
          <w:tcPr>
            <w:tcW w:w="34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5,596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1,081</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536</w:t>
            </w:r>
          </w:p>
        </w:tc>
      </w:tr>
      <w:tr>
        <w:trPr>
          <w:trHeight w:val="216"/>
        </w:trPr>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194</w:t>
            </w:r>
          </w:p>
        </w:tc>
      </w:tr>
      <w:tr>
        <w:trPr>
          <w:trHeight w:val="216"/>
        </w:trPr>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681</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95</w:t>
            </w:r>
          </w:p>
        </w:tc>
      </w:tr>
      <w:tr>
        <w:trPr>
          <w:trHeight w:val="431"/>
        </w:trPr>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354</w:t>
            </w:r>
          </w:p>
        </w:tc>
      </w:tr>
      <w:tr>
        <w:trPr>
          <w:trHeight w:val="216"/>
        </w:trPr>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495</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216"/>
        </w:trPr>
        <w:tc>
          <w:tcPr>
            <w:tcW w:w="3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1,844</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9"/>
        </w:trPr>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(8,202)</w:t>
            </w:r>
          </w:p>
        </w:tc>
      </w:tr>
      <w:tr>
        <w:trPr>
          <w:trHeight w:val="431"/>
        </w:trPr>
        <w:tc>
          <w:tcPr>
            <w:tcW w:w="34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117,100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9"/>
        </w:trPr>
        <w:tc>
          <w:tcPr>
            <w:tcW w:w="34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7,916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sectPr>
          <w:pgSz w:w="11900" w:h="16838" w:orient="portrait"/>
          <w:cols w:equalWidth="0" w:num="2">
            <w:col w:w="6740" w:space="720"/>
            <w:col w:w="2740"/>
          </w:cols>
          <w:pgMar w:left="860" w:top="845" w:right="8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the exercise of stock options</w:t>
            </w: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915</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common stock under employee stock purchase plan</w:t>
            </w:r>
          </w:p>
        </w:tc>
        <w:tc>
          <w:tcPr>
            <w:tcW w:w="460" w:type="dxa"/>
            <w:vAlign w:val="bottom"/>
          </w:tcPr>
          <w:p>
            <w:pPr>
              <w:spacing w:after="0"/>
              <w:rPr>
                <w:sz w:val="16"/>
                <w:szCs w:val="16"/>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7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unvested early exercised stock options</w:t>
            </w: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Payments of public offering costs</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27"/>
        </w:trPr>
        <w:tc>
          <w:tcPr>
            <w:tcW w:w="7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7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2,236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627</w:t>
            </w: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27"/>
        </w:trPr>
        <w:tc>
          <w:tcPr>
            <w:tcW w:w="7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7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(8,404)</w:t>
            </w:r>
          </w:p>
        </w:tc>
      </w:tr>
      <w:tr>
        <w:trPr>
          <w:trHeight w:val="17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7"/>
        </w:trPr>
        <w:tc>
          <w:tcPr>
            <w:tcW w:w="7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w:t>
            </w: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25,120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22,408</w:t>
            </w: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End of period</w:t>
            </w:r>
          </w:p>
        </w:tc>
        <w:tc>
          <w:tcPr>
            <w:tcW w:w="4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12,614</w:t>
            </w: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14,004</w:t>
            </w:r>
          </w:p>
        </w:tc>
      </w:tr>
      <w:tr>
        <w:trPr>
          <w:trHeight w:val="67"/>
        </w:trPr>
        <w:tc>
          <w:tcPr>
            <w:tcW w:w="74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42"/>
        </w:trPr>
        <w:tc>
          <w:tcPr>
            <w:tcW w:w="7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17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information</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7"/>
        </w:trPr>
        <w:tc>
          <w:tcPr>
            <w:tcW w:w="7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64</w:t>
            </w: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liabilities</w:t>
            </w: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6"/>
                <w:szCs w:val="16"/>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35</w:t>
            </w:r>
          </w:p>
        </w:tc>
      </w:tr>
      <w:tr>
        <w:trPr>
          <w:trHeight w:val="27"/>
        </w:trPr>
        <w:tc>
          <w:tcPr>
            <w:tcW w:w="7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offering costs included in accounts payable</w:t>
            </w: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865</w:t>
            </w:r>
          </w:p>
        </w:tc>
      </w:tr>
      <w:tr>
        <w:trPr>
          <w:trHeight w:val="27"/>
        </w:trPr>
        <w:tc>
          <w:tcPr>
            <w:tcW w:w="7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200"/>
          </w:cols>
          <w:pgMar w:left="860" w:top="845" w:right="8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The Company and Nature of Business</w:t>
      </w:r>
    </w:p>
    <w:p>
      <w:pPr>
        <w:spacing w:after="0" w:line="100"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United States, in 2010 in certain countries in the European Union, and in 2015 in certain countries in the rest of the world.</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condensed consolidated financial statements have been adjusted to reflect this reverse stock split for all periods presented.</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$113.4 million to the Company, net of underwriting discounts and commissions and offering costs. Upon the closing of the IPO,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in additional paid-in-capital.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45"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2018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2019 are not necessarily indicative of the results to be expected for the year ending December 31, 2019 or for any other interim period or for any other future year.</w:t>
      </w:r>
    </w:p>
    <w:p>
      <w:pPr>
        <w:spacing w:after="0" w:line="166"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should be read in conjunction with the audited financial statements and related notes thereto for the year ended December 31, 2018 contained in the Company’s Annual Report on Form 10-K filed with the SEC on March 14, 2019.</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5" w:lineRule="exact"/>
        <w:rPr>
          <w:sz w:val="20"/>
          <w:szCs w:val="20"/>
          <w:color w:val="auto"/>
        </w:rPr>
      </w:pPr>
    </w:p>
    <w:p>
      <w:pPr>
        <w:jc w:val="both"/>
        <w:ind w:firstLine="356"/>
        <w:spacing w:after="0" w:line="26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123" w:right="2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8"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The Company’s significant accounting policies are disclosed in the Company’s Annual Report on Form 10-K for the year ended December 31, 2018. There have been no material changes to these accounting policies.</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JOBS Act Accounting Election</w:t>
      </w:r>
    </w:p>
    <w:p>
      <w:pPr>
        <w:spacing w:after="0" w:line="145"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14"/>
          <w:szCs w:val="14"/>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for five years following the completion of the IPO, unless one of the following occurs: (i) if the Company's total annual gross revenues are $1.07 billion or more; or (ii) the Company has issued more than $1.0 billion in non-convertible debt in the past three years; or (iii) the Company becomes a "large accelerated filer," as defined in Rule 12b-2 of the Exchange Act.</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The chief operating decision makers for the Company are the Chief Executive Officer ("CEO") and Chief Operating Officer &amp; Chief Financial Officer ("COO/CFO"). The CEO and the COO/CFO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97"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 The table below summarizes the Company's revenue by geography:</w:t>
      </w: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4"/>
                <w:szCs w:val="14"/>
                <w:color w:val="auto"/>
              </w:rPr>
            </w:pPr>
          </w:p>
        </w:tc>
        <w:tc>
          <w:tcPr>
            <w:tcW w:w="2060" w:type="dxa"/>
            <w:vAlign w:val="bottom"/>
            <w:gridSpan w:val="4"/>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7"/>
        </w:trPr>
        <w:tc>
          <w:tcPr>
            <w:tcW w:w="5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0"/>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5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9"/>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14,856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12,216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43,325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35,672</w:t>
            </w: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4,084</w:t>
            </w:r>
          </w:p>
        </w:tc>
      </w:tr>
      <w:tr>
        <w:trPr>
          <w:trHeight w:val="23"/>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1"/>
        </w:trPr>
        <w:tc>
          <w:tcPr>
            <w:tcW w:w="5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16,182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13,381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47,490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39,756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220"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36"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 Risks and Uncertainties</w:t>
      </w:r>
    </w:p>
    <w:p>
      <w:pPr>
        <w:spacing w:after="0" w:line="220"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Company is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123" w:right="2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7" w:lineRule="exact"/>
        <w:rPr>
          <w:sz w:val="20"/>
          <w:szCs w:val="20"/>
          <w:color w:val="auto"/>
        </w:rPr>
      </w:pPr>
    </w:p>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3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Effective</w:t>
      </w:r>
    </w:p>
    <w:p>
      <w:pPr>
        <w:spacing w:after="0" w:line="220" w:lineRule="exact"/>
        <w:rPr>
          <w:sz w:val="20"/>
          <w:szCs w:val="20"/>
          <w:color w:val="auto"/>
        </w:rPr>
      </w:pPr>
    </w:p>
    <w:p>
      <w:pPr>
        <w:jc w:val="both"/>
        <w:ind w:firstLine="323"/>
        <w:spacing w:after="0" w:line="262" w:lineRule="auto"/>
        <w:rPr>
          <w:sz w:val="20"/>
          <w:szCs w:val="20"/>
          <w:color w:val="auto"/>
        </w:rPr>
      </w:pPr>
      <w:r>
        <w:rPr>
          <w:rFonts w:ascii="Times New Roman" w:cs="Times New Roman" w:eastAsia="Times New Roman" w:hAnsi="Times New Roman"/>
          <w:sz w:val="14"/>
          <w:szCs w:val="14"/>
          <w:color w:val="auto"/>
        </w:rPr>
        <w:t>In May 2014, the Financial Accounting Standards Board (“FASB”) issued Accounting Standards Update (“ASU”) 2014-09, Revenue from Contracts with Customers, which requires an entity to recognize the amount of revenue to which it expects to be entitled for the transfer of promised goods or services to customers.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which clarifies the implementation guidance on principal versus agent considerations. In April 2016, the FASB issued ASU 2016-10, which clarifies certain aspects of identifying performance obligations and licensing implementation guidance. In May 2016, the FASB issued ASU 2016-12, which relates to disclosures of remaining performance obligations, as well as other amendments to guidance on collectability, non-cash consideration and the presentation of sales and other similar taxes collected from customers. In November 2018, the FASB issued ASU 2018-18</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clarifies when transactions between participants in a collaborative arrangement are within the scope of the FASB’s revenue standard, Topic 606.</w:t>
      </w:r>
    </w:p>
    <w:p>
      <w:pPr>
        <w:spacing w:after="0" w:line="146" w:lineRule="exact"/>
        <w:rPr>
          <w:sz w:val="20"/>
          <w:szCs w:val="20"/>
          <w:color w:val="auto"/>
        </w:rPr>
      </w:pPr>
    </w:p>
    <w:p>
      <w:pPr>
        <w:jc w:val="both"/>
        <w:ind w:firstLine="323"/>
        <w:spacing w:after="0" w:line="261" w:lineRule="auto"/>
        <w:rPr>
          <w:sz w:val="20"/>
          <w:szCs w:val="20"/>
          <w:color w:val="auto"/>
        </w:rPr>
      </w:pPr>
      <w:r>
        <w:rPr>
          <w:rFonts w:ascii="Times New Roman" w:cs="Times New Roman" w:eastAsia="Times New Roman" w:hAnsi="Times New Roman"/>
          <w:sz w:val="14"/>
          <w:szCs w:val="14"/>
          <w:color w:val="auto"/>
        </w:rPr>
        <w:t>The Company will adopt this standard using the modified retrospective method effective for the year ending December 31, 2019, which will be first presented on the Company's Annual Report on Form 10-K for the year ended December 31, 2019. As an emerging growth company that elected to take advantage of the JOBS Act accounting election, the Company is not required to adopt the new revenue standard in the interim reporting periods for the year ending December 31, 2019, but rather for the fiscal year ending December 31, 2019 and then in the interim periods following the year of adoption. The Company also is not required, and intends not, to revise its 2019 interim periods which were and will be reported under ASC 605 in its fiscal year 2020 interim financial reporting. The Company is finalizing its assessment of the impact of adopting this new standard on its accounting policies and processes. As it relates to product sales where the Company's sales representative delivers the product at the point of implantation at hospital or other medical facilities, which represents majority of the Company's revenue, the Company expects to continue to recognize the revenue upon completion of the procedure and authorization by the customer. As it relates to sale of products through distributors and hospitals where product is ordered in advance of the procedure, the Company expects to continue to recognize the revenue upon shipments to the customers. Additionally, the new standard requires the capitalization of costs to obtain a contract, primarily sales commissions, and amortization of these costs over the contract period or estimated customer life. The Company expects to continue expensing all sales commissions as incurred.</w:t>
      </w:r>
    </w:p>
    <w:p>
      <w:pPr>
        <w:spacing w:after="0" w:line="149" w:lineRule="exact"/>
        <w:rPr>
          <w:sz w:val="20"/>
          <w:szCs w:val="20"/>
          <w:color w:val="auto"/>
        </w:rPr>
      </w:pPr>
    </w:p>
    <w:p>
      <w:pPr>
        <w:jc w:val="both"/>
        <w:ind w:firstLine="323"/>
        <w:spacing w:after="0" w:line="261" w:lineRule="auto"/>
        <w:rPr>
          <w:sz w:val="20"/>
          <w:szCs w:val="20"/>
          <w:color w:val="auto"/>
        </w:rPr>
      </w:pPr>
      <w:r>
        <w:rPr>
          <w:rFonts w:ascii="Times New Roman" w:cs="Times New Roman" w:eastAsia="Times New Roman" w:hAnsi="Times New Roman"/>
          <w:sz w:val="14"/>
          <w:szCs w:val="14"/>
          <w:color w:val="auto"/>
        </w:rPr>
        <w:t>In February 2016, the FASB issued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guidance is effective for fiscal years, and for interim periods within those fiscal years, beginning after December 15, 2018 for public companies and effective for fiscal years beginning after December 15, 2019 and interim periods within fiscal years beginning after December 15, 2020 for private companies. Early adoption is permitted for any interim or annual financial statements not yet issued. The new leases standard must be adopted using a modified retrospective transition method and allows for the application of the new guidance at the beginning of the earliest comparative period presented or at the adoption date. The Company is currently evaluating the impact of this standard on its consolidated financial statements and anticipates adopting the standard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123" w:right="2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7"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4"/>
          <w:szCs w:val="14"/>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currently evaluating the impact that the adoption of this standard will have on the consolidated financial statements, and anticipates adopting the standard for the fiscal year ending December 31, 2020.</w:t>
      </w:r>
    </w:p>
    <w:p>
      <w:pPr>
        <w:spacing w:after="0" w:line="144" w:lineRule="exact"/>
        <w:rPr>
          <w:sz w:val="20"/>
          <w:szCs w:val="20"/>
          <w:color w:val="auto"/>
        </w:rPr>
      </w:pPr>
    </w:p>
    <w:p>
      <w:pPr>
        <w:jc w:val="both"/>
        <w:ind w:firstLine="323"/>
        <w:spacing w:after="0" w:line="266" w:lineRule="auto"/>
        <w:rPr>
          <w:sz w:val="20"/>
          <w:szCs w:val="20"/>
          <w:color w:val="auto"/>
        </w:rPr>
      </w:pPr>
      <w:r>
        <w:rPr>
          <w:rFonts w:ascii="Times New Roman" w:cs="Times New Roman" w:eastAsia="Times New Roman" w:hAnsi="Times New Roman"/>
          <w:sz w:val="14"/>
          <w:szCs w:val="14"/>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ASU is effective for fiscal years beginning after December 15, 2019, including interim periods within that fiscal year, with early adoption permitted to adopt either the entire standard or only the provisions that eliminate or modify the requirements. The Company is currently evaluating the impact that the adoption of this standard will have on the consolidated financial statements, and anticipates adopting the standard for the fiscal year ending December 31, 2020.</w:t>
      </w:r>
    </w:p>
    <w:p>
      <w:pPr>
        <w:spacing w:after="0" w:line="14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4"/>
          <w:szCs w:val="14"/>
          <w:color w:val="auto"/>
        </w:rPr>
        <w:t>In June 2016, the FASB issued ASU 2016-13, Financial Instruments-Credit Losses (Topic 326): Measurement of Credit Losses on Financial Instruments.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The amendments to this update are effective for fiscal years beginning after December 15, 2019, including interim periods within those fiscal years for public companies and are effective for fiscal years beginning after December 15, 2020, including interim periods within those fiscal years for private companies. The Company is currently evaluating the impact of this standard on its consolidated financial statements, but do not expect the standard will have a material impact on our consolidated financial statements.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220" w:lineRule="exact"/>
        <w:rPr>
          <w:sz w:val="20"/>
          <w:szCs w:val="20"/>
          <w:color w:val="auto"/>
        </w:rPr>
      </w:pPr>
    </w:p>
    <w:p>
      <w:pPr>
        <w:jc w:val="both"/>
        <w:ind w:firstLine="323"/>
        <w:spacing w:after="0" w:line="266" w:lineRule="auto"/>
        <w:rPr>
          <w:sz w:val="20"/>
          <w:szCs w:val="20"/>
          <w:color w:val="auto"/>
        </w:rPr>
      </w:pPr>
      <w:r>
        <w:rPr>
          <w:rFonts w:ascii="Times New Roman" w:cs="Times New Roman" w:eastAsia="Times New Roman" w:hAnsi="Times New Roman"/>
          <w:sz w:val="14"/>
          <w:szCs w:val="14"/>
          <w:color w:val="auto"/>
        </w:rPr>
        <w:t>In July 2019, the FASB issued ASU 2019-07, Codification Updates to SEC Sections - Amendments to SEC Paragraphs Pursuant to SEC Final Rule Releases No. 33-10532, Disclosure Update and Simplification, and Nos. 33-10231 and 33-10442, Investment Company Reporting Modernization, and Miscellaneous Updates. This update clarifies or improves the disclosure and presentation requirements of a variety of codification topics by aligning them with the SEC’s regulations, thereby eliminating redundancies and making the codification easier to apply. This update is effective upon issuance. The Company does not expect the disclosure and presentation amendments included in this update, which are to be applied prospectively, to have a material impact on its consolidated financial statements and related disclosures.</w:t>
      </w:r>
    </w:p>
    <w:p>
      <w:pPr>
        <w:spacing w:after="0" w:line="142" w:lineRule="exact"/>
        <w:rPr>
          <w:sz w:val="20"/>
          <w:szCs w:val="20"/>
          <w:color w:val="auto"/>
        </w:rPr>
      </w:pPr>
    </w:p>
    <w:p>
      <w:pPr>
        <w:jc w:val="both"/>
        <w:ind w:firstLine="323"/>
        <w:spacing w:after="0" w:line="269" w:lineRule="auto"/>
        <w:rPr>
          <w:sz w:val="20"/>
          <w:szCs w:val="20"/>
          <w:color w:val="auto"/>
        </w:rPr>
      </w:pPr>
      <w:r>
        <w:rPr>
          <w:rFonts w:ascii="Times New Roman" w:cs="Times New Roman" w:eastAsia="Times New Roman" w:hAnsi="Times New Roman"/>
          <w:sz w:val="14"/>
          <w:szCs w:val="14"/>
          <w:color w:val="auto"/>
        </w:rPr>
        <w:t>In February 2018, the FASB issued ASU 2018-02, Income Statement-Reporting Comprehensive Income (Topic 220). This update provides companies with the option to reclassify stranded tax effects caused by the 2017 Tax Cuts and Jobs Act from accumulated other comprehensive income to retained earnings. This standard is effective for all entities for fiscal years, and interim periods within those fiscal years, beginning after December 15, 2018. Early adoption is permitted. The Company has adopted this standard effective January 1, 2019, and the adoption did not have any material impact on the Company’s consolidated financial statements.</w:t>
      </w:r>
    </w:p>
    <w:p>
      <w:pPr>
        <w:spacing w:after="0" w:line="140" w:lineRule="exact"/>
        <w:rPr>
          <w:sz w:val="20"/>
          <w:szCs w:val="20"/>
          <w:color w:val="auto"/>
        </w:rPr>
      </w:pPr>
    </w:p>
    <w:p>
      <w:pPr>
        <w:jc w:val="both"/>
        <w:ind w:firstLine="323"/>
        <w:spacing w:after="0" w:line="262" w:lineRule="auto"/>
        <w:rPr>
          <w:sz w:val="20"/>
          <w:szCs w:val="20"/>
          <w:color w:val="auto"/>
        </w:rPr>
      </w:pPr>
      <w:r>
        <w:rPr>
          <w:rFonts w:ascii="Times New Roman" w:cs="Times New Roman" w:eastAsia="Times New Roman" w:hAnsi="Times New Roman"/>
          <w:sz w:val="14"/>
          <w:szCs w:val="14"/>
          <w:color w:val="auto"/>
        </w:rPr>
        <w:t>In August 2016, the FASB issued ASU 2016-15, Statement of Cash Flows (Topic 230), which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jc w:val="both"/>
        <w:ind w:firstLine="6"/>
        <w:spacing w:after="0" w:line="265" w:lineRule="auto"/>
        <w:tabs>
          <w:tab w:leader="none" w:pos="20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separately identifiable cash flows and application of the predominance principle. This update is effective for reporting periods beginning after December 15, 2017 for public companies, and fiscal years beginning after December 15, 2018 and interim periods within fiscal years beginning after December 15, 2019 for private companies, with early adoption permitted. The Company has adopted this standard effective January 1, 2019, and the adoption did not have any material impact on the Company’s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3" w:right="2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Marketable Securities</w:t>
      </w:r>
    </w:p>
    <w:p>
      <w:pPr>
        <w:spacing w:after="0" w:line="186" w:lineRule="exact"/>
        <w:rPr>
          <w:sz w:val="20"/>
          <w:szCs w:val="20"/>
          <w:color w:val="auto"/>
        </w:rPr>
      </w:pPr>
    </w:p>
    <w:p>
      <w:pPr>
        <w:jc w:val="both"/>
        <w:ind w:firstLine="388"/>
        <w:spacing w:after="0" w:line="275" w:lineRule="auto"/>
        <w:rPr>
          <w:sz w:val="20"/>
          <w:szCs w:val="20"/>
          <w:color w:val="auto"/>
        </w:rPr>
      </w:pPr>
      <w:r>
        <w:rPr>
          <w:rFonts w:ascii="Times New Roman" w:cs="Times New Roman" w:eastAsia="Times New Roman" w:hAnsi="Times New Roman"/>
          <w:sz w:val="14"/>
          <w:szCs w:val="14"/>
          <w:color w:val="auto"/>
        </w:rPr>
        <w:t>All of the Company's marketable securities were available-for-sale and were classified based on their maturities. Marketable securities with remaining maturities at the date of purchase of three months or less are classified as cash equivalents. Short term investments are securities that original maturity or remaining maturity is greater than three months and not more than twelve months. Long-term investments are securities that original maturity or remaining maturity is greater than twelve months.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table below summarizes the marketable securities as of September 30, 2019 and December 31, 2018:</w:t>
      </w:r>
    </w:p>
    <w:p>
      <w:pPr>
        <w:spacing w:after="0" w:line="154"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
        </w:trPr>
        <w:tc>
          <w:tcPr>
            <w:tcW w:w="3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180"/>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Unrealized Losses</w:t>
            </w:r>
          </w:p>
        </w:tc>
        <w:tc>
          <w:tcPr>
            <w:tcW w:w="100" w:type="dxa"/>
            <w:vAlign w:val="bottom"/>
          </w:tcPr>
          <w:p>
            <w:pPr>
              <w:spacing w:after="0"/>
              <w:rPr>
                <w:sz w:val="15"/>
                <w:szCs w:val="15"/>
                <w:color w:val="auto"/>
              </w:rPr>
            </w:pPr>
          </w:p>
        </w:tc>
        <w:tc>
          <w:tcPr>
            <w:tcW w:w="138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Aggregate Fair Value</w:t>
            </w:r>
          </w:p>
        </w:tc>
      </w:tr>
      <w:tr>
        <w:trPr>
          <w:trHeight w:val="27"/>
        </w:trPr>
        <w:tc>
          <w:tcPr>
            <w:tcW w:w="3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tcPr>
          <w:p>
            <w:pPr>
              <w:jc w:val="right"/>
              <w:ind w:right="12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8,956</w:t>
            </w:r>
          </w:p>
        </w:tc>
      </w:tr>
      <w:tr>
        <w:trPr>
          <w:trHeight w:val="184"/>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equivalents</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8,956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8,956</w:t>
            </w:r>
          </w:p>
        </w:tc>
      </w:tr>
      <w:tr>
        <w:trPr>
          <w:trHeight w:val="23"/>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74,881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74,910</w:t>
            </w: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8,699</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6"/>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83,574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83,609</w:t>
            </w:r>
          </w:p>
        </w:tc>
      </w:tr>
      <w:tr>
        <w:trPr>
          <w:trHeight w:val="42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5,273</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6"/>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investments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5,273</w:t>
            </w:r>
          </w:p>
        </w:tc>
      </w:tr>
      <w:tr>
        <w:trPr>
          <w:trHeight w:val="20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97,781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97,838</w:t>
            </w: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72"/>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6"/>
              </w:rPr>
              <w:t>Aggregate Fair Value</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1,000</w:t>
            </w: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6,635</w:t>
            </w:r>
          </w:p>
        </w:tc>
      </w:tr>
      <w:tr>
        <w:trPr>
          <w:trHeight w:val="23"/>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15,223</w:t>
            </w:r>
          </w:p>
        </w:tc>
      </w:tr>
      <w:tr>
        <w:trPr>
          <w:trHeight w:val="184"/>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equivalents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22,858</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22,858</w:t>
            </w:r>
          </w:p>
        </w:tc>
      </w:tr>
      <w:tr>
        <w:trPr>
          <w:trHeight w:val="23"/>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65,489</w:t>
            </w: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19,720</w:t>
            </w:r>
          </w:p>
        </w:tc>
      </w:tr>
      <w:tr>
        <w:trPr>
          <w:trHeight w:val="23"/>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11,894</w:t>
            </w:r>
          </w:p>
        </w:tc>
      </w:tr>
      <w:tr>
        <w:trPr>
          <w:trHeight w:val="184"/>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97,093</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97,103</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119,951</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119,961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firstLine="259"/>
        <w:spacing w:after="0" w:line="294" w:lineRule="auto"/>
        <w:rPr>
          <w:sz w:val="20"/>
          <w:szCs w:val="20"/>
          <w:color w:val="auto"/>
        </w:rPr>
      </w:pPr>
      <w:r>
        <w:rPr>
          <w:rFonts w:ascii="Times New Roman" w:cs="Times New Roman" w:eastAsia="Times New Roman" w:hAnsi="Times New Roman"/>
          <w:sz w:val="14"/>
          <w:szCs w:val="14"/>
          <w:color w:val="auto"/>
        </w:rPr>
        <w:t>The maturities of the long-term investments outstanding as of September 30, 2019 range from 13 to 14 months. Unrealized gains and losses on marketable securities are recorded in accumulated other comprehensive loss.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60"/>
          </w:cols>
          <w:pgMar w:left="220" w:top="123" w:right="2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w:t>
      </w:r>
    </w:p>
    <w:p>
      <w:pPr>
        <w:spacing w:after="0" w:line="186" w:lineRule="exact"/>
        <w:rPr>
          <w:sz w:val="20"/>
          <w:szCs w:val="20"/>
          <w:color w:val="auto"/>
        </w:rPr>
      </w:pPr>
    </w:p>
    <w:p>
      <w:pPr>
        <w:jc w:val="both"/>
        <w:ind w:firstLine="356"/>
        <w:spacing w:after="0" w:line="273" w:lineRule="auto"/>
        <w:rPr>
          <w:sz w:val="20"/>
          <w:szCs w:val="20"/>
          <w:color w:val="auto"/>
        </w:rPr>
      </w:pPr>
      <w:r>
        <w:rPr>
          <w:rFonts w:ascii="Times New Roman" w:cs="Times New Roman" w:eastAsia="Times New Roman" w:hAnsi="Times New Roman"/>
          <w:sz w:val="14"/>
          <w:szCs w:val="14"/>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3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summarizes the fair value of the Company’s marketable securities measured at fair value on a recurring basis based on the three-tier fair value hierarchy: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September 30, 2019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860" w:type="dxa"/>
            <w:vAlign w:val="bottom"/>
            <w:gridSpan w:val="3"/>
          </w:tcPr>
          <w:p>
            <w:pPr>
              <w:ind w:left="140"/>
              <w:spacing w:after="0" w:line="215" w:lineRule="exact"/>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8,956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8,956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5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74,910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74,910</w:t>
            </w: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13,972</w:t>
            </w: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83,866</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97,838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860" w:type="dxa"/>
            <w:vAlign w:val="bottom"/>
            <w:gridSpan w:val="3"/>
          </w:tcPr>
          <w:p>
            <w:pPr>
              <w:ind w:left="140"/>
              <w:spacing w:after="0" w:line="215" w:lineRule="exact"/>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15,223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15,223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5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66,489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66,489</w:t>
            </w: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19,720</w:t>
            </w: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5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paper</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18,529</w:t>
            </w:r>
          </w:p>
        </w:tc>
        <w:tc>
          <w:tcPr>
            <w:tcW w:w="0" w:type="dxa"/>
            <w:vAlign w:val="bottom"/>
          </w:tcPr>
          <w:p>
            <w:pPr>
              <w:spacing w:after="0"/>
              <w:rPr>
                <w:sz w:val="1"/>
                <w:szCs w:val="1"/>
                <w:color w:val="auto"/>
              </w:rPr>
            </w:pPr>
          </w:p>
        </w:tc>
      </w:tr>
      <w:tr>
        <w:trPr>
          <w:trHeight w:val="197"/>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81,712</w:t>
            </w:r>
          </w:p>
        </w:tc>
        <w:tc>
          <w:tcPr>
            <w:tcW w:w="12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38,249</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119,961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the condensed consolidated balance sheets.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Borders>
              <w:bottom w:val="single" w:sz="8" w:color="auto"/>
            </w:tcBorders>
            <w:gridSpan w:val="2"/>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[1] Included in cash and cash equivalents on</w:t>
            </w:r>
          </w:p>
        </w:tc>
        <w:tc>
          <w:tcPr>
            <w:tcW w:w="4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1"/>
        </w:trPr>
        <w:tc>
          <w:tcPr>
            <w:tcW w:w="6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4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64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As of September 30, 2019 and December 31, 2018, inventory consisted entirely of finished goods.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720" w:type="dxa"/>
            <w:vAlign w:val="bottom"/>
            <w:tcBorders>
              <w:bottom w:val="single" w:sz="8" w:color="CCEEFF"/>
            </w:tcBorders>
            <w:gridSpan w:val="3"/>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730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448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5,518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2,154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460" w:type="dxa"/>
            <w:vAlign w:val="bottom"/>
            <w:gridSpan w:val="4"/>
            <w:vMerge w:val="restart"/>
          </w:tcPr>
          <w:p>
            <w:pPr>
              <w:ind w:left="566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6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4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7"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Depreciation expense was $0.2 million and $0.2 million for the three months ended September 30, 2019 and 2018, respectively and $0.6 million and $0.5 million for the nine months ended September 30, 2019 and 2018, respectively.</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Accrued Liabilities and Other</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69"/>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160" w:type="dxa"/>
            <w:vAlign w:val="bottom"/>
          </w:tcPr>
          <w:p>
            <w:pPr>
              <w:spacing w:after="0"/>
              <w:rPr>
                <w:sz w:val="14"/>
                <w:szCs w:val="14"/>
                <w:color w:val="auto"/>
              </w:rPr>
            </w:pPr>
          </w:p>
        </w:tc>
        <w:tc>
          <w:tcPr>
            <w:tcW w:w="130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27"/>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69"/>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jc w:val="right"/>
              <w:ind w:right="1069"/>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5,425</w:t>
            </w: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litigation expense</w:t>
            </w:r>
          </w:p>
        </w:tc>
        <w:tc>
          <w:tcPr>
            <w:tcW w:w="180" w:type="dxa"/>
            <w:vAlign w:val="bottom"/>
          </w:tcPr>
          <w:p>
            <w:pPr>
              <w:spacing w:after="0"/>
              <w:rPr>
                <w:sz w:val="16"/>
                <w:szCs w:val="16"/>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583</w:t>
            </w: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tax payable</w:t>
            </w:r>
          </w:p>
        </w:tc>
        <w:tc>
          <w:tcPr>
            <w:tcW w:w="180" w:type="dxa"/>
            <w:vAlign w:val="bottom"/>
          </w:tcPr>
          <w:p>
            <w:pPr>
              <w:spacing w:after="0"/>
              <w:rPr>
                <w:sz w:val="16"/>
                <w:szCs w:val="16"/>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r>
      <w:tr>
        <w:trPr>
          <w:trHeight w:val="23"/>
        </w:trPr>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early exercise of unvested stock options</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331</w:t>
            </w:r>
          </w:p>
        </w:tc>
      </w:tr>
      <w:tr>
        <w:trPr>
          <w:trHeight w:val="19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180" w:type="dxa"/>
            <w:vAlign w:val="bottom"/>
          </w:tcPr>
          <w:p>
            <w:pPr>
              <w:spacing w:after="0"/>
              <w:rPr>
                <w:sz w:val="16"/>
                <w:szCs w:val="16"/>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133</w:t>
            </w:r>
          </w:p>
        </w:tc>
      </w:tr>
      <w:tr>
        <w:trPr>
          <w:trHeight w:val="23"/>
        </w:trPr>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6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10,211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6,860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360" w:right="9280" w:hanging="354"/>
        <w:spacing w:after="0" w:line="451" w:lineRule="auto"/>
        <w:tabs>
          <w:tab w:leader="none" w:pos="159"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b w:val="1"/>
          <w:bCs w:val="1"/>
          <w:i w:val="1"/>
          <w:iCs w:val="1"/>
          <w:color w:val="auto"/>
        </w:rPr>
        <w:t>Operating Leases</w:t>
      </w: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Company has an existing seven-year non-cancelable operating lease for an office building space in Santa Clara, California which commenced in April 2018. Also, the Company has non-cancelable operating leases for its office building space in Gallarate, Italy and Mannheim, Germany which both expire in November 2024. Further, the Company also leases vehicles under operating lease arrangements for certain of its sales personnel in Europe which expire various times in 2019 to 2022.</w:t>
      </w:r>
    </w:p>
    <w:p>
      <w:pPr>
        <w:spacing w:after="0" w:line="9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Rent expense is recorded over the lease terms on a straight-line basis. Rent expense charged to operations under operating leases was $0.3 million and $0.3 million for three months ended September 30, 2019 and 2018, respectively, and $0.9 million and $0.9 million for the nine months ended September 30, 2019 and 2018,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aggregate future minimum lease payments under all leases as of September 30, 2019:</w:t>
      </w:r>
    </w:p>
    <w:p>
      <w:pPr>
        <w:spacing w:after="0" w:line="268" w:lineRule="exact"/>
        <w:rPr>
          <w:sz w:val="20"/>
          <w:szCs w:val="20"/>
          <w:color w:val="auto"/>
        </w:rPr>
      </w:pPr>
    </w:p>
    <w:tbl>
      <w:tblPr>
        <w:tblLayout w:type="fixed"/>
        <w:tblInd w:w="2220" w:type="dxa"/>
        <w:tblCellMar>
          <w:top w:w="0" w:type="dxa"/>
          <w:left w:w="0" w:type="dxa"/>
          <w:bottom w:w="0" w:type="dxa"/>
          <w:right w:w="0" w:type="dxa"/>
        </w:tblCellMar>
      </w:tblPr>
      <w:tr>
        <w:trPr>
          <w:trHeight w:val="188"/>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3"/>
        </w:trPr>
        <w:tc>
          <w:tcPr>
            <w:tcW w:w="3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 (remaining three months)</w:t>
            </w:r>
          </w:p>
        </w:tc>
        <w:tc>
          <w:tcPr>
            <w:tcW w:w="2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23"/>
        </w:trPr>
        <w:tc>
          <w:tcPr>
            <w:tcW w:w="3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23"/>
        </w:trPr>
        <w:tc>
          <w:tcPr>
            <w:tcW w:w="3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93"/>
        </w:trPr>
        <w:tc>
          <w:tcPr>
            <w:tcW w:w="3460" w:type="dxa"/>
            <w:vAlign w:val="bottom"/>
          </w:tcPr>
          <w:p>
            <w:pPr>
              <w:spacing w:after="0"/>
              <w:rPr>
                <w:sz w:val="16"/>
                <w:szCs w:val="16"/>
                <w:color w:val="auto"/>
              </w:rPr>
            </w:pPr>
          </w:p>
        </w:tc>
        <w:tc>
          <w:tcPr>
            <w:tcW w:w="2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Thereafter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3"/>
        </w:trPr>
        <w:tc>
          <w:tcPr>
            <w:tcW w:w="34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346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 and Obligations</w:t>
      </w:r>
    </w:p>
    <w:p>
      <w:pPr>
        <w:spacing w:after="0" w:line="177"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The Company has certain purchase commitments related to inventory used in normal course of business. These commitments amounted to $0.3 million and $0.2 million as of September 30, 2019 and December 31, 2018, respectively. The amounts paid under these arrangements may be less in the event that the arrangement is renegotiated or canceled.</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From time to time, the Company may have certain contingent liabilities that arise in the ordinary course of business activities.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60"/>
          </w:cols>
          <w:pgMar w:left="220" w:top="123" w:right="2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8" w:lineRule="exact"/>
        <w:rPr>
          <w:sz w:val="20"/>
          <w:szCs w:val="20"/>
          <w:color w:val="auto"/>
        </w:rPr>
      </w:pPr>
    </w:p>
    <w:p>
      <w:pPr>
        <w:jc w:val="both"/>
        <w:ind w:firstLine="388"/>
        <w:spacing w:after="0" w:line="265" w:lineRule="auto"/>
        <w:rPr>
          <w:sz w:val="20"/>
          <w:szCs w:val="20"/>
          <w:color w:val="auto"/>
        </w:rPr>
      </w:pPr>
      <w:r>
        <w:rPr>
          <w:rFonts w:ascii="Times New Roman" w:cs="Times New Roman" w:eastAsia="Times New Roman" w:hAnsi="Times New Roman"/>
          <w:sz w:val="14"/>
          <w:szCs w:val="14"/>
          <w:color w:val="auto"/>
        </w:rPr>
        <w:t>On February 6, 2019, a putative class action captioned Eric B. Fromer Chiropractic, Inc. v. SI-BONE, Inc. (Civil Action No. 5:19-cv-633-SVK), was filed in the United States District Court, Northern District of California. The complaint alleges violations of the Telephone Consumer Protection Act (the “TCPA”) on behalf of an individual and putative classes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On August 5, 2019, the District Court denied the Company’s motion to dismiss the case. The Company believes that it has meritorious defenses and intends to continue to defend itself in the action.</w:t>
      </w:r>
    </w:p>
    <w:p>
      <w:pPr>
        <w:spacing w:after="0" w:line="318" w:lineRule="exact"/>
        <w:rPr>
          <w:sz w:val="20"/>
          <w:szCs w:val="20"/>
          <w:color w:val="auto"/>
        </w:rPr>
      </w:pPr>
    </w:p>
    <w:p>
      <w:pPr>
        <w:jc w:val="both"/>
        <w:ind w:firstLine="388"/>
        <w:spacing w:after="0" w:line="265" w:lineRule="auto"/>
        <w:rPr>
          <w:sz w:val="20"/>
          <w:szCs w:val="20"/>
          <w:color w:val="auto"/>
        </w:rPr>
      </w:pPr>
      <w:r>
        <w:rPr>
          <w:rFonts w:ascii="Times New Roman" w:cs="Times New Roman" w:eastAsia="Times New Roman" w:hAnsi="Times New Roman"/>
          <w:sz w:val="14"/>
          <w:szCs w:val="14"/>
          <w:color w:val="auto"/>
        </w:rPr>
        <w:t>Litigation of this kind is often resolved through mediation and settlement. If this lawsuit is resolved through a negotiated settlement, the Company believes that a loss associated with resolution of the pending claim is probable. The Company has accrued litigation expense of $2.5 million during the three months ended September 30, 2019 within general and administrative expenses in the condensed consolidated financial statements. The accrual reflects the estimable and probable costs that the Company may incur concerning the mediation activities and settlement negotiations between the Company and the named plaintiff. The Company continues to evaluate its defenses based on its internal review and investigation, new information and future circumstances. Final disposition of the lawsuit, whether through settlement or through trial, may result in a loss in excess of the aggregate recorded amount. However, a range of reasonably possible excess losses is not estimable at this time.</w:t>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97"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has not incurred costs to defend lawsuits or settle claims related to these indemnification agreements. No liability associated with such indemnifications has been recorded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Borrowings</w:t>
      </w:r>
    </w:p>
    <w:p>
      <w:pPr>
        <w:spacing w:after="0" w:line="143" w:lineRule="exact"/>
        <w:rPr>
          <w:sz w:val="20"/>
          <w:szCs w:val="20"/>
          <w:color w:val="auto"/>
        </w:rPr>
      </w:pPr>
    </w:p>
    <w:p>
      <w:pPr>
        <w:jc w:val="both"/>
        <w:ind w:firstLine="388"/>
        <w:spacing w:after="0" w:line="260" w:lineRule="auto"/>
        <w:rPr>
          <w:sz w:val="20"/>
          <w:szCs w:val="20"/>
          <w:color w:val="auto"/>
        </w:rPr>
      </w:pPr>
      <w:r>
        <w:rPr>
          <w:rFonts w:ascii="Times New Roman" w:cs="Times New Roman" w:eastAsia="Times New Roman" w:hAnsi="Times New Roman"/>
          <w:sz w:val="14"/>
          <w:szCs w:val="14"/>
          <w:color w:val="auto"/>
        </w:rPr>
        <w:t>The Company had $39.2 million and $39.0 million of outstanding debt, net of debt issuance costs, as of September 30, 2019 and December 31, 2018, respectively. The outstanding debt is related to a term loan entered by the Company with Biopharma Credit Investments IV Sub LP, or Pharmakon, in October 2017 for total loan proceeds of $40.0 million. The total debt issuance costs of $1.3 million were recorded as a direct deduction from the carrying amount of the term loan on the consolidated balance sheet, and are being amortized over the period of the term loan using the effective interest method to interest expense in the consolidated statement of operations. The term loan includes an interest-only period for 35 months through September 2020 and is then repaid in equal quarterly principal payments plus interest through December 2022, and is classified as long-term borrowings on the consolidated balance sheet. The term loan carries a fixed interest rate of 11.5% and a closing fee of 1.5% of the funded amount, or $0.6 million. The term loan includes a pre-payment fee equal to the remaining interest due for the first 30 months of the agreement if it is prepaid within the first 30 months, a 2% prepayment penalty for months 31-48, and a 1% penalty for months 49-60. The term loan requires the Company to maintain a minimum cash balance of $5.0 million and beginning with the three months ended March 31, 2019, the Company is required to meet either minimum net sales or trailing 12-month consolidated earnings before interest, taxes, depreciation, and amortization ("EBITDA") targets as discussed in detail in Note 7 of Notes to Consolidated Financial Statements in the Annual Report on Form 10-K filed with the SEC on March 14, 2019. The loan is a senior obligation secured with a blanket first lien on the assets of the Company. The effective interest rate for the three months ended September 30, 2019 and 2018 was 12.4% and for the nine months ended September 30, 2019 and 2018 was 12.3%. The Company was in compliance with all debt covenants as of September 30, 2019.</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123"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SI-BONE, INC.</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340" w:type="dxa"/>
            <w:vAlign w:val="bottom"/>
            <w:gridSpan w:val="1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7980" w:type="dxa"/>
            <w:vAlign w:val="bottom"/>
            <w:gridSpan w:val="13"/>
          </w:tcPr>
          <w:p>
            <w:pPr>
              <w:ind w:left="360"/>
              <w:spacing w:after="0"/>
              <w:rPr>
                <w:sz w:val="20"/>
                <w:szCs w:val="20"/>
                <w:color w:val="auto"/>
              </w:rPr>
            </w:pPr>
            <w:r>
              <w:rPr>
                <w:rFonts w:ascii="Times New Roman" w:cs="Times New Roman" w:eastAsia="Times New Roman" w:hAnsi="Times New Roman"/>
                <w:sz w:val="14"/>
                <w:szCs w:val="14"/>
                <w:color w:val="auto"/>
              </w:rPr>
              <w:t>The table below summarizes annual future minimum principal payments under the loan agreement as of September 30, 2019: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 (remaining three months)</w:t>
            </w: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7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2020</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4,444</w:t>
            </w:r>
          </w:p>
        </w:tc>
        <w:tc>
          <w:tcPr>
            <w:tcW w:w="0" w:type="dxa"/>
            <w:vAlign w:val="bottom"/>
          </w:tcPr>
          <w:p>
            <w:pPr>
              <w:spacing w:after="0"/>
              <w:rPr>
                <w:sz w:val="1"/>
                <w:szCs w:val="1"/>
                <w:color w:val="auto"/>
              </w:rPr>
            </w:pPr>
          </w:p>
        </w:tc>
      </w:tr>
      <w:tr>
        <w:trPr>
          <w:trHeight w:val="23"/>
        </w:trPr>
        <w:tc>
          <w:tcPr>
            <w:tcW w:w="1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17,778</w:t>
            </w:r>
          </w:p>
        </w:tc>
        <w:tc>
          <w:tcPr>
            <w:tcW w:w="0" w:type="dxa"/>
            <w:vAlign w:val="bottom"/>
          </w:tcPr>
          <w:p>
            <w:pPr>
              <w:spacing w:after="0"/>
              <w:rPr>
                <w:sz w:val="1"/>
                <w:szCs w:val="1"/>
                <w:color w:val="auto"/>
              </w:rPr>
            </w:pPr>
          </w:p>
        </w:tc>
      </w:tr>
      <w:tr>
        <w:trPr>
          <w:trHeight w:val="193"/>
        </w:trPr>
        <w:tc>
          <w:tcPr>
            <w:tcW w:w="17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2022</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17,778</w:t>
            </w: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4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Less: Amount representing debt issuance costs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7"/>
                <w:szCs w:val="17"/>
                <w:color w:val="auto"/>
              </w:rPr>
            </w:pPr>
          </w:p>
        </w:tc>
        <w:tc>
          <w:tcPr>
            <w:tcW w:w="2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borrowings</w:t>
            </w: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39,158</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Warrants</w:t>
            </w:r>
          </w:p>
        </w:tc>
        <w:tc>
          <w:tcPr>
            <w:tcW w:w="20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vMerge w:val="continue"/>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80" w:type="dxa"/>
            <w:vAlign w:val="bottom"/>
            <w:gridSpan w:val="13"/>
          </w:tcPr>
          <w:p>
            <w:pPr>
              <w:ind w:left="360"/>
              <w:spacing w:after="0"/>
              <w:rPr>
                <w:sz w:val="20"/>
                <w:szCs w:val="20"/>
                <w:color w:val="auto"/>
              </w:rPr>
            </w:pPr>
            <w:r>
              <w:rPr>
                <w:rFonts w:ascii="Times New Roman" w:cs="Times New Roman" w:eastAsia="Times New Roman" w:hAnsi="Times New Roman"/>
                <w:sz w:val="14"/>
                <w:szCs w:val="14"/>
                <w:color w:val="auto"/>
              </w:rPr>
              <w:t>The table below summarizes common stock warrants issued and outstanding at both September 30, 2019 and December 31, 2018: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80"/>
              <w:spacing w:after="0" w:line="140" w:lineRule="exact"/>
              <w:rPr>
                <w:sz w:val="20"/>
                <w:szCs w:val="20"/>
                <w:color w:val="auto"/>
              </w:rPr>
            </w:pPr>
            <w:r>
              <w:rPr>
                <w:rFonts w:ascii="Times New Roman" w:cs="Times New Roman" w:eastAsia="Times New Roman" w:hAnsi="Times New Roman"/>
                <w:sz w:val="13"/>
                <w:szCs w:val="13"/>
                <w:b w:val="1"/>
                <w:bCs w:val="1"/>
                <w:color w:val="auto"/>
                <w:w w:val="98"/>
              </w:rPr>
              <w:t>Price per</w:t>
            </w:r>
          </w:p>
        </w:tc>
        <w:tc>
          <w:tcPr>
            <w:tcW w:w="160" w:type="dxa"/>
            <w:vAlign w:val="bottom"/>
          </w:tcPr>
          <w:p>
            <w:pPr>
              <w:spacing w:after="0"/>
              <w:rPr>
                <w:sz w:val="12"/>
                <w:szCs w:val="12"/>
                <w:color w:val="auto"/>
              </w:rPr>
            </w:pPr>
          </w:p>
        </w:tc>
        <w:tc>
          <w:tcPr>
            <w:tcW w:w="1120" w:type="dxa"/>
            <w:vAlign w:val="bottom"/>
          </w:tcPr>
          <w:p>
            <w:pPr>
              <w:jc w:val="right"/>
              <w:ind w:right="290"/>
              <w:spacing w:after="0" w:line="140"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60" w:type="dxa"/>
            <w:vAlign w:val="bottom"/>
          </w:tcPr>
          <w:p>
            <w:pPr>
              <w:spacing w:after="0"/>
              <w:rPr>
                <w:sz w:val="14"/>
                <w:szCs w:val="14"/>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60" w:type="dxa"/>
            <w:vAlign w:val="bottom"/>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3/1/2017</w:t>
            </w:r>
          </w:p>
        </w:tc>
        <w:tc>
          <w:tcPr>
            <w:tcW w:w="2020" w:type="dxa"/>
            <w:vAlign w:val="bottom"/>
            <w:gridSpan w:val="3"/>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3/1/2027</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20" w:type="dxa"/>
            <w:vAlign w:val="bottom"/>
            <w:gridSpan w:val="3"/>
          </w:tcPr>
          <w:p>
            <w:pPr>
              <w:jc w:val="center"/>
              <w:ind w:left="2008"/>
              <w:spacing w:after="0"/>
              <w:rPr>
                <w:sz w:val="20"/>
                <w:szCs w:val="20"/>
                <w:color w:val="auto"/>
              </w:rPr>
            </w:pPr>
            <w:r>
              <w:rPr>
                <w:rFonts w:ascii="Times New Roman" w:cs="Times New Roman" w:eastAsia="Times New Roman" w:hAnsi="Times New Roman"/>
                <w:sz w:val="14"/>
                <w:szCs w:val="14"/>
                <w:color w:val="auto"/>
              </w:rPr>
              <w:t>7/19/2013</w:t>
            </w:r>
          </w:p>
        </w:tc>
        <w:tc>
          <w:tcPr>
            <w:tcW w:w="202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7/22/2023</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60" w:type="dxa"/>
            <w:vAlign w:val="bottom"/>
            <w:gridSpan w:val="2"/>
          </w:tcPr>
          <w:p>
            <w:pPr>
              <w:spacing w:after="0"/>
              <w:rPr>
                <w:sz w:val="19"/>
                <w:szCs w:val="19"/>
                <w:color w:val="auto"/>
              </w:rPr>
            </w:pPr>
          </w:p>
        </w:tc>
        <w:tc>
          <w:tcPr>
            <w:tcW w:w="11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11/26/2014</w:t>
            </w:r>
          </w:p>
        </w:tc>
        <w:tc>
          <w:tcPr>
            <w:tcW w:w="2020" w:type="dxa"/>
            <w:vAlign w:val="bottom"/>
            <w:gridSpan w:val="3"/>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11/26/2024</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shd w:val="clear" w:color="auto" w:fill="CCEEFF"/>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20" w:type="dxa"/>
            <w:vAlign w:val="bottom"/>
            <w:gridSpan w:val="3"/>
          </w:tcPr>
          <w:p>
            <w:pPr>
              <w:jc w:val="center"/>
              <w:ind w:left="2008"/>
              <w:spacing w:after="0"/>
              <w:rPr>
                <w:sz w:val="20"/>
                <w:szCs w:val="20"/>
                <w:color w:val="auto"/>
              </w:rPr>
            </w:pPr>
            <w:r>
              <w:rPr>
                <w:rFonts w:ascii="Times New Roman" w:cs="Times New Roman" w:eastAsia="Times New Roman" w:hAnsi="Times New Roman"/>
                <w:sz w:val="14"/>
                <w:szCs w:val="14"/>
                <w:color w:val="auto"/>
              </w:rPr>
              <w:t>10/20/2015</w:t>
            </w:r>
          </w:p>
        </w:tc>
        <w:tc>
          <w:tcPr>
            <w:tcW w:w="202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10/20/2025</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41,650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396</w:t>
            </w: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60" w:type="dxa"/>
            <w:vAlign w:val="bottom"/>
            <w:gridSpan w:val="2"/>
          </w:tcPr>
          <w:p>
            <w:pPr>
              <w:spacing w:after="0"/>
              <w:rPr>
                <w:sz w:val="19"/>
                <w:szCs w:val="19"/>
                <w:color w:val="auto"/>
              </w:rPr>
            </w:pPr>
          </w:p>
        </w:tc>
        <w:tc>
          <w:tcPr>
            <w:tcW w:w="11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98"/>
              </w:rPr>
              <w:t>11/9/2015</w:t>
            </w:r>
          </w:p>
        </w:tc>
        <w:tc>
          <w:tcPr>
            <w:tcW w:w="2020" w:type="dxa"/>
            <w:vAlign w:val="bottom"/>
            <w:gridSpan w:val="3"/>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8"/>
              </w:rPr>
              <w:t>11/9/2025</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244</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shd w:val="clear" w:color="auto" w:fill="CCEEFF"/>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60" w:type="dxa"/>
            <w:vAlign w:val="bottom"/>
            <w:gridSpan w:val="2"/>
          </w:tcPr>
          <w:p>
            <w:pPr>
              <w:spacing w:after="0"/>
              <w:rPr>
                <w:sz w:val="18"/>
                <w:szCs w:val="18"/>
                <w:color w:val="auto"/>
              </w:rPr>
            </w:pPr>
          </w:p>
        </w:tc>
        <w:tc>
          <w:tcPr>
            <w:tcW w:w="1160" w:type="dxa"/>
            <w:vAlign w:val="bottom"/>
            <w:tcBorders>
              <w:bottom w:val="single" w:sz="8" w:color="CCEEFF"/>
            </w:tcBorders>
          </w:tcPr>
          <w:p>
            <w:pPr>
              <w:jc w:val="center"/>
              <w:ind w:left="250"/>
              <w:spacing w:after="0"/>
              <w:rPr>
                <w:sz w:val="20"/>
                <w:szCs w:val="20"/>
                <w:color w:val="auto"/>
              </w:rPr>
            </w:pPr>
            <w:r>
              <w:rPr>
                <w:rFonts w:ascii="Times New Roman" w:cs="Times New Roman" w:eastAsia="Times New Roman" w:hAnsi="Times New Roman"/>
                <w:sz w:val="14"/>
                <w:szCs w:val="14"/>
                <w:color w:val="auto"/>
              </w:rPr>
              <w:t>12/22/2016</w:t>
            </w:r>
          </w:p>
        </w:tc>
        <w:tc>
          <w:tcPr>
            <w:tcW w:w="2020" w:type="dxa"/>
            <w:vAlign w:val="bottom"/>
            <w:tcBorders>
              <w:bottom w:val="single" w:sz="8" w:color="CCEEFF"/>
            </w:tcBorders>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12/22/2026</w:t>
            </w:r>
          </w:p>
        </w:tc>
        <w:tc>
          <w:tcPr>
            <w:tcW w:w="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118,122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hanging="154"/>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stock warrants will remain outstanding until the earlier of the expiration date or the date exercised by the holder.</w:t>
      </w:r>
    </w:p>
    <w:p>
      <w:pPr>
        <w:spacing w:after="0" w:line="14" w:lineRule="exact"/>
        <w:rPr>
          <w:rFonts w:ascii="Times New Roman" w:cs="Times New Roman" w:eastAsia="Times New Roman" w:hAnsi="Times New Roman"/>
          <w:sz w:val="11"/>
          <w:szCs w:val="11"/>
          <w:color w:val="auto"/>
        </w:rPr>
      </w:pPr>
    </w:p>
    <w:p>
      <w:pPr>
        <w:ind w:left="160" w:hanging="154"/>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at the date of issuance.</w:t>
      </w:r>
    </w:p>
    <w:p>
      <w:pPr>
        <w:spacing w:after="0" w:line="2" w:lineRule="exact"/>
        <w:rPr>
          <w:rFonts w:ascii="Times New Roman" w:cs="Times New Roman" w:eastAsia="Times New Roman" w:hAnsi="Times New Roman"/>
          <w:sz w:val="11"/>
          <w:szCs w:val="11"/>
          <w:color w:val="auto"/>
        </w:rPr>
      </w:pPr>
    </w:p>
    <w:p>
      <w:pPr>
        <w:ind w:left="160" w:hanging="154"/>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at the date of conversion from redeemable convertible preferred stock to common stock warrants in conjunction with the IPO on October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134112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1120" cy="6985"/>
                    </a:xfrm>
                    <a:prstGeom prst="rect">
                      <a:avLst/>
                    </a:prstGeom>
                    <a:noFill/>
                  </pic:spPr>
                </pic:pic>
              </a:graphicData>
            </a:graphic>
          </wp:anchor>
        </w:drawing>
      </w:r>
    </w:p>
    <w:p>
      <w:pPr>
        <w:spacing w:after="0" w:line="144" w:lineRule="exact"/>
        <w:rPr>
          <w:sz w:val="20"/>
          <w:szCs w:val="20"/>
          <w:color w:val="auto"/>
        </w:rPr>
      </w:pPr>
    </w:p>
    <w:p>
      <w:pPr>
        <w:ind w:left="360" w:right="8660" w:hanging="354"/>
        <w:spacing w:after="0" w:line="515" w:lineRule="auto"/>
        <w:tabs>
          <w:tab w:leader="none" w:pos="148"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Stock-Based Incentive Compensation Plans </w:t>
      </w:r>
      <w:r>
        <w:rPr>
          <w:rFonts w:ascii="Times New Roman" w:cs="Times New Roman" w:eastAsia="Times New Roman" w:hAnsi="Times New Roman"/>
          <w:sz w:val="14"/>
          <w:szCs w:val="14"/>
          <w:b w:val="1"/>
          <w:bCs w:val="1"/>
          <w:i w:val="1"/>
          <w:iCs w:val="1"/>
          <w:color w:val="auto"/>
        </w:rPr>
        <w:t>2018 Equity Incentive Plan</w:t>
      </w:r>
    </w:p>
    <w:p>
      <w:pPr>
        <w:spacing w:after="0" w:line="1" w:lineRule="exact"/>
        <w:rPr>
          <w:sz w:val="20"/>
          <w:szCs w:val="20"/>
          <w:color w:val="auto"/>
        </w:rPr>
      </w:pPr>
    </w:p>
    <w:p>
      <w:pPr>
        <w:jc w:val="both"/>
        <w:ind w:firstLine="388"/>
        <w:spacing w:after="0" w:line="266" w:lineRule="auto"/>
        <w:rPr>
          <w:sz w:val="20"/>
          <w:szCs w:val="20"/>
          <w:color w:val="auto"/>
        </w:rPr>
      </w:pPr>
      <w:r>
        <w:rPr>
          <w:rFonts w:ascii="Times New Roman" w:cs="Times New Roman" w:eastAsia="Times New Roman" w:hAnsi="Times New Roman"/>
          <w:sz w:val="14"/>
          <w:szCs w:val="14"/>
          <w:color w:val="auto"/>
        </w:rPr>
        <w:t>In October 2018, the Company adopted the 2018 Equity Incentive Plan (the "2018 EIP"). 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On January 1, 2019, the total number of shares of common stock reserved for issuance increased by 1,222,538 shares. The Company filed a Registration Statement on Form S-8 on March 22, 2019 to register these additional shares reserved for issuance under the 2018 EIP. As of September 30, 2019, a total of 2,569,444 shares of common stock are available for future grants under the 2018 EIP.</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60"/>
          </w:cols>
          <w:pgMar w:left="220" w:top="123" w:right="2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summarizes the stock option activity for the nine months ended September 30, 2019:</w:t>
      </w:r>
    </w:p>
    <w:p>
      <w:pPr>
        <w:spacing w:after="0" w:line="143"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62"/>
        </w:trPr>
        <w:tc>
          <w:tcPr>
            <w:tcW w:w="5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2"/>
        </w:trPr>
        <w:tc>
          <w:tcPr>
            <w:tcW w:w="5180" w:type="dxa"/>
            <w:vAlign w:val="bottom"/>
          </w:tcPr>
          <w:p>
            <w:pPr>
              <w:spacing w:after="0"/>
              <w:rPr>
                <w:sz w:val="14"/>
                <w:szCs w:val="14"/>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Exercise</w:t>
            </w:r>
          </w:p>
        </w:tc>
      </w:tr>
      <w:tr>
        <w:trPr>
          <w:trHeight w:val="169"/>
        </w:trPr>
        <w:tc>
          <w:tcPr>
            <w:tcW w:w="5180" w:type="dxa"/>
            <w:vAlign w:val="bottom"/>
          </w:tcPr>
          <w:p>
            <w:pPr>
              <w:spacing w:after="0"/>
              <w:rPr>
                <w:sz w:val="14"/>
                <w:szCs w:val="1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r>
      <w:tr>
        <w:trPr>
          <w:trHeight w:val="27"/>
        </w:trPr>
        <w:tc>
          <w:tcPr>
            <w:tcW w:w="5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December 31, 2018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2,641,198</w:t>
            </w: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$4.27</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638,983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20.89</w:t>
            </w:r>
          </w:p>
        </w:tc>
      </w:tr>
      <w:tr>
        <w:trPr>
          <w:trHeight w:val="23"/>
        </w:trPr>
        <w:tc>
          <w:tcPr>
            <w:tcW w:w="5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6"/>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(359,200)</w:t>
            </w:r>
          </w:p>
        </w:tc>
        <w:tc>
          <w:tcPr>
            <w:tcW w:w="142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3.29</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Canceled and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(96,496)</w:t>
            </w:r>
          </w:p>
        </w:tc>
        <w:tc>
          <w:tcPr>
            <w:tcW w:w="14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9.36</w:t>
            </w:r>
          </w:p>
        </w:tc>
      </w:tr>
      <w:tr>
        <w:trPr>
          <w:trHeight w:val="23"/>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00"/>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as of September 30, 2019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2,824,485</w:t>
            </w:r>
          </w:p>
        </w:tc>
        <w:tc>
          <w:tcPr>
            <w:tcW w:w="142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7.98</w:t>
            </w:r>
          </w:p>
        </w:tc>
      </w:tr>
      <w:tr>
        <w:trPr>
          <w:trHeight w:val="20"/>
        </w:trPr>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As of September 30, 2019, there was $6.3 million of unrecognized compensation cost related to stock options granted. These costs are expected to be recognized over a period of approximately 2.7 years.</w:t>
      </w:r>
    </w:p>
    <w:p>
      <w:pPr>
        <w:spacing w:after="0" w:line="123"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The table below summarizes the weighted average grant date fair value per share and the assumptions used to estimate the grant date fair value of the stock options granted during the respective periods using the Black-Scholes option-pricing model:</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00" w:type="dxa"/>
            <w:vAlign w:val="bottom"/>
          </w:tcPr>
          <w:p>
            <w:pPr>
              <w:spacing w:after="0"/>
              <w:rPr>
                <w:sz w:val="14"/>
                <w:szCs w:val="14"/>
                <w:color w:val="auto"/>
              </w:rPr>
            </w:pPr>
          </w:p>
        </w:tc>
      </w:tr>
      <w:tr>
        <w:trPr>
          <w:trHeight w:val="27"/>
        </w:trPr>
        <w:tc>
          <w:tcPr>
            <w:tcW w:w="3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0"/>
        </w:trPr>
        <w:tc>
          <w:tcPr>
            <w:tcW w:w="3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700" w:type="dxa"/>
            <w:vAlign w:val="bottom"/>
          </w:tcPr>
          <w:p>
            <w:pPr>
              <w:spacing w:after="0"/>
              <w:rPr>
                <w:sz w:val="15"/>
                <w:szCs w:val="15"/>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w:t>
            </w:r>
          </w:p>
        </w:tc>
        <w:tc>
          <w:tcPr>
            <w:tcW w:w="7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$5.43</w:t>
            </w: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$3.48</w:t>
            </w: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$9.78</w:t>
            </w: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$2.47</w:t>
            </w:r>
          </w:p>
        </w:tc>
        <w:tc>
          <w:tcPr>
            <w:tcW w:w="700" w:type="dxa"/>
            <w:vAlign w:val="bottom"/>
            <w:tcBorders>
              <w:bottom w:val="single" w:sz="8" w:color="CCEEFF"/>
            </w:tcBorders>
            <w:shd w:val="clear" w:color="auto" w:fill="CCEEFF"/>
          </w:tcPr>
          <w:p>
            <w:pPr>
              <w:spacing w:after="0"/>
              <w:rPr>
                <w:sz w:val="16"/>
                <w:szCs w:val="16"/>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5.0</w:t>
            </w: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5.3</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7.0</w:t>
            </w:r>
          </w:p>
        </w:tc>
      </w:tr>
      <w:tr>
        <w:trPr>
          <w:trHeight w:val="23"/>
        </w:trPr>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7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46.62%</w:t>
            </w:r>
          </w:p>
        </w:tc>
        <w:tc>
          <w:tcPr>
            <w:tcW w:w="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47.25%</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41.00%</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44.00%</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41.68%</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47.25%</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41.00%</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46.00%</w:t>
            </w: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1.32%</w:t>
            </w: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2.74%</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120" w:type="dxa"/>
            <w:vAlign w:val="bottom"/>
          </w:tcPr>
          <w:p>
            <w:pPr>
              <w:spacing w:after="0"/>
              <w:rPr>
                <w:sz w:val="16"/>
                <w:szCs w:val="16"/>
                <w:color w:val="auto"/>
              </w:rPr>
            </w:pPr>
          </w:p>
        </w:tc>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1.32%</w:t>
            </w:r>
          </w:p>
        </w:tc>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2.35%</w:t>
            </w:r>
          </w:p>
        </w:tc>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w:t>
            </w: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2.93%</w:t>
            </w:r>
          </w:p>
        </w:tc>
      </w:tr>
      <w:tr>
        <w:trPr>
          <w:trHeight w:val="23"/>
        </w:trPr>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r>
      <w:tr>
        <w:trPr>
          <w:trHeight w:val="23"/>
        </w:trPr>
        <w:tc>
          <w:tcPr>
            <w:tcW w:w="3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Early Exercise of Unvested Stock Options</w:t>
      </w:r>
    </w:p>
    <w:p>
      <w:pPr>
        <w:spacing w:after="0" w:line="10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September 30, 2019 and December 31, 2018, the Company had a total of 29,268 and 74,019 shares of common stock, respectively, subject to repurchase under the 2008 Stock Option Plan and $0.1 million and $0.3 million, respectively, of associated liabilities for the repurchase.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summarizes restricted stock units activity for the nine months ended September 30, 2019:</w:t>
      </w:r>
    </w:p>
    <w:p>
      <w:pPr>
        <w:spacing w:after="0" w:line="200" w:lineRule="exact"/>
        <w:rPr>
          <w:sz w:val="20"/>
          <w:szCs w:val="20"/>
          <w:color w:val="auto"/>
        </w:rPr>
      </w:pPr>
    </w:p>
    <w:p>
      <w:pPr>
        <w:spacing w:after="0" w:line="201"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r>
      <w:tr>
        <w:trPr>
          <w:trHeight w:val="169"/>
        </w:trPr>
        <w:tc>
          <w:tcPr>
            <w:tcW w:w="5260" w:type="dxa"/>
            <w:vAlign w:val="bottom"/>
          </w:tcPr>
          <w:p>
            <w:pPr>
              <w:spacing w:after="0"/>
              <w:rPr>
                <w:sz w:val="14"/>
                <w:szCs w:val="14"/>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Grant Date Fair Value</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December 31, 2018</w:t>
            </w:r>
          </w:p>
        </w:tc>
        <w:tc>
          <w:tcPr>
            <w:tcW w:w="13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53,436</w:t>
            </w:r>
          </w:p>
        </w:tc>
        <w:tc>
          <w:tcPr>
            <w:tcW w:w="15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$11.69</w:t>
            </w:r>
          </w:p>
        </w:tc>
      </w:tr>
      <w:tr>
        <w:trPr>
          <w:trHeight w:val="19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607,585</w:t>
            </w:r>
          </w:p>
        </w:tc>
        <w:tc>
          <w:tcPr>
            <w:tcW w:w="15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20.30</w:t>
            </w:r>
          </w:p>
        </w:tc>
      </w:tr>
      <w:tr>
        <w:trPr>
          <w:trHeight w:val="23"/>
        </w:trPr>
        <w:tc>
          <w:tcPr>
            <w:tcW w:w="5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(65,435)</w:t>
            </w:r>
          </w:p>
        </w:tc>
        <w:tc>
          <w:tcPr>
            <w:tcW w:w="15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20.74</w:t>
            </w:r>
          </w:p>
        </w:tc>
      </w:tr>
      <w:tr>
        <w:trPr>
          <w:trHeight w:val="19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 and forfeited</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(30,156)</w:t>
            </w:r>
          </w:p>
        </w:tc>
        <w:tc>
          <w:tcPr>
            <w:tcW w:w="15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19.45</w:t>
            </w:r>
          </w:p>
        </w:tc>
      </w:tr>
      <w:tr>
        <w:trPr>
          <w:trHeight w:val="23"/>
        </w:trPr>
        <w:tc>
          <w:tcPr>
            <w:tcW w:w="5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0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as of September 30, 2019</w:t>
            </w: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565,430</w:t>
            </w:r>
          </w:p>
        </w:tc>
        <w:tc>
          <w:tcPr>
            <w:tcW w:w="156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19.48</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388"/>
        <w:spacing w:after="0" w:line="294" w:lineRule="auto"/>
        <w:rPr>
          <w:sz w:val="20"/>
          <w:szCs w:val="20"/>
          <w:color w:val="auto"/>
        </w:rPr>
      </w:pPr>
      <w:r>
        <w:rPr>
          <w:rFonts w:ascii="Times New Roman" w:cs="Times New Roman" w:eastAsia="Times New Roman" w:hAnsi="Times New Roman"/>
          <w:sz w:val="14"/>
          <w:szCs w:val="14"/>
          <w:color w:val="auto"/>
        </w:rPr>
        <w:t>As of September 30, 2019, there was a total unrecognized compensation cost of $8.9 million related to the restricted stock units granted. These costs are expected to be recognized over a period of approximately 3.3 years.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3" w:right="2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8"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14"/>
          <w:szCs w:val="14"/>
          <w:color w:val="auto"/>
        </w:rPr>
        <w:t>Under the Company's 2018 Employee Stock Purchase Plan (the "ESPP") adopted in October 2018, the Company allows eligible employees to purchase shares of the Company's common stock through payroll deductions at the price equal to 85% of the lesser of the fair market value of the stock as of the first date or the ending date of each six month offering period. There were 515,307 shares of common stock originally reserved for issuance under the ESPP. On March 22, 2019, the Company filed a Registration Statement on Form S-8 to register 244,507 additional shares of common stock for issuance under the ESPP. As of September 30, 2019 and December 31, 2018, total accumulated ESPP related employee payroll deductions amounted to $0.7 million and $0.4 million, respectively, which were included within accrued compensation and related expenses in the consolidated balance sheets. For the three and nine months ended September 30, 2019, the Company recognized $0.2 million and $0.6 million, respectively, of stock-based compensation expense related to ESPP. As of September 30, 2019, the unrecognized compensation cost for the ESPP was $0.1 million.</w:t>
      </w:r>
    </w:p>
    <w:p>
      <w:pPr>
        <w:spacing w:after="0" w:line="321" w:lineRule="exact"/>
        <w:rPr>
          <w:sz w:val="20"/>
          <w:szCs w:val="20"/>
          <w:color w:val="auto"/>
        </w:rPr>
      </w:pPr>
    </w:p>
    <w:p>
      <w:pPr>
        <w:jc w:val="both"/>
        <w:ind w:firstLine="323"/>
        <w:spacing w:after="0" w:line="294" w:lineRule="auto"/>
        <w:rPr>
          <w:sz w:val="20"/>
          <w:szCs w:val="20"/>
          <w:color w:val="auto"/>
        </w:rPr>
      </w:pPr>
      <w:r>
        <w:rPr>
          <w:rFonts w:ascii="Times New Roman" w:cs="Times New Roman" w:eastAsia="Times New Roman" w:hAnsi="Times New Roman"/>
          <w:sz w:val="14"/>
          <w:szCs w:val="14"/>
          <w:color w:val="auto"/>
        </w:rPr>
        <w:t>The Company estimated the fair value of ESPP purchase rights during the offer period which commenced in May 2019 and ends in November 2019, using a Black-Scholes option pricing model with the following assumptions:</w:t>
      </w:r>
    </w:p>
    <w:p>
      <w:pPr>
        <w:spacing w:after="0" w:line="93" w:lineRule="exact"/>
        <w:rPr>
          <w:sz w:val="20"/>
          <w:szCs w:val="20"/>
          <w:color w:val="auto"/>
        </w:rPr>
      </w:pPr>
    </w:p>
    <w:tbl>
      <w:tblPr>
        <w:tblLayout w:type="fixed"/>
        <w:tblInd w:w="210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19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16"/>
        </w:trPr>
        <w:tc>
          <w:tcPr>
            <w:tcW w:w="5300" w:type="dxa"/>
            <w:vAlign w:val="bottom"/>
          </w:tcPr>
          <w:p>
            <w:pPr>
              <w:spacing w:after="0"/>
              <w:rPr>
                <w:sz w:val="18"/>
                <w:szCs w:val="18"/>
                <w:color w:val="auto"/>
              </w:rPr>
            </w:pPr>
          </w:p>
        </w:tc>
        <w:tc>
          <w:tcPr>
            <w:tcW w:w="19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30, 2019</w:t>
            </w:r>
          </w:p>
        </w:tc>
      </w:tr>
      <w:tr>
        <w:trPr>
          <w:trHeight w:val="27"/>
        </w:trPr>
        <w:tc>
          <w:tcPr>
            <w:tcW w:w="53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6"/>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58.35%</w:t>
            </w:r>
          </w:p>
        </w:tc>
      </w:tr>
      <w:tr>
        <w:trPr>
          <w:trHeight w:val="23"/>
        </w:trPr>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2.49%</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presents the detail of stock-based compensation expense amounts included in the condensed consolidated statements of operations:</w:t>
      </w:r>
    </w:p>
    <w:p>
      <w:pPr>
        <w:spacing w:after="0" w:line="14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3"/>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2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3"/>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0"/>
        </w:trPr>
        <w:tc>
          <w:tcPr>
            <w:tcW w:w="4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2018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w w:val="92"/>
              </w:rPr>
              <w:t>2018</w:t>
            </w:r>
          </w:p>
        </w:tc>
      </w:tr>
      <w:tr>
        <w:trPr>
          <w:trHeight w:val="27"/>
        </w:trPr>
        <w:tc>
          <w:tcPr>
            <w:tcW w:w="4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8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20" w:type="dxa"/>
            <w:vAlign w:val="bottom"/>
          </w:tcPr>
          <w:p>
            <w:pPr>
              <w:spacing w:after="0"/>
              <w:rPr>
                <w:sz w:val="16"/>
                <w:szCs w:val="16"/>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350</w:t>
            </w:r>
          </w:p>
        </w:tc>
      </w:tr>
      <w:tr>
        <w:trPr>
          <w:trHeight w:val="23"/>
        </w:trPr>
        <w:tc>
          <w:tcPr>
            <w:tcW w:w="4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20" w:type="dxa"/>
            <w:vAlign w:val="bottom"/>
          </w:tcPr>
          <w:p>
            <w:pPr>
              <w:spacing w:after="0"/>
              <w:rPr>
                <w:sz w:val="16"/>
                <w:szCs w:val="16"/>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613</w:t>
            </w: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1"/>
        </w:trPr>
        <w:tc>
          <w:tcPr>
            <w:tcW w:w="47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5,596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470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60"/>
          </w:cols>
          <w:pgMar w:left="220" w:top="123" w:right="2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62" w:lineRule="exact"/>
        <w:rPr>
          <w:sz w:val="20"/>
          <w:szCs w:val="20"/>
          <w:color w:val="auto"/>
        </w:rPr>
      </w:pPr>
    </w:p>
    <w:p>
      <w:pPr>
        <w:jc w:val="right"/>
        <w:ind w:left="360" w:right="8920" w:hanging="354"/>
        <w:spacing w:after="0" w:line="387" w:lineRule="auto"/>
        <w:tabs>
          <w:tab w:leader="none" w:pos="23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Net Loss Per Share of Common Stock </w:t>
      </w:r>
      <w:r>
        <w:rPr>
          <w:rFonts w:ascii="Times New Roman" w:cs="Times New Roman" w:eastAsia="Times New Roman" w:hAnsi="Times New Roman"/>
          <w:sz w:val="14"/>
          <w:szCs w:val="14"/>
          <w:i w:val="1"/>
          <w:iCs w:val="1"/>
          <w:color w:val="auto"/>
        </w:rPr>
        <w:t>Basic and Diluted Net Loss per Share</w:t>
      </w:r>
    </w:p>
    <w:p>
      <w:pPr>
        <w:ind w:left="3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table below summarizes the computation of basic and diluted net loss per share: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4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80"/>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2018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2018</w:t>
            </w:r>
          </w:p>
        </w:tc>
        <w:tc>
          <w:tcPr>
            <w:tcW w:w="240" w:type="dxa"/>
            <w:vAlign w:val="bottom"/>
          </w:tcPr>
          <w:p>
            <w:pPr>
              <w:spacing w:after="0"/>
              <w:rPr>
                <w:sz w:val="15"/>
                <w:szCs w:val="15"/>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(11,306)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(4,792)</w:t>
            </w: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(12,140)</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33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used to compute basic and diluted net loss per share</w:t>
            </w: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24,803,452</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3,712,876</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24,596,788</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3,638,905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6"/>
        </w:trPr>
        <w:tc>
          <w:tcPr>
            <w:tcW w:w="4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21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(1.29)</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Calculated based on the 1-for-18 reverse stock split effected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134112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1120" cy="6985"/>
                    </a:xfrm>
                    <a:prstGeom prst="rect">
                      <a:avLst/>
                    </a:prstGeom>
                    <a:noFill/>
                  </pic:spPr>
                </pic:pic>
              </a:graphicData>
            </a:graphic>
          </wp:anchor>
        </w:drawing>
      </w:r>
    </w:p>
    <w:p>
      <w:pPr>
        <w:spacing w:after="0" w:line="158"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Because the Company has reported a net loss in all periods presented, outstanding stock options, restricted stock units, shares subject to repurchase, ESPP purchase rights, common stock warrants, shares of redeemable convertible preferred stock and redeemable convertible preferred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3480" w:type="dxa"/>
            <w:vAlign w:val="bottom"/>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980" w:type="dxa"/>
            <w:vAlign w:val="bottom"/>
            <w:gridSpan w:val="3"/>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7"/>
        </w:trPr>
        <w:tc>
          <w:tcPr>
            <w:tcW w:w="46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0"/>
        </w:trPr>
        <w:tc>
          <w:tcPr>
            <w:tcW w:w="4680" w:type="dxa"/>
            <w:vAlign w:val="bottom"/>
          </w:tcPr>
          <w:p>
            <w:pPr>
              <w:spacing w:after="0"/>
              <w:rPr>
                <w:sz w:val="15"/>
                <w:szCs w:val="15"/>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5"/>
                <w:szCs w:val="15"/>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1440" w:type="dxa"/>
            <w:vAlign w:val="bottom"/>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46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2,824,485</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2,711,667</w:t>
            </w: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2,824,485</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2,711,667</w:t>
            </w:r>
          </w:p>
        </w:tc>
      </w:tr>
      <w:tr>
        <w:trPr>
          <w:trHeight w:val="19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565,430</w:t>
            </w:r>
          </w:p>
        </w:tc>
        <w:tc>
          <w:tcPr>
            <w:tcW w:w="12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565,430</w:t>
            </w:r>
          </w:p>
        </w:tc>
        <w:tc>
          <w:tcPr>
            <w:tcW w:w="10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subject to repurchase</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29,268</w:t>
            </w: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78,757</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29,268</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78,757</w:t>
            </w:r>
          </w:p>
        </w:tc>
      </w:tr>
      <w:tr>
        <w:trPr>
          <w:trHeight w:val="19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 purchase rights</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72,679</w:t>
            </w:r>
          </w:p>
        </w:tc>
        <w:tc>
          <w:tcPr>
            <w:tcW w:w="120" w:type="dxa"/>
            <w:vAlign w:val="bottom"/>
          </w:tcPr>
          <w:p>
            <w:pPr>
              <w:spacing w:after="0"/>
              <w:rPr>
                <w:sz w:val="16"/>
                <w:szCs w:val="16"/>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72,679</w:t>
            </w:r>
          </w:p>
        </w:tc>
        <w:tc>
          <w:tcPr>
            <w:tcW w:w="10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12,066,654</w:t>
            </w:r>
          </w:p>
        </w:tc>
        <w:tc>
          <w:tcPr>
            <w:tcW w:w="2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12,066,654</w:t>
            </w:r>
          </w:p>
        </w:tc>
      </w:tr>
      <w:tr>
        <w:trPr>
          <w:trHeight w:val="19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160,657</w:t>
            </w:r>
          </w:p>
        </w:tc>
        <w:tc>
          <w:tcPr>
            <w:tcW w:w="2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160,657</w:t>
            </w:r>
          </w:p>
        </w:tc>
      </w:tr>
      <w:tr>
        <w:trPr>
          <w:trHeight w:val="23"/>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118,122</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124,326</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118,122</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124,326</w:t>
            </w:r>
          </w:p>
        </w:tc>
      </w:tr>
      <w:tr>
        <w:trPr>
          <w:trHeight w:val="184"/>
        </w:trPr>
        <w:tc>
          <w:tcPr>
            <w:tcW w:w="4680" w:type="dxa"/>
            <w:vAlign w:val="bottom"/>
          </w:tcPr>
          <w:p>
            <w:pPr>
              <w:spacing w:after="0"/>
              <w:rPr>
                <w:sz w:val="15"/>
                <w:szCs w:val="15"/>
                <w:color w:val="auto"/>
              </w:rPr>
            </w:pPr>
          </w:p>
        </w:tc>
        <w:tc>
          <w:tcPr>
            <w:tcW w:w="15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3,609,984</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15,142,061</w:t>
            </w:r>
          </w:p>
        </w:tc>
        <w:tc>
          <w:tcPr>
            <w:tcW w:w="20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3,609,984</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15,142,061</w:t>
            </w:r>
          </w:p>
        </w:tc>
      </w:tr>
      <w:tr>
        <w:trPr>
          <w:trHeight w:val="23"/>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86" w:lineRule="exact"/>
        <w:rPr>
          <w:sz w:val="20"/>
          <w:szCs w:val="20"/>
          <w:color w:val="auto"/>
        </w:rPr>
      </w:pPr>
    </w:p>
    <w:p>
      <w:pPr>
        <w:jc w:val="both"/>
        <w:ind w:firstLine="388"/>
        <w:spacing w:after="0" w:line="269" w:lineRule="auto"/>
        <w:rPr>
          <w:sz w:val="20"/>
          <w:szCs w:val="20"/>
          <w:color w:val="auto"/>
        </w:rPr>
      </w:pPr>
      <w:r>
        <w:rPr>
          <w:rFonts w:ascii="Times New Roman" w:cs="Times New Roman" w:eastAsia="Times New Roman" w:hAnsi="Times New Roman"/>
          <w:sz w:val="14"/>
          <w:szCs w:val="14"/>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2019 and 2018. The Company continues to maintain a full valuation allowance against its net deferred tax assets due to the uncertainty surrounding realization of such assets.</w:t>
      </w:r>
    </w:p>
    <w:p>
      <w:pPr>
        <w:spacing w:after="0" w:line="140"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2018.</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3"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4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14,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this Quarterly Report on Form 10-Q, our actual results could differ materially from the results described in, or implied, by these forward-looking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00" w:lineRule="exact"/>
        <w:rPr>
          <w:sz w:val="20"/>
          <w:szCs w:val="20"/>
          <w:color w:val="auto"/>
        </w:rPr>
      </w:pPr>
    </w:p>
    <w:p>
      <w:pPr>
        <w:jc w:val="both"/>
        <w:ind w:firstLine="323"/>
        <w:spacing w:after="0" w:line="269" w:lineRule="auto"/>
        <w:rPr>
          <w:sz w:val="20"/>
          <w:szCs w:val="20"/>
          <w:color w:val="auto"/>
        </w:rPr>
      </w:pPr>
      <w:r>
        <w:rPr>
          <w:rFonts w:ascii="Times New Roman" w:cs="Times New Roman" w:eastAsia="Times New Roman" w:hAnsi="Times New Roman"/>
          <w:sz w:val="14"/>
          <w:szCs w:val="14"/>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33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313" w:lineRule="exact"/>
        <w:rPr>
          <w:sz w:val="20"/>
          <w:szCs w:val="20"/>
          <w:color w:val="auto"/>
        </w:rPr>
      </w:pPr>
    </w:p>
    <w:p>
      <w:pPr>
        <w:jc w:val="both"/>
        <w:ind w:firstLine="323"/>
        <w:spacing w:after="0" w:line="266" w:lineRule="auto"/>
        <w:rPr>
          <w:sz w:val="20"/>
          <w:szCs w:val="20"/>
          <w:color w:val="auto"/>
        </w:rPr>
      </w:pPr>
      <w:r>
        <w:rPr>
          <w:rFonts w:ascii="Times New Roman" w:cs="Times New Roman" w:eastAsia="Times New Roman" w:hAnsi="Times New Roman"/>
          <w:sz w:val="14"/>
          <w:szCs w:val="14"/>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31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have incurred net losses since our inception in 2008. We had net losses of $29.3 million for the nine months ended September 30, 2019 and $17.5 million and $23.0 million for the years ended December 31, 2018 and 2017, respectively. As of September 30, 2019, we had an accumulated deficit of $186.5 million. To date, we have financed our operations primarily through an initial public offering, private placements of equity securities, certain debt-related financing arrangements, and sales of our products. We have devoted substantially all of our resources to research and development of our products, reimbursement-related initiatives, sales and marketing activities, and clinical, quality assurance, and regulatory matters for our products.</w:t>
      </w:r>
    </w:p>
    <w:p>
      <w:pPr>
        <w:spacing w:after="0" w:line="140"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In October 2018, we completed our initial public offering ("IPO"), by issuing 8,280,000 shares of common stock, at an offering price of $15.00 per share, for net proceeds of $113.4 million after deducting underwriting discounts and commissions and offering expenses payable by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Results of Operations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188"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Prior to our launch of iFuse in 2009, Medicare and most private insurance companies reimbursed surgeons routinely for sacroiliac joint fusions, which were primarily invasive. However, effective July 1, 2013, the American Medical Association's ("AMA") Current Procedural Terminology ("CPT") Editorial Panel effectively restricted reimbursement for minimally invasive sacroiliac joint fusion because they considered the published clinical evidence at the time to be inadequate.</w:t>
      </w:r>
    </w:p>
    <w:p>
      <w:pPr>
        <w:spacing w:after="0" w:line="136"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Subsequently, as a result of the growing number of published clinical studies demonstrating the effectiveness and safety of iFuse, along with the support of several professional medical specialty societies and leading academic surgeons, the AMA's CPT Editorial Panel established a new medical code used to report minimally invasive sacroiliac joint fusion surgery, effective January 1, 2015. However, the new code did not immediately lead to positive coverage decisions by payors-in many cases, as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315" w:lineRule="exact"/>
        <w:rPr>
          <w:sz w:val="20"/>
          <w:szCs w:val="20"/>
          <w:color w:val="auto"/>
        </w:rPr>
      </w:pPr>
    </w:p>
    <w:p>
      <w:pPr>
        <w:jc w:val="both"/>
        <w:ind w:firstLine="323"/>
        <w:spacing w:after="0" w:line="275" w:lineRule="auto"/>
        <w:rPr>
          <w:sz w:val="20"/>
          <w:szCs w:val="20"/>
          <w:color w:val="auto"/>
        </w:rPr>
      </w:pPr>
      <w:r>
        <w:rPr>
          <w:rFonts w:ascii="Times New Roman" w:cs="Times New Roman" w:eastAsia="Times New Roman" w:hAnsi="Times New Roman"/>
          <w:sz w:val="14"/>
          <w:szCs w:val="14"/>
          <w:color w:val="auto"/>
        </w:rPr>
        <w:t>Coverage decisions for this procedure are made independently by each private insurance company and each of the seven regional Medicare Administrative Contractors that help manage Medicare. The process of obtaining coverage is laborious. As of the end of the second quarter of 2016, because of the iFuse clinical evidence, all Medicare Administrative Contractors were covering the procedure. At the time, very few private payors were covering.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60"/>
          </w:cols>
          <w:pgMar w:left="220" w:top="489" w:right="219" w:bottom="1440" w:gutter="0" w:footer="0" w:header="0"/>
        </w:sectPr>
      </w:pPr>
    </w:p>
    <w:bookmarkStart w:id="22" w:name="page23"/>
    <w:bookmarkEnd w:id="22"/>
    <w:p>
      <w:pPr>
        <w:jc w:val="both"/>
        <w:ind w:firstLine="323"/>
        <w:spacing w:after="0" w:line="269" w:lineRule="auto"/>
        <w:rPr>
          <w:sz w:val="20"/>
          <w:szCs w:val="20"/>
          <w:color w:val="auto"/>
        </w:rPr>
      </w:pPr>
      <w:r>
        <w:rPr>
          <w:rFonts w:ascii="Times New Roman" w:cs="Times New Roman" w:eastAsia="Times New Roman" w:hAnsi="Times New Roman"/>
          <w:sz w:val="14"/>
          <w:szCs w:val="14"/>
          <w:color w:val="auto"/>
        </w:rPr>
        <w:t>In 2018, more private payors began covering iFuse based upon our clinical evidence. As of September 30, 2019, U.S. payors covering 268 million lives, including private payors covering 133 million lives, regularly reimbursed for the iFuse procedure. Fifty of the largest 65 U.S. private payors that we track had positive coverage policies for the procedure, were consistently covering the procedure, or had announced coming future coverage. Of these 50 U.S. private payors, 32 have issued positive coverage policies exclusive to iFuse for sacroiliac joint fusion because of the clinical evidence. Twenty-six of these exclusive coverage policies have published since January 2018, which we believe has contributed to our recent sales growth.</w:t>
      </w:r>
    </w:p>
    <w:p>
      <w:pPr>
        <w:spacing w:after="0" w:line="140"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There are a number of large and small private payors, including Aetna, Cigna, Humana, and Anthem, that do not have positive coverage policies for the procedure. In the most recent review cycle, all four of these large payors continued their experimental policies. These non-covering payors reevaluate coverage annually based upon the most recently published clinical data. There can be no assurance they will reach positive coverage decisions in the future.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Medical Affairs and Education</w:t>
      </w:r>
    </w:p>
    <w:p>
      <w:pPr>
        <w:spacing w:after="0" w:line="18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4"/>
          <w:szCs w:val="14"/>
          <w:color w:val="auto"/>
        </w:rPr>
        <w:t>Our medical affairs team focuses on both internal and external education.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Our medical affairs team is led by a board-certified fellowship trained orthopedic spine surgeon. As of September 30, 2019, our U.S. consultant faculty consisted of 97 surgeons, 26 pain management physicians, 20 nurse practitioners/physician’s assistants, and 100 physical therapists. These third-party healthcare professional consultants educate other surgeons, physician’s assistants, nurses, physical therapists, and other healthcare professionals regarding sacroiliac joint diagnosis and the iFuse procedure.</w:t>
      </w:r>
    </w:p>
    <w:p>
      <w:pPr>
        <w:spacing w:after="0" w:line="144" w:lineRule="exact"/>
        <w:rPr>
          <w:sz w:val="20"/>
          <w:szCs w:val="20"/>
          <w:color w:val="auto"/>
        </w:rPr>
      </w:pPr>
    </w:p>
    <w:p>
      <w:pPr>
        <w:jc w:val="both"/>
        <w:ind w:firstLine="323"/>
        <w:spacing w:after="0" w:line="266" w:lineRule="auto"/>
        <w:rPr>
          <w:sz w:val="20"/>
          <w:szCs w:val="20"/>
          <w:color w:val="auto"/>
        </w:rPr>
      </w:pPr>
      <w:r>
        <w:rPr>
          <w:rFonts w:ascii="Times New Roman" w:cs="Times New Roman" w:eastAsia="Times New Roman" w:hAnsi="Times New Roman"/>
          <w:sz w:val="14"/>
          <w:szCs w:val="14"/>
          <w:color w:val="auto"/>
        </w:rPr>
        <w:t>Our surgeon training programs are for orthopedic spine surgeons, neurosurgeons, general orthopedic surgeons, and orthopedic trauma surgeons. Since its introduction, over 2,000 surgeons around the world have been trained and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Sales Force</w:t>
      </w:r>
    </w:p>
    <w:p>
      <w:pPr>
        <w:spacing w:after="0" w:line="102"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We market and sell iFuse primarily through a direct sales force and a number of third-party distributors. Our target customer base includes approximately 7,500 U.S. surgeons who perform spine and/or pelvic surgery, including orthopedic spine surgeons, neurosurgeons, general orthopedic surgeons, and orthopedic trauma surgeons.</w:t>
      </w:r>
    </w:p>
    <w:p>
      <w:pPr>
        <w:spacing w:after="0" w:line="12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direct sales organization in the United States consists of ten sales regions. In each region there are a number of territory sales managers who act as the primary customer contact. Our territory sales managers have extensive training and experience selling medical devices for spine problems and pain management, generally focusing on emerging technologies and markets. As of September 30, 2019, our U.S. sales force consisted of 53 territory sales managers directly employed by us, and 34 third-party sales representatives.</w:t>
      </w:r>
    </w:p>
    <w:p>
      <w:pPr>
        <w:spacing w:after="0" w:line="136"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40"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As of September 30, 2019, we had 38 employees working in our European operations, and have established operations in Italy (2010), Germany (2014), the United Kingdom (2015) and France (2019). As of September 30, 2019, our international sales force consisted of 19 sales representatives directly employed by us and 28 exclusive third-party distributors, which together had sales in 34 countries through September 30, 2019.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September 30, 2019, beyond Europe and the United States, surgeons had performed iFuse procedures in Australia, Cayman Islands, Hong Kong, Israel, Japan, Kuwait, New Zealand, Saudi Arabia, Taiwan and Turkey.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664" w:right="219" w:bottom="1440" w:gutter="0" w:footer="0" w:header="0"/>
        </w:sectPr>
      </w:pPr>
    </w:p>
    <w:bookmarkStart w:id="23" w:name="page24"/>
    <w:bookmarkEnd w:id="23"/>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We have in the past and expect in the future to enter into different compensation arrangements with our sales professionals, which may include minimum guaranteed commissions. This has impacted our compensation expenses in the past and we expect it will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Our revenue from international sales is impacted by fluctuations in foreign currency exchange rates between the U.S. dollar (our reporting currency) and the local currency.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Gross Profit, and Gross Margin</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We utilize third-party manufacturers for production of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as case levels increase and as we introduce new products.</w:t>
      </w:r>
    </w:p>
    <w:p>
      <w:pPr>
        <w:spacing w:after="0" w:line="136"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Our gross profit and gross margin have been and will continue to be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23" w:lineRule="exact"/>
        <w:rPr>
          <w:sz w:val="20"/>
          <w:szCs w:val="20"/>
          <w:color w:val="auto"/>
        </w:rPr>
      </w:pPr>
    </w:p>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w:t>
      </w: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as we continue to invest and grow our business.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Sales and Marketing Expenses</w:t>
      </w:r>
    </w:p>
    <w:p>
      <w:pPr>
        <w:spacing w:after="0" w:line="186"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and third-party distributors. We expect our sales and marketing expenses to increase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territory sales managers in new territories.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6"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as we develop new products, add research and development personnel, and undergo clinical activities, including more clinical studies to gain additional regulatory clearances and wider surgeon adoption.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60"/>
          </w:cols>
          <w:pgMar w:left="220" w:top="491" w:right="219" w:bottom="1440" w:gutter="0" w:footer="0" w:header="0"/>
        </w:sectPr>
      </w:pPr>
    </w:p>
    <w:bookmarkStart w:id="24" w:name="page25"/>
    <w:bookmarkEnd w:id="24"/>
    <w:p>
      <w:pPr>
        <w:ind w:left="36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6"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General and administrative expenses primarily consist of salaries, stock-based compensation expense, and other costs for finance, accounting, legal, compliance, and administrative matters. We expect our general and administrative expenses to increase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Interest income is related to our investments of excess cash in money market funds and marketable securities.</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02"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Interest expense is related to borrowings and amortization of debt issuance costs. Prior to our initial public offering, interest expense also included the amortization of debt discounts derived from the issuance of warrants.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88"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Other income (expense), net consists primarily of net foreign exchange gains (losses) on foreign transactions. Prior to our initial public offering, other income (expense), net included changes in fair value of our preferred stock warrant liability. In connection with our initial public offering, our preferred stock warrant liability was reclassified to equity upon conversion of preferred stock warrants to common stock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6"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We operate as one operating and reportable segment. The table below summarizes our results of operations for the periods presented (percentages are amounts as a percentage of revenue), which we derived from the accompanying condensed consolidated financial statements:</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60" w:type="dxa"/>
            <w:vAlign w:val="bottom"/>
          </w:tcPr>
          <w:p>
            <w:pPr>
              <w:spacing w:after="0"/>
              <w:rPr>
                <w:sz w:val="14"/>
                <w:szCs w:val="14"/>
                <w:color w:val="auto"/>
              </w:rPr>
            </w:pP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2018</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2018</w:t>
            </w:r>
          </w:p>
        </w:tc>
        <w:tc>
          <w:tcPr>
            <w:tcW w:w="660" w:type="dxa"/>
            <w:vAlign w:val="bottom"/>
          </w:tcPr>
          <w:p>
            <w:pPr>
              <w:spacing w:after="0"/>
              <w:rPr>
                <w:sz w:val="15"/>
                <w:szCs w:val="15"/>
                <w:color w:val="auto"/>
              </w:rPr>
            </w:pP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69"/>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16,182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13,381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47,490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39,756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1,630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1,221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4,744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3,451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3"/>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6"/>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14,552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12,160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42,746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36,305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r>
      <w:tr>
        <w:trPr>
          <w:trHeight w:val="18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3"/>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16,443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10,605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48,985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31,890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93"/>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1,874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1,373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5,503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3,875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3"/>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6,816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3,226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15,776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8,198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25,133</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15,204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70,264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43,963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r>
      <w:tr>
        <w:trPr>
          <w:trHeight w:val="23"/>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(10,581)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(3,044)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(27,518)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(7,658)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 (expense), net:</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612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69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2,051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199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3"/>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(1,243)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(1,282)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(3,706)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(3,826)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(94)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(535)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(132)</w:t>
            </w: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(855)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(11,306)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(4,792)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(29,305)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(12,140)</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44"/>
        </w:trPr>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rPr>
              <w:t>24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60"/>
          </w:cols>
          <w:pgMar w:left="220" w:top="748" w:right="219" w:bottom="1440" w:gutter="0" w:footer="0" w:header="0"/>
        </w:sectPr>
      </w:pPr>
    </w:p>
    <w:bookmarkStart w:id="25" w:name="page26"/>
    <w:bookmarkEnd w:id="25"/>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We derive the majority of our revenue from sales to customers in the United States. Revenue by geography is based on billing address of the customer. No single country outside the United States accounts for more than 10% of the total revenue during the periods presented. The table below summarizes our revenue by geography:</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5"/>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40" w:type="dxa"/>
            <w:vAlign w:val="bottom"/>
          </w:tcPr>
          <w:p>
            <w:pPr>
              <w:spacing w:after="0"/>
              <w:rPr>
                <w:sz w:val="14"/>
                <w:szCs w:val="14"/>
                <w:color w:val="auto"/>
              </w:rPr>
            </w:pPr>
          </w:p>
        </w:tc>
      </w:tr>
      <w:tr>
        <w:trPr>
          <w:trHeight w:val="27"/>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0"/>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2018</w:t>
            </w:r>
          </w:p>
        </w:tc>
        <w:tc>
          <w:tcPr>
            <w:tcW w:w="640" w:type="dxa"/>
            <w:vAlign w:val="bottom"/>
          </w:tcPr>
          <w:p>
            <w:pPr>
              <w:spacing w:after="0"/>
              <w:rPr>
                <w:sz w:val="15"/>
                <w:szCs w:val="15"/>
                <w:color w:val="auto"/>
              </w:rPr>
            </w:pPr>
          </w:p>
        </w:tc>
      </w:tr>
      <w:tr>
        <w:trPr>
          <w:trHeight w:val="27"/>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0"/>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7"/>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9"/>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7"/>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14,856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12,216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43,325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35,672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6"/>
                <w:szCs w:val="16"/>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1,326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1,165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4,165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4,084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1"/>
        </w:trPr>
        <w:tc>
          <w:tcPr>
            <w:tcW w:w="3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16,182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13,381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47,490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39,756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Three Months Ended September 30, 2019 and 2018</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 Cost of Goods Sold, Gross Profit, and Gross Margin</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3200" w:type="dxa"/>
            <w:vAlign w:val="bottom"/>
            <w:gridSpan w:val="6"/>
          </w:tcPr>
          <w:p>
            <w:pPr>
              <w:ind w:left="5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w w:val="98"/>
              </w:rPr>
              <w:t>% Change</w:t>
            </w: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5"/>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16,182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13,381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2,801</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21%</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92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409</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33%</w:t>
            </w:r>
          </w:p>
        </w:tc>
      </w:tr>
      <w:tr>
        <w:trPr>
          <w:trHeight w:val="23"/>
        </w:trPr>
        <w:tc>
          <w:tcPr>
            <w:tcW w:w="5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0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14,552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12,160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2,392</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78" w:lineRule="exact"/>
        <w:rPr>
          <w:sz w:val="20"/>
          <w:szCs w:val="20"/>
          <w:color w:val="auto"/>
        </w:rPr>
      </w:pPr>
    </w:p>
    <w:p>
      <w:pPr>
        <w:jc w:val="both"/>
        <w:ind w:firstLine="388"/>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$2.8 million or 21%, for the three months ended September 30, 2019 as compared to the three months ended September 30, 2018. The increase was primarily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an increase of $2.6 million as a result of growth in domestic case volumes. U.S. case volumes increased from higher sales force productivity, higher numbers of sales personnel, and more active surgeons due to improving U.S. reimbursement coverage. Our international sales increased by $0.2 million mainly as a result of growth in international case volumes.</w:t>
      </w:r>
    </w:p>
    <w:p>
      <w:pPr>
        <w:spacing w:after="0" w:line="132" w:lineRule="exact"/>
        <w:rPr>
          <w:sz w:val="20"/>
          <w:szCs w:val="20"/>
          <w:color w:val="auto"/>
        </w:rPr>
      </w:pPr>
    </w:p>
    <w:p>
      <w:pPr>
        <w:jc w:val="both"/>
        <w:ind w:firstLine="388"/>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Cost of Goods Sold, Gross Profit, and Gross Margin. </w:t>
      </w:r>
      <w:r>
        <w:rPr>
          <w:rFonts w:ascii="Times New Roman" w:cs="Times New Roman" w:eastAsia="Times New Roman" w:hAnsi="Times New Roman"/>
          <w:sz w:val="14"/>
          <w:szCs w:val="14"/>
          <w:color w:val="auto"/>
        </w:rPr>
        <w:t>Total cost of goods sold increased $0.4 million, or 33%, for the three months ended September 30, 2019 as compared to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in cost of goods sold was primarily due to higher sales volume and implant costs. Higher net revenue resulted in increased gross profit of $2.4 million, or 20%. Gross margin decreased to 89.9% for the three months ended September 30, 2019 as compared to 90.9% for the three months ended September 30, 2018 due to an increase in personnel in operations to support the growth of the business.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40" w:type="dxa"/>
            <w:vAlign w:val="bottom"/>
          </w:tcPr>
          <w:p>
            <w:pPr>
              <w:spacing w:after="0"/>
              <w:rPr>
                <w:sz w:val="15"/>
                <w:szCs w:val="15"/>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5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16,443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8"/>
              </w:rPr>
              <w:t>10,605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5,838</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55%</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36%</w:t>
            </w:r>
          </w:p>
        </w:tc>
      </w:tr>
      <w:tr>
        <w:trPr>
          <w:trHeight w:val="23"/>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6,816</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3,590</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7"/>
              </w:rPr>
              <w:t>111%</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25,133</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8"/>
              </w:rPr>
              <w:t>15,204</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9,929</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65%</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356"/>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Sales and Marketing Expenses. </w:t>
      </w:r>
      <w:r>
        <w:rPr>
          <w:rFonts w:ascii="Times New Roman" w:cs="Times New Roman" w:eastAsia="Times New Roman" w:hAnsi="Times New Roman"/>
          <w:sz w:val="14"/>
          <w:szCs w:val="14"/>
          <w:color w:val="auto"/>
        </w:rPr>
        <w:t>Sales and marketing expenses increased $5.8 million, or 55%, for the three months ended September 30, 2019 as compared to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2018. The increase was primarily due to an increase of $2.1 million in salaries and other employee related costs, $0.8 million in travel expense and $0.4 million in facilities and other related expenses as a result of an increase in headcount to further expand our sales and marketing department, $1.4 million in commissions from increased sales, $0.7 million in stock-based compensation expense from the increase in headcount and issuance of stock grants with higher market value, and $0.4 million in training, advertising and marketing costs from continued commercialization of our current and future products and continued investment in our global sales organization.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60"/>
          </w:cols>
          <w:pgMar w:left="220" w:top="664" w:right="219" w:bottom="1440" w:gutter="0" w:footer="0" w:header="0"/>
        </w:sectPr>
      </w:pPr>
    </w:p>
    <w:bookmarkStart w:id="26" w:name="page27"/>
    <w:bookmarkEnd w:id="26"/>
    <w:p>
      <w:pPr>
        <w:jc w:val="both"/>
        <w:ind w:firstLine="356"/>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Expenses. </w:t>
      </w:r>
      <w:r>
        <w:rPr>
          <w:rFonts w:ascii="Times New Roman" w:cs="Times New Roman" w:eastAsia="Times New Roman" w:hAnsi="Times New Roman"/>
          <w:sz w:val="14"/>
          <w:szCs w:val="14"/>
          <w:color w:val="auto"/>
        </w:rPr>
        <w:t>Research and development expenses increased $0.5 million, or 36%, for the three months ended September 30, 2019 as compared to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was primarily due to an increase of $0.2 million in salaries and other employee related costs, $0.1 million in stock-based compensation expense, and $0.2 million in facilities and other related expenses from increased research and development activities as well as higher headcount.</w:t>
      </w:r>
    </w:p>
    <w:p>
      <w:pPr>
        <w:spacing w:after="0" w:line="132" w:lineRule="exact"/>
        <w:rPr>
          <w:sz w:val="20"/>
          <w:szCs w:val="20"/>
          <w:color w:val="auto"/>
        </w:rPr>
      </w:pPr>
    </w:p>
    <w:p>
      <w:pPr>
        <w:jc w:val="both"/>
        <w:ind w:firstLine="356"/>
        <w:spacing w:after="0" w:line="27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$3.6 million, or 111%, for the three months ended September 30, 2019 as compared to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was primarily due to $2.5 million accrued litigation expense, $0.7 million in stock-based compensation expense as a result of the increase in headcount and issuance of stock grants with higher market value, $0.3 million in consulting and professional services from additional regulatory and other compliance services required for a public company, and $0.1 million in facilities and other related expenses from expansion of our general and administrative department.</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(Expense), Net</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2"/>
        </w:trPr>
        <w:tc>
          <w:tcPr>
            <w:tcW w:w="50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3"/>
        </w:trPr>
        <w:tc>
          <w:tcPr>
            <w:tcW w:w="5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543</w:t>
            </w:r>
          </w:p>
        </w:tc>
        <w:tc>
          <w:tcPr>
            <w:tcW w:w="158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787%</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5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9"/>
              </w:rPr>
              <w:t>(3)%</w:t>
            </w:r>
          </w:p>
        </w:tc>
      </w:tr>
      <w:tr>
        <w:trPr>
          <w:trHeight w:val="23"/>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w:t>
            </w:r>
          </w:p>
        </w:tc>
        <w:tc>
          <w:tcPr>
            <w:tcW w:w="15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(82)%</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other expense, net</w:t>
            </w: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1,023</w:t>
            </w:r>
          </w:p>
        </w:tc>
        <w:tc>
          <w:tcPr>
            <w:tcW w:w="15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increased by $0.5 million for the three months ended September 30, 2019 as compared to the three months ended September 30, 2018, due to an increase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excess cash in marketable securities.</w:t>
      </w:r>
    </w:p>
    <w:p>
      <w:pPr>
        <w:spacing w:after="0" w:line="119" w:lineRule="exact"/>
        <w:rPr>
          <w:sz w:val="20"/>
          <w:szCs w:val="20"/>
          <w:color w:val="auto"/>
        </w:rPr>
      </w:pPr>
    </w:p>
    <w:p>
      <w:pPr>
        <w:jc w:val="both"/>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Interest Expense</w:t>
      </w:r>
      <w:r>
        <w:rPr>
          <w:rFonts w:ascii="Times New Roman" w:cs="Times New Roman" w:eastAsia="Times New Roman" w:hAnsi="Times New Roman"/>
          <w:sz w:val="14"/>
          <w:szCs w:val="14"/>
          <w:color w:val="auto"/>
        </w:rPr>
        <w:t>. Interest expense remained relatively unchanged for the three months ended September 30, 2019 as compared to the three months ended September 30, 2018 and relates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debt.</w:t>
      </w:r>
    </w:p>
    <w:p>
      <w:pPr>
        <w:spacing w:after="0" w:line="119" w:lineRule="exact"/>
        <w:rPr>
          <w:sz w:val="20"/>
          <w:szCs w:val="20"/>
          <w:color w:val="auto"/>
        </w:rPr>
      </w:pPr>
    </w:p>
    <w:p>
      <w:pPr>
        <w:jc w:val="both"/>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net decreased by $0.4 million for the three months ended September 30, 2019 as compared to the three months ended September 30, 2018 mainly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the change in fair value of preferred stock warrant liability of $0.5 million recognized in the three months ended September 30, 2018.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Nine Months Ended September 30, 2019 and 2018</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 Cost of Goods Sold, Gross Profit, and Gross Margin</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w w:val="98"/>
              </w:rPr>
              <w:t>% Change</w:t>
            </w: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5"/>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47,490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39,756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7,734</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19%</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92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4,744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1,293</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37%</w:t>
            </w:r>
          </w:p>
        </w:tc>
      </w:tr>
      <w:tr>
        <w:trPr>
          <w:trHeight w:val="23"/>
        </w:trPr>
        <w:tc>
          <w:tcPr>
            <w:tcW w:w="5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0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42,746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36,305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6,441</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78" w:lineRule="exact"/>
        <w:rPr>
          <w:sz w:val="20"/>
          <w:szCs w:val="20"/>
          <w:color w:val="auto"/>
        </w:rPr>
      </w:pPr>
    </w:p>
    <w:p>
      <w:pPr>
        <w:jc w:val="both"/>
        <w:ind w:firstLine="388"/>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$7.7 million or 19%, for the nine months ended September 30, 2019 as compared to the nine months ended September 30, 2018. The increase was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increase of $7.7 million as a result of growth in domestic case volumes. U.S. case volumes increased from higher sales force productivity, higher numbers of sales personnel, and more active surgeons due to improving U.S. reimbursement coverage. Our international sales increased by $0.1 million mainly as a result of growth in international case volumes.</w:t>
      </w:r>
    </w:p>
    <w:p>
      <w:pPr>
        <w:spacing w:after="0" w:line="132" w:lineRule="exact"/>
        <w:rPr>
          <w:sz w:val="20"/>
          <w:szCs w:val="20"/>
          <w:color w:val="auto"/>
        </w:rPr>
      </w:pPr>
    </w:p>
    <w:p>
      <w:pPr>
        <w:jc w:val="both"/>
        <w:ind w:firstLine="388"/>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Cost of Goods Sold, Gross Profit, and Gross Margin. </w:t>
      </w:r>
      <w:r>
        <w:rPr>
          <w:rFonts w:ascii="Times New Roman" w:cs="Times New Roman" w:eastAsia="Times New Roman" w:hAnsi="Times New Roman"/>
          <w:sz w:val="14"/>
          <w:szCs w:val="14"/>
          <w:color w:val="auto"/>
        </w:rPr>
        <w:t>Total cost of goods sold increased $1.3 million, or 37%, for the nine months ended September 30, 2019 as compared to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in cost of goods sold was primarily due to higher sales volume and implant costs. Higher net revenue resulted in increased gross profit of $6.4 million, or 18%. Gross margin decreased to 90.0% for the nine months ended September 30, 2019 as compared to 91.3% for the nine months ended September 30, 2018 due to an increase in personnel in operations to support the growth of the business.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60"/>
          </w:cols>
          <w:pgMar w:left="220" w:top="662" w:right="219" w:bottom="1440" w:gutter="0" w:footer="0" w:header="0"/>
        </w:sectPr>
      </w:pPr>
    </w:p>
    <w:bookmarkStart w:id="27" w:name="page28"/>
    <w:bookmarkEnd w:id="27"/>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3200" w:type="dxa"/>
            <w:vAlign w:val="bottom"/>
            <w:gridSpan w:val="6"/>
          </w:tcPr>
          <w:p>
            <w:pPr>
              <w:ind w:left="6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w w:val="98"/>
              </w:rPr>
              <w:t>% Change</w:t>
            </w: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5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48,985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31,890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17,095</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54%</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1,628</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42%</w:t>
            </w:r>
          </w:p>
        </w:tc>
      </w:tr>
      <w:tr>
        <w:trPr>
          <w:trHeight w:val="23"/>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8,198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7,578</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92%</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70,264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43,963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26,301</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356"/>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Sales and Marketing Expenses. </w:t>
      </w:r>
      <w:r>
        <w:rPr>
          <w:rFonts w:ascii="Times New Roman" w:cs="Times New Roman" w:eastAsia="Times New Roman" w:hAnsi="Times New Roman"/>
          <w:sz w:val="14"/>
          <w:szCs w:val="14"/>
          <w:color w:val="auto"/>
        </w:rPr>
        <w:t>Sales and marketing expenses increased $17.1 million, or 54%, for the nine months ended September 30, 2019 as compared to the nine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2018. The increase was primarily due to an increase of $6.0 million in salaries and other employee related costs, $2.1 million in travel expense and $1.3 million in facilities and other related expenses as a result of an increase in headcount to further expand our sales and marketing department, $3.4 million in commissions due to increased sales, $2.1 million in stock-based compensation expense due to increase in headcount and issuance of stock grants with higher market value, and $2.2 million in training, advertising and marketing costs due to continued commercialization of our current and future products and continued investment in our global sales organization.</w:t>
      </w:r>
    </w:p>
    <w:p>
      <w:pPr>
        <w:spacing w:after="0" w:line="139" w:lineRule="exact"/>
        <w:rPr>
          <w:sz w:val="20"/>
          <w:szCs w:val="20"/>
          <w:color w:val="auto"/>
        </w:rPr>
      </w:pPr>
    </w:p>
    <w:p>
      <w:pPr>
        <w:jc w:val="both"/>
        <w:ind w:firstLine="356"/>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Expenses. </w:t>
      </w:r>
      <w:r>
        <w:rPr>
          <w:rFonts w:ascii="Times New Roman" w:cs="Times New Roman" w:eastAsia="Times New Roman" w:hAnsi="Times New Roman"/>
          <w:sz w:val="14"/>
          <w:szCs w:val="14"/>
          <w:color w:val="auto"/>
        </w:rPr>
        <w:t>Research and development expenses increased $1.6 million, or 42%, for the nine months ended September 30, 2019 as compared to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was primarily due to an increase of $0.7 million in salaries and other employee related costs, $0.3 million in stock-based compensation expense, and $0.7 million in facilities and other related expenses from increased research and development activities as well as higher headcount.</w:t>
      </w:r>
    </w:p>
    <w:p>
      <w:pPr>
        <w:spacing w:after="0" w:line="132" w:lineRule="exact"/>
        <w:rPr>
          <w:sz w:val="20"/>
          <w:szCs w:val="20"/>
          <w:color w:val="auto"/>
        </w:rPr>
      </w:pPr>
    </w:p>
    <w:p>
      <w:pPr>
        <w:jc w:val="both"/>
        <w:ind w:firstLine="356"/>
        <w:spacing w:after="0" w:line="27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$7.6 million, or 92%, for the nine months ended September 30, 2019 as compared to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2018. The increase was primarily due to $2.5 million accrued litigation expense, $0.7 million in salaries and employee related costs due to increase in headcount, $2.0 million in stock-based compensation from an increase in headcount and issuance of stock grants with higher market value, $1.5 million in consulting and professional services due to additional regulatory and other compliance services required for a public company, and $0.9 million in facilities and other expenses due to expansion of our general and administrative department.</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(Expense), Net</w:t>
      </w:r>
      <w:r>
        <w:rPr>
          <w:rFonts w:ascii="Times New Roman" w:cs="Times New Roman" w:eastAsia="Times New Roman" w:hAnsi="Times New Roman"/>
          <w:sz w:val="14"/>
          <w:szCs w:val="14"/>
          <w:color w:val="auto"/>
        </w:rPr>
        <w: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40" w:type="dxa"/>
            <w:vAlign w:val="bottom"/>
          </w:tcPr>
          <w:p>
            <w:pPr>
              <w:spacing w:after="0"/>
              <w:rPr>
                <w:sz w:val="15"/>
                <w:szCs w:val="15"/>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5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1,852</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931%</w:t>
            </w:r>
          </w:p>
        </w:tc>
      </w:tr>
      <w:tr>
        <w:trPr>
          <w:trHeight w:val="19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(3)%</w:t>
            </w:r>
          </w:p>
        </w:tc>
      </w:tr>
      <w:tr>
        <w:trPr>
          <w:trHeight w:val="23"/>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723</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(85)%</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other expense, net</w:t>
            </w: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(1,787)</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2,695</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increased $1.9 million for the nine months ended September 30, 2019 as compared to the nine months ended September 30, 2018, due to an increase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excess cash in marketable securities.</w:t>
      </w:r>
    </w:p>
    <w:p>
      <w:pPr>
        <w:spacing w:after="0" w:line="119" w:lineRule="exact"/>
        <w:rPr>
          <w:sz w:val="20"/>
          <w:szCs w:val="20"/>
          <w:color w:val="auto"/>
        </w:rPr>
      </w:pPr>
    </w:p>
    <w:p>
      <w:pPr>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Interest Expense</w:t>
      </w:r>
      <w:r>
        <w:rPr>
          <w:rFonts w:ascii="Times New Roman" w:cs="Times New Roman" w:eastAsia="Times New Roman" w:hAnsi="Times New Roman"/>
          <w:sz w:val="14"/>
          <w:szCs w:val="14"/>
          <w:color w:val="auto"/>
        </w:rPr>
        <w:t>. Interest expense remained relatively unchanged for the nine months ended September 30, 2019 as compared to the nine months ended September 30, 2018 and relates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debt.</w:t>
      </w:r>
    </w:p>
    <w:p>
      <w:pPr>
        <w:spacing w:after="0" w:line="119" w:lineRule="exact"/>
        <w:rPr>
          <w:sz w:val="20"/>
          <w:szCs w:val="20"/>
          <w:color w:val="auto"/>
        </w:rPr>
      </w:pPr>
    </w:p>
    <w:p>
      <w:pPr>
        <w:ind w:firstLine="356"/>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decreased by $0.7 million for the nine months ended September 30, 2019 as compared to the nine months ended September 30, 2018,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change in fair value of preferred stock warrant liability of $0.7 million recognized in the nine months ended September 30, 2018.</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487"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00"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As of September 30, 2019, we had cash and marketable securities of $101.5 million compared to $122.2 million as of December 31, 2018. We have financed our operations through our initial public offering, debt financing arrangements, and the sale of our products. As of September 30, 2019 and December 31, 2018, we had $39.2 million and $39.0 million principal amount of outstanding debt, net of debt issuance costs, respectively.</w:t>
      </w:r>
    </w:p>
    <w:p>
      <w:pPr>
        <w:spacing w:after="0" w:line="136"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As of September 30, 2019, we had an accumulated deficit of $186.5 million. During the nine months ended September 30, 2019, we incurred a net loss of $29.3 million. During the years ended December 31, 2018 and 2017, we incurred a net loss of $17.5 million and $23.0 million, respectively, and expect to incur additional losses in the future. We have not achieved positive cash flow from operations to date. The debt covenants associated with our current debt agreement require us to maintain a minimum cash balance and meet either minimum net sales or trailing 12-month consolidated earnings before interest, taxes, depreciation, and amortization ("EBITDA") targets as discussed in detail below. If we do not comply with these covenants, the debt could immediately become due.</w:t>
      </w:r>
    </w:p>
    <w:p>
      <w:pPr>
        <w:spacing w:after="0" w:line="315"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Based upon our current operating plan, we believe that our existing cash, cash equivalents and short-term and long-term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42"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Borrowings</w:t>
      </w:r>
    </w:p>
    <w:p>
      <w:pPr>
        <w:spacing w:after="0" w:line="188"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The outstanding debt is related to a term loan we entered with Biopharma Credit Investments IV Sub LP, or Pharmakon, in October 2017 for total loan proceeds of $40.0 million. The term loan includes an interest-only period for 35 months through September 2020 and is then repaid in equal principal payments plus interest through December 2022. The term loan carries a fixed interest rate of 11.5% and a closing fee of 1.5% of the funded amount, or $0.6 million. The term loan includes a pre-payment fee of the remaining interest payable for the first 30 months of the agreement if it is prepaid within the first 30 months, a 2% prepayment penalty for months 31-48, and a 1% penalty for months 49-60. The term loan is collateralized by all of our assets, including intellectual property. The term loan requires us to maintain a minimum cash balance of $5.0 million.</w:t>
      </w:r>
    </w:p>
    <w:p>
      <w:pPr>
        <w:spacing w:after="0" w:line="14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Beginning this year, we are required to meet either minimum net sales or trailing 12-month consolidated EBITDA targets. We need to meet one or the other, but not both. If we do not meet either the minimum net sales or trailing 12-month consolidated EBITDA targets, the debt will immediately become due. The remaining minimum net sales and trailing 12-month consolidated EBITDA targets are as follows:</w:t>
      </w:r>
    </w:p>
    <w:p>
      <w:pPr>
        <w:spacing w:after="0" w:line="268"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center"/>
              <w:ind w:right="271"/>
              <w:spacing w:after="0"/>
              <w:rPr>
                <w:sz w:val="20"/>
                <w:szCs w:val="20"/>
                <w:color w:val="auto"/>
              </w:rPr>
            </w:pPr>
            <w:r>
              <w:rPr>
                <w:rFonts w:ascii="Times New Roman" w:cs="Times New Roman" w:eastAsia="Times New Roman" w:hAnsi="Times New Roman"/>
                <w:sz w:val="13"/>
                <w:szCs w:val="13"/>
                <w:b w:val="1"/>
                <w:bCs w:val="1"/>
                <w:color w:val="auto"/>
                <w:w w:val="98"/>
              </w:rPr>
              <w:t>Trailing 12-Month</w:t>
            </w:r>
          </w:p>
        </w:tc>
      </w:tr>
      <w:tr>
        <w:trPr>
          <w:trHeight w:val="169"/>
        </w:trPr>
        <w:tc>
          <w:tcPr>
            <w:tcW w:w="282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Twelve Months Ending</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Minimum Net Sales</w:t>
            </w:r>
          </w:p>
        </w:tc>
        <w:tc>
          <w:tcPr>
            <w:tcW w:w="1000" w:type="dxa"/>
            <w:vAlign w:val="bottom"/>
          </w:tcPr>
          <w:p>
            <w:pPr>
              <w:spacing w:after="0"/>
              <w:rPr>
                <w:sz w:val="14"/>
                <w:szCs w:val="14"/>
                <w:color w:val="auto"/>
              </w:rPr>
            </w:pPr>
          </w:p>
        </w:tc>
        <w:tc>
          <w:tcPr>
            <w:tcW w:w="1640" w:type="dxa"/>
            <w:vAlign w:val="bottom"/>
          </w:tcPr>
          <w:p>
            <w:pPr>
              <w:jc w:val="center"/>
              <w:ind w:right="271"/>
              <w:spacing w:after="0"/>
              <w:rPr>
                <w:sz w:val="20"/>
                <w:szCs w:val="20"/>
                <w:color w:val="auto"/>
              </w:rPr>
            </w:pPr>
            <w:r>
              <w:rPr>
                <w:rFonts w:ascii="Times New Roman" w:cs="Times New Roman" w:eastAsia="Times New Roman" w:hAnsi="Times New Roman"/>
                <w:sz w:val="13"/>
                <w:szCs w:val="13"/>
                <w:b w:val="1"/>
                <w:bCs w:val="1"/>
                <w:color w:val="auto"/>
                <w:w w:val="99"/>
              </w:rPr>
              <w:t>Consolidated EBITDA</w:t>
            </w:r>
          </w:p>
        </w:tc>
      </w:tr>
      <w:tr>
        <w:trPr>
          <w:trHeight w:val="27"/>
        </w:trPr>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0"/>
        </w:trPr>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40" w:type="dxa"/>
            <w:vAlign w:val="bottom"/>
          </w:tcPr>
          <w:p>
            <w:pPr>
              <w:spacing w:after="0"/>
              <w:rPr>
                <w:sz w:val="15"/>
                <w:szCs w:val="15"/>
                <w:color w:val="auto"/>
              </w:rPr>
            </w:pPr>
          </w:p>
        </w:tc>
      </w:tr>
      <w:tr>
        <w:trPr>
          <w:trHeight w:val="27"/>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6"/>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56,000</w:t>
            </w:r>
          </w:p>
        </w:tc>
        <w:tc>
          <w:tcPr>
            <w:tcW w:w="1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w:t>
            </w:r>
          </w:p>
        </w:tc>
        <w:tc>
          <w:tcPr>
            <w:tcW w:w="1640" w:type="dxa"/>
            <w:vAlign w:val="bottom"/>
            <w:tcBorders>
              <w:bottom w:val="single" w:sz="8" w:color="CCEEFF"/>
            </w:tcBorders>
            <w:shd w:val="clear" w:color="auto" w:fill="CCEEFF"/>
          </w:tcPr>
          <w:p>
            <w:pPr>
              <w:jc w:val="center"/>
              <w:ind w:right="271"/>
              <w:spacing w:after="0"/>
              <w:rPr>
                <w:sz w:val="20"/>
                <w:szCs w:val="20"/>
                <w:color w:val="auto"/>
              </w:rPr>
            </w:pPr>
            <w:r>
              <w:rPr>
                <w:rFonts w:ascii="Times New Roman" w:cs="Times New Roman" w:eastAsia="Times New Roman" w:hAnsi="Times New Roman"/>
                <w:sz w:val="14"/>
                <w:szCs w:val="14"/>
                <w:color w:val="auto"/>
                <w:w w:val="99"/>
              </w:rPr>
              <w:t>—</w:t>
            </w:r>
          </w:p>
        </w:tc>
      </w:tr>
      <w:tr>
        <w:trPr>
          <w:trHeight w:val="19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57,500</w:t>
            </w: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w:t>
            </w:r>
          </w:p>
        </w:tc>
        <w:tc>
          <w:tcPr>
            <w:tcW w:w="164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1,000</w:t>
            </w:r>
          </w:p>
        </w:tc>
      </w:tr>
      <w:tr>
        <w:trPr>
          <w:trHeight w:val="23"/>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58,500</w:t>
            </w:r>
          </w:p>
        </w:tc>
        <w:tc>
          <w:tcPr>
            <w:tcW w:w="1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w:t>
            </w:r>
          </w:p>
        </w:tc>
        <w:tc>
          <w:tcPr>
            <w:tcW w:w="1640" w:type="dxa"/>
            <w:vAlign w:val="bottom"/>
            <w:tcBorders>
              <w:bottom w:val="single" w:sz="8" w:color="CCEEFF"/>
            </w:tcBorders>
            <w:shd w:val="clear" w:color="auto" w:fill="CCEEFF"/>
          </w:tcPr>
          <w:p>
            <w:pPr>
              <w:jc w:val="center"/>
              <w:ind w:right="251"/>
              <w:spacing w:after="0"/>
              <w:rPr>
                <w:sz w:val="20"/>
                <w:szCs w:val="20"/>
                <w:color w:val="auto"/>
              </w:rPr>
            </w:pPr>
            <w:r>
              <w:rPr>
                <w:rFonts w:ascii="Times New Roman" w:cs="Times New Roman" w:eastAsia="Times New Roman" w:hAnsi="Times New Roman"/>
                <w:sz w:val="14"/>
                <w:szCs w:val="14"/>
                <w:color w:val="auto"/>
              </w:rPr>
              <w:t>2,000</w:t>
            </w:r>
          </w:p>
        </w:tc>
      </w:tr>
      <w:tr>
        <w:trPr>
          <w:trHeight w:val="19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 as applicable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w:t>
            </w: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w:t>
            </w:r>
          </w:p>
        </w:tc>
        <w:tc>
          <w:tcPr>
            <w:tcW w:w="164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3,000</w:t>
            </w:r>
          </w:p>
        </w:tc>
      </w:tr>
    </w:tbl>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2019 and December 31, 2018, we were in compliance with all of our debt obligations and covenants.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662" w:right="219" w:bottom="1440" w:gutter="0" w:footer="0" w:header="0"/>
        </w:sectPr>
      </w:pPr>
    </w:p>
    <w:bookmarkStart w:id="29" w:name="page30"/>
    <w:bookmarkEnd w:id="29"/>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88" w:lineRule="exact"/>
        <w:rPr>
          <w:sz w:val="20"/>
          <w:szCs w:val="20"/>
          <w:color w:val="auto"/>
        </w:rPr>
      </w:pPr>
    </w:p>
    <w:p>
      <w:pPr>
        <w:jc w:val="both"/>
        <w:ind w:firstLine="323"/>
        <w:spacing w:after="0" w:line="294" w:lineRule="auto"/>
        <w:rPr>
          <w:sz w:val="20"/>
          <w:szCs w:val="20"/>
          <w:color w:val="auto"/>
        </w:rPr>
      </w:pPr>
      <w:r>
        <w:rPr>
          <w:rFonts w:ascii="Times New Roman" w:cs="Times New Roman" w:eastAsia="Times New Roman" w:hAnsi="Times New Roman"/>
          <w:sz w:val="14"/>
          <w:szCs w:val="14"/>
          <w:color w:val="auto"/>
        </w:rPr>
        <w:t>There have been no material changes to our contractual obligations and commitments outside the ordinary course of business as of September 30, 2019 compared to our contractual obligations and commitments as of December 31, 2018 as reported in tabular format in our Annual Report on Form 10-K for the year ended December 31, 2018.</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primary sources and uses of cash for each of the periods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2018</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4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(22,594)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(14,392)</w:t>
            </w:r>
          </w:p>
        </w:tc>
        <w:tc>
          <w:tcPr>
            <w:tcW w:w="14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175%</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9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7,916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8,693</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7"/>
              </w:rPr>
              <w:t>(1119)%</w:t>
            </w: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1,609</w:t>
            </w:r>
          </w:p>
        </w:tc>
        <w:tc>
          <w:tcPr>
            <w:tcW w:w="14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257%</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(12,506)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Cash Used in Operating Activities</w:t>
      </w:r>
    </w:p>
    <w:p>
      <w:pPr>
        <w:spacing w:after="0" w:line="100"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increased $14.4 million, from the nine months ended September 30, 2018 to the nine months ended September 30, 2019. The increase was primarily due to an increase of $17.2 million in our net loss, partially offset by an increase of $2.6 million in non-cash charges. The increase in net loss resulted from higher operating expenses from expansion of the business, partially offset by higher revenue. The increase in non-cash charges was mainly due to an increase in stock-based compensation expense, partially offset by accretion of our marketable securities. Changes in operating assets and liabilities increased cash by $0.1 million for the nine months ended September 30, 2019 compared to the nine months ended September 30, 2018 primarily due to increases in accounts payable, accrued expenses and other liabilities due to timing of payments, which were partially offset by increases in inventories and accounts receivable as a result of increased case volumes and growth of the business.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Cash Provided by (Used in) Investing Activities</w:t>
      </w:r>
    </w:p>
    <w:p>
      <w:pPr>
        <w:spacing w:after="0" w:line="100"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Net cash provided by investing activities in the nine months ended September 30, 2019 was $7.9 million compared to net cash used in investing activities of $0.8 million in the nine months ended September 30, 2018. Cash provided by investing activities for the nine months ended September 30, 2019 consisted of maturities of our marketable securities of $117.1 million, partially offset by purchases of marketable securities of $107.5 million and purchases of property and equipment of $1.6 million. Net cash used in investing activities for the nine months ended September 30, 2018 consisted of purchases of property and equipment.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Cash Provided by Financing Activities</w:t>
      </w:r>
    </w:p>
    <w:p>
      <w:pPr>
        <w:spacing w:after="0" w:line="100"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Cash provided by financing activities increased $1.6 million, from the nine months ended September 30, 2018 to the nine months ended September 30, 2019. Cash provided by financing activities for the nine months ended September 30, 2019 primarily consisted of proceeds received from the issuance of shares of common stock under our employee stock purchase plan of $1.3 million and proceeds received from exercises of stock options of $1.2 million, partially offset by payments for public company offering costs of $0.2 million. Cash provided by financing activities for the nine months ended September 30, 2018 consisted of proceeds from exercises of stock options of $0.9 million, partially offset by payments for public company offering costs of $0.3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60"/>
          </w:cols>
          <w:pgMar w:left="220" w:top="487"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358"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315"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critical accounting policies and estimates are described in "Management's Discussion and Analysis of Financial Condition and Results of Operations—Critical Accounting Policies and Estimates" in our Annual Report on Form 10-K filed with the SEC on March 14, 2019. There had been no material changes to these accounting policies. See Note 2 of Notes to Condensed Consolidated Financial Statements (Unaudited) for related discussions on updates on recently issued accounting pronouncements.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00"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We do not have any relationships with unconsolidated organizations or financial partnerships, such as structured finance or special purpose entities that have been established for the purpose of facilitating off-balance sheet arrangements or other contractually narrow or limited purposes.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00"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00"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Note 2 of Notes to Condensed Consolidated Financial Statements (Unaudited) for related discussions on updates on recently issued accounting pronouncements.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the information required by this Item.</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8" w:lineRule="exact"/>
        <w:rPr>
          <w:sz w:val="20"/>
          <w:szCs w:val="20"/>
          <w:color w:val="auto"/>
        </w:rPr>
      </w:pPr>
    </w:p>
    <w:p>
      <w:pPr>
        <w:jc w:val="both"/>
        <w:ind w:firstLine="388"/>
        <w:spacing w:after="0" w:line="269"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60"/>
          </w:cols>
          <w:pgMar w:left="220" w:top="662" w:right="219" w:bottom="1440" w:gutter="0" w:footer="0" w:header="0"/>
        </w:sectPr>
      </w:pPr>
    </w:p>
    <w:bookmarkStart w:id="31" w:name="page32"/>
    <w:bookmarkEnd w:id="31"/>
    <w:p>
      <w:pPr>
        <w:jc w:val="both"/>
        <w:ind w:firstLine="388"/>
        <w:spacing w:after="0" w:line="266"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42" w:lineRule="exact"/>
        <w:rPr>
          <w:sz w:val="20"/>
          <w:szCs w:val="20"/>
          <w:color w:val="auto"/>
        </w:rPr>
      </w:pPr>
    </w:p>
    <w:p>
      <w:pPr>
        <w:jc w:val="both"/>
        <w:ind w:firstLine="388"/>
        <w:spacing w:after="0" w:line="275" w:lineRule="auto"/>
        <w:rPr>
          <w:sz w:val="20"/>
          <w:szCs w:val="20"/>
          <w:color w:val="auto"/>
        </w:rPr>
      </w:pPr>
      <w:r>
        <w:rPr>
          <w:rFonts w:ascii="Times New Roman" w:cs="Times New Roman" w:eastAsia="Times New Roman" w:hAnsi="Times New Roman"/>
          <w:sz w:val="14"/>
          <w:szCs w:val="14"/>
          <w:color w:val="auto"/>
        </w:rPr>
        <w:t>Management, with the participation of the Chief Executive Officer and Chief Financial Officer, evaluated the effectiveness of the design and operation of our disclosure controls and procedures as defined in Rules 13a-15(e) and 15d-15(e) of the Exchange Act as of the end of the period covered by this report. Based on this evaluation, our Chief Executive Officer and Chief Financial Officer have concluded that, as of September 30, 2019, our disclosure controls and procedures were effective at the reasonable assurances level.</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8" w:lineRule="exact"/>
        <w:rPr>
          <w:sz w:val="20"/>
          <w:szCs w:val="20"/>
          <w:color w:val="auto"/>
        </w:rPr>
      </w:pPr>
    </w:p>
    <w:p>
      <w:pPr>
        <w:jc w:val="both"/>
        <w:ind w:firstLine="388"/>
        <w:spacing w:after="0" w:line="29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4" w:lineRule="exact"/>
        <w:rPr>
          <w:sz w:val="20"/>
          <w:szCs w:val="20"/>
          <w:color w:val="auto"/>
        </w:rPr>
      </w:pPr>
    </w:p>
    <w:p>
      <w:pPr>
        <w:jc w:val="both"/>
        <w:ind w:firstLine="388"/>
        <w:spacing w:after="0" w:line="297" w:lineRule="auto"/>
        <w:rPr>
          <w:sz w:val="20"/>
          <w:szCs w:val="20"/>
          <w:color w:val="auto"/>
        </w:rPr>
      </w:pPr>
      <w:r>
        <w:rPr>
          <w:rFonts w:ascii="Times New Roman" w:cs="Times New Roman" w:eastAsia="Times New Roman" w:hAnsi="Times New Roman"/>
          <w:sz w:val="14"/>
          <w:szCs w:val="14"/>
          <w:color w:val="auto"/>
        </w:rPr>
        <w:t xml:space="preserve">For information regarding legal proceedings, refer to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in “Note 6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Commitments and Contingencies” in the accompanying Notes to Condensed Consolidated Financial Statements (Unaudited), which information is incorporated by reference here.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4" w:lineRule="exact"/>
        <w:rPr>
          <w:sz w:val="20"/>
          <w:szCs w:val="20"/>
          <w:color w:val="auto"/>
        </w:rPr>
      </w:pPr>
    </w:p>
    <w:p>
      <w:pPr>
        <w:jc w:val="both"/>
        <w:ind w:firstLine="356"/>
        <w:spacing w:after="0" w:line="267"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88"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We have incurred net losses since our inception in 2008. For the nine months ended September 30, 2019, we had net loss of $29.3 million. For the years ended December 31, 2018 and 2017, we had net losses of $17.5 million and $23.0 million, respectively. As of September 30, 2019, we had an accumulated deficit of $186.5 million. To date, we have financed our operations primarily through the proceeds of our initial public offering of our common stock, or IPO,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60"/>
          </w:cols>
          <w:pgMar w:left="220" w:top="491" w:right="219" w:bottom="1440" w:gutter="0" w:footer="0" w:header="0"/>
        </w:sectPr>
      </w:pPr>
    </w:p>
    <w:bookmarkStart w:id="32" w:name="page33"/>
    <w:bookmarkEnd w:id="32"/>
    <w:p>
      <w:pPr>
        <w:jc w:val="both"/>
        <w:ind w:firstLine="356"/>
        <w:spacing w:after="0" w:line="259" w:lineRule="auto"/>
        <w:rPr>
          <w:sz w:val="20"/>
          <w:szCs w:val="20"/>
          <w:color w:val="auto"/>
        </w:rPr>
      </w:pPr>
      <w:r>
        <w:rPr>
          <w:rFonts w:ascii="Times New Roman" w:cs="Times New Roman" w:eastAsia="Times New Roman" w:hAnsi="Times New Roman"/>
          <w:sz w:val="14"/>
          <w:szCs w:val="14"/>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3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36"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4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Many private payors refer to coverage decisions and payment amounts determined by the Centers for Medicare and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44"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60"/>
          </w:cols>
          <w:pgMar w:left="220" w:top="664" w:right="219" w:bottom="1440" w:gutter="0" w:footer="0" w:header="0"/>
        </w:sectPr>
      </w:pPr>
    </w:p>
    <w:bookmarkStart w:id="33" w:name="page34"/>
    <w:bookmarkEnd w:id="33"/>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3"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40"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The national average Medicare payment per procedure to hospital outpatient departments was $14,704 effective January 1, 2017. Effective January 1, 2019, the national average Medicare payment to hospital outpatient departments is $15,402 and the Medicare payment to an ambulatory surgical center for a sacroiliac joint fusion is $12,481. Effective January 1, 2020, the national average Medicare payment to hospital outpatient departments will be $15,944 and the Medicare payment to an ambulatory surgical center for a sacroiliac joint fusion will be $12,981.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42"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The national average Medicare payment for the Category I CPT code effective on January 1, 2016 was $718 and was increased to $720 effective January 1, 2019. Effective January 1, 2020, the average Medicare payment for the Category I CPT code will be $915.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321"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7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33"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As of September 30, 2019, 32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60"/>
          </w:cols>
          <w:pgMar w:left="220" w:top="746" w:right="219" w:bottom="1440" w:gutter="0" w:footer="0" w:header="0"/>
        </w:sectPr>
      </w:pPr>
    </w:p>
    <w:bookmarkStart w:id="34" w:name="page35"/>
    <w:bookmarkEnd w:id="34"/>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3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Surgeons play the primary role in determining the course of treatment in consultation with their patients and, ultimately, the product that will be used to treat a patient.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36"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Surgeons may also hesitate to change their medical treatment practices for other reasons, including the following:</w:t>
      </w:r>
    </w:p>
    <w:p>
      <w:pPr>
        <w:spacing w:after="0" w:line="98" w:lineRule="exact"/>
        <w:rPr>
          <w:sz w:val="20"/>
          <w:szCs w:val="20"/>
          <w:color w:val="auto"/>
        </w:rPr>
      </w:pPr>
    </w:p>
    <w:p>
      <w:pPr>
        <w:ind w:left="700" w:hanging="349"/>
        <w:spacing w:after="0"/>
        <w:tabs>
          <w:tab w:leader="none" w:pos="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minimally invasive procedures;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liability risks generally associated with the use of new products and procedures;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the purchase of new products;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commitment that may be required for training.</w:t>
      </w:r>
    </w:p>
    <w:p>
      <w:pPr>
        <w:spacing w:after="0" w:line="184" w:lineRule="exact"/>
        <w:rPr>
          <w:sz w:val="20"/>
          <w:szCs w:val="20"/>
          <w:color w:val="auto"/>
        </w:rPr>
      </w:pPr>
    </w:p>
    <w:p>
      <w:pPr>
        <w:jc w:val="both"/>
        <w:ind w:firstLine="356"/>
        <w:spacing w:after="0" w:line="273" w:lineRule="auto"/>
        <w:rPr>
          <w:sz w:val="20"/>
          <w:szCs w:val="20"/>
          <w:color w:val="auto"/>
        </w:rPr>
      </w:pPr>
      <w:r>
        <w:rPr>
          <w:rFonts w:ascii="Times New Roman" w:cs="Times New Roman" w:eastAsia="Times New Roman" w:hAnsi="Times New Roman"/>
          <w:sz w:val="14"/>
          <w:szCs w:val="14"/>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313"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Many patients with sacroiliac joint dysfunction are cared for by pain physicians, who are generally trained as anesthesiologists or physical medicine and rehabilitation specialists. These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7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33"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4"/>
          <w:szCs w:val="14"/>
          <w:color w:val="auto"/>
        </w:rPr>
        <w:t>The products we currently market in the United States have either received premarket clearance under Section 510(k) of the U.S. Federal Food, Drug, and Cosmetic Act ("FDCA"), or are exempt from premarket review. Those marketed in the European Union ("EU"), have been the subject of a CE Certificate of Conformity. The 510(k) clearance process of the FDA requires us to document that our product is “substantially equivalent” to another 510(k)-cleared products.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60"/>
          </w:cols>
          <w:pgMar w:left="220" w:top="746" w:right="219" w:bottom="1440" w:gutter="0" w:footer="0" w:header="0"/>
        </w:sectPr>
      </w:pPr>
    </w:p>
    <w:bookmarkStart w:id="35" w:name="page36"/>
    <w:bookmarkEnd w:id="35"/>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3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36"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23" w:lineRule="exact"/>
        <w:rPr>
          <w:sz w:val="20"/>
          <w:szCs w:val="20"/>
          <w:color w:val="auto"/>
        </w:rPr>
      </w:pPr>
    </w:p>
    <w:p>
      <w:pPr>
        <w:jc w:val="both"/>
        <w:ind w:firstLine="356"/>
        <w:spacing w:after="0" w:line="273" w:lineRule="auto"/>
        <w:rPr>
          <w:sz w:val="20"/>
          <w:szCs w:val="20"/>
          <w:color w:val="auto"/>
        </w:rPr>
      </w:pPr>
      <w:r>
        <w:rPr>
          <w:rFonts w:ascii="Times New Roman" w:cs="Times New Roman" w:eastAsia="Times New Roman" w:hAnsi="Times New Roman"/>
          <w:sz w:val="14"/>
          <w:szCs w:val="14"/>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313"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49"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33"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229" w:lineRule="exact"/>
        <w:rPr>
          <w:sz w:val="20"/>
          <w:szCs w:val="20"/>
          <w:color w:val="auto"/>
        </w:rPr>
      </w:pPr>
    </w:p>
    <w:p>
      <w:pPr>
        <w:jc w:val="both"/>
        <w:ind w:firstLine="356"/>
        <w:spacing w:after="0" w:line="265" w:lineRule="auto"/>
        <w:rPr>
          <w:sz w:val="20"/>
          <w:szCs w:val="20"/>
          <w:color w:val="auto"/>
        </w:rPr>
      </w:pPr>
      <w:r>
        <w:rPr>
          <w:rFonts w:ascii="Times New Roman" w:cs="Times New Roman" w:eastAsia="Times New Roman" w:hAnsi="Times New Roman"/>
          <w:sz w:val="14"/>
          <w:szCs w:val="14"/>
          <w:color w:val="auto"/>
        </w:rPr>
        <w:t>The number of competitors that we are aware of marketing sacroiliac joint fusion products in the United States has grown from zero to 23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746" w:right="219" w:bottom="1440" w:gutter="0" w:footer="0" w:header="0"/>
        </w:sectPr>
      </w:pPr>
    </w:p>
    <w:bookmarkStart w:id="36" w:name="page37"/>
    <w:bookmarkEnd w:id="36"/>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the United States,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10" w:lineRule="exact"/>
        <w:rPr>
          <w:sz w:val="20"/>
          <w:szCs w:val="20"/>
          <w:color w:val="auto"/>
        </w:rPr>
      </w:pPr>
    </w:p>
    <w:p>
      <w:pPr>
        <w:jc w:val="both"/>
        <w:ind w:firstLine="356"/>
        <w:spacing w:after="0" w:line="267" w:lineRule="auto"/>
        <w:rPr>
          <w:sz w:val="20"/>
          <w:szCs w:val="20"/>
          <w:color w:val="auto"/>
        </w:rPr>
      </w:pPr>
      <w:r>
        <w:rPr>
          <w:rFonts w:ascii="Times New Roman" w:cs="Times New Roman" w:eastAsia="Times New Roman" w:hAnsi="Times New Roman"/>
          <w:sz w:val="14"/>
          <w:szCs w:val="14"/>
          <w:color w:val="auto"/>
        </w:rPr>
        <w:t>Some of our larger competitors are either publicly traded or divisions or subsidiaries of publicly traded companies. These competitors may enjoy several competitive advantages over us, including:</w:t>
      </w:r>
    </w:p>
    <w:p>
      <w:pPr>
        <w:spacing w:after="0" w:line="252" w:lineRule="exact"/>
        <w:rPr>
          <w:sz w:val="20"/>
          <w:szCs w:val="20"/>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human, and other resources for product research and development, sales and marketing, and legal matters;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greater name recognition;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relationships with surgeons, hospitals, and other healthcare providers;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 and established sales and marketing and distribution networks;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experience in obtaining and maintaining domestic and international regulatory clearances or approvals, or CE Certificates of Conformity for products and product enhancements;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expansive portfolios of intellectual property rights;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ability to cross-sell their products or to incentivize hospitals or surgeons to use their products.</w:t>
      </w:r>
    </w:p>
    <w:p>
      <w:pPr>
        <w:spacing w:after="0" w:line="184"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40"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currently manufacture and sell a single family of products focused on procedures whose goal is to stabilize and fuse the sacroiliac joint, which could negatively affect our operations and financial condition.</w:t>
      </w:r>
    </w:p>
    <w:p>
      <w:pPr>
        <w:spacing w:after="0" w:line="33"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3"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60"/>
          </w:cols>
          <w:pgMar w:left="220" w:top="664"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and expand our network of direct sales representatives and third-party distributors, we may not be able to generate anticipated sales.</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As of September 30, 2019, our U.S. sales force consisted of 53 sales representatives directly employed by us, and 34 third-party sales representatives. As of September 30, 2019, our international sales force consisted of 19 sales representatives directly employed by us and 28 exclusive third-party distributors, which together have had sales in 34 countries through September 30, 2019. Our operating results are directly dependent upon the sales and marketing efforts of both our direct sales force and of our third-party distributors.</w:t>
      </w:r>
    </w:p>
    <w:p>
      <w:pPr>
        <w:spacing w:after="0" w:line="136"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44"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45"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42"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may face difficulties encountered by early stage companies in new and rapidly evolving markets.</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We were formed in 2008. Accordingly, we have a limited operating history upon which to base an evaluation of our business and prospects. In assessing our prospects, investors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0" w:lineRule="exact"/>
        <w:rPr>
          <w:sz w:val="20"/>
          <w:szCs w:val="20"/>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coverage by third-party, private, and government payors;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increase awareness of our brand and strengthen customer loyalty;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domestic and international regulatory clearances or approvals, and CE Certificates of Conformity to commercialize new products and enhance our existing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rapidly changing and expanding operations;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our direct sales force and increase the number of our third-party distributors to expand sales of our products in the United States and in targeted international markets;</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and successfully execute our business and marketing strategy;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effectively to competitive pressures and developments;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enhance our products and product candidates;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60"/>
          </w:cols>
          <w:pgMar w:left="220" w:top="746" w:right="219" w:bottom="1440" w:gutter="0" w:footer="0" w:header="0"/>
        </w:sectPr>
      </w:pPr>
    </w:p>
    <w:bookmarkStart w:id="38" w:name="page39"/>
    <w:bookmarkEnd w:id="38"/>
    <w:p>
      <w:pPr>
        <w:ind w:left="700" w:hanging="349"/>
        <w:spacing w:after="0"/>
        <w:tabs>
          <w:tab w:leader="none" w:pos="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presence and commence operations in international markets;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clinical research and trials on our existing products and current and future product candidates;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qualified personnel.</w:t>
      </w:r>
    </w:p>
    <w:p>
      <w:pPr>
        <w:spacing w:after="0" w:line="184"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volumes and our operating results may fluctuate over the course of the year.</w:t>
      </w:r>
    </w:p>
    <w:p>
      <w:pPr>
        <w:spacing w:after="0" w:line="102"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37" w:lineRule="exact"/>
        <w:rPr>
          <w:sz w:val="20"/>
          <w:szCs w:val="20"/>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payor coverage and reimbursement;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products sold in the quarter and our ability to drive increased sales of our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an effective and dedicated sales force;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pressure applicable to our products, including adverse third-party coverage and reimbursement outcomes;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research and trials on our existing products and products in development;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our products sold because profit margins differ amongst our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new product offerings, acquisitions, licenses or other significant events by us or our competitors;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suppliers to timely provide us with an adequate supply of materials and components;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evolving product offerings of our competitors;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and pricing of, our products and the products of our competitors;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that may affect the sale of our products, including seasonality and budgets of our customers;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international regulatory clearances or approvals, or CE Certificates of Conformity, and legislative changes affecting the products we may offer or those of our competitors;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 in the manufacturing or distribution of our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industry and market developments;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the geographic reach of our sales and marketing efforts;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maintaining adequate insurance coverage, including product liability insurance;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components and materials;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selling days in the quarter;</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 in foreign currency exchange rates;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and other special charges.</w:t>
      </w:r>
    </w:p>
    <w:p>
      <w:pPr>
        <w:spacing w:after="0" w:line="15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60"/>
          </w:cols>
          <w:pgMar w:left="220" w:top="578"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If our business strategy proves to be flawed, or if we do not successfully implement our business strategy, our business and results of operations will be adversely affected</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36"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if we lose the services of key members of our senior management, key advisors or personnel.</w:t>
      </w:r>
    </w:p>
    <w:p>
      <w:pPr>
        <w:spacing w:after="0" w:line="10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 may have undesirable side effects which may require them to be taken off the market, require them to include safety warnings or otherwise limit their sales.</w:t>
      </w:r>
    </w:p>
    <w:p>
      <w:pPr>
        <w:spacing w:after="0" w:line="10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we or others later identify adverse events caused by our products:</w:t>
      </w:r>
    </w:p>
    <w:p>
      <w:pPr>
        <w:spacing w:after="0" w:line="98" w:lineRule="exact"/>
        <w:rPr>
          <w:sz w:val="20"/>
          <w:szCs w:val="20"/>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the product may decrease significantly, and we may not achieve the anticipated market share;</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3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instructions regarding the way the product is implanted or conduct additional clinical trials;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limitations on how we may promote the product;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us to take our approved product off the market (temporarily or permanently) or to conduct other field safety corrective actions;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modify our product;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litigation fines or product liability claims;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84"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60"/>
          </w:cols>
          <w:pgMar w:left="220" w:top="746" w:right="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Various factors outside our direct control may adversely affect manufacturing, sterilization, and distribution of our products.</w:t>
      </w:r>
    </w:p>
    <w:p>
      <w:pPr>
        <w:spacing w:after="0" w:line="102" w:lineRule="exact"/>
        <w:rPr>
          <w:sz w:val="20"/>
          <w:szCs w:val="20"/>
          <w:color w:val="auto"/>
        </w:rPr>
      </w:pPr>
    </w:p>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218" w:lineRule="exact"/>
        <w:rPr>
          <w:sz w:val="20"/>
          <w:szCs w:val="20"/>
          <w:color w:val="auto"/>
        </w:rPr>
      </w:pPr>
    </w:p>
    <w:p>
      <w:pPr>
        <w:ind w:left="700" w:hanging="349"/>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sterilization on time or in compliance with the required regulatory standards;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and import and export risk;</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analytical results or failure of analytical techniques that we will depend on for quality control and release of products;</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labor disputes, financial distress, raw material availability, issues with facilities and equipment, or other forms of disruption to business operations affecting our manufacturers or suppliers; and</w:t>
      </w:r>
    </w:p>
    <w:p>
      <w:pPr>
        <w:spacing w:after="0" w:line="3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latent defects that may become apparent after products have been released and that may result in a recall of such products.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any of these risks were to materialize, our ability to provide our products to customers on a timely basis would be adversely impacted.</w:t>
      </w:r>
    </w:p>
    <w:p>
      <w:pPr>
        <w:spacing w:after="0" w:line="21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33"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40"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36" w:lineRule="exact"/>
        <w:rPr>
          <w:sz w:val="20"/>
          <w:szCs w:val="20"/>
          <w:color w:val="auto"/>
        </w:rPr>
      </w:pPr>
    </w:p>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We generally use a small number of suppliers for our instruments and rely on one supplier, Orchid Bio-Coat, a division of Orchid Orthopedic Solutions LLC, for the coating of our first-generation iFuse implants and one supplier, rms Company, for our second-generation iFuse-3D implants. Our dependence on such a limited number of suppliers exposes us to risks, including, among other things:</w:t>
      </w:r>
    </w:p>
    <w:p>
      <w:pPr>
        <w:spacing w:after="0" w:line="218" w:lineRule="exact"/>
        <w:rPr>
          <w:sz w:val="20"/>
          <w:szCs w:val="20"/>
          <w:color w:val="auto"/>
        </w:rPr>
      </w:pPr>
    </w:p>
    <w:p>
      <w:pPr>
        <w:ind w:left="700" w:hanging="349"/>
        <w:spacing w:after="0" w:line="294"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36"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36"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3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third-party manufacturers and suppliers may be subject to price fluctuations due to a lack of long-term supply arrangements for key components;</w:t>
      </w:r>
    </w:p>
    <w:p>
      <w:pPr>
        <w:spacing w:after="0" w:line="97" w:lineRule="exact"/>
        <w:rPr>
          <w:rFonts w:ascii="Times New Roman" w:cs="Times New Roman" w:eastAsia="Times New Roman" w:hAnsi="Times New Roman"/>
          <w:sz w:val="14"/>
          <w:szCs w:val="14"/>
          <w:color w:val="auto"/>
        </w:rPr>
      </w:pPr>
    </w:p>
    <w:p>
      <w:pPr>
        <w:ind w:left="700" w:hanging="349"/>
        <w:spacing w:after="0" w:line="267"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third-party manufacturers and suppliers may lose access to critical services and components, resulting in an interruption in the manufacture, assembly and shipment of our systems;</w:t>
      </w:r>
    </w:p>
    <w:p>
      <w:pPr>
        <w:spacing w:after="0" w:line="251"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delivery by our third-party manufacturers and suppliers due to changes in demand from us or their other customers;</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products that our third-party manufacturers and suppliers manufacture for others may affect their ability or willingness to deliver components to us in a timely manner;</w:t>
      </w:r>
    </w:p>
    <w:p>
      <w:pPr>
        <w:spacing w:after="0" w:line="3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and suppliers may wish to discontinue supplying components or services to us for risk management reasons;</w:t>
      </w:r>
    </w:p>
    <w:p>
      <w:pPr>
        <w:spacing w:after="0" w:line="97" w:lineRule="exact"/>
        <w:rPr>
          <w:rFonts w:ascii="Times New Roman" w:cs="Times New Roman" w:eastAsia="Times New Roman" w:hAnsi="Times New Roman"/>
          <w:sz w:val="14"/>
          <w:szCs w:val="14"/>
          <w:color w:val="auto"/>
        </w:rPr>
      </w:pPr>
    </w:p>
    <w:p>
      <w:pPr>
        <w:ind w:left="700" w:hanging="349"/>
        <w:spacing w:after="0" w:line="267" w:lineRule="auto"/>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find new or alternative components or reconfigure our system and manufacturing processes in a timely manner if the necessary components become unavailable;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60"/>
          </w:cols>
          <w:pgMar w:left="220" w:top="746" w:right="219" w:bottom="1440" w:gutter="0" w:footer="0" w:header="0"/>
        </w:sectPr>
      </w:pPr>
    </w:p>
    <w:bookmarkStart w:id="41" w:name="page42"/>
    <w:bookmarkEnd w:id="41"/>
    <w:p>
      <w:pPr>
        <w:ind w:left="700" w:hanging="349"/>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and suppliers may encounter financial hardships unrelated to our demand, which could inhibit their ability to fulfill our orders and meet our requirements.</w:t>
      </w:r>
    </w:p>
    <w:p>
      <w:pPr>
        <w:spacing w:after="0" w:line="184"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04"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49"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4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4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3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37" w:lineRule="exact"/>
        <w:rPr>
          <w:sz w:val="20"/>
          <w:szCs w:val="20"/>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production yields;</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quality control and assurance;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component and service availability;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adequate control policies and procedures;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retaining qualified personnel;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state, federal, and foreign regulations.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60"/>
          </w:cols>
          <w:pgMar w:left="220" w:top="577" w:right="219" w:bottom="1440" w:gutter="0" w:footer="0" w:header="0"/>
        </w:sectPr>
      </w:pPr>
    </w:p>
    <w:bookmarkStart w:id="42" w:name="page43"/>
    <w:bookmarkEnd w:id="42"/>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enhance and broaden our product offerings through our research and development efforts, we may be unable to compete effectively.</w:t>
      </w:r>
    </w:p>
    <w:p>
      <w:pPr>
        <w:spacing w:after="0" w:line="10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54" w:lineRule="exact"/>
        <w:rPr>
          <w:sz w:val="20"/>
          <w:szCs w:val="20"/>
          <w:color w:val="auto"/>
        </w:rPr>
      </w:pPr>
    </w:p>
    <w:p>
      <w:pPr>
        <w:ind w:left="700" w:hanging="349"/>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properly identify and anticipate surgeon and patient needs;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introduce new products or product enhancements in a timely manner;</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adequately protect our intellectual property and avoid infringing upon the intellectual property rights of third parties;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the safety and effectiveness of new products;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the necessary domestic and international regulatory clearances or approvals and CE Certificates of Conformity for new products or product enhancements.</w:t>
      </w:r>
    </w:p>
    <w:p>
      <w:pPr>
        <w:spacing w:after="0" w:line="184"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required to maintain adequate levels of inventory, the failure of which could consume our resources and reduce our cash flows.</w:t>
      </w:r>
    </w:p>
    <w:p>
      <w:pPr>
        <w:spacing w:after="0" w:line="10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60"/>
          </w:cols>
          <w:pgMar w:left="220" w:top="664" w:right="219" w:bottom="1440" w:gutter="0" w:footer="0" w:header="0"/>
        </w:sectPr>
      </w:pPr>
    </w:p>
    <w:bookmarkStart w:id="43" w:name="page44"/>
    <w:bookmarkEnd w:id="43"/>
    <w:p>
      <w:pPr>
        <w:jc w:val="both"/>
        <w:ind w:firstLine="356"/>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48"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could suffer if we are unable to manage our planned international expansion effectively.</w:t>
      </w:r>
    </w:p>
    <w:p>
      <w:pPr>
        <w:spacing w:after="0" w:line="102"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3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addition, some of the countries in which we sell or plan to sell our products are, to some degree, subject to various risks, including:</w:t>
      </w:r>
    </w:p>
    <w:p>
      <w:pPr>
        <w:spacing w:after="0" w:line="98" w:lineRule="exact"/>
        <w:rPr>
          <w:sz w:val="20"/>
          <w:szCs w:val="20"/>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different legal and regulatory standards;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stringent protection of intellectual property;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obstacles to obtaining domestic and foreign export, import, and other governmental approvals, permits, and licenses and compliance with foreign laws;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adverse tax consequences and the complexities of foreign value-added tax systems;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tariffs and trade restrictions;</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repatriation of earnings;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delays and difficulties of managing international distribution channels;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collection periods and difficulties in collecting receivables from foreign entities;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financing costs;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risks;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 economic instability and increased security concerns.</w:t>
      </w:r>
    </w:p>
    <w:p>
      <w:pPr>
        <w:spacing w:after="0" w:line="184"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60"/>
          </w:cols>
          <w:pgMar w:left="220" w:top="573" w:right="219" w:bottom="1440" w:gutter="0" w:footer="0" w:header="0"/>
        </w:sectPr>
      </w:pPr>
    </w:p>
    <w:bookmarkStart w:id="44" w:name="page45"/>
    <w:bookmarkEnd w:id="44"/>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the future our products may become obsolete, which would negatively affect operations and financial condition.</w:t>
      </w:r>
    </w:p>
    <w:p>
      <w:pPr>
        <w:spacing w:after="0" w:line="102"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98" w:lineRule="exact"/>
        <w:rPr>
          <w:sz w:val="20"/>
          <w:szCs w:val="20"/>
          <w:color w:val="auto"/>
        </w:rPr>
      </w:pPr>
    </w:p>
    <w:p>
      <w:pPr>
        <w:jc w:val="center"/>
        <w:ind w:right="1580"/>
        <w:spacing w:after="0" w:line="3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If we experience significant disruptions in our information technology systems, our business, results of operations, and financial condition could be adversely affected. </w:t>
      </w:r>
      <w:r>
        <w:rPr>
          <w:rFonts w:ascii="Times New Roman" w:cs="Times New Roman" w:eastAsia="Times New Roman" w:hAnsi="Times New Roman"/>
          <w:sz w:val="14"/>
          <w:szCs w:val="14"/>
          <w:color w:val="auto"/>
        </w:rPr>
        <w:t>The efficient operation of our business depends on our information technology systems. We rely on our information technology systems to effectively manage:</w:t>
      </w:r>
    </w:p>
    <w:p>
      <w:pPr>
        <w:spacing w:after="0" w:line="1" w:lineRule="exact"/>
        <w:rPr>
          <w:sz w:val="20"/>
          <w:szCs w:val="20"/>
          <w:color w:val="auto"/>
        </w:rPr>
      </w:pPr>
    </w:p>
    <w:p>
      <w:pPr>
        <w:ind w:left="700" w:hanging="349"/>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accounting, and financial functions;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management;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 and product development tasks;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data.</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information technology systems are vulnerable to damage or interruption from:</w:t>
      </w:r>
    </w:p>
    <w:p>
      <w:pPr>
        <w:spacing w:after="0" w:line="98" w:lineRule="exact"/>
        <w:rPr>
          <w:sz w:val="20"/>
          <w:szCs w:val="20"/>
          <w:color w:val="auto"/>
        </w:rPr>
      </w:pPr>
    </w:p>
    <w:p>
      <w:pPr>
        <w:ind w:left="700" w:hanging="349"/>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earthquakes, fires, floods, and other natural disasters;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and attacks by computer viruses or hackers;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losses;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computer systems, or Internet, telecommunications, or data network failures.</w:t>
      </w:r>
    </w:p>
    <w:p>
      <w:pPr>
        <w:spacing w:after="0" w:line="15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36"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2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3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37" w:lineRule="exact"/>
        <w:rPr>
          <w:sz w:val="20"/>
          <w:szCs w:val="20"/>
          <w:color w:val="auto"/>
        </w:rPr>
      </w:pPr>
    </w:p>
    <w:p>
      <w:pPr>
        <w:ind w:left="700" w:hanging="349"/>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assimilating the purchased technologies, products, or business operations;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maintaining uniform standards, procedures, controls, and policies;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60"/>
          </w:cols>
          <w:pgMar w:left="220" w:top="664" w:right="219" w:bottom="1440" w:gutter="0" w:footer="0" w:header="0"/>
        </w:sectPr>
      </w:pPr>
    </w:p>
    <w:bookmarkStart w:id="45" w:name="page46"/>
    <w:bookmarkEnd w:id="45"/>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costs and liabilities associated with acquisitions;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our core business;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on existing business relationships with suppliers and customers;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entering new markets in which we have limited or no experience;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loss of key employees of acquired businesses;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legal and accounting compliance costs.</w:t>
      </w:r>
    </w:p>
    <w:p>
      <w:pPr>
        <w:spacing w:after="0" w:line="184"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33"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45" w:lineRule="exact"/>
        <w:rPr>
          <w:sz w:val="20"/>
          <w:szCs w:val="20"/>
          <w:color w:val="auto"/>
        </w:rPr>
      </w:pPr>
    </w:p>
    <w:p>
      <w:pPr>
        <w:jc w:val="both"/>
        <w:ind w:firstLine="356"/>
        <w:spacing w:after="0" w:line="265" w:lineRule="auto"/>
        <w:rPr>
          <w:sz w:val="20"/>
          <w:szCs w:val="20"/>
          <w:color w:val="auto"/>
        </w:rPr>
      </w:pPr>
      <w:r>
        <w:rPr>
          <w:rFonts w:ascii="Times New Roman" w:cs="Times New Roman" w:eastAsia="Times New Roman" w:hAnsi="Times New Roman"/>
          <w:sz w:val="14"/>
          <w:szCs w:val="14"/>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318"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60"/>
          </w:cols>
          <w:pgMar w:left="220" w:top="577" w:right="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Risks Related to Our Legal and Regulatory Environment</w:t>
      </w:r>
    </w:p>
    <w:p>
      <w:pPr>
        <w:spacing w:after="0" w:line="9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33"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7" w:lineRule="exact"/>
        <w:rPr>
          <w:sz w:val="20"/>
          <w:szCs w:val="20"/>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development, and manufacturing;</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labeling, content, and language of instructions for use and storage;</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sales, and distribution;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 clearance and approval;</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conformity assessment procedures;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 procedures;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advertising and promotion;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good manufacturing practices requirements;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recalls and field safety corrective actions;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surveillance, including reporting of deaths or serious injuries and malfunctions that, if they were to recur, could lead to death or serious injury;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approval studies;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import and export.</w:t>
      </w:r>
    </w:p>
    <w:p>
      <w:pPr>
        <w:spacing w:after="0" w:line="184"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23"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4"/>
          <w:szCs w:val="14"/>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325"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748" w:right="219" w:bottom="1440" w:gutter="0" w:footer="0" w:header="0"/>
        </w:sectPr>
      </w:pPr>
    </w:p>
    <w:bookmarkStart w:id="47" w:name="page48"/>
    <w:bookmarkEnd w:id="47"/>
    <w:p>
      <w:pPr>
        <w:ind w:left="360"/>
        <w:spacing w:after="0"/>
        <w:rPr>
          <w:sz w:val="20"/>
          <w:szCs w:val="20"/>
          <w:color w:val="auto"/>
        </w:rPr>
      </w:pPr>
      <w:r>
        <w:rPr>
          <w:rFonts w:ascii="Times New Roman" w:cs="Times New Roman" w:eastAsia="Times New Roman" w:hAnsi="Times New Roman"/>
          <w:sz w:val="14"/>
          <w:szCs w:val="14"/>
          <w:color w:val="auto"/>
        </w:rPr>
        <w:t>The FDA can delay, limit or deny clearance or approval of a device for many reasons, including:</w:t>
      </w:r>
    </w:p>
    <w:p>
      <w:pPr>
        <w:spacing w:after="0" w:line="98" w:lineRule="exact"/>
        <w:rPr>
          <w:sz w:val="20"/>
          <w:szCs w:val="20"/>
          <w:color w:val="auto"/>
        </w:rPr>
      </w:pPr>
    </w:p>
    <w:p>
      <w:pPr>
        <w:ind w:left="700" w:hanging="349"/>
        <w:spacing w:after="0"/>
        <w:tabs>
          <w:tab w:leader="none" w:pos="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to the FDA’s satisfaction that our products are safe and effective for their intended users;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from our pre-clinical studies and clinical trials may be insufficient to support clearance or approval, where required;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manufacturing process or facilities we use may not meet applicable requirements.</w:t>
      </w:r>
    </w:p>
    <w:p>
      <w:pPr>
        <w:spacing w:after="0" w:line="184"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23" w:lineRule="exact"/>
        <w:rPr>
          <w:sz w:val="20"/>
          <w:szCs w:val="20"/>
          <w:color w:val="auto"/>
        </w:rPr>
      </w:pPr>
    </w:p>
    <w:p>
      <w:pPr>
        <w:jc w:val="both"/>
        <w:ind w:firstLine="356"/>
        <w:spacing w:after="0" w:line="267" w:lineRule="auto"/>
        <w:rPr>
          <w:sz w:val="20"/>
          <w:szCs w:val="20"/>
          <w:color w:val="auto"/>
        </w:rPr>
      </w:pPr>
      <w:r>
        <w:rPr>
          <w:rFonts w:ascii="Times New Roman" w:cs="Times New Roman" w:eastAsia="Times New Roman" w:hAnsi="Times New Roman"/>
          <w:sz w:val="14"/>
          <w:szCs w:val="14"/>
          <w:color w:val="auto"/>
        </w:rPr>
        <w:t>Any delay in, or failure to receive or maintain, clearance or approval for our products under development could prevent us from generating revenue from these products or achieving profitability.</w:t>
      </w:r>
    </w:p>
    <w:p>
      <w:pPr>
        <w:spacing w:after="0" w:line="338"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36"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45"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w:t>
      </w:r>
    </w:p>
    <w:p>
      <w:pPr>
        <w:jc w:val="both"/>
        <w:ind w:firstLine="6"/>
        <w:spacing w:after="0" w:line="262" w:lineRule="auto"/>
        <w:tabs>
          <w:tab w:leader="none" w:pos="2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46" w:lineRule="exact"/>
        <w:rPr>
          <w:sz w:val="20"/>
          <w:szCs w:val="20"/>
          <w:color w:val="auto"/>
        </w:rPr>
      </w:pPr>
    </w:p>
    <w:p>
      <w:pPr>
        <w:ind w:firstLine="356"/>
        <w:spacing w:after="0" w:line="294" w:lineRule="auto"/>
        <w:rPr>
          <w:sz w:val="20"/>
          <w:szCs w:val="20"/>
          <w:color w:val="auto"/>
        </w:rPr>
      </w:pPr>
      <w:r>
        <w:rPr>
          <w:rFonts w:ascii="Times New Roman" w:cs="Times New Roman" w:eastAsia="Times New Roman" w:hAnsi="Times New Roman"/>
          <w:sz w:val="14"/>
          <w:szCs w:val="14"/>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Failure to comply with applicable regulations could jeopardize our ability to sell our products and result in enforcement actions such as:</w:t>
      </w:r>
    </w:p>
    <w:p>
      <w:pPr>
        <w:spacing w:after="0" w:line="98" w:lineRule="exact"/>
        <w:rPr>
          <w:sz w:val="20"/>
          <w:szCs w:val="20"/>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penalties;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distribution;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recalls or seizures of products;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664" w:right="219" w:bottom="1440" w:gutter="0" w:footer="0" w:header="0"/>
        </w:sectPr>
      </w:pPr>
    </w:p>
    <w:bookmarkStart w:id="48" w:name="page49"/>
    <w:bookmarkEnd w:id="48"/>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introduction of products into the market;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closures;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or our Notified Body or other regulator to grant future clearances or approvals or to issue CE Certificates of Conformity;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withdrawals or suspensions of current clearances or approvals and CE Certificates of Conformity, resulting in prohibitions on sales of our products;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most serious cases, criminal penalties.</w:t>
      </w:r>
    </w:p>
    <w:p>
      <w:pPr>
        <w:spacing w:after="0" w:line="184"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33"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49"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2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37" w:lineRule="exact"/>
        <w:rPr>
          <w:sz w:val="20"/>
          <w:szCs w:val="20"/>
          <w:color w:val="auto"/>
        </w:rPr>
      </w:pPr>
    </w:p>
    <w:p>
      <w:pPr>
        <w:jc w:val="both"/>
        <w:ind w:left="700" w:hanging="349"/>
        <w:spacing w:after="0" w:line="275" w:lineRule="auto"/>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50" w:lineRule="exact"/>
        <w:rPr>
          <w:rFonts w:ascii="Times New Roman" w:cs="Times New Roman" w:eastAsia="Times New Roman" w:hAnsi="Times New Roman"/>
          <w:sz w:val="14"/>
          <w:szCs w:val="14"/>
          <w:color w:val="auto"/>
        </w:rPr>
      </w:pPr>
    </w:p>
    <w:p>
      <w:pPr>
        <w:jc w:val="both"/>
        <w:ind w:left="700" w:hanging="349"/>
        <w:spacing w:after="0" w:line="269" w:lineRule="auto"/>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54" w:lineRule="exact"/>
        <w:rPr>
          <w:rFonts w:ascii="Times New Roman" w:cs="Times New Roman" w:eastAsia="Times New Roman" w:hAnsi="Times New Roman"/>
          <w:sz w:val="14"/>
          <w:szCs w:val="14"/>
          <w:color w:val="auto"/>
        </w:rPr>
      </w:pPr>
    </w:p>
    <w:p>
      <w:pPr>
        <w:jc w:val="both"/>
        <w:ind w:left="700" w:hanging="349"/>
        <w:spacing w:after="0" w:line="269" w:lineRule="auto"/>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60"/>
          </w:cols>
          <w:pgMar w:left="220" w:top="577" w:right="219" w:bottom="1440" w:gutter="0" w:footer="0" w:header="0"/>
        </w:sectPr>
      </w:pPr>
    </w:p>
    <w:bookmarkStart w:id="49" w:name="page50"/>
    <w:bookmarkEnd w:id="49"/>
    <w:p>
      <w:pPr>
        <w:jc w:val="both"/>
        <w:ind w:left="700" w:hanging="349"/>
        <w:spacing w:after="0" w:line="269" w:lineRule="auto"/>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which requires manufacturers of drugs, devices, biologics and medical supplies for which payment is available under Medicare, Medicaid, or the Children’s Health Insurance Program to report annually to the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54" w:lineRule="exact"/>
        <w:rPr>
          <w:rFonts w:ascii="Times New Roman" w:cs="Times New Roman" w:eastAsia="Times New Roman" w:hAnsi="Times New Roman"/>
          <w:sz w:val="14"/>
          <w:szCs w:val="14"/>
          <w:color w:val="auto"/>
        </w:rPr>
      </w:pPr>
    </w:p>
    <w:p>
      <w:pPr>
        <w:jc w:val="both"/>
        <w:ind w:left="700" w:hanging="349"/>
        <w:spacing w:after="0" w:line="266" w:lineRule="auto"/>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10"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w:t>
      </w:r>
    </w:p>
    <w:p>
      <w:pPr>
        <w:spacing w:after="0" w:line="123"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45"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provisions.</w:t>
      </w:r>
    </w:p>
    <w:p>
      <w:pPr>
        <w:spacing w:after="0" w:line="145"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44"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460"/>
          </w:cols>
          <w:pgMar w:left="220" w:top="577" w:right="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adequately protect personal information in compliance with evolving legal requirements could harm our business.</w:t>
      </w:r>
    </w:p>
    <w:p>
      <w:pPr>
        <w:spacing w:after="0" w:line="102" w:lineRule="exact"/>
        <w:rPr>
          <w:sz w:val="20"/>
          <w:szCs w:val="20"/>
          <w:color w:val="auto"/>
        </w:rPr>
      </w:pPr>
    </w:p>
    <w:p>
      <w:pPr>
        <w:jc w:val="both"/>
        <w:ind w:firstLine="356"/>
        <w:spacing w:after="0" w:line="287"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305"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4"/>
          <w:szCs w:val="14"/>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("ARRA"), Congress amended the privacy and security provisions of the Health Insurance Portability and Accountability Act ("HIPAA"). HIPAA imposes certain requirements regarding the privacy, security, use, and disclosure of an individual’s protected health information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51"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In addition, even when HIPAA does not apply,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315"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Many states, foreign countries and other governmental bodies, including California,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("GDPR"), effective on May 25, 2018, that superseded current EU data protection legislation, imposed more stringent EU data protection requirements and provides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14"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40"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In June 2018, California enacted the California Consumer Privacy Act ("CCPA"). The CCPA, which takes effect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violations, and a private right of action for data breaches that allows private plaintiffs to seek the greater of actual damages or statutory damages of up to $750 per consumer per data breach. These remedies are expected to increase data breach litigation. The California Attorney General, who is charged with interpreting and enforcing the law, has not yet promulgated final implementing regulations, and considerable uncertainty as to how the law will be implemented and enforced remains.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460"/>
          </w:cols>
          <w:pgMar w:left="220" w:top="487" w:right="219" w:bottom="1440" w:gutter="0" w:footer="0" w:header="0"/>
        </w:sectPr>
      </w:pPr>
    </w:p>
    <w:bookmarkStart w:id="51" w:name="page52"/>
    <w:bookmarkEnd w:id="51"/>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non-U.S. operations.</w:t>
      </w:r>
    </w:p>
    <w:p>
      <w:pPr>
        <w:spacing w:after="0" w:line="274"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318" w:lineRule="exact"/>
        <w:rPr>
          <w:sz w:val="20"/>
          <w:szCs w:val="20"/>
          <w:color w:val="auto"/>
        </w:rPr>
      </w:pPr>
    </w:p>
    <w:p>
      <w:pPr>
        <w:jc w:val="both"/>
        <w:ind w:firstLine="356"/>
        <w:spacing w:after="0" w:line="265" w:lineRule="auto"/>
        <w:rPr>
          <w:sz w:val="20"/>
          <w:szCs w:val="20"/>
          <w:color w:val="auto"/>
        </w:rPr>
      </w:pPr>
      <w:r>
        <w:rPr>
          <w:rFonts w:ascii="Times New Roman" w:cs="Times New Roman" w:eastAsia="Times New Roman" w:hAnsi="Times New Roman"/>
          <w:sz w:val="14"/>
          <w:szCs w:val="14"/>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3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33"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42"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7" w:lineRule="exact"/>
        <w:rPr>
          <w:sz w:val="20"/>
          <w:szCs w:val="20"/>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untitled letters, warning letters, fines, injunctions, consent, and civil penalties;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expenditures to address or defend such actions;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notifications for repair, replacement, refunds;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detention, or seizure of our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or partial suspension or total shutdown of production;</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or delaying our requests for 510(k) clearance or premarket approval and conformity assessments of new products or modified products;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460"/>
          </w:cols>
          <w:pgMar w:left="220" w:top="664" w:right="219" w:bottom="1440" w:gutter="0" w:footer="0" w:header="0"/>
        </w:sectPr>
      </w:pPr>
    </w:p>
    <w:bookmarkStart w:id="52" w:name="page53"/>
    <w:bookmarkEnd w:id="52"/>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intended uses for which the product may be marketed;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withdrawing 510(k) clearances or PMA approvals that have already been granted;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CE Certificates of Conformity;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grant export approval for our products;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184"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44"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08"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36"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FDA inspected our facilities in May 2014. As a result, we received a Notice of Inspectional Observations, or Form 483, with three observations that have since been addressed with a corrective and preventative action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33"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460"/>
          </w:cols>
          <w:pgMar w:left="220" w:top="577"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enforcement action, including fines, penalties or injunctions, if we are determined to be engaging in the off-label promotion of our products.</w:t>
      </w:r>
    </w:p>
    <w:p>
      <w:pPr>
        <w:spacing w:after="0" w:line="102"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The iFuse Implant System is also intended for sacroiliac fusion to augment immobilization and stabilization of the sacroiliac joint in skeletally mature patients undergoing sacropelvic fixation as part of a lumbar or thoracolumbar fusion”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69"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0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44"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44"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460"/>
          </w:cols>
          <w:pgMar w:left="220" w:top="746" w:right="219" w:bottom="1440" w:gutter="0" w:footer="0" w:header="0"/>
        </w:sectPr>
      </w:pPr>
    </w:p>
    <w:bookmarkStart w:id="54" w:name="page55"/>
    <w:bookmarkEnd w:id="54"/>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3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23"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44"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33"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45"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08"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4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460"/>
          </w:cols>
          <w:pgMar w:left="220" w:top="487" w:right="219" w:bottom="1440" w:gutter="0" w:footer="0" w:header="0"/>
        </w:sectPr>
      </w:pPr>
    </w:p>
    <w:bookmarkStart w:id="55" w:name="page56"/>
    <w:bookmarkEnd w:id="55"/>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33"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obtain or maintain foreign regulatory approvals to market our products in other countries.</w:t>
      </w:r>
    </w:p>
    <w:p>
      <w:pPr>
        <w:spacing w:after="0" w:line="10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40"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48"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40"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460"/>
          </w:cols>
          <w:pgMar w:left="220" w:top="664" w:right="219" w:bottom="1440" w:gutter="0" w:footer="0" w:header="0"/>
        </w:sectPr>
      </w:pPr>
    </w:p>
    <w:bookmarkStart w:id="56" w:name="page57"/>
    <w:bookmarkEnd w:id="56"/>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results of our clinical trials may not support our product candidate claims or may result in the discovery of adverse side effects.</w:t>
      </w:r>
    </w:p>
    <w:p>
      <w:pPr>
        <w:spacing w:after="0" w:line="10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2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33"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4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4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The policies of the Trump Administration and their impact on the regulation of our products in the United States remain uncertain. 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460"/>
          </w:cols>
          <w:pgMar w:left="220" w:top="664" w:right="219" w:bottom="1440" w:gutter="0" w:footer="0" w:header="0"/>
        </w:sectPr>
      </w:pPr>
    </w:p>
    <w:bookmarkStart w:id="57" w:name="page58"/>
    <w:bookmarkEnd w:id="57"/>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May 25, 2017, the new Medical Devices Regulation (2017/745 or "MDR") entered into force. Following its entry into application on May 26, 2020, the MDR will introduce substantial changes to the obligations with which medical device manufacturers must comply in the EEA. High risk medical devices will be subject to additional scrutiny during the conformity assessment procedure. Specifically, the EU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regulation of medical devices among EEA Member States. The MDR, among other things, is intended to establish a uniform, transparent, predictable and sustainable regulatory framework across the EEA for medical devices to ensure a high level of safety and health while supporting innovation. The MDR will only become applicable in May 2020, three years after its first publication. The In Vitro Diagnostic Medical Devices Regulation also was adopted by the Parliament and the Council and will be applicable in May 2022. These regulations will substantially impact medical devices manufacturers. Examples of the changes which will be introduced by these regulations include the following:</w:t>
      </w:r>
    </w:p>
    <w:p>
      <w:pPr>
        <w:spacing w:after="0" w:line="235" w:lineRule="exact"/>
        <w:rPr>
          <w:sz w:val="20"/>
          <w:szCs w:val="20"/>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scrutiny during the conformity assessment procedure for high risk medical devices;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strengthening of the clinical data requirements related to medical devices;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strengthening of the designation and monitoring processes governing notified bodies;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for manufacturers and authorized representative to have a person responsible for regulatory compliance continuously at their disposal;</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representatives would be held legally responsible and liable for defective products placed on the EU market;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traceability of medical devices following the introduction of a Unique Device Identification ("UDI"), system;</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rules governing the reprocessing of medical devices; and</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23"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Transition from the regulation of our products under the current EU Medical Device Directive, and implementing legislation in each EU member state, to regulation under the EU MDR may require a substantial transition effort by us. In addition, detail as to how certain aspects of the MDR will be implemented remains unclear. Failure to update our quality system and regulatory documentation could delay our transition to compliance with the MDR and delay or prevent us from obtaining new CE Certificates of Conformity under the MDR. Transition from compliance with the MDD to the MDR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144"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460"/>
          </w:cols>
          <w:pgMar w:left="220" w:top="664" w:right="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performance may be adversely affected by medical device tax provisions in the healthcare reform laws.</w:t>
      </w:r>
    </w:p>
    <w:p>
      <w:pPr>
        <w:spacing w:after="0" w:line="102"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product liability losses, and insurance coverage may be inadequate or unavailable to cover these losses.</w:t>
      </w:r>
    </w:p>
    <w:p>
      <w:pPr>
        <w:spacing w:after="0" w:line="102"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321"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36"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environmental laws and regulations that can impose significant costs and expose us to potential financial liabilities.</w:t>
      </w:r>
    </w:p>
    <w:p>
      <w:pPr>
        <w:spacing w:after="0" w:line="10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comprehensive tax reform bill adopted in 2017 could adversely affect our business and financial condition.</w:t>
      </w:r>
    </w:p>
    <w:p>
      <w:pPr>
        <w:spacing w:after="0" w:line="102"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460"/>
          </w:cols>
          <w:pgMar w:left="220" w:top="746" w:right="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The UK’s pending withdrawal from the EU may have a negative effect on global economic conditions, financial markets and our business.</w:t>
      </w:r>
    </w:p>
    <w:p>
      <w:pPr>
        <w:spacing w:after="0" w:line="188"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4"/>
          <w:szCs w:val="14"/>
          <w:color w:val="auto"/>
        </w:rPr>
        <w:t>Brexit has created significant uncertainty concerning the terms of the UK withdrawal from the EU and the future relationship between the UK and the EU. On October 28, 2019, the EU granted the U.K. a further extension to the Brexit date until January 31, 2020. Under the terms of the extension, the Brexit date may be earlier than January 31, 2020, if a formal withdrawal agreement is ratified by the UK Parliament. In addition, the U.K. will hold a general election on December 12, 2019. Until the post-election government is formed, there can be no guarantee or certainty as to which form Brexit will take and on which terms a withdrawal agreement with the EU will be agreed, if at all. Both the EU and the UK are continuing to prepare for a “no deal” scenario in which the UK will leave the EU as a “third country” without the benefit of any transition arrangements.</w:t>
      </w:r>
    </w:p>
    <w:p>
      <w:pPr>
        <w:spacing w:after="0" w:line="142" w:lineRule="exact"/>
        <w:rPr>
          <w:sz w:val="20"/>
          <w:szCs w:val="20"/>
          <w:color w:val="auto"/>
        </w:rPr>
      </w:pPr>
    </w:p>
    <w:p>
      <w:pPr>
        <w:ind w:right="240" w:firstLine="388"/>
        <w:spacing w:after="0" w:line="269" w:lineRule="auto"/>
        <w:rPr>
          <w:sz w:val="20"/>
          <w:szCs w:val="20"/>
          <w:color w:val="auto"/>
        </w:rPr>
      </w:pPr>
      <w:r>
        <w:rPr>
          <w:rFonts w:ascii="Times New Roman" w:cs="Times New Roman" w:eastAsia="Times New Roman" w:hAnsi="Times New Roman"/>
          <w:sz w:val="14"/>
          <w:szCs w:val="14"/>
          <w:color w:val="auto"/>
        </w:rPr>
        <w:t>The “no deal” scenario has been recognized by the policy makers in the UK and the EU as likely to cause significant market and economic disruption. The effects of Brexit will depend on whether the UK retains access to EU markets either during a transitional period or more permanently. Brexit could disrupt the single internal market principle, which ensures the free movement of goods, services and people between the UK and the EU, undermine bilateral cooperation in key policy areas and significantly disturb trade relationships between the UK and the EU. In addition, Brexit could lead to legal uncertainty and potentially divergent national laws and regulations as the UK determines which EU laws to replace, amend or adopt.</w:t>
      </w:r>
    </w:p>
    <w:p>
      <w:pPr>
        <w:spacing w:after="0" w:line="140" w:lineRule="exact"/>
        <w:rPr>
          <w:sz w:val="20"/>
          <w:szCs w:val="20"/>
          <w:color w:val="auto"/>
        </w:rPr>
      </w:pPr>
    </w:p>
    <w:p>
      <w:pPr>
        <w:ind w:right="20" w:firstLine="388"/>
        <w:spacing w:after="0" w:line="269" w:lineRule="auto"/>
        <w:rPr>
          <w:sz w:val="20"/>
          <w:szCs w:val="20"/>
          <w:color w:val="auto"/>
        </w:rPr>
      </w:pPr>
      <w:r>
        <w:rPr>
          <w:rFonts w:ascii="Times New Roman" w:cs="Times New Roman" w:eastAsia="Times New Roman" w:hAnsi="Times New Roman"/>
          <w:sz w:val="14"/>
          <w:szCs w:val="14"/>
          <w:color w:val="auto"/>
        </w:rPr>
        <w:t>The announcement of Brexit caused significant volatility in global stock markets and currency exchange rate fluctuations, and the pending withdrawal of the UK from the EU may also adversely affect European and global economic and market conditions, which may cause third-party payers, including governmental organizations, to closely monitor their costs and reduce their spending budgets, and which could contribute to instability in the global financial and foreign exchange markets. Given the lack of comparable precedent, it is unclear what financial, trade, regulatory and legal implications the withdrawal of the UK from the EU would have and how such withdrawal would affect us.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86" w:lineRule="exact"/>
        <w:rPr>
          <w:sz w:val="20"/>
          <w:szCs w:val="20"/>
          <w:color w:val="auto"/>
        </w:rPr>
      </w:pPr>
    </w:p>
    <w:p>
      <w:pPr>
        <w:jc w:val="both"/>
        <w:ind w:right="120" w:firstLine="388"/>
        <w:spacing w:after="0" w:line="269" w:lineRule="auto"/>
        <w:rPr>
          <w:sz w:val="20"/>
          <w:szCs w:val="20"/>
          <w:color w:val="auto"/>
        </w:rPr>
      </w:pPr>
      <w:r>
        <w:rPr>
          <w:rFonts w:ascii="Times New Roman" w:cs="Times New Roman" w:eastAsia="Times New Roman" w:hAnsi="Times New Roman"/>
          <w:sz w:val="14"/>
          <w:szCs w:val="14"/>
          <w:color w:val="auto"/>
        </w:rPr>
        <w:t>We rely primarily on patent, copyright, trademark and trade secret laws, as well as confidentiality and non- disclosure agreements and other methods, to protect our proprietary technologies and know-how. As of September 30, 2019, we owned 40 issued U.S. patents and had 15 pending U.S. patent applications, and we owned 10 issued foreign patents and had 5 pending foreign patent applications. As of September 30, 2019, we have 14 registered trademarks in the United States and have filed for 3 more. We have sought protection for at least 2 of these trademarks in 60 countries including the 28 European member countries of the Madrid Protocol.</w:t>
      </w:r>
    </w:p>
    <w:p>
      <w:pPr>
        <w:spacing w:after="0" w:line="140"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4"/>
          <w:szCs w:val="14"/>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46"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460"/>
          </w:cols>
          <w:pgMar w:left="220" w:top="746" w:right="219" w:bottom="1440" w:gutter="0" w:footer="0" w:header="0"/>
        </w:sectPr>
      </w:pPr>
    </w:p>
    <w:bookmarkStart w:id="60" w:name="page61"/>
    <w:bookmarkEnd w:id="60"/>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321"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4"/>
          <w:szCs w:val="14"/>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44"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39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33"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460"/>
          </w:cols>
          <w:pgMar w:left="220" w:top="664" w:right="219" w:bottom="1440" w:gutter="0" w:footer="0" w:header="0"/>
        </w:sectPr>
      </w:pPr>
    </w:p>
    <w:bookmarkStart w:id="61" w:name="page62"/>
    <w:bookmarkEnd w:id="61"/>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33"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4"/>
          <w:szCs w:val="14"/>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47"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 and the value of an investment in our common stock could decline.</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Prior to October 17, 2018, there was no public market for our common stock. 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50" w:lineRule="exact"/>
        <w:rPr>
          <w:sz w:val="20"/>
          <w:szCs w:val="20"/>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our clinical trials and that of our competitors’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offerings, products, services or technologies, commercial relationships, acquisitions, or other events by us or our competitors;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healthcare companies, in general, and of companies in the medical device industry in particular;</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volume of our shares or the size of our public float;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results of operations meet the expectations of securities analysts or investors or those expectations change;</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foreign countries, or both;</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lock-up releases and sales of large blocks of our common stock;</w:t>
      </w:r>
    </w:p>
    <w:p>
      <w:pPr>
        <w:spacing w:after="0" w:line="8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employees or scientific personnel; 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460"/>
          </w:cols>
          <w:pgMar w:left="220" w:top="746" w:right="219" w:bottom="1440" w:gutter="0" w:footer="0" w:header="0"/>
        </w:sectPr>
      </w:pPr>
    </w:p>
    <w:bookmarkStart w:id="62" w:name="page63"/>
    <w:bookmarkEnd w:id="62"/>
    <w:p>
      <w:pPr>
        <w:ind w:left="700" w:hanging="34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w:t>
      </w:r>
    </w:p>
    <w:p>
      <w:pPr>
        <w:spacing w:after="0" w:line="184"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common stock in the public markets or the perception that sales might occur, could reduce the price of our common stock and may dilute our stockholders' voting power and ownership interest in us.</w:t>
      </w:r>
    </w:p>
    <w:p>
      <w:pPr>
        <w:spacing w:after="0" w:line="33"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or the perception that these sales could occur, could adversely affect the market price of our common stock, and may make it more difficult for our stockholders to sell our common stock at a time and price that they deem appropriate. All outstanding shares of common stock are freely tradable without restriction or registration under the Securities Act of 1933, as amended, or the Securities Act, except for any shares held by our “affiliates” as defined in Rule 144 under the Securities Act. Sales of a substantial number of such shares, or the perception that such sales may occur, could cause our share price to fall, or make it more difficult for our stockholders to sell our common stock at a time and price that they deem appropriate.</w:t>
      </w:r>
    </w:p>
    <w:p>
      <w:pPr>
        <w:spacing w:after="0" w:line="56"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 holders of a significant number of shares of our common stock, have rights, subject to some conditions, to require us to file registration statements covering the sale of their shares or to include their shares in registration statements that we may file for ourselves or other stockholders. We have also registered the offer and sale of all shares of common stock that we may issue under our equity compensation plans.</w:t>
      </w:r>
    </w:p>
    <w:p>
      <w:pPr>
        <w:spacing w:after="0" w:line="136"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Insiders have substantial control over us, which could limit our other stockholders' ability to influence the outcome of key transactions, including a change of control.</w:t>
      </w:r>
    </w:p>
    <w:p>
      <w:pPr>
        <w:spacing w:after="0" w:line="102"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Our directors, executive officers, and each of our stockholders that own greater than 5% of our outstanding common stock, in the aggregate, beneficially own approximately 23.0% of the outstanding shares of our common stock as of September 30, 2019. As a result, these stockholders will be able to influence or control matters requiring approval by our stockholders, including the election of directors and the approval of mergers, acquisitions or other extraordinary transactions. They may also have interests that differ from our other stockholders' interests and may vote in a manner that is adverse to our other stockholders'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460"/>
          </w:cols>
          <w:pgMar w:left="220" w:top="577"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utilize our federal net operating loss carryforwards to reduce our income taxes.</w:t>
      </w:r>
    </w:p>
    <w:p>
      <w:pPr>
        <w:spacing w:after="0" w:line="102"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As of December 31, 2018, we had net operating loss ("NOL"), carryforwards of $135.5 million and $109.9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are still analyzing the effect that our IPO may have had on our NOLs, and we may experience ownership changes in the future as a result of subsequent shifts in our stock ownership, some of which may be outside of our control. As a result of our IPO, or if a future ownership change occurs, our ability to use our NOL tax credit carryforwards may be materially limited, which would harm our future operating results by effectively increasing our future tax obligations.</w:t>
      </w:r>
    </w:p>
    <w:p>
      <w:pPr>
        <w:spacing w:after="0" w:line="14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33"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and the rules and regulations of the Nasdaq Global Market. The Sarbanes-Oxley Act Section 404 requires companies to: (i) annually document and asses the effectiveness of internal controls over financial reporting (called Section 404(a)); and (ii) external auditors to opine of the company's internal controls (called Section 404(b)). Material weaknesses in internal controls have to be disclosed in the registration statement and future SEC reports. As an emerging growth company, we are currently exempt from the requirements of Section 404(b). We are however required to comply with the requirements of Section 404(a) beginning on our Annual Report on Form 10-K for the year ending December 31, 2019. As such, annually, we must perform system and process evaluation and testing of our internal controls over financial reporting to allow management to report on the effectiveness of our internal controls over financial reporting in our Annual Report on Form 10-K for that year. Further, when we are no longer an emerging growth company, we are required to have our auditors opine on our assessment of the effectiveness of our internal controls over financial reporting. This requires us to incur substantial additional professional fees and internal costs to expand our accounting and finance functions and that we expend significant management efforts. As a result, we may experience difficulty in producing accurate financial statements in a timely manner.</w:t>
      </w:r>
    </w:p>
    <w:p>
      <w:pPr>
        <w:spacing w:after="0" w:line="146"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0" w:lineRule="exact"/>
        <w:rPr>
          <w:sz w:val="20"/>
          <w:szCs w:val="20"/>
          <w:color w:val="auto"/>
        </w:rPr>
      </w:pPr>
    </w:p>
    <w:p>
      <w:pPr>
        <w:jc w:val="both"/>
        <w:ind w:firstLine="356"/>
        <w:spacing w:after="0" w:line="263" w:lineRule="auto"/>
        <w:rPr>
          <w:sz w:val="20"/>
          <w:szCs w:val="20"/>
          <w:color w:val="auto"/>
        </w:rPr>
      </w:pPr>
      <w:r>
        <w:rPr>
          <w:rFonts w:ascii="Times New Roman" w:cs="Times New Roman" w:eastAsia="Times New Roman" w:hAnsi="Times New Roman"/>
          <w:sz w:val="14"/>
          <w:szCs w:val="14"/>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2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37" w:lineRule="exact"/>
        <w:rPr>
          <w:sz w:val="20"/>
          <w:szCs w:val="20"/>
          <w:color w:val="auto"/>
        </w:rPr>
      </w:pPr>
    </w:p>
    <w:p>
      <w:pPr>
        <w:ind w:left="700" w:hanging="349"/>
        <w:spacing w:after="0"/>
        <w:tabs>
          <w:tab w:leader="none" w:pos="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exception from compliance with the auditor attestation requirements of Section 404 of the Sarbanes-Oxley Act of 2002;</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 in our periodic reports, proxy statements, and registration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460"/>
          </w:cols>
          <w:pgMar w:left="220" w:top="660" w:right="219" w:bottom="1440" w:gutter="0" w:footer="0" w:header="0"/>
        </w:sectPr>
      </w:pPr>
    </w:p>
    <w:bookmarkStart w:id="64" w:name="page65"/>
    <w:bookmarkEnd w:id="64"/>
    <w:p>
      <w:pPr>
        <w:ind w:left="700" w:hanging="349"/>
        <w:spacing w:after="0"/>
        <w:tabs>
          <w:tab w:leader="none" w:pos="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or golden parachute arrangements;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complying with new or revised financial accounting standards until such time as such standards are applicable to private companies.</w:t>
      </w:r>
    </w:p>
    <w:p>
      <w:pPr>
        <w:spacing w:after="0" w:line="184" w:lineRule="exact"/>
        <w:rPr>
          <w:sz w:val="20"/>
          <w:szCs w:val="20"/>
          <w:color w:val="auto"/>
        </w:rPr>
      </w:pPr>
    </w:p>
    <w:p>
      <w:pPr>
        <w:jc w:val="both"/>
        <w:ind w:firstLine="356"/>
        <w:spacing w:after="0" w:line="268" w:lineRule="auto"/>
        <w:rPr>
          <w:sz w:val="20"/>
          <w:szCs w:val="20"/>
          <w:color w:val="auto"/>
        </w:rPr>
      </w:pPr>
      <w:r>
        <w:rPr>
          <w:rFonts w:ascii="Times New Roman" w:cs="Times New Roman" w:eastAsia="Times New Roman" w:hAnsi="Times New Roman"/>
          <w:sz w:val="14"/>
          <w:szCs w:val="14"/>
          <w:color w:val="auto"/>
        </w:rPr>
        <w:t>If some investors find our common stock less attractive because we will rely on these exemptions,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in 2023,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3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254" w:lineRule="exact"/>
        <w:rPr>
          <w:sz w:val="20"/>
          <w:szCs w:val="20"/>
          <w:color w:val="auto"/>
        </w:rPr>
      </w:pPr>
    </w:p>
    <w:p>
      <w:pPr>
        <w:jc w:val="both"/>
        <w:ind w:firstLine="356"/>
        <w:spacing w:after="0" w:line="273" w:lineRule="auto"/>
        <w:rPr>
          <w:sz w:val="20"/>
          <w:szCs w:val="20"/>
          <w:color w:val="auto"/>
        </w:rPr>
      </w:pPr>
      <w:r>
        <w:rPr>
          <w:rFonts w:ascii="Times New Roman" w:cs="Times New Roman" w:eastAsia="Times New Roman" w:hAnsi="Times New Roman"/>
          <w:sz w:val="14"/>
          <w:szCs w:val="14"/>
          <w:color w:val="auto"/>
        </w:rPr>
        <w:t>The trading market for our common stock depends, to some extent,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3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3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facility contains covenants that may restrict our business and financing activities.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Borrowings under our credit facility are secured by substantially all of our assets. Our credit facility also restricts our ability to, among other things:</w:t>
      </w:r>
    </w:p>
    <w:p>
      <w:pPr>
        <w:spacing w:after="0" w:line="98" w:lineRule="exact"/>
        <w:rPr>
          <w:sz w:val="20"/>
          <w:szCs w:val="20"/>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dispose of or sell assets;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material changes in our business or management;</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or merge with or acquire other entities;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 on our assets;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or make distributions on our capital stock;</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our affiliates;</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payment in respect of any subordinated indebtedness; and</w:t>
      </w:r>
    </w:p>
    <w:p>
      <w:pPr>
        <w:spacing w:after="0" w:line="97"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or amend any of our current intellectual property agreements or material contracts.</w:t>
      </w:r>
    </w:p>
    <w:p>
      <w:pPr>
        <w:spacing w:after="0" w:line="152"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23"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4"/>
          <w:szCs w:val="14"/>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460"/>
          </w:cols>
          <w:pgMar w:left="220" w:top="577" w:right="219" w:bottom="1440" w:gutter="0" w:footer="0" w:header="0"/>
        </w:sectPr>
      </w:pPr>
    </w:p>
    <w:bookmarkStart w:id="65" w:name="page66"/>
    <w:bookmarkEnd w:id="65"/>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charter documents and Delaware law could discourage takeover attempts and lead to management entrenchment.</w:t>
      </w:r>
    </w:p>
    <w:p>
      <w:pPr>
        <w:spacing w:after="0" w:line="102"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0" w:lineRule="exact"/>
        <w:rPr>
          <w:sz w:val="20"/>
          <w:szCs w:val="20"/>
          <w:color w:val="auto"/>
        </w:rPr>
      </w:pPr>
    </w:p>
    <w:p>
      <w:pPr>
        <w:ind w:left="700" w:hanging="349"/>
        <w:spacing w:after="0"/>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6"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6" w:lineRule="exact"/>
        <w:rPr>
          <w:rFonts w:ascii="Times New Roman" w:cs="Times New Roman" w:eastAsia="Times New Roman" w:hAnsi="Times New Roman"/>
          <w:sz w:val="14"/>
          <w:szCs w:val="14"/>
          <w:color w:val="auto"/>
        </w:rPr>
      </w:pPr>
    </w:p>
    <w:p>
      <w:pPr>
        <w:ind w:left="700" w:hanging="349"/>
        <w:spacing w:after="0"/>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97"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36" w:lineRule="exact"/>
        <w:rPr>
          <w:rFonts w:ascii="Times New Roman" w:cs="Times New Roman" w:eastAsia="Times New Roman" w:hAnsi="Times New Roman"/>
          <w:sz w:val="14"/>
          <w:szCs w:val="14"/>
          <w:color w:val="auto"/>
        </w:rPr>
      </w:pPr>
    </w:p>
    <w:p>
      <w:pPr>
        <w:jc w:val="both"/>
        <w:ind w:left="700" w:hanging="349"/>
        <w:spacing w:after="0" w:line="275" w:lineRule="auto"/>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50" w:lineRule="exact"/>
        <w:rPr>
          <w:rFonts w:ascii="Times New Roman" w:cs="Times New Roman" w:eastAsia="Times New Roman" w:hAnsi="Times New Roman"/>
          <w:sz w:val="14"/>
          <w:szCs w:val="14"/>
          <w:color w:val="auto"/>
        </w:rPr>
      </w:pPr>
    </w:p>
    <w:p>
      <w:pPr>
        <w:ind w:left="700" w:hanging="349"/>
        <w:spacing w:after="0" w:line="294" w:lineRule="auto"/>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91"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3" w:lineRule="exact"/>
        <w:rPr>
          <w:sz w:val="20"/>
          <w:szCs w:val="20"/>
          <w:color w:val="auto"/>
        </w:rPr>
      </w:pPr>
    </w:p>
    <w:p>
      <w:pPr>
        <w:jc w:val="both"/>
        <w:ind w:firstLine="356"/>
        <w:spacing w:after="0" w:line="294" w:lineRule="auto"/>
        <w:rPr>
          <w:sz w:val="20"/>
          <w:szCs w:val="20"/>
          <w:color w:val="auto"/>
        </w:rPr>
      </w:pPr>
      <w:r>
        <w:rPr>
          <w:rFonts w:ascii="Times New Roman" w:cs="Times New Roman" w:eastAsia="Times New Roman" w:hAnsi="Times New Roman"/>
          <w:sz w:val="14"/>
          <w:szCs w:val="14"/>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23"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460"/>
          </w:cols>
          <w:pgMar w:left="220" w:top="664" w:right="219" w:bottom="1440" w:gutter="0" w:footer="0" w:header="0"/>
        </w:sectPr>
      </w:pPr>
    </w:p>
    <w:bookmarkStart w:id="66" w:name="page67"/>
    <w:bookmarkEnd w:id="66"/>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48" w:lineRule="exact"/>
        <w:rPr>
          <w:sz w:val="20"/>
          <w:szCs w:val="20"/>
          <w:color w:val="auto"/>
        </w:rPr>
      </w:pPr>
    </w:p>
    <w:p>
      <w:pPr>
        <w:jc w:val="both"/>
        <w:ind w:firstLine="356"/>
        <w:spacing w:after="0" w:line="26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56" w:lineRule="exact"/>
        <w:rPr>
          <w:sz w:val="20"/>
          <w:szCs w:val="20"/>
          <w:color w:val="auto"/>
        </w:rPr>
      </w:pPr>
    </w:p>
    <w:p>
      <w:pPr>
        <w:jc w:val="both"/>
        <w:ind w:firstLine="356"/>
        <w:spacing w:after="0" w:line="275"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the federal district courts of the United States of America are the exclusive forum for resolving any complaint asserting a cause of action arising under the Securities Act. However, in light of a Delaware Chancery Court opinion issued in December 2018, we announced that we currently do not intend to enforce this aspect of our forum selection clause.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Sales of Unregistered Securities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sales of unregistered equity securities during the three months ended September 30, 2019.</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 and Affiliated Purchasers</w:t>
      </w:r>
    </w:p>
    <w:p>
      <w:pPr>
        <w:spacing w:after="0" w:line="188" w:lineRule="exact"/>
        <w:rPr>
          <w:sz w:val="20"/>
          <w:szCs w:val="20"/>
          <w:color w:val="auto"/>
        </w:rPr>
      </w:pPr>
    </w:p>
    <w:p>
      <w:pPr>
        <w:jc w:val="both"/>
        <w:ind w:firstLine="323"/>
        <w:spacing w:after="0" w:line="275" w:lineRule="auto"/>
        <w:rPr>
          <w:sz w:val="20"/>
          <w:szCs w:val="20"/>
          <w:color w:val="auto"/>
        </w:rPr>
      </w:pPr>
      <w:r>
        <w:rPr>
          <w:rFonts w:ascii="Times New Roman" w:cs="Times New Roman" w:eastAsia="Times New Roman" w:hAnsi="Times New Roman"/>
          <w:sz w:val="14"/>
          <w:szCs w:val="14"/>
          <w:color w:val="auto"/>
        </w:rPr>
        <w:t>Pursuant to a Stock Repurchase Agreement dated July 27, 2019 with one of our former board of director (the "seller"), we purchased 8,830 shares of unvested stock options which were previously early exercised by the seller for an aggregate consideration of $0.04 million. Under our 2008 Stock Option Plan, unvested early exercised stock options are subject to a right of repurchase by us. The repurchase rights lapse over the original vesting period of the options. This repurchase is set forth in the following table:</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w w:val="97"/>
              </w:rPr>
              <w:t>Approximate Dollar Value of</w:t>
            </w: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Total Number of Shares</w:t>
            </w:r>
          </w:p>
        </w:tc>
        <w:tc>
          <w:tcPr>
            <w:tcW w:w="80" w:type="dxa"/>
            <w:vAlign w:val="bottom"/>
          </w:tcPr>
          <w:p>
            <w:pPr>
              <w:spacing w:after="0"/>
              <w:rPr>
                <w:sz w:val="14"/>
                <w:szCs w:val="14"/>
                <w:color w:val="auto"/>
              </w:rPr>
            </w:pPr>
          </w:p>
        </w:tc>
        <w:tc>
          <w:tcPr>
            <w:tcW w:w="170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7"/>
              </w:rPr>
              <w:t>Shares that May Yet be</w:t>
            </w: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Purchased as Part of</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Repurchased Under the Plans</w:t>
            </w: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Average Price</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Publicly Announced Plans</w:t>
            </w:r>
          </w:p>
        </w:tc>
        <w:tc>
          <w:tcPr>
            <w:tcW w:w="80" w:type="dxa"/>
            <w:vAlign w:val="bottom"/>
          </w:tcPr>
          <w:p>
            <w:pPr>
              <w:spacing w:after="0"/>
              <w:rPr>
                <w:sz w:val="14"/>
                <w:szCs w:val="14"/>
                <w:color w:val="auto"/>
              </w:rPr>
            </w:pPr>
          </w:p>
        </w:tc>
        <w:tc>
          <w:tcPr>
            <w:tcW w:w="170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9"/>
              </w:rPr>
              <w:t>or Programs</w:t>
            </w:r>
          </w:p>
        </w:tc>
      </w:tr>
      <w:tr>
        <w:trPr>
          <w:trHeight w:val="169"/>
        </w:trPr>
        <w:tc>
          <w:tcPr>
            <w:tcW w:w="3820" w:type="dxa"/>
            <w:vAlign w:val="bottom"/>
          </w:tcPr>
          <w:p>
            <w:pPr>
              <w:ind w:left="174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4"/>
                <w:szCs w:val="14"/>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 Per Share</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or Programs</w:t>
            </w:r>
          </w:p>
        </w:tc>
        <w:tc>
          <w:tcPr>
            <w:tcW w:w="80" w:type="dxa"/>
            <w:vAlign w:val="bottom"/>
          </w:tcPr>
          <w:p>
            <w:pPr>
              <w:spacing w:after="0"/>
              <w:rPr>
                <w:sz w:val="14"/>
                <w:szCs w:val="14"/>
                <w:color w:val="auto"/>
              </w:rPr>
            </w:pPr>
          </w:p>
        </w:tc>
        <w:tc>
          <w:tcPr>
            <w:tcW w:w="170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2019 to July 31, 2019</w:t>
            </w:r>
          </w:p>
        </w:tc>
        <w:tc>
          <w:tcPr>
            <w:tcW w:w="1420" w:type="dxa"/>
            <w:vAlign w:val="bottom"/>
            <w:tcBorders>
              <w:bottom w:val="single" w:sz="8" w:color="BFE4FF"/>
            </w:tcBorders>
            <w:gridSpan w:val="2"/>
            <w:shd w:val="clear" w:color="auto" w:fill="BFE4FF"/>
          </w:tcPr>
          <w:p>
            <w:pPr>
              <w:jc w:val="right"/>
              <w:ind w:right="31"/>
              <w:spacing w:after="0"/>
              <w:rPr>
                <w:sz w:val="20"/>
                <w:szCs w:val="20"/>
                <w:color w:val="auto"/>
              </w:rPr>
            </w:pPr>
            <w:r>
              <w:rPr>
                <w:rFonts w:ascii="Times New Roman" w:cs="Times New Roman" w:eastAsia="Times New Roman" w:hAnsi="Times New Roman"/>
                <w:sz w:val="14"/>
                <w:szCs w:val="14"/>
                <w:color w:val="auto"/>
              </w:rPr>
              <w:t>8,830</w:t>
            </w:r>
          </w:p>
        </w:tc>
        <w:tc>
          <w:tcPr>
            <w:tcW w:w="220" w:type="dxa"/>
            <w:vAlign w:val="bottom"/>
            <w:tcBorders>
              <w:bottom w:val="single" w:sz="8" w:color="BFE4FF"/>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BFE4FF"/>
            </w:tcBorders>
            <w:shd w:val="clear" w:color="auto" w:fill="BFE4FF"/>
          </w:tcPr>
          <w:p>
            <w:pPr>
              <w:spacing w:after="0"/>
              <w:rPr>
                <w:sz w:val="16"/>
                <w:szCs w:val="16"/>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BFE4FF"/>
            </w:tcBorders>
            <w:gridSpan w:val="2"/>
            <w:shd w:val="clear" w:color="auto" w:fill="BFE4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BFE4FF"/>
            </w:tcBorders>
            <w:shd w:val="clear" w:color="auto" w:fill="BFE4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2019 to August 31, 2019</w:t>
            </w:r>
          </w:p>
        </w:tc>
        <w:tc>
          <w:tcPr>
            <w:tcW w:w="120" w:type="dxa"/>
            <w:vAlign w:val="bottom"/>
          </w:tcPr>
          <w:p>
            <w:pPr>
              <w:spacing w:after="0"/>
              <w:rPr>
                <w:sz w:val="16"/>
                <w:szCs w:val="16"/>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2019 to September 30, 2019</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8,830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Use of Proceeds from our Public Offering of Common Stock</w:t>
      </w:r>
    </w:p>
    <w:p>
      <w:pPr>
        <w:spacing w:after="0" w:line="188"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14"/>
          <w:szCs w:val="14"/>
          <w:color w:val="auto"/>
        </w:rPr>
        <w:t>On October 16, 2018, our registration statement on Form S-1 (File No. 333-227445) relating to our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or private placement were paid to directors, officers, persons owning 10% or more of any class of equity securities, or to their associates, or to our affiliates. Morgan Stanley &amp; Co. LLC, Merrill Lynch, Pierce, Fenner &amp; Smith Incorporated, Canaccord Genuity Inc. and JMP Securities LLC acted as underwriters for the offering.</w:t>
      </w:r>
    </w:p>
    <w:p>
      <w:pPr>
        <w:spacing w:after="0" w:line="142" w:lineRule="exact"/>
        <w:rPr>
          <w:sz w:val="20"/>
          <w:szCs w:val="20"/>
          <w:color w:val="auto"/>
        </w:rPr>
      </w:pPr>
    </w:p>
    <w:p>
      <w:pPr>
        <w:jc w:val="both"/>
        <w:ind w:firstLine="345"/>
        <w:spacing w:after="0" w:line="294" w:lineRule="auto"/>
        <w:rPr>
          <w:sz w:val="20"/>
          <w:szCs w:val="20"/>
          <w:color w:val="auto"/>
        </w:rPr>
      </w:pPr>
      <w:r>
        <w:rPr>
          <w:rFonts w:ascii="Times New Roman" w:cs="Times New Roman" w:eastAsia="Times New Roman" w:hAnsi="Times New Roman"/>
          <w:sz w:val="14"/>
          <w:szCs w:val="14"/>
          <w:color w:val="auto"/>
        </w:rPr>
        <w:t>Shares of our common stock began trading on the Nasdaq Global Market on October 17, 2018. The shares were registered under the Securities Act on registration statement on Form S-1 (Registration No. 333-227445).</w:t>
      </w:r>
    </w:p>
    <w:p>
      <w:pPr>
        <w:spacing w:after="0" w:line="123" w:lineRule="exact"/>
        <w:rPr>
          <w:sz w:val="20"/>
          <w:szCs w:val="20"/>
          <w:color w:val="auto"/>
        </w:rPr>
      </w:pPr>
    </w:p>
    <w:p>
      <w:pPr>
        <w:jc w:val="both"/>
        <w:ind w:firstLine="345"/>
        <w:spacing w:after="0" w:line="275" w:lineRule="auto"/>
        <w:rPr>
          <w:sz w:val="20"/>
          <w:szCs w:val="20"/>
          <w:color w:val="auto"/>
        </w:rPr>
      </w:pPr>
      <w:r>
        <w:rPr>
          <w:rFonts w:ascii="Times New Roman" w:cs="Times New Roman" w:eastAsia="Times New Roman" w:hAnsi="Times New Roman"/>
          <w:sz w:val="14"/>
          <w:szCs w:val="14"/>
          <w:color w:val="auto"/>
        </w:rPr>
        <w:t>There has been no material change in the planned use of proceeds from the IPO from that described in the prospectus filed with the SEC pursuant to Rule 424(b)(4) under the Securities Act on October 16, 2018. As of September 30, 2019, approximately $29.6 million of the net proceeds had been used for sales and marketing activities to support ongoing commercialization of the iFuse Implant System, for working capital and for general corporate purposes, including research and development and clinical studies.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460"/>
          </w:cols>
          <w:pgMar w:left="220" w:top="746" w:right="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None.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 Applicable.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None.</w:t>
      </w:r>
    </w:p>
    <w:p>
      <w:pPr>
        <w:spacing w:after="0" w:line="3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239"/>
          </w:cols>
          <w:pgMar w:left="220" w:top="489"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60" w:type="dxa"/>
            <w:vAlign w:val="bottom"/>
            <w:gridSpan w:val="2"/>
          </w:tcPr>
          <w:p>
            <w:pPr>
              <w:ind w:left="280"/>
              <w:spacing w:after="0" w:line="12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80" w:type="dxa"/>
            <w:vAlign w:val="bottom"/>
            <w:gridSpan w:val="11"/>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 w:type="dxa"/>
            <w:vAlign w:val="bottom"/>
            <w:vMerge w:val="restart"/>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0"/>
                <w:szCs w:val="10"/>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SEC File No.</w:t>
            </w:r>
          </w:p>
        </w:tc>
        <w:tc>
          <w:tcPr>
            <w:tcW w:w="160" w:type="dxa"/>
            <w:vAlign w:val="bottom"/>
            <w:vMerge w:val="restart"/>
          </w:tcPr>
          <w:p>
            <w:pPr>
              <w:spacing w:after="0"/>
              <w:rPr>
                <w:sz w:val="10"/>
                <w:szCs w:val="10"/>
                <w:color w:val="auto"/>
              </w:rPr>
            </w:pPr>
          </w:p>
        </w:tc>
        <w:tc>
          <w:tcPr>
            <w:tcW w:w="128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2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6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gridSpan w:val="19"/>
          </w:tcPr>
          <w:p>
            <w:pP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Amended and Restated Certificate of Incorporation.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gridSpan w:val="2"/>
          </w:tcPr>
          <w:p>
            <w:pPr>
              <w:jc w:val="center"/>
              <w:ind w:left="71"/>
              <w:spacing w:after="0"/>
              <w:rPr>
                <w:sz w:val="20"/>
                <w:szCs w:val="20"/>
                <w:color w:val="auto"/>
              </w:rPr>
            </w:pPr>
            <w:r>
              <w:rPr>
                <w:rFonts w:ascii="Times New Roman" w:cs="Times New Roman" w:eastAsia="Times New Roman" w:hAnsi="Times New Roman"/>
                <w:sz w:val="14"/>
                <w:szCs w:val="14"/>
                <w:color w:val="auto"/>
              </w:rPr>
              <w:t>001-38701</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10/19/2018</w:t>
            </w:r>
          </w:p>
        </w:tc>
        <w:tc>
          <w:tcPr>
            <w:tcW w:w="0" w:type="dxa"/>
            <w:vAlign w:val="bottom"/>
          </w:tcPr>
          <w:p>
            <w:pPr>
              <w:spacing w:after="0"/>
              <w:rPr>
                <w:sz w:val="1"/>
                <w:szCs w:val="1"/>
                <w:color w:val="auto"/>
              </w:rPr>
            </w:pPr>
          </w:p>
        </w:tc>
      </w:tr>
      <w:tr>
        <w:trPr>
          <w:trHeight w:val="29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Amended and Restated Bylaws.</w:t>
              </w:r>
            </w:hyperlink>
          </w:p>
        </w:tc>
        <w:tc>
          <w:tcPr>
            <w:tcW w:w="2280" w:type="dxa"/>
            <w:vAlign w:val="bottom"/>
            <w:gridSpan w:val="10"/>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0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color w:val="auto"/>
              </w:rPr>
              <w:t>333-227445</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10/5/2018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7">
              <w:r>
                <w:rPr>
                  <w:rFonts w:ascii="Times New Roman" w:cs="Times New Roman" w:eastAsia="Times New Roman" w:hAnsi="Times New Roman"/>
                  <w:sz w:val="14"/>
                  <w:szCs w:val="14"/>
                  <w:color w:val="0000FF"/>
                </w:rPr>
                <w:t>Form of Common Stock Certificate of the Company.</w:t>
              </w:r>
            </w:hyperlink>
          </w:p>
        </w:tc>
        <w:tc>
          <w:tcPr>
            <w:tcW w:w="2220" w:type="dxa"/>
            <w:vAlign w:val="bottom"/>
            <w:gridSpan w:val="9"/>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0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color w:val="auto"/>
              </w:rPr>
              <w:t>333-227445</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10/5/2018</w:t>
            </w:r>
          </w:p>
        </w:tc>
        <w:tc>
          <w:tcPr>
            <w:tcW w:w="0" w:type="dxa"/>
            <w:vAlign w:val="bottom"/>
          </w:tcPr>
          <w:p>
            <w:pPr>
              <w:spacing w:after="0"/>
              <w:rPr>
                <w:sz w:val="1"/>
                <w:szCs w:val="1"/>
                <w:color w:val="auto"/>
              </w:rPr>
            </w:pPr>
          </w:p>
        </w:tc>
      </w:tr>
      <w:tr>
        <w:trPr>
          <w:trHeight w:val="29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Reference is made to Exhibits </w:t>
            </w:r>
            <w:hyperlink r:id="rId25">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and </w:t>
            </w:r>
            <w:hyperlink r:id="rId26">
              <w:r>
                <w:rPr>
                  <w:rFonts w:ascii="Times New Roman" w:cs="Times New Roman" w:eastAsia="Times New Roman" w:hAnsi="Times New Roman"/>
                  <w:sz w:val="14"/>
                  <w:szCs w:val="14"/>
                  <w:color w:val="0000FF"/>
                </w:rPr>
                <w:t>3.2</w:t>
              </w:r>
            </w:hyperlink>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Times New Roman" w:cs="Times New Roman" w:eastAsia="Times New Roman" w:hAnsi="Times New Roman"/>
                <w:sz w:val="14"/>
                <w:szCs w:val="14"/>
                <w:color w:val="0000FF"/>
              </w:rPr>
            </w:pPr>
            <w:hyperlink r:id="rId28">
              <w:r>
                <w:rPr>
                  <w:rFonts w:ascii="Times New Roman" w:cs="Times New Roman" w:eastAsia="Times New Roman" w:hAnsi="Times New Roman"/>
                  <w:sz w:val="14"/>
                  <w:szCs w:val="14"/>
                  <w:color w:val="0000FF"/>
                </w:rPr>
                <w:t>Changes to Chief Operating Officer &amp; Chief Financial Officer Compensation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gridSpan w:val="2"/>
          </w:tcPr>
          <w:p>
            <w:pPr>
              <w:jc w:val="center"/>
              <w:ind w:left="71"/>
              <w:spacing w:after="0"/>
              <w:rPr>
                <w:sz w:val="20"/>
                <w:szCs w:val="20"/>
                <w:color w:val="auto"/>
              </w:rPr>
            </w:pPr>
            <w:r>
              <w:rPr>
                <w:rFonts w:ascii="Times New Roman" w:cs="Times New Roman" w:eastAsia="Times New Roman" w:hAnsi="Times New Roman"/>
                <w:sz w:val="14"/>
                <w:szCs w:val="14"/>
                <w:color w:val="auto"/>
              </w:rPr>
              <w:t>001-38701</w:t>
            </w:r>
          </w:p>
        </w:tc>
        <w:tc>
          <w:tcPr>
            <w:tcW w:w="16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Item 5.02</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8/6/2019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760" w:type="dxa"/>
            <w:vAlign w:val="bottom"/>
            <w:gridSpan w:val="8"/>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w:anchor="page71">
              <w:r>
                <w:rPr>
                  <w:rFonts w:ascii="Times New Roman" w:cs="Times New Roman" w:eastAsia="Times New Roman" w:hAnsi="Times New Roman"/>
                  <w:sz w:val="14"/>
                  <w:szCs w:val="14"/>
                  <w:color w:val="0000FF"/>
                </w:rPr>
                <w:t>Amendment to Restricted Stock Units of Chief Operating Officer &amp; Chief Financial</w:t>
              </w:r>
            </w:hyperlink>
          </w:p>
        </w:tc>
        <w:tc>
          <w:tcPr>
            <w:tcW w:w="42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rFonts w:ascii="Times New Roman" w:cs="Times New Roman" w:eastAsia="Times New Roman" w:hAnsi="Times New Roman"/>
                <w:sz w:val="14"/>
                <w:szCs w:val="14"/>
                <w:color w:val="0000FF"/>
                <w:w w:val="98"/>
              </w:rPr>
            </w:pPr>
            <w:hyperlink w:anchor="page71">
              <w:r>
                <w:rPr>
                  <w:rFonts w:ascii="Times New Roman" w:cs="Times New Roman" w:eastAsia="Times New Roman" w:hAnsi="Times New Roman"/>
                  <w:sz w:val="14"/>
                  <w:szCs w:val="14"/>
                  <w:color w:val="0000FF"/>
                  <w:w w:val="98"/>
                </w:rPr>
                <w:t>Officer</w:t>
              </w:r>
            </w:hyperlink>
          </w:p>
        </w:tc>
        <w:tc>
          <w:tcPr>
            <w:tcW w:w="4840" w:type="dxa"/>
            <w:vAlign w:val="bottom"/>
            <w:gridSpan w:val="18"/>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Times New Roman" w:cs="Times New Roman" w:eastAsia="Times New Roman" w:hAnsi="Times New Roman"/>
                <w:sz w:val="14"/>
                <w:szCs w:val="14"/>
                <w:color w:val="0000FF"/>
              </w:rPr>
            </w:pPr>
            <w:hyperlink w:anchor="page74">
              <w:r>
                <w:rPr>
                  <w:rFonts w:ascii="Times New Roman" w:cs="Times New Roman" w:eastAsia="Times New Roman" w:hAnsi="Times New Roman"/>
                  <w:sz w:val="14"/>
                  <w:szCs w:val="14"/>
                  <w:color w:val="0000FF"/>
                </w:rPr>
                <w:t>Certification of Principal Executive Officer Pursuant to Rules 13a-14(a) and 15d-14(a)</w:t>
              </w:r>
            </w:hyperlink>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5"/>
          </w:tcPr>
          <w:p>
            <w:pPr>
              <w:spacing w:after="0" w:line="153" w:lineRule="exact"/>
              <w:rPr>
                <w:rFonts w:ascii="Times New Roman" w:cs="Times New Roman" w:eastAsia="Times New Roman" w:hAnsi="Times New Roman"/>
                <w:sz w:val="14"/>
                <w:szCs w:val="14"/>
                <w:color w:val="0000FF"/>
              </w:rPr>
            </w:pPr>
            <w:hyperlink w:anchor="page74">
              <w:r>
                <w:rPr>
                  <w:rFonts w:ascii="Times New Roman" w:cs="Times New Roman" w:eastAsia="Times New Roman" w:hAnsi="Times New Roman"/>
                  <w:sz w:val="14"/>
                  <w:szCs w:val="14"/>
                  <w:color w:val="0000FF"/>
                </w:rPr>
                <w:t>under the Securities Exchange Act of 1934, as Adopted Pursuant to Section 302 of the</w:t>
              </w:r>
            </w:hyperlink>
          </w:p>
        </w:tc>
        <w:tc>
          <w:tcPr>
            <w:tcW w:w="280" w:type="dxa"/>
            <w:vAlign w:val="bottom"/>
            <w:gridSpan w:val="4"/>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4"/>
          </w:tcPr>
          <w:p>
            <w:pPr>
              <w:spacing w:after="0" w:line="153" w:lineRule="exact"/>
              <w:rPr>
                <w:rFonts w:ascii="Times New Roman" w:cs="Times New Roman" w:eastAsia="Times New Roman" w:hAnsi="Times New Roman"/>
                <w:sz w:val="14"/>
                <w:szCs w:val="14"/>
                <w:color w:val="0000FF"/>
              </w:rPr>
            </w:pPr>
            <w:hyperlink w:anchor="page74">
              <w:r>
                <w:rPr>
                  <w:rFonts w:ascii="Times New Roman" w:cs="Times New Roman" w:eastAsia="Times New Roman" w:hAnsi="Times New Roman"/>
                  <w:sz w:val="14"/>
                  <w:szCs w:val="14"/>
                  <w:color w:val="0000FF"/>
                </w:rPr>
                <w:t>Sarbanes-Oxley Act of 2002.</w:t>
              </w:r>
            </w:hyperlink>
          </w:p>
        </w:tc>
        <w:tc>
          <w:tcPr>
            <w:tcW w:w="3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Times New Roman" w:cs="Times New Roman" w:eastAsia="Times New Roman" w:hAnsi="Times New Roman"/>
                <w:sz w:val="14"/>
                <w:szCs w:val="14"/>
                <w:color w:val="0000FF"/>
              </w:rPr>
            </w:pPr>
            <w:hyperlink w:anchor="page75">
              <w:r>
                <w:rPr>
                  <w:rFonts w:ascii="Times New Roman" w:cs="Times New Roman" w:eastAsia="Times New Roman" w:hAnsi="Times New Roman"/>
                  <w:sz w:val="14"/>
                  <w:szCs w:val="14"/>
                  <w:color w:val="0000FF"/>
                </w:rPr>
                <w:t>Certification of Principal Financial Officer Pursuant to Rules 13a-14(a) and 15d-14(a)</w:t>
              </w:r>
            </w:hyperlink>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60" w:type="dxa"/>
            <w:vAlign w:val="bottom"/>
            <w:gridSpan w:val="11"/>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gridSpan w:val="19"/>
          </w:tcPr>
          <w:p>
            <w:pPr>
              <w:spacing w:after="0" w:line="153" w:lineRule="exact"/>
              <w:rPr>
                <w:rFonts w:ascii="Times New Roman" w:cs="Times New Roman" w:eastAsia="Times New Roman" w:hAnsi="Times New Roman"/>
                <w:sz w:val="14"/>
                <w:szCs w:val="14"/>
                <w:color w:val="0000FF"/>
              </w:rPr>
            </w:pPr>
            <w:hyperlink w:anchor="page75">
              <w:r>
                <w:rPr>
                  <w:rFonts w:ascii="Times New Roman" w:cs="Times New Roman" w:eastAsia="Times New Roman" w:hAnsi="Times New Roman"/>
                  <w:sz w:val="14"/>
                  <w:szCs w:val="14"/>
                  <w:color w:val="0000FF"/>
                </w:rPr>
                <w:t>under the Securities Exchange Act of 1934, as Adopted Pursuant to Section 302 of the</w:t>
              </w:r>
            </w:hyperlink>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4"/>
          </w:tcPr>
          <w:p>
            <w:pPr>
              <w:spacing w:after="0" w:line="153" w:lineRule="exact"/>
              <w:rPr>
                <w:rFonts w:ascii="Times New Roman" w:cs="Times New Roman" w:eastAsia="Times New Roman" w:hAnsi="Times New Roman"/>
                <w:sz w:val="14"/>
                <w:szCs w:val="14"/>
                <w:color w:val="0000FF"/>
              </w:rPr>
            </w:pPr>
            <w:hyperlink w:anchor="page75">
              <w:r>
                <w:rPr>
                  <w:rFonts w:ascii="Times New Roman" w:cs="Times New Roman" w:eastAsia="Times New Roman" w:hAnsi="Times New Roman"/>
                  <w:sz w:val="14"/>
                  <w:szCs w:val="14"/>
                  <w:color w:val="0000FF"/>
                </w:rPr>
                <w:t>Sarbanes-Oxley Act of 2002.</w:t>
              </w:r>
            </w:hyperlink>
          </w:p>
        </w:tc>
        <w:tc>
          <w:tcPr>
            <w:tcW w:w="3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3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spacing w:after="0"/>
              <w:rPr>
                <w:rFonts w:ascii="Times New Roman" w:cs="Times New Roman" w:eastAsia="Times New Roman" w:hAnsi="Times New Roman"/>
                <w:sz w:val="14"/>
                <w:szCs w:val="14"/>
                <w:color w:val="0000FF"/>
              </w:rPr>
            </w:pPr>
            <w:hyperlink w:anchor="page76">
              <w:r>
                <w:rPr>
                  <w:rFonts w:ascii="Times New Roman" w:cs="Times New Roman" w:eastAsia="Times New Roman" w:hAnsi="Times New Roman"/>
                  <w:sz w:val="14"/>
                  <w:szCs w:val="14"/>
                  <w:color w:val="0000FF"/>
                </w:rPr>
                <w:t>Certification of Principal Executive Officer and Principal Financial Officer Pursuant to</w:t>
              </w:r>
            </w:hyperlink>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520" w:type="dxa"/>
            <w:vAlign w:val="bottom"/>
            <w:gridSpan w:val="1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bottom w:val="single" w:sz="8" w:color="0000FF"/>
            </w:tcBorders>
            <w:gridSpan w:val="17"/>
          </w:tcPr>
          <w:p>
            <w:pPr>
              <w:spacing w:after="0" w:line="153" w:lineRule="exact"/>
              <w:rPr>
                <w:rFonts w:ascii="Times New Roman" w:cs="Times New Roman" w:eastAsia="Times New Roman" w:hAnsi="Times New Roman"/>
                <w:sz w:val="14"/>
                <w:szCs w:val="14"/>
                <w:color w:val="0000FF"/>
              </w:rPr>
            </w:pPr>
            <w:hyperlink w:anchor="page76">
              <w:r>
                <w:rPr>
                  <w:rFonts w:ascii="Times New Roman" w:cs="Times New Roman" w:eastAsia="Times New Roman" w:hAnsi="Times New Roman"/>
                  <w:sz w:val="14"/>
                  <w:szCs w:val="14"/>
                  <w:color w:val="0000FF"/>
                </w:rPr>
                <w:t>18 U.S.C. Section 1350, as Adopted Pursuant to Section 906 of the Sarbanes-Oxley Act</w:t>
              </w:r>
            </w:hyperlink>
          </w:p>
        </w:tc>
        <w:tc>
          <w:tcPr>
            <w:tcW w:w="20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gridSpan w:val="19"/>
          </w:tcPr>
          <w:p>
            <w:pPr>
              <w:spacing w:after="0" w:line="153" w:lineRule="exact"/>
              <w:rPr>
                <w:rFonts w:ascii="Times New Roman" w:cs="Times New Roman" w:eastAsia="Times New Roman" w:hAnsi="Times New Roman"/>
                <w:sz w:val="14"/>
                <w:szCs w:val="14"/>
                <w:color w:val="0000FF"/>
              </w:rPr>
            </w:pPr>
            <w:hyperlink w:anchor="page76">
              <w:r>
                <w:rPr>
                  <w:rFonts w:ascii="Times New Roman" w:cs="Times New Roman" w:eastAsia="Times New Roman" w:hAnsi="Times New Roman"/>
                  <w:sz w:val="14"/>
                  <w:szCs w:val="14"/>
                  <w:color w:val="0000FF"/>
                </w:rPr>
                <w:t>of 2002.</w:t>
              </w:r>
            </w:hyperlink>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78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24"/>
                <w:szCs w:val="24"/>
                <w:color w:val="auto"/>
              </w:rPr>
            </w:pPr>
          </w:p>
        </w:tc>
        <w:tc>
          <w:tcPr>
            <w:tcW w:w="52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60" w:hanging="254"/>
        <w:spacing w:after="0"/>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260" w:hanging="254"/>
        <w:spacing w:after="0" w:line="281" w:lineRule="auto"/>
        <w:tabs>
          <w:tab w:leader="none" w:pos="2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440"/>
          </w:cols>
          <w:pgMar w:left="220" w:top="489" w:right="239" w:bottom="1440" w:gutter="0" w:footer="0" w:header="0"/>
        </w:sectPr>
      </w:pPr>
    </w:p>
    <w:bookmarkStart w:id="69" w:name="page70"/>
    <w:bookmarkEnd w:id="69"/>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34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SI-BONE, Inc.</w:t>
            </w:r>
          </w:p>
        </w:tc>
      </w:tr>
      <w:tr>
        <w:trPr>
          <w:trHeight w:val="399"/>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November 12, 2019</w:t>
            </w:r>
          </w:p>
        </w:tc>
        <w:tc>
          <w:tcPr>
            <w:tcW w:w="21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Jeffrey W. Dunn</w:t>
            </w:r>
          </w:p>
        </w:tc>
      </w:tr>
      <w:tr>
        <w:trPr>
          <w:trHeight w:val="23"/>
        </w:trPr>
        <w:tc>
          <w:tcPr>
            <w:tcW w:w="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184"/>
        </w:trPr>
        <w:tc>
          <w:tcPr>
            <w:tcW w:w="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W. Dunn</w:t>
            </w:r>
          </w:p>
        </w:tc>
      </w:tr>
      <w:tr>
        <w:trPr>
          <w:trHeight w:val="216"/>
        </w:trPr>
        <w:tc>
          <w:tcPr>
            <w:tcW w:w="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6"/>
        </w:trPr>
        <w:tc>
          <w:tcPr>
            <w:tcW w:w="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(Duly Authorized Officer and Principal Executive Officer</w:t>
            </w:r>
            <w:r>
              <w:rPr>
                <w:rFonts w:ascii="Times New Roman" w:cs="Times New Roman" w:eastAsia="Times New Roman" w:hAnsi="Times New Roman"/>
                <w:sz w:val="11"/>
                <w:szCs w:val="11"/>
                <w:color w:val="auto"/>
              </w:rPr>
              <w:t>)</w:t>
            </w:r>
          </w:p>
        </w:tc>
      </w:tr>
      <w:tr>
        <w:trPr>
          <w:trHeight w:val="614"/>
        </w:trPr>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34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SI-BONE, Inc.</w:t>
            </w:r>
          </w:p>
        </w:tc>
      </w:tr>
      <w:tr>
        <w:trPr>
          <w:trHeight w:val="366"/>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November 12, 2019</w:t>
            </w:r>
          </w:p>
        </w:tc>
        <w:tc>
          <w:tcPr>
            <w:tcW w:w="21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Laura A. Francis</w:t>
            </w:r>
          </w:p>
        </w:tc>
      </w:tr>
      <w:tr>
        <w:trPr>
          <w:trHeight w:val="23"/>
        </w:trPr>
        <w:tc>
          <w:tcPr>
            <w:tcW w:w="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184"/>
        </w:trPr>
        <w:tc>
          <w:tcPr>
            <w:tcW w:w="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Laura A. Francis</w:t>
            </w:r>
          </w:p>
        </w:tc>
      </w:tr>
      <w:tr>
        <w:trPr>
          <w:trHeight w:val="216"/>
        </w:trPr>
        <w:tc>
          <w:tcPr>
            <w:tcW w:w="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Officer and Chief Financial Officer</w:t>
            </w:r>
          </w:p>
        </w:tc>
      </w:tr>
    </w:tbl>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(Duly Authorized Officer and Principal Financial and Accounting</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Officer)</w:t>
      </w:r>
    </w:p>
    <w:p>
      <w:pPr>
        <w:sectPr>
          <w:pgSz w:w="11900" w:h="16838" w:orient="portrait"/>
          <w:cols w:equalWidth="0" w:num="1">
            <w:col w:w="10480"/>
          </w:cols>
          <w:pgMar w:left="580" w:top="317" w:right="839"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ind w:left="1072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Jeffrey W. Dunn, certify that:</w:t>
      </w:r>
    </w:p>
    <w:p>
      <w:pPr>
        <w:spacing w:after="0" w:line="184" w:lineRule="exact"/>
        <w:rPr>
          <w:sz w:val="20"/>
          <w:szCs w:val="20"/>
          <w:color w:val="auto"/>
        </w:rPr>
      </w:pPr>
    </w:p>
    <w:p>
      <w:pPr>
        <w:ind w:left="520" w:hanging="255"/>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SI-Bone, Inc.;</w:t>
      </w:r>
    </w:p>
    <w:p>
      <w:pPr>
        <w:spacing w:after="0" w:line="183"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3"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707"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4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680" w:hanging="157"/>
        <w:spacing w:after="0"/>
        <w:tabs>
          <w:tab w:leader="none" w:pos="6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30480</wp:posOffset>
            </wp:positionV>
            <wp:extent cx="31616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161665" cy="6985"/>
                    </a:xfrm>
                    <a:prstGeom prst="rect">
                      <a:avLst/>
                    </a:prstGeom>
                    <a:noFill/>
                  </pic:spPr>
                </pic:pic>
              </a:graphicData>
            </a:graphic>
          </wp:anchor>
        </w:drawing>
      </w:r>
    </w:p>
    <w:p>
      <w:pPr>
        <w:spacing w:after="0" w:line="45" w:lineRule="exact"/>
        <w:rPr>
          <w:sz w:val="20"/>
          <w:szCs w:val="20"/>
          <w:color w:val="auto"/>
        </w:rPr>
      </w:pPr>
    </w:p>
    <w:p>
      <w:pPr>
        <w:ind w:left="860"/>
        <w:spacing w:after="0"/>
        <w:tabs>
          <w:tab w:leader="none" w:pos="1340" w:val="left"/>
          <w:tab w:leader="none" w:pos="7640" w:val="left"/>
        </w:tabs>
        <w:rPr>
          <w:sz w:val="20"/>
          <w:szCs w:val="20"/>
          <w:color w:val="auto"/>
        </w:rPr>
      </w:pPr>
      <w:r>
        <w:rPr>
          <w:rFonts w:ascii="Times New Roman" w:cs="Times New Roman" w:eastAsia="Times New Roman" w:hAnsi="Times New Roman"/>
          <w:sz w:val="14"/>
          <w:szCs w:val="14"/>
          <w:color w:val="auto"/>
        </w:rPr>
        <w:t>Date:</w:t>
        <w:tab/>
        <w:t>November 12, 2019</w:t>
      </w:r>
      <w:r>
        <w:rPr>
          <w:sz w:val="20"/>
          <w:szCs w:val="20"/>
          <w:color w:val="auto"/>
        </w:rPr>
        <w:tab/>
      </w:r>
      <w:r>
        <w:rPr>
          <w:rFonts w:ascii="Times New Roman" w:cs="Times New Roman" w:eastAsia="Times New Roman" w:hAnsi="Times New Roman"/>
          <w:sz w:val="14"/>
          <w:szCs w:val="14"/>
          <w:color w:val="auto"/>
        </w:rPr>
        <w:t>Jeffrey W. Dunn</w:t>
      </w:r>
    </w:p>
    <w:p>
      <w:pPr>
        <w:spacing w:after="0" w:line="5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460"/>
          </w:cols>
          <w:pgMar w:left="220" w:top="489" w:right="219" w:bottom="1440" w:gutter="0" w:footer="0" w:header="0"/>
        </w:sectPr>
      </w:pPr>
    </w:p>
    <w:bookmarkStart w:id="74" w:name="page75"/>
    <w:bookmarkEnd w:id="74"/>
    <w:p>
      <w:pPr>
        <w:ind w:left="1072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Laura A. Francis, certify that:</w:t>
      </w:r>
    </w:p>
    <w:p>
      <w:pPr>
        <w:spacing w:after="0" w:line="281" w:lineRule="exact"/>
        <w:rPr>
          <w:sz w:val="20"/>
          <w:szCs w:val="20"/>
          <w:color w:val="auto"/>
        </w:rPr>
      </w:pPr>
    </w:p>
    <w:p>
      <w:pPr>
        <w:ind w:left="520" w:hanging="255"/>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of SI-Bone, Inc.;</w:t>
      </w:r>
    </w:p>
    <w:p>
      <w:pPr>
        <w:spacing w:after="0" w:line="183"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3"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70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4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660" w:hanging="137"/>
        <w:spacing w:after="0" w:line="294" w:lineRule="auto"/>
        <w:tabs>
          <w:tab w:leader="none" w:pos="68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680" w:hanging="157"/>
        <w:spacing w:after="0"/>
        <w:tabs>
          <w:tab w:leader="none" w:pos="6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30480</wp:posOffset>
            </wp:positionV>
            <wp:extent cx="30791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079115" cy="6985"/>
                    </a:xfrm>
                    <a:prstGeom prst="rect">
                      <a:avLst/>
                    </a:prstGeom>
                    <a:noFill/>
                  </pic:spPr>
                </pic:pic>
              </a:graphicData>
            </a:graphic>
          </wp:anchor>
        </w:drawing>
      </w:r>
    </w:p>
    <w:p>
      <w:pPr>
        <w:spacing w:after="0" w:line="45" w:lineRule="exact"/>
        <w:rPr>
          <w:sz w:val="20"/>
          <w:szCs w:val="20"/>
          <w:color w:val="auto"/>
        </w:rPr>
      </w:pPr>
    </w:p>
    <w:p>
      <w:pPr>
        <w:ind w:left="800"/>
        <w:spacing w:after="0"/>
        <w:tabs>
          <w:tab w:leader="none" w:pos="1480" w:val="left"/>
          <w:tab w:leader="none" w:pos="77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12, 2019</w:t>
      </w:r>
      <w:r>
        <w:rPr>
          <w:sz w:val="20"/>
          <w:szCs w:val="20"/>
          <w:color w:val="auto"/>
        </w:rPr>
        <w:tab/>
      </w:r>
      <w:r>
        <w:rPr>
          <w:rFonts w:ascii="Times New Roman" w:cs="Times New Roman" w:eastAsia="Times New Roman" w:hAnsi="Times New Roman"/>
          <w:sz w:val="14"/>
          <w:szCs w:val="14"/>
          <w:color w:val="auto"/>
        </w:rPr>
        <w:t>Laura A. Francis</w:t>
      </w:r>
    </w:p>
    <w:p>
      <w:pPr>
        <w:spacing w:after="0" w:line="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Chief Operating Officer and Chief Financial Officer</w:t>
      </w:r>
    </w:p>
    <w:p>
      <w:pPr>
        <w:sectPr>
          <w:pgSz w:w="11900" w:h="16838" w:orient="portrait"/>
          <w:cols w:equalWidth="0" w:num="1">
            <w:col w:w="11460"/>
          </w:cols>
          <w:pgMar w:left="220" w:top="489" w:right="2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Financial Officer of the Company, each hereby certify that, to the best of his or her knowledge:</w:t>
      </w:r>
    </w:p>
    <w:p>
      <w:pPr>
        <w:spacing w:after="0" w:line="136" w:lineRule="exact"/>
        <w:rPr>
          <w:sz w:val="20"/>
          <w:szCs w:val="20"/>
          <w:color w:val="auto"/>
        </w:rPr>
      </w:pPr>
    </w:p>
    <w:p>
      <w:pPr>
        <w:ind w:firstLine="6"/>
        <w:spacing w:after="0" w:line="294" w:lineRule="auto"/>
        <w:tabs>
          <w:tab w:leader="none" w:pos="15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22" w:lineRule="exact"/>
        <w:rPr>
          <w:rFonts w:ascii="Times New Roman" w:cs="Times New Roman" w:eastAsia="Times New Roman" w:hAnsi="Times New Roman"/>
          <w:sz w:val="14"/>
          <w:szCs w:val="14"/>
          <w:color w:val="auto"/>
        </w:rPr>
      </w:pPr>
    </w:p>
    <w:p>
      <w:pPr>
        <w:ind w:left="140" w:hanging="134"/>
        <w:spacing w:after="0"/>
        <w:tabs>
          <w:tab w:leader="none" w:pos="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30480</wp:posOffset>
            </wp:positionV>
            <wp:extent cx="335978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359785" cy="6985"/>
                    </a:xfrm>
                    <a:prstGeom prst="rect">
                      <a:avLst/>
                    </a:prstGeom>
                    <a:noFill/>
                  </pic:spPr>
                </pic:pic>
              </a:graphicData>
            </a:graphic>
          </wp:anchor>
        </w:drawing>
      </w:r>
    </w:p>
    <w:p>
      <w:pPr>
        <w:spacing w:after="0" w:line="45" w:lineRule="exact"/>
        <w:rPr>
          <w:sz w:val="20"/>
          <w:szCs w:val="20"/>
          <w:color w:val="auto"/>
        </w:rPr>
      </w:pPr>
    </w:p>
    <w:p>
      <w:pPr>
        <w:ind w:left="440"/>
        <w:spacing w:after="0"/>
        <w:tabs>
          <w:tab w:leader="none" w:pos="1180" w:val="left"/>
          <w:tab w:leader="none" w:pos="79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12, 2019</w:t>
      </w:r>
      <w:r>
        <w:rPr>
          <w:sz w:val="20"/>
          <w:szCs w:val="20"/>
          <w:color w:val="auto"/>
        </w:rPr>
        <w:tab/>
      </w:r>
      <w:r>
        <w:rPr>
          <w:rFonts w:ascii="Times New Roman" w:cs="Times New Roman" w:eastAsia="Times New Roman" w:hAnsi="Times New Roman"/>
          <w:sz w:val="14"/>
          <w:szCs w:val="14"/>
          <w:color w:val="auto"/>
        </w:rPr>
        <w:t>Jeffrey W. Dunn</w:t>
      </w:r>
    </w:p>
    <w:p>
      <w:pPr>
        <w:spacing w:after="0" w:line="5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7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30480</wp:posOffset>
            </wp:positionV>
            <wp:extent cx="335978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359785" cy="6985"/>
                    </a:xfrm>
                    <a:prstGeom prst="rect">
                      <a:avLst/>
                    </a:prstGeom>
                    <a:noFill/>
                  </pic:spPr>
                </pic:pic>
              </a:graphicData>
            </a:graphic>
          </wp:anchor>
        </w:drawing>
      </w:r>
    </w:p>
    <w:p>
      <w:pPr>
        <w:spacing w:after="0" w:line="45" w:lineRule="exact"/>
        <w:rPr>
          <w:sz w:val="20"/>
          <w:szCs w:val="20"/>
          <w:color w:val="auto"/>
        </w:rPr>
      </w:pPr>
    </w:p>
    <w:p>
      <w:pPr>
        <w:ind w:left="440"/>
        <w:spacing w:after="0"/>
        <w:tabs>
          <w:tab w:leader="none" w:pos="1180" w:val="left"/>
          <w:tab w:leader="none" w:pos="79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12, 2019</w:t>
      </w:r>
      <w:r>
        <w:rPr>
          <w:sz w:val="20"/>
          <w:szCs w:val="20"/>
          <w:color w:val="auto"/>
        </w:rPr>
        <w:tab/>
      </w:r>
      <w:r>
        <w:rPr>
          <w:rFonts w:ascii="Times New Roman" w:cs="Times New Roman" w:eastAsia="Times New Roman" w:hAnsi="Times New Roman"/>
          <w:sz w:val="14"/>
          <w:szCs w:val="14"/>
          <w:color w:val="auto"/>
        </w:rPr>
        <w:t>Laura A. Francis</w:t>
      </w:r>
    </w:p>
    <w:p>
      <w:pPr>
        <w:spacing w:after="0" w:line="5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Chief Operating Officer and Chief Financial Officer</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60"/>
      </w:cols>
      <w:pgMar w:left="220" w:top="48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8"/>
    </w:lvl>
  </w:abstractNum>
  <w:abstractNum w:abstractNumId="2">
    <w:nsid w:val="2D1D5AE9"/>
    <w:multiLevelType w:val="hybridMultilevel"/>
    <w:lvl w:ilvl="0">
      <w:lvlJc w:val="left"/>
      <w:lvlText w:val="%1."/>
      <w:numFmt w:val="decimal"/>
      <w:start w:val="6"/>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decimal"/>
      <w:start w:val="9"/>
    </w:lvl>
  </w:abstractNum>
  <w:abstractNum w:abstractNumId="5">
    <w:nsid w:val="8EDBDAB"/>
    <w:multiLevelType w:val="hybridMultilevel"/>
    <w:lvl w:ilvl="0">
      <w:lvlJc w:val="left"/>
      <w:lvlText w:val="%1."/>
      <w:numFmt w:val="decimal"/>
      <w:start w:val="10"/>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25" Type="http://schemas.openxmlformats.org/officeDocument/2006/relationships/hyperlink" Target="http://www.sec.gov/Archives/edgar/data/1459839/000119312518303020/d641574dex31.htm" TargetMode="External"/><Relationship Id="rId26" Type="http://schemas.openxmlformats.org/officeDocument/2006/relationships/hyperlink" Target="http://www.sec.gov/Archives/edgar/data/1459839/000119312518293978/d452987dex34.htm" TargetMode="External"/><Relationship Id="rId27" Type="http://schemas.openxmlformats.org/officeDocument/2006/relationships/hyperlink" Target="http://www.sec.gov/Archives/edgar/data/1459839/000119312518293978/d452987dex41.htm" TargetMode="External"/><Relationship Id="rId28" Type="http://schemas.openxmlformats.org/officeDocument/2006/relationships/hyperlink" Target="http://www.sec.gov/Archives/edgar/data/1459839/000145983919000033/sibn63019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2019-12-28T01:34:18Z</dcterms:created>
  <dcterms:modified xsi:type="dcterms:W3CDTF">2019-12-28T01:34:18Z</dcterms:modified>
</cp:coreProperties>
</file>