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38735</wp:posOffset>
            </wp:positionV>
            <wp:extent cx="19888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39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217805</wp:posOffset>
            </wp:positionV>
            <wp:extent cx="19888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(Mark one)</w:t>
      </w:r>
    </w:p>
    <w:p>
      <w:pPr>
        <w:spacing w:after="0" w:line="19" w:lineRule="exact"/>
        <w:rPr>
          <w:sz w:val="24"/>
          <w:szCs w:val="24"/>
          <w:color w:val="auto"/>
        </w:rPr>
      </w:pPr>
    </w:p>
    <w:p>
      <w:pPr>
        <w:ind w:left="1620" w:hanging="219"/>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For the quarterly period ended March 31, 2020</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262" w:lineRule="exact"/>
        <w:rPr>
          <w:sz w:val="24"/>
          <w:szCs w:val="24"/>
          <w:color w:val="auto"/>
        </w:rPr>
      </w:pPr>
    </w:p>
    <w:p>
      <w:pPr>
        <w:ind w:left="1600" w:hanging="205"/>
        <w:spacing w:after="0"/>
        <w:tabs>
          <w:tab w:leader="none" w:pos="16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1"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4"/>
          <w:szCs w:val="14"/>
          <w:b w:val="1"/>
          <w:bCs w:val="1"/>
          <w:color w:val="auto"/>
        </w:rPr>
        <w:t>For the transition period from __________ to __________</w:t>
      </w: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001-38701</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SI-BONE, INC.</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70485</wp:posOffset>
            </wp:positionV>
            <wp:extent cx="198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4840" w:type="dxa"/>
            <w:vAlign w:val="bottom"/>
            <w:gridSpan w:val="4"/>
          </w:tcPr>
          <w:p>
            <w:pPr>
              <w:jc w:val="center"/>
              <w:ind w:left="85"/>
              <w:spacing w:after="0"/>
              <w:rPr>
                <w:sz w:val="20"/>
                <w:szCs w:val="20"/>
                <w:color w:val="auto"/>
              </w:rPr>
            </w:pPr>
            <w:r>
              <w:rPr>
                <w:rFonts w:ascii="Arial" w:cs="Arial" w:eastAsia="Arial" w:hAnsi="Arial"/>
                <w:sz w:val="16"/>
                <w:szCs w:val="16"/>
                <w:b w:val="1"/>
                <w:bCs w:val="1"/>
                <w:color w:val="auto"/>
                <w:w w:val="91"/>
              </w:rPr>
              <w:t>Delaware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760" w:type="dxa"/>
            <w:vAlign w:val="bottom"/>
            <w:gridSpan w:val="2"/>
          </w:tcPr>
          <w:p>
            <w:pPr>
              <w:jc w:val="right"/>
              <w:ind w:right="468"/>
              <w:spacing w:after="0"/>
              <w:rPr>
                <w:sz w:val="20"/>
                <w:szCs w:val="20"/>
                <w:color w:val="auto"/>
              </w:rPr>
            </w:pPr>
            <w:r>
              <w:rPr>
                <w:rFonts w:ascii="Arial" w:cs="Arial" w:eastAsia="Arial" w:hAnsi="Arial"/>
                <w:sz w:val="16"/>
                <w:szCs w:val="16"/>
                <w:b w:val="1"/>
                <w:bCs w:val="1"/>
                <w:color w:val="auto"/>
              </w:rPr>
              <w:t>26-2216351</w:t>
            </w:r>
          </w:p>
        </w:tc>
        <w:tc>
          <w:tcPr>
            <w:tcW w:w="20" w:type="dxa"/>
            <w:vAlign w:val="bottom"/>
          </w:tcPr>
          <w:p>
            <w:pPr>
              <w:spacing w:after="0"/>
              <w:rPr>
                <w:sz w:val="19"/>
                <w:szCs w:val="19"/>
                <w:color w:val="auto"/>
              </w:rPr>
            </w:pPr>
          </w:p>
        </w:tc>
      </w:tr>
      <w:tr>
        <w:trPr>
          <w:trHeight w:val="172"/>
        </w:trPr>
        <w:tc>
          <w:tcPr>
            <w:tcW w:w="4840" w:type="dxa"/>
            <w:vAlign w:val="bottom"/>
            <w:gridSpan w:val="4"/>
          </w:tcPr>
          <w:p>
            <w:pPr>
              <w:jc w:val="center"/>
              <w:ind w:left="85"/>
              <w:spacing w:after="0"/>
              <w:rPr>
                <w:sz w:val="20"/>
                <w:szCs w:val="20"/>
                <w:color w:val="auto"/>
              </w:rPr>
            </w:pPr>
            <w:r>
              <w:rPr>
                <w:rFonts w:ascii="Arial" w:cs="Arial" w:eastAsia="Arial" w:hAnsi="Arial"/>
                <w:sz w:val="14"/>
                <w:szCs w:val="14"/>
                <w:b w:val="1"/>
                <w:bCs w:val="1"/>
                <w:color w:val="auto"/>
                <w:w w:val="92"/>
              </w:rPr>
              <w:t>(State or Other Jurisdiction of</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2"/>
          </w:tcPr>
          <w:p>
            <w:pPr>
              <w:jc w:val="center"/>
              <w:ind w:left="76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840" w:type="dxa"/>
            <w:vAlign w:val="bottom"/>
            <w:gridSpan w:val="4"/>
          </w:tcPr>
          <w:p>
            <w:pPr>
              <w:jc w:val="center"/>
              <w:ind w:left="85"/>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2"/>
          </w:tcPr>
          <w:p>
            <w:pPr>
              <w:jc w:val="center"/>
              <w:ind w:left="788"/>
              <w:spacing w:after="0"/>
              <w:rPr>
                <w:sz w:val="20"/>
                <w:szCs w:val="20"/>
                <w:color w:val="auto"/>
              </w:rPr>
            </w:pPr>
            <w:r>
              <w:rPr>
                <w:rFonts w:ascii="Arial" w:cs="Arial" w:eastAsia="Arial" w:hAnsi="Arial"/>
                <w:sz w:val="14"/>
                <w:szCs w:val="14"/>
                <w:b w:val="1"/>
                <w:bCs w:val="1"/>
                <w:color w:val="auto"/>
                <w:w w:val="95"/>
              </w:rPr>
              <w:t>Identification Number)</w:t>
            </w:r>
          </w:p>
        </w:tc>
      </w:tr>
      <w:tr>
        <w:trPr>
          <w:trHeight w:val="613"/>
        </w:trPr>
        <w:tc>
          <w:tcPr>
            <w:tcW w:w="4840" w:type="dxa"/>
            <w:vAlign w:val="bottom"/>
            <w:gridSpan w:val="4"/>
          </w:tcPr>
          <w:p>
            <w:pPr>
              <w:jc w:val="center"/>
              <w:ind w:left="85"/>
              <w:spacing w:after="0"/>
              <w:rPr>
                <w:sz w:val="20"/>
                <w:szCs w:val="20"/>
                <w:color w:val="auto"/>
              </w:rPr>
            </w:pPr>
            <w:r>
              <w:rPr>
                <w:rFonts w:ascii="Arial" w:cs="Arial" w:eastAsia="Arial" w:hAnsi="Arial"/>
                <w:sz w:val="16"/>
                <w:szCs w:val="16"/>
                <w:b w:val="1"/>
                <w:bCs w:val="1"/>
                <w:color w:val="auto"/>
                <w:w w:val="93"/>
              </w:rPr>
              <w:t>471 El Camino Real, Suite 101, Santa Clara, California</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60" w:type="dxa"/>
            <w:vAlign w:val="bottom"/>
            <w:gridSpan w:val="2"/>
          </w:tcPr>
          <w:p>
            <w:pPr>
              <w:jc w:val="right"/>
              <w:ind w:right="688"/>
              <w:spacing w:after="0"/>
              <w:rPr>
                <w:sz w:val="20"/>
                <w:szCs w:val="20"/>
                <w:color w:val="auto"/>
              </w:rPr>
            </w:pPr>
            <w:r>
              <w:rPr>
                <w:rFonts w:ascii="Arial" w:cs="Arial" w:eastAsia="Arial" w:hAnsi="Arial"/>
                <w:sz w:val="16"/>
                <w:szCs w:val="16"/>
                <w:b w:val="1"/>
                <w:bCs w:val="1"/>
                <w:color w:val="auto"/>
              </w:rPr>
              <w:t>95050</w:t>
            </w:r>
          </w:p>
        </w:tc>
        <w:tc>
          <w:tcPr>
            <w:tcW w:w="20" w:type="dxa"/>
            <w:vAlign w:val="bottom"/>
          </w:tcPr>
          <w:p>
            <w:pPr>
              <w:spacing w:after="0"/>
              <w:rPr>
                <w:sz w:val="24"/>
                <w:szCs w:val="24"/>
                <w:color w:val="auto"/>
              </w:rPr>
            </w:pPr>
          </w:p>
        </w:tc>
      </w:tr>
      <w:tr>
        <w:trPr>
          <w:trHeight w:val="224"/>
        </w:trPr>
        <w:tc>
          <w:tcPr>
            <w:tcW w:w="4840" w:type="dxa"/>
            <w:vAlign w:val="bottom"/>
            <w:gridSpan w:val="4"/>
          </w:tcPr>
          <w:p>
            <w:pPr>
              <w:jc w:val="center"/>
              <w:ind w:left="65"/>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2"/>
          </w:tcPr>
          <w:p>
            <w:pPr>
              <w:ind w:left="1360"/>
              <w:spacing w:after="0"/>
              <w:rPr>
                <w:sz w:val="20"/>
                <w:szCs w:val="20"/>
                <w:color w:val="auto"/>
              </w:rPr>
            </w:pPr>
            <w:r>
              <w:rPr>
                <w:rFonts w:ascii="Arial" w:cs="Arial" w:eastAsia="Arial" w:hAnsi="Arial"/>
                <w:sz w:val="14"/>
                <w:szCs w:val="14"/>
                <w:b w:val="1"/>
                <w:bCs w:val="1"/>
                <w:color w:val="auto"/>
              </w:rPr>
              <w:t>(Zip Code)</w:t>
            </w:r>
          </w:p>
        </w:tc>
      </w:tr>
      <w:tr>
        <w:trPr>
          <w:trHeight w:val="270"/>
        </w:trPr>
        <w:tc>
          <w:tcPr>
            <w:tcW w:w="2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560" w:type="dxa"/>
            <w:vAlign w:val="bottom"/>
            <w:gridSpan w:val="8"/>
          </w:tcPr>
          <w:p>
            <w:pPr>
              <w:ind w:left="180"/>
              <w:spacing w:after="0"/>
              <w:rPr>
                <w:sz w:val="20"/>
                <w:szCs w:val="20"/>
                <w:color w:val="auto"/>
              </w:rPr>
            </w:pPr>
            <w:r>
              <w:rPr>
                <w:rFonts w:ascii="Arial" w:cs="Arial" w:eastAsia="Arial" w:hAnsi="Arial"/>
                <w:sz w:val="14"/>
                <w:szCs w:val="14"/>
                <w:b w:val="1"/>
                <w:bCs w:val="1"/>
                <w:color w:val="auto"/>
              </w:rPr>
              <w:t>Registrant's telephone number, including area code</w:t>
            </w:r>
            <w:r>
              <w:rPr>
                <w:rFonts w:ascii="Arial" w:cs="Arial" w:eastAsia="Arial" w:hAnsi="Arial"/>
                <w:sz w:val="14"/>
                <w:szCs w:val="14"/>
                <w:color w:val="auto"/>
              </w:rPr>
              <w:t>:</w:t>
            </w:r>
            <w:r>
              <w:rPr>
                <w:rFonts w:ascii="Arial" w:cs="Arial" w:eastAsia="Arial" w:hAnsi="Arial"/>
                <w:sz w:val="14"/>
                <w:szCs w:val="14"/>
                <w:b w:val="1"/>
                <w:bCs w:val="1"/>
                <w:color w:val="auto"/>
              </w:rPr>
              <w:t xml:space="preserve"> (408) 207-0700</w:t>
            </w:r>
          </w:p>
        </w:tc>
      </w:tr>
      <w:tr>
        <w:trPr>
          <w:trHeight w:val="60"/>
        </w:trPr>
        <w:tc>
          <w:tcPr>
            <w:tcW w:w="2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1"/>
        </w:trPr>
        <w:tc>
          <w:tcPr>
            <w:tcW w:w="484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88"/>
        </w:trPr>
        <w:tc>
          <w:tcPr>
            <w:tcW w:w="23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40" w:type="dxa"/>
            <w:vAlign w:val="bottom"/>
            <w:gridSpan w:val="2"/>
          </w:tcPr>
          <w:p>
            <w:pPr>
              <w:spacing w:after="0"/>
              <w:rPr>
                <w:sz w:val="16"/>
                <w:szCs w:val="16"/>
                <w:color w:val="auto"/>
              </w:rPr>
            </w:pPr>
          </w:p>
        </w:tc>
        <w:tc>
          <w:tcPr>
            <w:tcW w:w="2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Trading Symbol(s)</w:t>
            </w:r>
          </w:p>
        </w:tc>
        <w:tc>
          <w:tcPr>
            <w:tcW w:w="10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2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4840" w:type="dxa"/>
            <w:vAlign w:val="bottom"/>
            <w:gridSpan w:val="4"/>
          </w:tcPr>
          <w:p>
            <w:pPr>
              <w:jc w:val="center"/>
              <w:ind w:left="805"/>
              <w:spacing w:after="0"/>
              <w:rPr>
                <w:sz w:val="20"/>
                <w:szCs w:val="20"/>
                <w:color w:val="auto"/>
              </w:rPr>
            </w:pPr>
            <w:r>
              <w:rPr>
                <w:rFonts w:ascii="Arial" w:cs="Arial" w:eastAsia="Arial" w:hAnsi="Arial"/>
                <w:sz w:val="14"/>
                <w:szCs w:val="14"/>
                <w:color w:val="auto"/>
                <w:w w:val="91"/>
              </w:rPr>
              <w:t>Common Stock, par value $0.0001 per share</w:t>
            </w:r>
          </w:p>
        </w:tc>
        <w:tc>
          <w:tcPr>
            <w:tcW w:w="440" w:type="dxa"/>
            <w:vAlign w:val="bottom"/>
          </w:tcPr>
          <w:p>
            <w:pPr>
              <w:spacing w:after="0"/>
              <w:rPr>
                <w:sz w:val="18"/>
                <w:szCs w:val="18"/>
                <w:color w:val="auto"/>
              </w:rPr>
            </w:pPr>
          </w:p>
        </w:tc>
        <w:tc>
          <w:tcPr>
            <w:tcW w:w="1900" w:type="dxa"/>
            <w:vAlign w:val="bottom"/>
            <w:gridSpan w:val="2"/>
          </w:tcPr>
          <w:p>
            <w:pPr>
              <w:jc w:val="center"/>
              <w:ind w:right="760"/>
              <w:spacing w:after="0"/>
              <w:rPr>
                <w:sz w:val="20"/>
                <w:szCs w:val="20"/>
                <w:color w:val="auto"/>
              </w:rPr>
            </w:pPr>
            <w:r>
              <w:rPr>
                <w:rFonts w:ascii="Arial" w:cs="Arial" w:eastAsia="Arial" w:hAnsi="Arial"/>
                <w:sz w:val="14"/>
                <w:szCs w:val="14"/>
                <w:color w:val="auto"/>
              </w:rPr>
              <w:t>SIBN</w:t>
            </w:r>
          </w:p>
        </w:tc>
        <w:tc>
          <w:tcPr>
            <w:tcW w:w="100" w:type="dxa"/>
            <w:vAlign w:val="bottom"/>
          </w:tcPr>
          <w:p>
            <w:pPr>
              <w:spacing w:after="0"/>
              <w:rPr>
                <w:sz w:val="18"/>
                <w:szCs w:val="18"/>
                <w:color w:val="auto"/>
              </w:rPr>
            </w:pPr>
          </w:p>
        </w:tc>
        <w:tc>
          <w:tcPr>
            <w:tcW w:w="2680" w:type="dxa"/>
            <w:vAlign w:val="bottom"/>
            <w:gridSpan w:val="2"/>
          </w:tcPr>
          <w:p>
            <w:pPr>
              <w:jc w:val="right"/>
              <w:ind w:right="560"/>
              <w:spacing w:after="0"/>
              <w:rPr>
                <w:sz w:val="20"/>
                <w:szCs w:val="20"/>
                <w:color w:val="auto"/>
              </w:rPr>
            </w:pPr>
            <w:r>
              <w:rPr>
                <w:rFonts w:ascii="Arial" w:cs="Arial" w:eastAsia="Arial" w:hAnsi="Arial"/>
                <w:sz w:val="14"/>
                <w:szCs w:val="14"/>
                <w:color w:val="auto"/>
              </w:rPr>
              <w:t>The Nasdaq Global Market</w:t>
            </w:r>
          </w:p>
        </w:tc>
      </w:tr>
    </w:tbl>
    <w:p>
      <w:pPr>
        <w:spacing w:after="0" w:line="200" w:lineRule="exact"/>
        <w:rPr>
          <w:sz w:val="24"/>
          <w:szCs w:val="24"/>
          <w:color w:val="auto"/>
        </w:rPr>
      </w:pPr>
    </w:p>
    <w:p>
      <w:pPr>
        <w:spacing w:after="0" w:line="252" w:lineRule="exact"/>
        <w:rPr>
          <w:sz w:val="24"/>
          <w:szCs w:val="24"/>
          <w:color w:val="auto"/>
        </w:rPr>
      </w:pPr>
    </w:p>
    <w:p>
      <w:pPr>
        <w:jc w:val="center"/>
        <w:ind w:left="380" w:right="60"/>
        <w:spacing w:after="0" w:line="29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2" w:lineRule="exact"/>
        <w:rPr>
          <w:sz w:val="24"/>
          <w:szCs w:val="24"/>
          <w:color w:val="auto"/>
        </w:rPr>
      </w:pPr>
    </w:p>
    <w:p>
      <w:pPr>
        <w:jc w:val="center"/>
        <w:ind w:left="380"/>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2" w:lineRule="exact"/>
        <w:rPr>
          <w:sz w:val="24"/>
          <w:szCs w:val="24"/>
          <w:color w:val="auto"/>
        </w:rPr>
      </w:pPr>
    </w:p>
    <w:p>
      <w:pPr>
        <w:jc w:val="center"/>
        <w:ind w:left="360" w:right="20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1140" w:type="dxa"/>
        <w:tblCellMar>
          <w:top w:w="0" w:type="dxa"/>
          <w:left w:w="0" w:type="dxa"/>
          <w:bottom w:w="0" w:type="dxa"/>
          <w:right w:w="0" w:type="dxa"/>
        </w:tblCellMar>
      </w:tblPr>
      <w:tr>
        <w:trPr>
          <w:trHeight w:val="182"/>
        </w:trPr>
        <w:tc>
          <w:tcPr>
            <w:tcW w:w="2700" w:type="dxa"/>
            <w:vAlign w:val="bottom"/>
          </w:tcPr>
          <w:p>
            <w:pPr>
              <w:jc w:val="center"/>
              <w:ind w:right="908"/>
              <w:spacing w:after="0"/>
              <w:rPr>
                <w:sz w:val="20"/>
                <w:szCs w:val="20"/>
                <w:color w:val="auto"/>
              </w:rPr>
            </w:pPr>
            <w:r>
              <w:rPr>
                <w:rFonts w:ascii="Arial" w:cs="Arial" w:eastAsia="Arial" w:hAnsi="Arial"/>
                <w:sz w:val="14"/>
                <w:szCs w:val="14"/>
                <w:color w:val="auto"/>
                <w:w w:val="95"/>
              </w:rPr>
              <w:t>Large accelerated filer o</w:t>
            </w:r>
          </w:p>
        </w:tc>
        <w:tc>
          <w:tcPr>
            <w:tcW w:w="3700" w:type="dxa"/>
            <w:vAlign w:val="bottom"/>
          </w:tcPr>
          <w:p>
            <w:pPr>
              <w:jc w:val="center"/>
              <w:ind w:right="8"/>
              <w:spacing w:after="0"/>
              <w:rPr>
                <w:sz w:val="20"/>
                <w:szCs w:val="20"/>
                <w:color w:val="auto"/>
              </w:rPr>
            </w:pPr>
            <w:r>
              <w:rPr>
                <w:rFonts w:ascii="Arial" w:cs="Arial" w:eastAsia="Arial" w:hAnsi="Arial"/>
                <w:sz w:val="14"/>
                <w:szCs w:val="14"/>
                <w:color w:val="auto"/>
                <w:w w:val="98"/>
              </w:rPr>
              <w:t>Accelerated filer x</w:t>
            </w:r>
          </w:p>
        </w:tc>
        <w:tc>
          <w:tcPr>
            <w:tcW w:w="2400" w:type="dxa"/>
            <w:vAlign w:val="bottom"/>
          </w:tcPr>
          <w:p>
            <w:pPr>
              <w:ind w:left="1040"/>
              <w:spacing w:after="0"/>
              <w:rPr>
                <w:sz w:val="20"/>
                <w:szCs w:val="20"/>
                <w:color w:val="auto"/>
              </w:rPr>
            </w:pPr>
            <w:r>
              <w:rPr>
                <w:rFonts w:ascii="Arial" w:cs="Arial" w:eastAsia="Arial" w:hAnsi="Arial"/>
                <w:sz w:val="14"/>
                <w:szCs w:val="14"/>
                <w:color w:val="auto"/>
                <w:w w:val="95"/>
              </w:rPr>
              <w:t>Non-accelerated filer o</w:t>
            </w:r>
          </w:p>
        </w:tc>
        <w:tc>
          <w:tcPr>
            <w:tcW w:w="0" w:type="dxa"/>
            <w:vAlign w:val="bottom"/>
          </w:tcPr>
          <w:p>
            <w:pPr>
              <w:spacing w:after="0"/>
              <w:rPr>
                <w:sz w:val="1"/>
                <w:szCs w:val="1"/>
                <w:color w:val="auto"/>
              </w:rPr>
            </w:pPr>
          </w:p>
        </w:tc>
      </w:tr>
      <w:tr>
        <w:trPr>
          <w:trHeight w:val="203"/>
        </w:trPr>
        <w:tc>
          <w:tcPr>
            <w:tcW w:w="2700" w:type="dxa"/>
            <w:vAlign w:val="bottom"/>
          </w:tcPr>
          <w:p>
            <w:pPr>
              <w:jc w:val="center"/>
              <w:ind w:right="908"/>
              <w:spacing w:after="0"/>
              <w:rPr>
                <w:sz w:val="20"/>
                <w:szCs w:val="20"/>
                <w:color w:val="auto"/>
              </w:rPr>
            </w:pPr>
            <w:r>
              <w:rPr>
                <w:rFonts w:ascii="Arial" w:cs="Arial" w:eastAsia="Arial" w:hAnsi="Arial"/>
                <w:sz w:val="14"/>
                <w:szCs w:val="14"/>
                <w:color w:val="auto"/>
                <w:w w:val="96"/>
              </w:rPr>
              <w:t>Smaller reporting company x</w:t>
            </w:r>
          </w:p>
        </w:tc>
        <w:tc>
          <w:tcPr>
            <w:tcW w:w="3700" w:type="dxa"/>
            <w:vAlign w:val="bottom"/>
            <w:vMerge w:val="restart"/>
          </w:tcPr>
          <w:p>
            <w:pPr>
              <w:jc w:val="center"/>
              <w:ind w:right="28"/>
              <w:spacing w:after="0"/>
              <w:rPr>
                <w:sz w:val="20"/>
                <w:szCs w:val="20"/>
                <w:color w:val="auto"/>
              </w:rPr>
            </w:pPr>
            <w:r>
              <w:rPr>
                <w:rFonts w:ascii="Arial" w:cs="Arial" w:eastAsia="Arial" w:hAnsi="Arial"/>
                <w:sz w:val="14"/>
                <w:szCs w:val="14"/>
                <w:color w:val="auto"/>
                <w:w w:val="94"/>
              </w:rPr>
              <w:t>Emerging growth company x</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3700" w:type="dxa"/>
            <w:vAlign w:val="bottom"/>
            <w:vMerge w:val="continue"/>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jc w:val="center"/>
        <w:ind w:left="380" w:right="240"/>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39" w:lineRule="exact"/>
        <w:rPr>
          <w:sz w:val="24"/>
          <w:szCs w:val="24"/>
          <w:color w:val="auto"/>
        </w:rPr>
      </w:pPr>
    </w:p>
    <w:p>
      <w:pPr>
        <w:jc w:val="center"/>
        <w:ind w:right="-59"/>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The number of shares outstanding of the registrant’s Common Stock was 28,427,133 as of April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73"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20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243"/>
        </w:trPr>
        <w:tc>
          <w:tcPr>
            <w:tcW w:w="1200" w:type="dxa"/>
            <w:vAlign w:val="bottom"/>
          </w:tcPr>
          <w:p>
            <w:pPr>
              <w:spacing w:after="0"/>
              <w:rPr>
                <w:sz w:val="21"/>
                <w:szCs w:val="21"/>
                <w:color w:val="auto"/>
              </w:rPr>
            </w:pPr>
          </w:p>
        </w:tc>
        <w:tc>
          <w:tcPr>
            <w:tcW w:w="9520" w:type="dxa"/>
            <w:vAlign w:val="bottom"/>
          </w:tcPr>
          <w:p>
            <w:pPr>
              <w:ind w:left="3280"/>
              <w:spacing w:after="0"/>
              <w:rPr>
                <w:sz w:val="20"/>
                <w:szCs w:val="20"/>
                <w:color w:val="auto"/>
              </w:rPr>
            </w:pPr>
            <w:r>
              <w:rPr>
                <w:rFonts w:ascii="Arial" w:cs="Arial" w:eastAsia="Arial" w:hAnsi="Arial"/>
                <w:sz w:val="18"/>
                <w:szCs w:val="18"/>
                <w:b w:val="1"/>
                <w:bCs w:val="1"/>
                <w:color w:val="auto"/>
              </w:rPr>
              <w:t>PART I-FINANCIAL INFORMATION</w:t>
            </w:r>
          </w:p>
        </w:tc>
        <w:tc>
          <w:tcPr>
            <w:tcW w:w="500" w:type="dxa"/>
            <w:vAlign w:val="bottom"/>
          </w:tcPr>
          <w:p>
            <w:pPr>
              <w:spacing w:after="0"/>
              <w:rPr>
                <w:sz w:val="21"/>
                <w:szCs w:val="21"/>
                <w:color w:val="auto"/>
              </w:rPr>
            </w:pPr>
          </w:p>
        </w:tc>
      </w:tr>
      <w:tr>
        <w:trPr>
          <w:trHeight w:val="256"/>
        </w:trPr>
        <w:tc>
          <w:tcPr>
            <w:tcW w:w="120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952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w:t>
              </w:r>
            </w:hyperlink>
          </w:p>
        </w:tc>
        <w:tc>
          <w:tcPr>
            <w:tcW w:w="50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229"/>
        </w:trPr>
        <w:tc>
          <w:tcPr>
            <w:tcW w:w="1200" w:type="dxa"/>
            <w:vAlign w:val="bottom"/>
          </w:tcPr>
          <w:p>
            <w:pPr>
              <w:spacing w:after="0"/>
              <w:rPr>
                <w:sz w:val="19"/>
                <w:szCs w:val="19"/>
                <w:color w:val="auto"/>
              </w:rPr>
            </w:pPr>
          </w:p>
        </w:tc>
        <w:tc>
          <w:tcPr>
            <w:tcW w:w="9520" w:type="dxa"/>
            <w:vAlign w:val="bottom"/>
          </w:tcPr>
          <w:p>
            <w:pPr>
              <w:ind w:left="4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(unaudited)</w:t>
              </w:r>
            </w:hyperlink>
          </w:p>
        </w:tc>
        <w:tc>
          <w:tcPr>
            <w:tcW w:w="50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229"/>
        </w:trPr>
        <w:tc>
          <w:tcPr>
            <w:tcW w:w="1200" w:type="dxa"/>
            <w:vAlign w:val="bottom"/>
          </w:tcPr>
          <w:p>
            <w:pPr>
              <w:spacing w:after="0"/>
              <w:rPr>
                <w:sz w:val="19"/>
                <w:szCs w:val="19"/>
                <w:color w:val="auto"/>
              </w:rPr>
            </w:pPr>
          </w:p>
        </w:tc>
        <w:tc>
          <w:tcPr>
            <w:tcW w:w="9520" w:type="dxa"/>
            <w:vAlign w:val="bottom"/>
          </w:tcPr>
          <w:p>
            <w:pPr>
              <w:ind w:left="4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Operations and Comprehensive Loss (unaudited)</w:t>
              </w:r>
            </w:hyperlink>
          </w:p>
        </w:tc>
        <w:tc>
          <w:tcPr>
            <w:tcW w:w="50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30"/>
        </w:trPr>
        <w:tc>
          <w:tcPr>
            <w:tcW w:w="1200" w:type="dxa"/>
            <w:vAlign w:val="bottom"/>
          </w:tcPr>
          <w:p>
            <w:pPr>
              <w:spacing w:after="0"/>
              <w:rPr>
                <w:sz w:val="19"/>
                <w:szCs w:val="19"/>
                <w:color w:val="auto"/>
              </w:rPr>
            </w:pPr>
          </w:p>
        </w:tc>
        <w:tc>
          <w:tcPr>
            <w:tcW w:w="9520" w:type="dxa"/>
            <w:vAlign w:val="bottom"/>
          </w:tcPr>
          <w:p>
            <w:pPr>
              <w:ind w:left="4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Changes in Stockholders' Equity (unaudited)</w:t>
              </w:r>
            </w:hyperlink>
          </w:p>
        </w:tc>
        <w:tc>
          <w:tcPr>
            <w:tcW w:w="50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r>
      <w:tr>
        <w:trPr>
          <w:trHeight w:val="229"/>
        </w:trPr>
        <w:tc>
          <w:tcPr>
            <w:tcW w:w="1200" w:type="dxa"/>
            <w:vAlign w:val="bottom"/>
          </w:tcPr>
          <w:p>
            <w:pPr>
              <w:spacing w:after="0"/>
              <w:rPr>
                <w:sz w:val="19"/>
                <w:szCs w:val="19"/>
                <w:color w:val="auto"/>
              </w:rPr>
            </w:pPr>
          </w:p>
        </w:tc>
        <w:tc>
          <w:tcPr>
            <w:tcW w:w="9520" w:type="dxa"/>
            <w:vAlign w:val="bottom"/>
          </w:tcPr>
          <w:p>
            <w:pPr>
              <w:ind w:left="4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 (unaudited)</w:t>
              </w:r>
            </w:hyperlink>
          </w:p>
        </w:tc>
        <w:tc>
          <w:tcPr>
            <w:tcW w:w="50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r>
      <w:tr>
        <w:trPr>
          <w:trHeight w:val="230"/>
        </w:trPr>
        <w:tc>
          <w:tcPr>
            <w:tcW w:w="1200" w:type="dxa"/>
            <w:vAlign w:val="bottom"/>
          </w:tcPr>
          <w:p>
            <w:pPr>
              <w:spacing w:after="0"/>
              <w:rPr>
                <w:sz w:val="19"/>
                <w:szCs w:val="19"/>
                <w:color w:val="auto"/>
              </w:rPr>
            </w:pPr>
          </w:p>
        </w:tc>
        <w:tc>
          <w:tcPr>
            <w:tcW w:w="9520" w:type="dxa"/>
            <w:vAlign w:val="bottom"/>
          </w:tcPr>
          <w:p>
            <w:pPr>
              <w:ind w:left="4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 (unaudited)</w:t>
              </w:r>
            </w:hyperlink>
          </w:p>
        </w:tc>
        <w:tc>
          <w:tcPr>
            <w:tcW w:w="50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Item 2.</w:t>
              </w:r>
            </w:hyperlink>
          </w:p>
        </w:tc>
        <w:tc>
          <w:tcPr>
            <w:tcW w:w="9520" w:type="dxa"/>
            <w:vAlign w:val="bottom"/>
          </w:tcPr>
          <w:p>
            <w:pPr>
              <w:ind w:left="8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Management’s Discussion and Analysis of Financial Condition and Results of Operations</w:t>
              </w:r>
            </w:hyperlink>
          </w:p>
        </w:tc>
        <w:tc>
          <w:tcPr>
            <w:tcW w:w="500" w:type="dxa"/>
            <w:vAlign w:val="bottom"/>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20</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3.</w:t>
              </w:r>
            </w:hyperlink>
          </w:p>
        </w:tc>
        <w:tc>
          <w:tcPr>
            <w:tcW w:w="9520" w:type="dxa"/>
            <w:vAlign w:val="bottom"/>
          </w:tcPr>
          <w:p>
            <w:pPr>
              <w:ind w:left="8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Quantitative and Qualitative Disclosures About Market Risk</w:t>
              </w:r>
            </w:hyperlink>
          </w:p>
        </w:tc>
        <w:tc>
          <w:tcPr>
            <w:tcW w:w="50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29</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4.</w:t>
              </w:r>
            </w:hyperlink>
          </w:p>
        </w:tc>
        <w:tc>
          <w:tcPr>
            <w:tcW w:w="9520" w:type="dxa"/>
            <w:vAlign w:val="bottom"/>
          </w:tcPr>
          <w:p>
            <w:pPr>
              <w:ind w:left="8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Controls and Procedures</w:t>
              </w:r>
            </w:hyperlink>
          </w:p>
        </w:tc>
        <w:tc>
          <w:tcPr>
            <w:tcW w:w="50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29</w:t>
              </w:r>
            </w:hyperlink>
          </w:p>
        </w:tc>
      </w:tr>
      <w:tr>
        <w:trPr>
          <w:trHeight w:val="513"/>
        </w:trPr>
        <w:tc>
          <w:tcPr>
            <w:tcW w:w="1200" w:type="dxa"/>
            <w:vAlign w:val="bottom"/>
          </w:tcPr>
          <w:p>
            <w:pPr>
              <w:spacing w:after="0"/>
              <w:rPr>
                <w:sz w:val="24"/>
                <w:szCs w:val="24"/>
                <w:color w:val="auto"/>
              </w:rPr>
            </w:pPr>
          </w:p>
        </w:tc>
        <w:tc>
          <w:tcPr>
            <w:tcW w:w="9520" w:type="dxa"/>
            <w:vAlign w:val="bottom"/>
          </w:tcPr>
          <w:p>
            <w:pPr>
              <w:ind w:left="3420"/>
              <w:spacing w:after="0"/>
              <w:rPr>
                <w:sz w:val="20"/>
                <w:szCs w:val="20"/>
                <w:color w:val="auto"/>
              </w:rPr>
            </w:pPr>
            <w:r>
              <w:rPr>
                <w:rFonts w:ascii="Arial" w:cs="Arial" w:eastAsia="Arial" w:hAnsi="Arial"/>
                <w:sz w:val="18"/>
                <w:szCs w:val="18"/>
                <w:b w:val="1"/>
                <w:bCs w:val="1"/>
                <w:color w:val="auto"/>
              </w:rPr>
              <w:t>PART II-OTHER INFORMATION</w:t>
            </w:r>
          </w:p>
        </w:tc>
        <w:tc>
          <w:tcPr>
            <w:tcW w:w="500" w:type="dxa"/>
            <w:vAlign w:val="bottom"/>
          </w:tcPr>
          <w:p>
            <w:pPr>
              <w:spacing w:after="0"/>
              <w:rPr>
                <w:sz w:val="24"/>
                <w:szCs w:val="24"/>
                <w:color w:val="auto"/>
              </w:rPr>
            </w:pPr>
          </w:p>
        </w:tc>
      </w:tr>
      <w:tr>
        <w:trPr>
          <w:trHeight w:val="256"/>
        </w:trPr>
        <w:tc>
          <w:tcPr>
            <w:tcW w:w="1200" w:type="dxa"/>
            <w:vAlign w:val="bottom"/>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1.</w:t>
              </w:r>
            </w:hyperlink>
          </w:p>
        </w:tc>
        <w:tc>
          <w:tcPr>
            <w:tcW w:w="9520" w:type="dxa"/>
            <w:vAlign w:val="bottom"/>
          </w:tcPr>
          <w:p>
            <w:pPr>
              <w:ind w:left="8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Legal Proceedings</w:t>
              </w:r>
            </w:hyperlink>
          </w:p>
        </w:tc>
        <w:tc>
          <w:tcPr>
            <w:tcW w:w="50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30</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1A.</w:t>
              </w:r>
            </w:hyperlink>
          </w:p>
        </w:tc>
        <w:tc>
          <w:tcPr>
            <w:tcW w:w="9520" w:type="dxa"/>
            <w:vAlign w:val="bottom"/>
          </w:tcPr>
          <w:p>
            <w:pPr>
              <w:ind w:left="8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Risk Factors</w:t>
              </w:r>
            </w:hyperlink>
          </w:p>
        </w:tc>
        <w:tc>
          <w:tcPr>
            <w:tcW w:w="50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30</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2.</w:t>
              </w:r>
            </w:hyperlink>
          </w:p>
        </w:tc>
        <w:tc>
          <w:tcPr>
            <w:tcW w:w="9520" w:type="dxa"/>
            <w:vAlign w:val="bottom"/>
          </w:tcPr>
          <w:p>
            <w:pPr>
              <w:ind w:left="8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Unregistered Sales of Equity Securities and Use of Proceeds</w:t>
              </w:r>
            </w:hyperlink>
          </w:p>
        </w:tc>
        <w:tc>
          <w:tcPr>
            <w:tcW w:w="50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64</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3.</w:t>
              </w:r>
            </w:hyperlink>
          </w:p>
        </w:tc>
        <w:tc>
          <w:tcPr>
            <w:tcW w:w="9520" w:type="dxa"/>
            <w:vAlign w:val="bottom"/>
          </w:tcPr>
          <w:p>
            <w:pPr>
              <w:ind w:left="8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Defaults Upon Senior Securities</w:t>
              </w:r>
            </w:hyperlink>
          </w:p>
        </w:tc>
        <w:tc>
          <w:tcPr>
            <w:tcW w:w="50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65</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4.</w:t>
              </w:r>
            </w:hyperlink>
          </w:p>
        </w:tc>
        <w:tc>
          <w:tcPr>
            <w:tcW w:w="9520" w:type="dxa"/>
            <w:vAlign w:val="bottom"/>
          </w:tcPr>
          <w:p>
            <w:pPr>
              <w:ind w:left="8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Mine Safety Disclosures</w:t>
              </w:r>
            </w:hyperlink>
          </w:p>
        </w:tc>
        <w:tc>
          <w:tcPr>
            <w:tcW w:w="50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65</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5.</w:t>
              </w:r>
            </w:hyperlink>
          </w:p>
        </w:tc>
        <w:tc>
          <w:tcPr>
            <w:tcW w:w="9520" w:type="dxa"/>
            <w:vAlign w:val="bottom"/>
          </w:tcPr>
          <w:p>
            <w:pPr>
              <w:ind w:left="8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Other Information</w:t>
              </w:r>
            </w:hyperlink>
          </w:p>
        </w:tc>
        <w:tc>
          <w:tcPr>
            <w:tcW w:w="50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65</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6.</w:t>
              </w:r>
            </w:hyperlink>
          </w:p>
        </w:tc>
        <w:tc>
          <w:tcPr>
            <w:tcW w:w="9520" w:type="dxa"/>
            <w:vAlign w:val="bottom"/>
          </w:tcPr>
          <w:p>
            <w:pPr>
              <w:ind w:left="8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Exhibits</w:t>
              </w:r>
            </w:hyperlink>
          </w:p>
        </w:tc>
        <w:tc>
          <w:tcPr>
            <w:tcW w:w="50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66</w:t>
              </w:r>
            </w:hyperlink>
          </w:p>
        </w:tc>
      </w:tr>
      <w:tr>
        <w:trPr>
          <w:trHeight w:val="486"/>
        </w:trPr>
        <w:tc>
          <w:tcPr>
            <w:tcW w:w="1200" w:type="dxa"/>
            <w:vAlign w:val="bottom"/>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SIGNATURES</w:t>
              </w:r>
            </w:hyperlink>
          </w:p>
        </w:tc>
        <w:tc>
          <w:tcPr>
            <w:tcW w:w="9520" w:type="dxa"/>
            <w:vAlign w:val="bottom"/>
          </w:tcPr>
          <w:p>
            <w:pPr>
              <w:spacing w:after="0"/>
              <w:rPr>
                <w:sz w:val="24"/>
                <w:szCs w:val="24"/>
                <w:color w:val="auto"/>
              </w:rPr>
            </w:pPr>
          </w:p>
        </w:tc>
        <w:tc>
          <w:tcPr>
            <w:tcW w:w="50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surgeon adoption, reimbursement determinations, clinical trial results, and U.S. Food and Drug Administration ("FDA") approvals, are forward-looking statements.</w:t>
      </w:r>
    </w:p>
    <w:p>
      <w:pPr>
        <w:spacing w:after="0" w:line="214"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entitled “Risk Factors” and “Management’s Discussion and Analysis of Financial Condition and Results of Operations.” These forward-looking statements include, but are not limited to, statements about the following:</w:t>
      </w:r>
    </w:p>
    <w:p>
      <w:pPr>
        <w:spacing w:after="0" w:line="381" w:lineRule="exact"/>
        <w:rPr>
          <w:sz w:val="20"/>
          <w:szCs w:val="20"/>
          <w:color w:val="auto"/>
        </w:rPr>
      </w:pPr>
    </w:p>
    <w:p>
      <w:pPr>
        <w:jc w:val="both"/>
        <w:ind w:left="660" w:hanging="328"/>
        <w:spacing w:after="0" w:line="24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the COVID-19 pandemic will have on our company, including our operations, financial results and liquidity and capital resources, the existence and duration of state and local orders temporarily prohibiting elective procedures including procedures using the iFuse Implant System, the ability and desire of patients and physicians to undergo and perform such procedures, the duration of the COVID-19 pandemic, and whether the COVID-19 pandemic will recur in the future;</w:t>
      </w:r>
    </w:p>
    <w:p>
      <w:pPr>
        <w:spacing w:after="0" w:line="13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 healthy workforce in light of the ongoing COVID-19 pandemic;</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grow our sales team based on the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favorable coverage and reimbursement determinations from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marketing clearances and authorization from the FDA and regulators in other jurisdictions;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a limited number of suppliers, including sole source suppliers, which may impact the availability of instruments and materials;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sustain or increase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5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9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02"/>
        </w:trPr>
        <w:tc>
          <w:tcPr>
            <w:tcW w:w="72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67,568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10,435</w:t>
            </w:r>
          </w:p>
        </w:tc>
        <w:tc>
          <w:tcPr>
            <w:tcW w:w="0" w:type="dxa"/>
            <w:vAlign w:val="bottom"/>
          </w:tcPr>
          <w:p>
            <w:pPr>
              <w:spacing w:after="0"/>
              <w:rPr>
                <w:sz w:val="1"/>
                <w:szCs w:val="1"/>
                <w:color w:val="auto"/>
              </w:rPr>
            </w:pPr>
          </w:p>
        </w:tc>
      </w:tr>
      <w:tr>
        <w:trPr>
          <w:trHeight w:val="224"/>
        </w:trPr>
        <w:tc>
          <w:tcPr>
            <w:tcW w:w="7240" w:type="dxa"/>
            <w:vAlign w:val="bottom"/>
          </w:tcPr>
          <w:p>
            <w:pPr>
              <w:ind w:left="32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77,373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81,345</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Accounts receivable, net of allowance for doubtful accounts of $272 and $238,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9,361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11,720</w:t>
            </w:r>
          </w:p>
        </w:tc>
        <w:tc>
          <w:tcPr>
            <w:tcW w:w="0" w:type="dxa"/>
            <w:vAlign w:val="bottom"/>
          </w:tcPr>
          <w:p>
            <w:pPr>
              <w:spacing w:after="0"/>
              <w:rPr>
                <w:sz w:val="1"/>
                <w:szCs w:val="1"/>
                <w:color w:val="auto"/>
              </w:rPr>
            </w:pPr>
          </w:p>
        </w:tc>
      </w:tr>
      <w:tr>
        <w:trPr>
          <w:trHeight w:val="224"/>
        </w:trPr>
        <w:tc>
          <w:tcPr>
            <w:tcW w:w="7240" w:type="dxa"/>
            <w:vAlign w:val="bottom"/>
          </w:tcPr>
          <w:p>
            <w:pPr>
              <w:ind w:left="320"/>
              <w:spacing w:after="0"/>
              <w:rPr>
                <w:sz w:val="20"/>
                <w:szCs w:val="20"/>
                <w:color w:val="auto"/>
              </w:rPr>
            </w:pPr>
            <w:r>
              <w:rPr>
                <w:rFonts w:ascii="Arial" w:cs="Arial" w:eastAsia="Arial" w:hAnsi="Arial"/>
                <w:sz w:val="16"/>
                <w:szCs w:val="16"/>
                <w:color w:val="auto"/>
              </w:rPr>
              <w:t>Inventory</w:t>
            </w: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5,726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5,452</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2,510</w:t>
            </w:r>
          </w:p>
        </w:tc>
        <w:tc>
          <w:tcPr>
            <w:tcW w:w="0" w:type="dxa"/>
            <w:vAlign w:val="bottom"/>
          </w:tcPr>
          <w:p>
            <w:pPr>
              <w:spacing w:after="0"/>
              <w:rPr>
                <w:sz w:val="1"/>
                <w:szCs w:val="1"/>
                <w:color w:val="auto"/>
              </w:rPr>
            </w:pPr>
          </w:p>
        </w:tc>
      </w:tr>
      <w:tr>
        <w:trPr>
          <w:trHeight w:val="217"/>
        </w:trPr>
        <w:tc>
          <w:tcPr>
            <w:tcW w:w="724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161,964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111,462</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4,269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3,954</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17"/>
        </w:trPr>
        <w:tc>
          <w:tcPr>
            <w:tcW w:w="7240" w:type="dxa"/>
            <w:vAlign w:val="bottom"/>
          </w:tcPr>
          <w:p>
            <w:pPr>
              <w:ind w:left="66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167,819</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117,009</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60"/>
              <w:spacing w:after="0"/>
              <w:rPr>
                <w:sz w:val="20"/>
                <w:szCs w:val="20"/>
                <w:color w:val="auto"/>
              </w:rPr>
            </w:pPr>
            <w:r>
              <w:rPr>
                <w:rFonts w:ascii="Arial" w:cs="Arial" w:eastAsia="Arial" w:hAnsi="Arial"/>
                <w:sz w:val="16"/>
                <w:szCs w:val="16"/>
                <w:color w:val="auto"/>
              </w:rPr>
              <w:t>LIABILITIES AND STOCKHOLDERS’ EQUITY</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2,577</w:t>
            </w:r>
          </w:p>
        </w:tc>
        <w:tc>
          <w:tcPr>
            <w:tcW w:w="12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2,811</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Accrued liabilities and other</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9,284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11,605</w:t>
            </w:r>
          </w:p>
        </w:tc>
        <w:tc>
          <w:tcPr>
            <w:tcW w:w="0" w:type="dxa"/>
            <w:vAlign w:val="bottom"/>
          </w:tcPr>
          <w:p>
            <w:pPr>
              <w:spacing w:after="0"/>
              <w:rPr>
                <w:sz w:val="1"/>
                <w:szCs w:val="1"/>
                <w:color w:val="auto"/>
              </w:rPr>
            </w:pPr>
          </w:p>
        </w:tc>
      </w:tr>
      <w:tr>
        <w:trPr>
          <w:trHeight w:val="223"/>
        </w:trPr>
        <w:tc>
          <w:tcPr>
            <w:tcW w:w="7240" w:type="dxa"/>
            <w:vAlign w:val="bottom"/>
          </w:tcPr>
          <w:p>
            <w:pPr>
              <w:ind w:left="320"/>
              <w:spacing w:after="0"/>
              <w:rPr>
                <w:sz w:val="20"/>
                <w:szCs w:val="20"/>
                <w:color w:val="auto"/>
              </w:rPr>
            </w:pPr>
            <w:r>
              <w:rPr>
                <w:rFonts w:ascii="Arial" w:cs="Arial" w:eastAsia="Arial" w:hAnsi="Arial"/>
                <w:sz w:val="16"/>
                <w:szCs w:val="16"/>
                <w:color w:val="auto"/>
              </w:rPr>
              <w:t>Current portion of long-term borrowings</w:t>
            </w: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8,731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4,358</w:t>
            </w:r>
          </w:p>
        </w:tc>
        <w:tc>
          <w:tcPr>
            <w:tcW w:w="0" w:type="dxa"/>
            <w:vAlign w:val="bottom"/>
          </w:tcPr>
          <w:p>
            <w:pPr>
              <w:spacing w:after="0"/>
              <w:rPr>
                <w:sz w:val="1"/>
                <w:szCs w:val="1"/>
                <w:color w:val="auto"/>
              </w:rPr>
            </w:pPr>
          </w:p>
        </w:tc>
      </w:tr>
      <w:tr>
        <w:trPr>
          <w:trHeight w:val="33"/>
        </w:trPr>
        <w:tc>
          <w:tcPr>
            <w:tcW w:w="7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20,592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18,774</w:t>
            </w:r>
          </w:p>
        </w:tc>
        <w:tc>
          <w:tcPr>
            <w:tcW w:w="0" w:type="dxa"/>
            <w:vAlign w:val="bottom"/>
          </w:tcPr>
          <w:p>
            <w:pPr>
              <w:spacing w:after="0"/>
              <w:rPr>
                <w:sz w:val="1"/>
                <w:szCs w:val="1"/>
                <w:color w:val="auto"/>
              </w:rPr>
            </w:pP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Long-term borrowings</w:t>
            </w: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30,557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34,865</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7"/>
        </w:trPr>
        <w:tc>
          <w:tcPr>
            <w:tcW w:w="7240" w:type="dxa"/>
            <w:vAlign w:val="bottom"/>
          </w:tcPr>
          <w:p>
            <w:pPr>
              <w:ind w:left="66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51,549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54,001</w:t>
            </w:r>
          </w:p>
        </w:tc>
        <w:tc>
          <w:tcPr>
            <w:tcW w:w="0" w:type="dxa"/>
            <w:vAlign w:val="bottom"/>
          </w:tcPr>
          <w:p>
            <w:pPr>
              <w:spacing w:after="0"/>
              <w:rPr>
                <w:sz w:val="1"/>
                <w:szCs w:val="1"/>
                <w:color w:val="auto"/>
              </w:rPr>
            </w:pPr>
          </w:p>
        </w:tc>
      </w:tr>
      <w:tr>
        <w:trPr>
          <w:trHeight w:val="33"/>
        </w:trPr>
        <w:tc>
          <w:tcPr>
            <w:tcW w:w="7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60"/>
              <w:spacing w:after="0"/>
              <w:rPr>
                <w:sz w:val="20"/>
                <w:szCs w:val="20"/>
                <w:color w:val="auto"/>
              </w:rPr>
            </w:pPr>
            <w:r>
              <w:rPr>
                <w:rFonts w:ascii="Arial" w:cs="Arial" w:eastAsia="Arial" w:hAnsi="Arial"/>
                <w:sz w:val="16"/>
                <w:szCs w:val="16"/>
                <w:color w:val="auto"/>
              </w:rPr>
              <w:t>Commitments and contingencies (Note 6)</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6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Preferred stock, $0.0001 par value; 5,000,000 shares authorized; no shares issued and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240" w:type="dxa"/>
            <w:vAlign w:val="bottom"/>
          </w:tcPr>
          <w:p>
            <w:pPr>
              <w:ind w:left="20"/>
              <w:spacing w:after="0" w:line="166" w:lineRule="exact"/>
              <w:rPr>
                <w:sz w:val="20"/>
                <w:szCs w:val="20"/>
                <w:color w:val="auto"/>
              </w:rPr>
            </w:pPr>
            <w:r>
              <w:rPr>
                <w:rFonts w:ascii="Arial" w:cs="Arial" w:eastAsia="Arial" w:hAnsi="Arial"/>
                <w:sz w:val="16"/>
                <w:szCs w:val="16"/>
                <w:color w:val="auto"/>
                <w:w w:val="92"/>
              </w:rPr>
              <w:t>Common stock, $0.0001 par value; 100,000,000 shares authorized; 28,406,128 and 25,163,803 shares issued</w:t>
            </w:r>
          </w:p>
        </w:tc>
        <w:tc>
          <w:tcPr>
            <w:tcW w:w="140" w:type="dxa"/>
            <w:vAlign w:val="bottom"/>
          </w:tcPr>
          <w:p>
            <w:pPr>
              <w:spacing w:after="0"/>
              <w:rPr>
                <w:sz w:val="14"/>
                <w:szCs w:val="14"/>
                <w:color w:val="auto"/>
              </w:rPr>
            </w:pPr>
          </w:p>
        </w:tc>
        <w:tc>
          <w:tcPr>
            <w:tcW w:w="1180" w:type="dxa"/>
            <w:vAlign w:val="bottom"/>
            <w:vMerge w:val="restart"/>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7240" w:type="dxa"/>
            <w:vAlign w:val="bottom"/>
          </w:tcPr>
          <w:p>
            <w:pPr>
              <w:ind w:left="340"/>
              <w:spacing w:after="0"/>
              <w:rPr>
                <w:sz w:val="20"/>
                <w:szCs w:val="20"/>
                <w:color w:val="auto"/>
              </w:rPr>
            </w:pPr>
            <w:r>
              <w:rPr>
                <w:rFonts w:ascii="Arial" w:cs="Arial" w:eastAsia="Arial" w:hAnsi="Arial"/>
                <w:sz w:val="16"/>
                <w:szCs w:val="16"/>
                <w:color w:val="auto"/>
              </w:rPr>
              <w:t>and outstanding, respectively</w:t>
            </w: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Additional paid-in capital</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323,922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258,121</w:t>
            </w:r>
          </w:p>
        </w:tc>
        <w:tc>
          <w:tcPr>
            <w:tcW w:w="0" w:type="dxa"/>
            <w:vAlign w:val="bottom"/>
          </w:tcPr>
          <w:p>
            <w:pPr>
              <w:spacing w:after="0"/>
              <w:rPr>
                <w:sz w:val="1"/>
                <w:szCs w:val="1"/>
                <w:color w:val="auto"/>
              </w:rPr>
            </w:pPr>
          </w:p>
        </w:tc>
      </w:tr>
      <w:tr>
        <w:trPr>
          <w:trHeight w:val="223"/>
        </w:trPr>
        <w:tc>
          <w:tcPr>
            <w:tcW w:w="7240" w:type="dxa"/>
            <w:vAlign w:val="bottom"/>
          </w:tcPr>
          <w:p>
            <w:pPr>
              <w:ind w:left="6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(208,352)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(195,580)</w:t>
            </w:r>
          </w:p>
        </w:tc>
        <w:tc>
          <w:tcPr>
            <w:tcW w:w="0" w:type="dxa"/>
            <w:vAlign w:val="bottom"/>
          </w:tcPr>
          <w:p>
            <w:pPr>
              <w:spacing w:after="0"/>
              <w:rPr>
                <w:sz w:val="1"/>
                <w:szCs w:val="1"/>
                <w:color w:val="auto"/>
              </w:rPr>
            </w:pPr>
          </w:p>
        </w:tc>
      </w:tr>
      <w:tr>
        <w:trPr>
          <w:trHeight w:val="217"/>
        </w:trPr>
        <w:tc>
          <w:tcPr>
            <w:tcW w:w="7240" w:type="dxa"/>
            <w:vAlign w:val="bottom"/>
          </w:tcPr>
          <w:p>
            <w:pPr>
              <w:ind w:left="66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116,270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63,008</w:t>
            </w:r>
          </w:p>
        </w:tc>
        <w:tc>
          <w:tcPr>
            <w:tcW w:w="0" w:type="dxa"/>
            <w:vAlign w:val="bottom"/>
          </w:tcPr>
          <w:p>
            <w:pPr>
              <w:spacing w:after="0"/>
              <w:rPr>
                <w:sz w:val="1"/>
                <w:szCs w:val="1"/>
                <w:color w:val="auto"/>
              </w:rPr>
            </w:pPr>
          </w:p>
        </w:tc>
      </w:tr>
      <w:tr>
        <w:trPr>
          <w:trHeight w:val="33"/>
        </w:trPr>
        <w:tc>
          <w:tcPr>
            <w:tcW w:w="7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167,819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117,009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jc w:val="center"/>
        <w:ind w:right="-5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9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769" w:right="9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13335</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 w:lineRule="exact"/>
        <w:rPr>
          <w:sz w:val="20"/>
          <w:szCs w:val="20"/>
          <w:color w:val="auto"/>
        </w:rPr>
      </w:pPr>
    </w:p>
    <w:tbl>
      <w:tblPr>
        <w:tblLayout w:type="fixed"/>
        <w:tblInd w:w="240" w:type="dxa"/>
        <w:tblCellMar>
          <w:top w:w="0" w:type="dxa"/>
          <w:left w:w="0" w:type="dxa"/>
          <w:bottom w:w="0" w:type="dxa"/>
          <w:right w:w="0" w:type="dxa"/>
        </w:tblCellMar>
      </w:tblPr>
      <w:tr>
        <w:trPr>
          <w:trHeight w:val="192"/>
        </w:trPr>
        <w:tc>
          <w:tcPr>
            <w:tcW w:w="5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5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14,991</w:t>
            </w:r>
          </w:p>
        </w:tc>
        <w:tc>
          <w:tcPr>
            <w:tcW w:w="0" w:type="dxa"/>
            <w:vAlign w:val="bottom"/>
          </w:tcPr>
          <w:p>
            <w:pPr>
              <w:spacing w:after="0"/>
              <w:rPr>
                <w:sz w:val="1"/>
                <w:szCs w:val="1"/>
                <w:color w:val="auto"/>
              </w:rPr>
            </w:pPr>
          </w:p>
        </w:tc>
      </w:tr>
      <w:tr>
        <w:trPr>
          <w:trHeight w:val="224"/>
        </w:trPr>
        <w:tc>
          <w:tcPr>
            <w:tcW w:w="5720" w:type="dxa"/>
            <w:vAlign w:val="bottom"/>
          </w:tcPr>
          <w:p>
            <w:pPr>
              <w:ind w:left="60"/>
              <w:spacing w:after="0"/>
              <w:rPr>
                <w:sz w:val="20"/>
                <w:szCs w:val="20"/>
                <w:color w:val="auto"/>
              </w:rPr>
            </w:pPr>
            <w:r>
              <w:rPr>
                <w:rFonts w:ascii="Arial" w:cs="Arial" w:eastAsia="Arial" w:hAnsi="Arial"/>
                <w:sz w:val="16"/>
                <w:szCs w:val="16"/>
                <w:color w:val="auto"/>
              </w:rPr>
              <w:t>Cost of goods sold</w:t>
            </w:r>
          </w:p>
        </w:tc>
        <w:tc>
          <w:tcPr>
            <w:tcW w:w="30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1,932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13,465</w:t>
            </w:r>
          </w:p>
        </w:tc>
        <w:tc>
          <w:tcPr>
            <w:tcW w:w="0" w:type="dxa"/>
            <w:vAlign w:val="bottom"/>
          </w:tcPr>
          <w:p>
            <w:pPr>
              <w:spacing w:after="0"/>
              <w:rPr>
                <w:sz w:val="1"/>
                <w:szCs w:val="1"/>
                <w:color w:val="auto"/>
              </w:rPr>
            </w:pPr>
          </w:p>
        </w:tc>
      </w:tr>
      <w:tr>
        <w:trPr>
          <w:trHeight w:val="193"/>
        </w:trPr>
        <w:tc>
          <w:tcPr>
            <w:tcW w:w="5720" w:type="dxa"/>
            <w:vAlign w:val="bottom"/>
          </w:tcPr>
          <w:p>
            <w:pPr>
              <w:ind w:left="6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Sales and marketing</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19,281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15,815</w:t>
            </w:r>
          </w:p>
        </w:tc>
        <w:tc>
          <w:tcPr>
            <w:tcW w:w="0" w:type="dxa"/>
            <w:vAlign w:val="bottom"/>
          </w:tcPr>
          <w:p>
            <w:pPr>
              <w:spacing w:after="0"/>
              <w:rPr>
                <w:sz w:val="1"/>
                <w:szCs w:val="1"/>
                <w:color w:val="auto"/>
              </w:rPr>
            </w:pPr>
          </w:p>
        </w:tc>
      </w:tr>
      <w:tr>
        <w:trPr>
          <w:trHeight w:val="223"/>
        </w:trPr>
        <w:tc>
          <w:tcPr>
            <w:tcW w:w="5720" w:type="dxa"/>
            <w:vAlign w:val="bottom"/>
          </w:tcPr>
          <w:p>
            <w:pPr>
              <w:ind w:left="44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1,683</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4,766</w:t>
            </w:r>
          </w:p>
        </w:tc>
        <w:tc>
          <w:tcPr>
            <w:tcW w:w="0" w:type="dxa"/>
            <w:vAlign w:val="bottom"/>
          </w:tcPr>
          <w:p>
            <w:pPr>
              <w:spacing w:after="0"/>
              <w:rPr>
                <w:sz w:val="1"/>
                <w:szCs w:val="1"/>
                <w:color w:val="auto"/>
              </w:rPr>
            </w:pPr>
          </w:p>
        </w:tc>
      </w:tr>
      <w:tr>
        <w:trPr>
          <w:trHeight w:val="217"/>
        </w:trPr>
        <w:tc>
          <w:tcPr>
            <w:tcW w:w="5720" w:type="dxa"/>
            <w:vAlign w:val="bottom"/>
          </w:tcPr>
          <w:p>
            <w:pPr>
              <w:ind w:left="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26,771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22,264</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Loss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(8,799)</w:t>
            </w:r>
          </w:p>
        </w:tc>
        <w:tc>
          <w:tcPr>
            <w:tcW w:w="0" w:type="dxa"/>
            <w:vAlign w:val="bottom"/>
          </w:tcPr>
          <w:p>
            <w:pPr>
              <w:spacing w:after="0"/>
              <w:rPr>
                <w:sz w:val="1"/>
                <w:szCs w:val="1"/>
                <w:color w:val="auto"/>
              </w:rPr>
            </w:pPr>
          </w:p>
        </w:tc>
      </w:tr>
      <w:tr>
        <w:trPr>
          <w:trHeight w:val="213"/>
        </w:trPr>
        <w:tc>
          <w:tcPr>
            <w:tcW w:w="5720" w:type="dxa"/>
            <w:vAlign w:val="bottom"/>
          </w:tcPr>
          <w:p>
            <w:pPr>
              <w:ind w:left="60"/>
              <w:spacing w:after="0"/>
              <w:rPr>
                <w:sz w:val="20"/>
                <w:szCs w:val="20"/>
                <w:color w:val="auto"/>
              </w:rPr>
            </w:pPr>
            <w:r>
              <w:rPr>
                <w:rFonts w:ascii="Arial" w:cs="Arial" w:eastAsia="Arial" w:hAnsi="Arial"/>
                <w:sz w:val="16"/>
                <w:szCs w:val="16"/>
                <w:color w:val="auto"/>
              </w:rPr>
              <w:t>Interest and other income (expense), net:</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Interest income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24"/>
        </w:trPr>
        <w:tc>
          <w:tcPr>
            <w:tcW w:w="5720" w:type="dxa"/>
            <w:vAlign w:val="bottom"/>
          </w:tcPr>
          <w:p>
            <w:pPr>
              <w:ind w:left="44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5720" w:type="dxa"/>
            <w:vAlign w:val="bottom"/>
          </w:tcPr>
          <w:p>
            <w:pPr>
              <w:ind w:left="60"/>
              <w:spacing w:after="0"/>
              <w:rPr>
                <w:sz w:val="20"/>
                <w:szCs w:val="20"/>
                <w:color w:val="auto"/>
              </w:rPr>
            </w:pPr>
            <w:r>
              <w:rPr>
                <w:rFonts w:ascii="Arial" w:cs="Arial" w:eastAsia="Arial" w:hAnsi="Arial"/>
                <w:sz w:val="16"/>
                <w:szCs w:val="16"/>
                <w:color w:val="auto"/>
              </w:rPr>
              <w:t>Net loss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(12,772)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(9,345)</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comprehensive income (loss):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500"/>
              <w:spacing w:after="0"/>
              <w:rPr>
                <w:sz w:val="20"/>
                <w:szCs w:val="20"/>
                <w:color w:val="auto"/>
              </w:rPr>
            </w:pPr>
            <w:r>
              <w:rPr>
                <w:rFonts w:ascii="Arial" w:cs="Arial" w:eastAsia="Arial" w:hAnsi="Arial"/>
                <w:sz w:val="16"/>
                <w:szCs w:val="16"/>
                <w:color w:val="auto"/>
              </w:rPr>
              <w:t>Changes in foreign currency translation</w:t>
            </w:r>
          </w:p>
        </w:tc>
        <w:tc>
          <w:tcPr>
            <w:tcW w:w="30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Unrealized gain on marketable securities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5720" w:type="dxa"/>
            <w:vAlign w:val="bottom"/>
          </w:tcPr>
          <w:p>
            <w:pPr>
              <w:ind w:left="60"/>
              <w:spacing w:after="0"/>
              <w:rPr>
                <w:sz w:val="20"/>
                <w:szCs w:val="20"/>
                <w:color w:val="auto"/>
              </w:rPr>
            </w:pPr>
            <w:r>
              <w:rPr>
                <w:rFonts w:ascii="Arial" w:cs="Arial" w:eastAsia="Arial" w:hAnsi="Arial"/>
                <w:sz w:val="16"/>
                <w:szCs w:val="16"/>
                <w:color w:val="auto"/>
              </w:rPr>
              <w:t>Comprehensive loss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(12,539)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(9,339)</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60"/>
              <w:spacing w:after="0"/>
              <w:rPr>
                <w:sz w:val="20"/>
                <w:szCs w:val="20"/>
                <w:color w:val="auto"/>
              </w:rPr>
            </w:pPr>
            <w:r>
              <w:rPr>
                <w:rFonts w:ascii="Arial" w:cs="Arial" w:eastAsia="Arial" w:hAnsi="Arial"/>
                <w:sz w:val="16"/>
                <w:szCs w:val="16"/>
                <w:color w:val="auto"/>
              </w:rPr>
              <w:t>Net loss per share, basic and 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5720" w:type="dxa"/>
            <w:vAlign w:val="bottom"/>
          </w:tcPr>
          <w:p>
            <w:pPr>
              <w:ind w:left="60"/>
              <w:spacing w:after="0" w:line="166" w:lineRule="exact"/>
              <w:rPr>
                <w:sz w:val="20"/>
                <w:szCs w:val="20"/>
                <w:color w:val="auto"/>
              </w:rPr>
            </w:pPr>
            <w:r>
              <w:rPr>
                <w:rFonts w:ascii="Arial" w:cs="Arial" w:eastAsia="Arial" w:hAnsi="Arial"/>
                <w:sz w:val="16"/>
                <w:szCs w:val="16"/>
                <w:color w:val="auto"/>
                <w:w w:val="94"/>
              </w:rPr>
              <w:t>Weighted-average number of common shares used to compute basic and diluted net</w:t>
            </w:r>
          </w:p>
        </w:tc>
        <w:tc>
          <w:tcPr>
            <w:tcW w:w="300" w:type="dxa"/>
            <w:vAlign w:val="bottom"/>
          </w:tcPr>
          <w:p>
            <w:pPr>
              <w:spacing w:after="0"/>
              <w:rPr>
                <w:sz w:val="14"/>
                <w:szCs w:val="14"/>
                <w:color w:val="auto"/>
              </w:rPr>
            </w:pPr>
          </w:p>
        </w:tc>
        <w:tc>
          <w:tcPr>
            <w:tcW w:w="1060" w:type="dxa"/>
            <w:vAlign w:val="bottom"/>
            <w:vMerge w:val="restart"/>
          </w:tcPr>
          <w:p>
            <w:pPr>
              <w:jc w:val="right"/>
              <w:ind w:right="40"/>
              <w:spacing w:after="0"/>
              <w:rPr>
                <w:sz w:val="20"/>
                <w:szCs w:val="20"/>
                <w:color w:val="auto"/>
              </w:rPr>
            </w:pPr>
            <w:r>
              <w:rPr>
                <w:rFonts w:ascii="Arial" w:cs="Arial" w:eastAsia="Arial" w:hAnsi="Arial"/>
                <w:sz w:val="16"/>
                <w:szCs w:val="16"/>
                <w:color w:val="auto"/>
              </w:rPr>
              <w:t>27,252,409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color w:val="auto"/>
              </w:rPr>
              <w:t>24,390,648</w:t>
            </w:r>
          </w:p>
        </w:tc>
        <w:tc>
          <w:tcPr>
            <w:tcW w:w="0" w:type="dxa"/>
            <w:vAlign w:val="bottom"/>
          </w:tcPr>
          <w:p>
            <w:pPr>
              <w:spacing w:after="0"/>
              <w:rPr>
                <w:sz w:val="1"/>
                <w:szCs w:val="1"/>
                <w:color w:val="auto"/>
              </w:rPr>
            </w:pPr>
          </w:p>
        </w:tc>
      </w:tr>
      <w:tr>
        <w:trPr>
          <w:trHeight w:val="152"/>
        </w:trPr>
        <w:tc>
          <w:tcPr>
            <w:tcW w:w="5720" w:type="dxa"/>
            <w:vAlign w:val="bottom"/>
            <w:vMerge w:val="restart"/>
          </w:tcPr>
          <w:p>
            <w:pPr>
              <w:ind w:left="220"/>
              <w:spacing w:after="0"/>
              <w:rPr>
                <w:sz w:val="20"/>
                <w:szCs w:val="20"/>
                <w:color w:val="auto"/>
              </w:rPr>
            </w:pPr>
            <w:r>
              <w:rPr>
                <w:rFonts w:ascii="Arial" w:cs="Arial" w:eastAsia="Arial" w:hAnsi="Arial"/>
                <w:sz w:val="16"/>
                <w:szCs w:val="16"/>
                <w:color w:val="auto"/>
              </w:rPr>
              <w:t>loss per share</w:t>
            </w:r>
          </w:p>
        </w:tc>
        <w:tc>
          <w:tcPr>
            <w:tcW w:w="3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5720" w:type="dxa"/>
            <w:vAlign w:val="bottom"/>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6" w:name="page7"/>
    <w:bookmarkEnd w:id="6"/>
    <w:p>
      <w:pPr>
        <w:ind w:left="4820"/>
        <w:spacing w:after="0"/>
        <w:rPr>
          <w:sz w:val="20"/>
          <w:szCs w:val="20"/>
          <w:color w:val="auto"/>
        </w:rPr>
      </w:pPr>
      <w:r>
        <w:rPr>
          <w:rFonts w:ascii="Arial" w:cs="Arial" w:eastAsia="Arial" w:hAnsi="Arial"/>
          <w:sz w:val="18"/>
          <w:szCs w:val="18"/>
          <w:b w:val="1"/>
          <w:bCs w:val="1"/>
          <w:color w:val="auto"/>
        </w:rPr>
        <w:t>SI-BONE, INC.</w:t>
      </w:r>
    </w:p>
    <w:p>
      <w:pPr>
        <w:spacing w:after="0" w:line="104"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04"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(In thousands, except share amounts)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90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900" w:type="dxa"/>
            <w:vAlign w:val="bottom"/>
            <w:gridSpan w:val="5"/>
            <w:vMerge w:val="continue"/>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Accumulated</w:t>
            </w:r>
          </w:p>
        </w:tc>
        <w:tc>
          <w:tcPr>
            <w:tcW w:w="8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9"/>
                <w:szCs w:val="19"/>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9"/>
                <w:szCs w:val="19"/>
                <w:color w:val="auto"/>
              </w:rPr>
            </w:pPr>
          </w:p>
        </w:tc>
        <w:tc>
          <w:tcPr>
            <w:tcW w:w="74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9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2"/>
              </w:rPr>
              <w:t>25,163,803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5"/>
              </w:rPr>
              <w:t>$ 258,121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(195,580)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63,008</w:t>
            </w: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Arial" w:cs="Arial" w:eastAsia="Arial" w:hAnsi="Arial"/>
                <w:sz w:val="16"/>
                <w:szCs w:val="16"/>
                <w:color w:val="auto"/>
              </w:rPr>
              <w:t>Issuance of common stock from public offering, net of underwriting</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80" w:type="dxa"/>
            <w:vAlign w:val="bottom"/>
          </w:tcPr>
          <w:p>
            <w:pPr>
              <w:ind w:left="20"/>
              <w:spacing w:after="0"/>
              <w:rPr>
                <w:sz w:val="20"/>
                <w:szCs w:val="20"/>
                <w:color w:val="auto"/>
              </w:rPr>
            </w:pPr>
            <w:r>
              <w:rPr>
                <w:rFonts w:ascii="Arial" w:cs="Arial" w:eastAsia="Arial" w:hAnsi="Arial"/>
                <w:sz w:val="16"/>
                <w:szCs w:val="16"/>
                <w:color w:val="auto"/>
              </w:rPr>
              <w:t>discounts, commissions and offering costs</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3,135,053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62,978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62,978</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Issuance of common stock upon exercise of stock options, net of shares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withheld</w:t>
            </w: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43,334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24"/>
        </w:trPr>
        <w:tc>
          <w:tcPr>
            <w:tcW w:w="5080" w:type="dxa"/>
            <w:vAlign w:val="bottom"/>
          </w:tcPr>
          <w:p>
            <w:pPr>
              <w:ind w:left="20"/>
              <w:spacing w:after="0"/>
              <w:rPr>
                <w:sz w:val="20"/>
                <w:szCs w:val="20"/>
                <w:color w:val="auto"/>
              </w:rPr>
            </w:pPr>
            <w:r>
              <w:rPr>
                <w:rFonts w:ascii="Arial" w:cs="Arial" w:eastAsia="Arial" w:hAnsi="Arial"/>
                <w:sz w:val="16"/>
                <w:szCs w:val="16"/>
                <w:color w:val="auto"/>
              </w:rPr>
              <w:t>Issuance of common stock upon vesting of restricted stock units</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63,938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2,622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2,622</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4"/>
        </w:trPr>
        <w:tc>
          <w:tcPr>
            <w:tcW w:w="5080" w:type="dxa"/>
            <w:vAlign w:val="bottom"/>
          </w:tcPr>
          <w:p>
            <w:pPr>
              <w:ind w:left="20"/>
              <w:spacing w:after="0"/>
              <w:rPr>
                <w:sz w:val="20"/>
                <w:szCs w:val="20"/>
                <w:color w:val="auto"/>
              </w:rPr>
            </w:pPr>
            <w:r>
              <w:rPr>
                <w:rFonts w:ascii="Arial" w:cs="Arial" w:eastAsia="Arial" w:hAnsi="Arial"/>
                <w:sz w:val="16"/>
                <w:szCs w:val="16"/>
                <w:color w:val="auto"/>
              </w:rPr>
              <w:t>Unrealized gain on marketable securities</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9"/>
                <w:szCs w:val="19"/>
                <w:color w:val="auto"/>
              </w:rPr>
            </w:pP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(12,772)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(12,772)</w:t>
            </w:r>
          </w:p>
        </w:tc>
        <w:tc>
          <w:tcPr>
            <w:tcW w:w="0" w:type="dxa"/>
            <w:vAlign w:val="bottom"/>
          </w:tcPr>
          <w:p>
            <w:pPr>
              <w:spacing w:after="0"/>
              <w:rPr>
                <w:sz w:val="1"/>
                <w:szCs w:val="1"/>
                <w:color w:val="auto"/>
              </w:rPr>
            </w:pPr>
          </w:p>
        </w:tc>
      </w:tr>
      <w:tr>
        <w:trPr>
          <w:trHeight w:val="247"/>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2020</w:t>
            </w:r>
          </w:p>
        </w:tc>
        <w:tc>
          <w:tcPr>
            <w:tcW w:w="9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92"/>
              </w:rPr>
              <w:t>28,406,128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95"/>
              </w:rPr>
              <w:t>$ 323,922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92"/>
              </w:rPr>
              <w:t>$ (208,352)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96"/>
              </w:rPr>
              <w:t>116,270</w:t>
            </w: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5"/>
        </w:trPr>
        <w:tc>
          <w:tcPr>
            <w:tcW w:w="5080" w:type="dxa"/>
            <w:vAlign w:val="bottom"/>
          </w:tcPr>
          <w:p>
            <w:pPr>
              <w:spacing w:after="0"/>
              <w:rPr>
                <w:sz w:val="24"/>
                <w:szCs w:val="24"/>
                <w:color w:val="auto"/>
              </w:rPr>
            </w:pPr>
          </w:p>
        </w:tc>
        <w:tc>
          <w:tcPr>
            <w:tcW w:w="190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900" w:type="dxa"/>
            <w:vAlign w:val="bottom"/>
            <w:gridSpan w:val="5"/>
            <w:vMerge w:val="continue"/>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Accumulated</w:t>
            </w:r>
          </w:p>
        </w:tc>
        <w:tc>
          <w:tcPr>
            <w:tcW w:w="8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9"/>
                <w:szCs w:val="19"/>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9"/>
                <w:szCs w:val="19"/>
                <w:color w:val="auto"/>
              </w:rPr>
            </w:pPr>
          </w:p>
        </w:tc>
        <w:tc>
          <w:tcPr>
            <w:tcW w:w="74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2018</w:t>
            </w:r>
          </w:p>
        </w:tc>
        <w:tc>
          <w:tcPr>
            <w:tcW w:w="9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2"/>
              </w:rPr>
              <w:t>24,450,757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5"/>
              </w:rPr>
              <w:t>$ 246,927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(157,177)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90,192</w:t>
            </w: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Arial" w:cs="Arial" w:eastAsia="Arial" w:hAnsi="Arial"/>
                <w:sz w:val="16"/>
                <w:szCs w:val="16"/>
                <w:color w:val="auto"/>
                <w:w w:val="98"/>
              </w:rPr>
              <w:t>Issuance of common stock upon exercise of stock options, net of shares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80" w:type="dxa"/>
            <w:vAlign w:val="bottom"/>
          </w:tcPr>
          <w:p>
            <w:pPr>
              <w:ind w:left="20"/>
              <w:spacing w:after="0"/>
              <w:rPr>
                <w:sz w:val="20"/>
                <w:szCs w:val="20"/>
                <w:color w:val="auto"/>
              </w:rPr>
            </w:pPr>
            <w:r>
              <w:rPr>
                <w:rFonts w:ascii="Arial" w:cs="Arial" w:eastAsia="Arial" w:hAnsi="Arial"/>
                <w:sz w:val="16"/>
                <w:szCs w:val="16"/>
                <w:color w:val="auto"/>
              </w:rPr>
              <w:t>withheld</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46,809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1,871</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Additional accrual of IPO related costs</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24"/>
        </w:trPr>
        <w:tc>
          <w:tcPr>
            <w:tcW w:w="508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Unrealized gain on marketable securities</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(9,345)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(9,345)</w:t>
            </w:r>
          </w:p>
        </w:tc>
        <w:tc>
          <w:tcPr>
            <w:tcW w:w="0" w:type="dxa"/>
            <w:vAlign w:val="bottom"/>
          </w:tcPr>
          <w:p>
            <w:pPr>
              <w:spacing w:after="0"/>
              <w:rPr>
                <w:sz w:val="1"/>
                <w:szCs w:val="1"/>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2019</w:t>
            </w: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92"/>
              </w:rPr>
              <w:t>24,497,566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95"/>
              </w:rPr>
              <w:t>$ 248,829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(166,522)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82,755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520" w:top="823" w:right="5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4"/>
          </w:tcPr>
          <w:p>
            <w:pPr>
              <w:jc w:val="right"/>
              <w:ind w:right="61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7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722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220" w:type="dxa"/>
            <w:vAlign w:val="bottom"/>
          </w:tcPr>
          <w:p>
            <w:pPr>
              <w:ind w:left="6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(12,772)</w:t>
            </w:r>
          </w:p>
        </w:tc>
        <w:tc>
          <w:tcPr>
            <w:tcW w:w="120" w:type="dxa"/>
            <w:vAlign w:val="bottom"/>
          </w:tcPr>
          <w:p>
            <w:pPr>
              <w:spacing w:after="0"/>
              <w:rPr>
                <w:sz w:val="19"/>
                <w:szCs w:val="19"/>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(9,345)</w:t>
            </w:r>
          </w:p>
        </w:tc>
        <w:tc>
          <w:tcPr>
            <w:tcW w:w="0" w:type="dxa"/>
            <w:vAlign w:val="bottom"/>
          </w:tcPr>
          <w:p>
            <w:pPr>
              <w:spacing w:after="0"/>
              <w:rPr>
                <w:sz w:val="1"/>
                <w:szCs w:val="1"/>
                <w:color w:val="auto"/>
              </w:rPr>
            </w:pPr>
          </w:p>
        </w:tc>
      </w:tr>
      <w:tr>
        <w:trPr>
          <w:trHeight w:val="33"/>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22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2,622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1,871</w:t>
            </w:r>
          </w:p>
        </w:tc>
        <w:tc>
          <w:tcPr>
            <w:tcW w:w="0" w:type="dxa"/>
            <w:vAlign w:val="bottom"/>
          </w:tcPr>
          <w:p>
            <w:pPr>
              <w:spacing w:after="0"/>
              <w:rPr>
                <w:sz w:val="1"/>
                <w:szCs w:val="1"/>
                <w:color w:val="auto"/>
              </w:rPr>
            </w:pPr>
          </w:p>
        </w:tc>
      </w:tr>
      <w:tr>
        <w:trPr>
          <w:trHeight w:val="33"/>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23"/>
        </w:trPr>
        <w:tc>
          <w:tcPr>
            <w:tcW w:w="7220" w:type="dxa"/>
            <w:vAlign w:val="bottom"/>
          </w:tcPr>
          <w:p>
            <w:pPr>
              <w:ind w:left="320"/>
              <w:spacing w:after="0"/>
              <w:rPr>
                <w:sz w:val="20"/>
                <w:szCs w:val="20"/>
                <w:color w:val="auto"/>
              </w:rPr>
            </w:pPr>
            <w:r>
              <w:rPr>
                <w:rFonts w:ascii="Arial" w:cs="Arial" w:eastAsia="Arial" w:hAnsi="Arial"/>
                <w:sz w:val="16"/>
                <w:szCs w:val="16"/>
                <w:color w:val="auto"/>
              </w:rPr>
              <w:t>Bad debts expense</w:t>
            </w:r>
          </w:p>
        </w:tc>
        <w:tc>
          <w:tcPr>
            <w:tcW w:w="30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Accretion on marketable securities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24"/>
        </w:trPr>
        <w:tc>
          <w:tcPr>
            <w:tcW w:w="7220" w:type="dxa"/>
            <w:vAlign w:val="bottom"/>
          </w:tcPr>
          <w:p>
            <w:pPr>
              <w:ind w:left="32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Loss on sale and disposal of property and equipment</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7220" w:type="dxa"/>
            <w:vAlign w:val="bottom"/>
          </w:tcPr>
          <w:p>
            <w:pPr>
              <w:ind w:left="6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Accounts receivable</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2,207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23"/>
        </w:trPr>
        <w:tc>
          <w:tcPr>
            <w:tcW w:w="7220" w:type="dxa"/>
            <w:vAlign w:val="bottom"/>
          </w:tcPr>
          <w:p>
            <w:pPr>
              <w:ind w:left="32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33"/>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24"/>
        </w:trPr>
        <w:tc>
          <w:tcPr>
            <w:tcW w:w="722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33"/>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Accrued liabilities and other</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7"/>
        </w:trPr>
        <w:tc>
          <w:tcPr>
            <w:tcW w:w="7220" w:type="dxa"/>
            <w:vAlign w:val="bottom"/>
          </w:tcPr>
          <w:p>
            <w:pPr>
              <w:ind w:left="66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(9,355)</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(7,078)</w:t>
            </w:r>
          </w:p>
        </w:tc>
        <w:tc>
          <w:tcPr>
            <w:tcW w:w="0" w:type="dxa"/>
            <w:vAlign w:val="bottom"/>
          </w:tcPr>
          <w:p>
            <w:pPr>
              <w:spacing w:after="0"/>
              <w:rPr>
                <w:sz w:val="1"/>
                <w:szCs w:val="1"/>
                <w:color w:val="auto"/>
              </w:rPr>
            </w:pPr>
          </w:p>
        </w:tc>
      </w:tr>
      <w:tr>
        <w:trPr>
          <w:trHeight w:val="33"/>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2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20" w:type="dxa"/>
            <w:vAlign w:val="bottom"/>
          </w:tcPr>
          <w:p>
            <w:pPr>
              <w:ind w:left="120"/>
              <w:spacing w:after="0"/>
              <w:rPr>
                <w:sz w:val="20"/>
                <w:szCs w:val="20"/>
                <w:color w:val="auto"/>
              </w:rPr>
            </w:pPr>
            <w:r>
              <w:rPr>
                <w:rFonts w:ascii="Arial" w:cs="Arial" w:eastAsia="Arial" w:hAnsi="Arial"/>
                <w:sz w:val="16"/>
                <w:szCs w:val="16"/>
                <w:color w:val="auto"/>
              </w:rPr>
              <w:t>Maturities of marketable securities</w:t>
            </w:r>
          </w:p>
        </w:tc>
        <w:tc>
          <w:tcPr>
            <w:tcW w:w="30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21,000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17,600</w:t>
            </w:r>
          </w:p>
        </w:tc>
        <w:tc>
          <w:tcPr>
            <w:tcW w:w="0" w:type="dxa"/>
            <w:vAlign w:val="bottom"/>
          </w:tcPr>
          <w:p>
            <w:pPr>
              <w:spacing w:after="0"/>
              <w:rPr>
                <w:sz w:val="1"/>
                <w:szCs w:val="1"/>
                <w:color w:val="auto"/>
              </w:rPr>
            </w:pPr>
          </w:p>
        </w:tc>
      </w:tr>
      <w:tr>
        <w:trPr>
          <w:trHeight w:val="33"/>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Purchases of marketable securities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(16,777)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(22,741)</w:t>
            </w:r>
          </w:p>
        </w:tc>
        <w:tc>
          <w:tcPr>
            <w:tcW w:w="0" w:type="dxa"/>
            <w:vAlign w:val="bottom"/>
          </w:tcPr>
          <w:p>
            <w:pPr>
              <w:spacing w:after="0"/>
              <w:rPr>
                <w:sz w:val="1"/>
                <w:szCs w:val="1"/>
                <w:color w:val="auto"/>
              </w:rPr>
            </w:pPr>
          </w:p>
        </w:tc>
      </w:tr>
      <w:tr>
        <w:trPr>
          <w:trHeight w:val="223"/>
        </w:trPr>
        <w:tc>
          <w:tcPr>
            <w:tcW w:w="7220" w:type="dxa"/>
            <w:vAlign w:val="bottom"/>
          </w:tcPr>
          <w:p>
            <w:pPr>
              <w:ind w:left="1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33"/>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(5,553)</w:t>
            </w:r>
          </w:p>
        </w:tc>
        <w:tc>
          <w:tcPr>
            <w:tcW w:w="0" w:type="dxa"/>
            <w:vAlign w:val="bottom"/>
          </w:tcPr>
          <w:p>
            <w:pPr>
              <w:spacing w:after="0"/>
              <w:rPr>
                <w:sz w:val="1"/>
                <w:szCs w:val="1"/>
                <w:color w:val="auto"/>
              </w:rPr>
            </w:pPr>
          </w:p>
        </w:tc>
      </w:tr>
      <w:tr>
        <w:trPr>
          <w:trHeight w:val="193"/>
        </w:trPr>
        <w:tc>
          <w:tcPr>
            <w:tcW w:w="7220" w:type="dxa"/>
            <w:vAlign w:val="bottom"/>
          </w:tcPr>
          <w:p>
            <w:pPr>
              <w:ind w:left="6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7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8"/>
              </w:rPr>
              <w:t>Proceeds from follow-on public offering, net of underwriting discounts, commissions and offering costs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62,978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220" w:type="dxa"/>
            <w:vAlign w:val="bottom"/>
          </w:tcPr>
          <w:p>
            <w:pPr>
              <w:ind w:left="120"/>
              <w:spacing w:after="0"/>
              <w:rPr>
                <w:sz w:val="20"/>
                <w:szCs w:val="20"/>
                <w:color w:val="auto"/>
              </w:rPr>
            </w:pPr>
            <w:r>
              <w:rPr>
                <w:rFonts w:ascii="Arial" w:cs="Arial" w:eastAsia="Arial" w:hAnsi="Arial"/>
                <w:sz w:val="16"/>
                <w:szCs w:val="16"/>
                <w:color w:val="auto"/>
              </w:rPr>
              <w:t>Proceeds from the exercise of stock options</w:t>
            </w:r>
          </w:p>
        </w:tc>
        <w:tc>
          <w:tcPr>
            <w:tcW w:w="30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3"/>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63,152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7"/>
        </w:trPr>
        <w:tc>
          <w:tcPr>
            <w:tcW w:w="7220" w:type="dxa"/>
            <w:vAlign w:val="bottom"/>
          </w:tcPr>
          <w:p>
            <w:pPr>
              <w:ind w:left="16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57,133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(12,559)</w:t>
            </w:r>
          </w:p>
        </w:tc>
        <w:tc>
          <w:tcPr>
            <w:tcW w:w="0" w:type="dxa"/>
            <w:vAlign w:val="bottom"/>
          </w:tcPr>
          <w:p>
            <w:pPr>
              <w:spacing w:after="0"/>
              <w:rPr>
                <w:sz w:val="1"/>
                <w:szCs w:val="1"/>
                <w:color w:val="auto"/>
              </w:rPr>
            </w:pPr>
          </w:p>
        </w:tc>
      </w:tr>
      <w:tr>
        <w:trPr>
          <w:trHeight w:val="213"/>
        </w:trPr>
        <w:tc>
          <w:tcPr>
            <w:tcW w:w="7220" w:type="dxa"/>
            <w:vAlign w:val="bottom"/>
          </w:tcPr>
          <w:p>
            <w:pPr>
              <w:ind w:left="60"/>
              <w:spacing w:after="0"/>
              <w:rPr>
                <w:sz w:val="20"/>
                <w:szCs w:val="20"/>
                <w:color w:val="auto"/>
              </w:rPr>
            </w:pPr>
            <w:r>
              <w:rPr>
                <w:rFonts w:ascii="Arial" w:cs="Arial" w:eastAsia="Arial" w:hAnsi="Arial"/>
                <w:sz w:val="16"/>
                <w:szCs w:val="16"/>
                <w:b w:val="1"/>
                <w:bCs w:val="1"/>
                <w:color w:val="auto"/>
              </w:rPr>
              <w:t>Cash and cash equivalents at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Beginning of period</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10,435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25,120</w:t>
            </w:r>
          </w:p>
        </w:tc>
        <w:tc>
          <w:tcPr>
            <w:tcW w:w="0" w:type="dxa"/>
            <w:vAlign w:val="bottom"/>
          </w:tcPr>
          <w:p>
            <w:pPr>
              <w:spacing w:after="0"/>
              <w:rPr>
                <w:sz w:val="1"/>
                <w:szCs w:val="1"/>
                <w:color w:val="auto"/>
              </w:rPr>
            </w:pPr>
          </w:p>
        </w:tc>
      </w:tr>
      <w:tr>
        <w:trPr>
          <w:trHeight w:val="217"/>
        </w:trPr>
        <w:tc>
          <w:tcPr>
            <w:tcW w:w="7220" w:type="dxa"/>
            <w:vAlign w:val="bottom"/>
          </w:tcPr>
          <w:p>
            <w:pPr>
              <w:ind w:left="60"/>
              <w:spacing w:after="0"/>
              <w:rPr>
                <w:sz w:val="20"/>
                <w:szCs w:val="20"/>
                <w:color w:val="auto"/>
              </w:rPr>
            </w:pPr>
            <w:r>
              <w:rPr>
                <w:rFonts w:ascii="Arial" w:cs="Arial" w:eastAsia="Arial" w:hAnsi="Arial"/>
                <w:sz w:val="16"/>
                <w:szCs w:val="16"/>
                <w:color w:val="auto"/>
              </w:rPr>
              <w:t>End of period</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67,568</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12,561</w:t>
            </w:r>
          </w:p>
        </w:tc>
        <w:tc>
          <w:tcPr>
            <w:tcW w:w="0" w:type="dxa"/>
            <w:vAlign w:val="bottom"/>
          </w:tcPr>
          <w:p>
            <w:pPr>
              <w:spacing w:after="0"/>
              <w:rPr>
                <w:sz w:val="1"/>
                <w:szCs w:val="1"/>
                <w:color w:val="auto"/>
              </w:rPr>
            </w:pPr>
          </w:p>
        </w:tc>
      </w:tr>
      <w:tr>
        <w:trPr>
          <w:trHeight w:val="33"/>
        </w:trPr>
        <w:tc>
          <w:tcPr>
            <w:tcW w:w="72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Supplemental disclosure of non-cash information</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2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7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Vesting of early exercised stock options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23"/>
        </w:trPr>
        <w:tc>
          <w:tcPr>
            <w:tcW w:w="7220" w:type="dxa"/>
            <w:vAlign w:val="bottom"/>
          </w:tcPr>
          <w:p>
            <w:pPr>
              <w:ind w:left="60"/>
              <w:spacing w:after="0"/>
              <w:rPr>
                <w:sz w:val="20"/>
                <w:szCs w:val="20"/>
                <w:color w:val="auto"/>
              </w:rPr>
            </w:pPr>
            <w:r>
              <w:rPr>
                <w:rFonts w:ascii="Arial" w:cs="Arial" w:eastAsia="Arial" w:hAnsi="Arial"/>
                <w:sz w:val="16"/>
                <w:szCs w:val="16"/>
                <w:color w:val="auto"/>
              </w:rPr>
              <w:t>Purchases of property and equipment included in accounts payable and accrued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9"/>
                <w:szCs w:val="19"/>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Public offering costs included in 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33"/>
        </w:trPr>
        <w:tc>
          <w:tcPr>
            <w:tcW w:w="7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237490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940" w:top="999" w:right="9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The Company and Nature of Business</w:t>
      </w:r>
    </w:p>
    <w:p>
      <w:pPr>
        <w:spacing w:after="0" w:line="12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primary product, the iFuse Implant System, or iFuse, in 2009 in the U.S., in 2010 in certain countries in the European Union, and in 2015 in certain countries in the rest of the world.</w:t>
      </w:r>
    </w:p>
    <w:p>
      <w:pPr>
        <w:spacing w:after="0" w:line="15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October 2018, the Company completed its initial public offering ("IPO"), by issuing 8,280,000 shares of common stock, at an offering price of $15.00 per share, for net proceeds of $113.4 million after deducting underwriting discounts and commissions and offering costs.</w:t>
      </w:r>
    </w:p>
    <w:p>
      <w:pPr>
        <w:spacing w:after="0" w:line="170"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In January 2020, the Company received $50.3 million of net proceeds, after deducting the underwriting discounts and commissions, from its public offering of 4,300,000 shares of the Company's common stock at a public offering price of $21.50 per share, of which 2,490,053 shares were offered and sold by the Company. Further, in February 2020, the underwriters fully exercised their option to purchase 645,000 shares of the Company's common stock at a public offering price of $21.50 per share for an additional net proceeds of $13.0 million to the Company, after deducting underwriting discounts and commissions. The total public offering costs incurred in connection with the follow-on offering were allocated based on the gross proceeds received by the Company and the other selling shareholders on a pro-rated basis. Public offering cost of $0.4 million allocated to selling of shares by the Company was charged against the gross proceeds received from the follow-on offering. Public offering costs of $0.2 million allocated to selling of shares by the selling shareholders was recognized as transaction costs within general and administrative expenses on the unaudited condensed consolidated statements of operations in the three months ended March 31,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2019 has been derived from the audited consolidated financial statements at that date but does not include all of the information required by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months ended March 31, 2020 are not necessarily indicative of the results to be expected for the year ending December 31, 2020 or for any other interim period or for any other future year.</w:t>
      </w:r>
    </w:p>
    <w:p>
      <w:pPr>
        <w:spacing w:after="0" w:line="127"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The accompanying condensed consolidated financial statements should be read in conjunction with the audited financial statements and related notes thereto for the year ended December 31, 2019 contained in the Company’s Annual Report on Form 10-K filed with the SEC on March 11, 2020.</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71"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In late 2019, SARS-CoV-2, a novel strain of coronavirus which causes the disease COVID-19, was reported in China, and in March 2020 the World Health Organization declared it a pandemic. The Company is subject to risks and uncertainties as a result of the COVID-19 pandemic. The extent of the impact of the COVID-19 pandemic on the Company's business is highly uncertain and difficult to predict, as the response to the pandemic is in its early stages and information is rapidly evolving. The Company's customers which include hospitals and medical centers are diverting resources to treat COVID-19 patients and deferring elective surgical procedures, both of which are likely to impact the Company's revenues as well as receivable collections and inventory obsolescence. Furthermore, capital markets and economies worldwide have also been negatively impacted by the COVID-19 pandemic, and it is likely that it could cause a local and/or global recession. Such economic disruption could have a material adverse effect on the Company's business. Policymakers around the globe have responded with fiscal policy actions to support the healthcare industry and economy as a whole. The magnitude and overall effectiveness of these actions remains uncertain.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severity of the impact of the COVID-19 pandemic on the Company's business will depend on a number of factors, including, but not limited to, the duration and severity of the pandemic and the extent and severity of the impact on the Company's customers, all of which are uncertain and cannot be predicted. The Company's future results of operations and liquidity could be adversely impacted by delays in payments of outstanding receivable amounts beyond normal payment terms, supply chain disruptions and uncertain demand, excess and obsolete inventory, and the impact of any initiatives and programs that the Company may undertake to address financial and operations challenges faced by its customers.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include: fair value of assets and liabilities; analysis of the allowance for doubtful accounts; inventory valuation; valuation of deferred tax assets, including related valuation allowances; stock-based compensation; and useful lives of long lived assets. Estimates are based on historical experience, where applicable and other assumptions believed to be reasonable by the management. Actual results could differ from those estimates.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significant accounting policies are disclosed in the Company’s Annual Report on Form 10-K for the year ended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these accounting policies.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71"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As an emerging growth company under the Jumpstart Our Business Startups Act of 2012 (the "JOBS Act"), the Company is eligible to take advantage of certain exemptions from various reporting requirements that are applicable to other public companies that are not emerging growth companies. The Company has elected to take advantage of the extended transition period for adopting new or revised accounting standards that have different effective dates for public and private companies. Those standards apply to companies until the earlier of the date that it is (i)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 The Company continues to be an emerging growth company until December 31, 2023, unless one of the following occurs:</w:t>
      </w:r>
    </w:p>
    <w:p>
      <w:pPr>
        <w:spacing w:after="0" w:line="2" w:lineRule="exact"/>
        <w:rPr>
          <w:sz w:val="20"/>
          <w:szCs w:val="20"/>
          <w:color w:val="auto"/>
        </w:rPr>
      </w:pPr>
    </w:p>
    <w:p>
      <w:pPr>
        <w:ind w:right="20" w:firstLine="8"/>
        <w:spacing w:after="0" w:line="290"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the Company's total annual gross revenues are $1.07 billion or more; or (ii) the Company has issued more than $1.0 billion in non-convertible debt in the past three years; or (iii) the Company becomes a "large accelerated filer," as defined in Rule 12b-2 of the Exchange Act.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Segments</w:t>
      </w:r>
    </w:p>
    <w:p>
      <w:pPr>
        <w:spacing w:after="0" w:line="17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Company manages and operates as one reportable segment. The Company derives substantially all of its revenue from sales to customers in the U.S. Revenue by geography is based on billing address of the customer. No single country outside the U.S. accounts for more than 10% of the total revenue during the periods presented. Long-lived assets held outside the U.S. are immaterial. The table below summarizes the Company's revenue by geography:</w:t>
      </w:r>
    </w:p>
    <w:p>
      <w:pPr>
        <w:spacing w:after="0" w:line="149" w:lineRule="exact"/>
        <w:rPr>
          <w:sz w:val="20"/>
          <w:szCs w:val="20"/>
          <w:color w:val="auto"/>
        </w:rPr>
      </w:pPr>
    </w:p>
    <w:p>
      <w:pPr>
        <w:jc w:val="center"/>
        <w:ind w:left="5220"/>
        <w:spacing w:after="0"/>
        <w:rPr>
          <w:sz w:val="20"/>
          <w:szCs w:val="20"/>
          <w:color w:val="auto"/>
        </w:rPr>
      </w:pPr>
      <w:r>
        <w:rPr>
          <w:rFonts w:ascii="Arial" w:cs="Arial" w:eastAsia="Arial" w:hAnsi="Arial"/>
          <w:sz w:val="16"/>
          <w:szCs w:val="16"/>
          <w:b w:val="1"/>
          <w:bCs w:val="1"/>
          <w:color w:val="auto"/>
        </w:rPr>
        <w:t>Three Months Ended March</w:t>
      </w:r>
    </w:p>
    <w:p>
      <w:pPr>
        <w:spacing w:after="0" w:line="26" w:lineRule="exact"/>
        <w:rPr>
          <w:sz w:val="20"/>
          <w:szCs w:val="20"/>
          <w:color w:val="auto"/>
        </w:rPr>
      </w:pPr>
    </w:p>
    <w:p>
      <w:pPr>
        <w:jc w:val="center"/>
        <w:ind w:left="522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33020</wp:posOffset>
            </wp:positionV>
            <wp:extent cx="14312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gridSpan w:val="5"/>
          </w:tcPr>
          <w:p>
            <w:pPr>
              <w:ind w:left="40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Pr>
          <w:p>
            <w:pPr>
              <w:spacing w:after="0"/>
              <w:rPr>
                <w:sz w:val="21"/>
                <w:szCs w:val="21"/>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15,297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13,450</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1,541</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880" w:type="dxa"/>
            <w:vAlign w:val="bottom"/>
          </w:tcPr>
          <w:p>
            <w:pPr>
              <w:spacing w:after="0"/>
              <w:rPr>
                <w:sz w:val="24"/>
                <w:szCs w:val="24"/>
                <w:color w:val="auto"/>
              </w:rPr>
            </w:pPr>
          </w:p>
        </w:tc>
        <w:tc>
          <w:tcPr>
            <w:tcW w:w="2340" w:type="dxa"/>
            <w:vAlign w:val="bottom"/>
            <w:tcBorders>
              <w:bottom w:val="single" w:sz="8" w:color="CCEEFF"/>
            </w:tcBorders>
            <w:shd w:val="clear" w:color="auto" w:fill="CCEEFF"/>
          </w:tcPr>
          <w:p>
            <w:pPr>
              <w:spacing w:after="0"/>
              <w:rPr>
                <w:sz w:val="24"/>
                <w:szCs w:val="24"/>
                <w:color w:val="auto"/>
              </w:rPr>
            </w:pPr>
          </w:p>
        </w:tc>
        <w:tc>
          <w:tcPr>
            <w:tcW w:w="3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16,821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14,991</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1370"/>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1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8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Adoption of New Revenue Recognition Standard</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The Company adopted the new revenue recognition standards ("ASC 606") using the modified retrospective method effective for the year ended December 31, 2019. This approach was applied to all contracts that were not completed as of January 1, 2019. As an emerging growth company that elected to take advantage of the JOBS Act accounting election, the Company was not required to adopt the new revenue standard in the interim reporting periods on the year of adoption and is not required, and intends not, to revise its 2019 interim periods which were reported under previous revenue recognition standards ("ASC 605"). The adoption of ASC 606 did not result in a material impact on the Company’s condensed consolidated financial statements and no adjustment was made to the opening balance of accumulated deficit at January 1, 2019. ASC 606's core principle is that a reporting entity will recognize revenue when it transfers promised goods or services to customers in an amount that reflects the consideration to which the entity expects to be entitled in exchange for those goods or services. As it relates to product sales where the Company's sales representative delivers the product at the point of implantation at hospital or medical facilities, which represents majority of the Company's revenue, the Company continues to recognize the revenue upon completion of the procedure and authorization by the customer, net of rebates and price discounts. As it relates to sale of products through distributors and hospitals where product is ordered in advance of the procedure, the Company continues to recognize the revenue upon shipments to the customers, net of rebates and price discounts. Additionally, ASC 606 requires the capitalization of costs to obtain a contract, primarily sales commissions, and amortization of these costs over the contract period or estimated customer life. The Company’s sales commissions paid to its sales representatives is generally based on the surgeries performed. The Company applied the practical expedient that permits an entity to expense the cost to obtain a contract as incurred when the expected amortization is one year or less. As such, the Company recognize sales commission as expense when incurred.</w:t>
      </w:r>
    </w:p>
    <w:p>
      <w:pPr>
        <w:spacing w:after="0" w:line="19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disaggregates revenues from contracts with customers into geographical regions. The Company determined that disaggregating revenue into these categories depicts how the nature, amount, timing and uncertainty of revenue and cash flows are affected by regional economic factors. For information regarding revenue by geography, refer to Segments in “Note 2 - Summary of Significant Accounting Policies" in the accompanying Notes to Condensed Consolidated Financial Statements.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Issued Accounting Standards Not Yet Effective</w:t>
      </w:r>
    </w:p>
    <w:p>
      <w:pPr>
        <w:spacing w:after="0" w:line="171" w:lineRule="exact"/>
        <w:rPr>
          <w:sz w:val="20"/>
          <w:szCs w:val="20"/>
          <w:color w:val="auto"/>
        </w:rPr>
      </w:pPr>
    </w:p>
    <w:p>
      <w:pPr>
        <w:jc w:val="both"/>
        <w:ind w:firstLine="416"/>
        <w:spacing w:after="0" w:line="268"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2016-02, Leases (Topic 842), which requires that lessee's recognize a right-of-use asset and a lease liability for all leases with lease terms greater than twelve months in the balance sheet. A lease liability is a lessee's obligation to make lease payments arising from a lease, measured on a discounted basis; and a right-of-use asset is an asset that represents the lessee’s right to use, or control use of, a specified asset for the lease term for all leases (with the exception of short-term leases) at the adoption date. In July 2018, the FASB issued ASU 2018-10 and ASU 2018-11, which provides clarification on the narrow aspects of the guidance and provide an additional transition method to adopt the new leases standard. The new transition method allows an entity to recognize a cumulative-effect adjustment to the opening balance of retained earnings in the period of adoption. In March 2019, the FASB issued ASU 2019-01, which provides clarification on implementation issues associated with adopting ASU 2016-02. The new leases standard must be adopted using a modified retrospective transition method and allows for the application of the new guidance at the beginning of the earliest comparative period presented or at the adoption date. In November 2019, the FASB issued ASU 2019-10, which revised the mandatory effective dates of the new lease standard. For public companies, the new guidance remained effective for fiscal years, and for interim periods within those fiscal years, beginning after December 15, 2018. For all other entities, the new guidance is now effective for fiscal years beginning after December 15, 2020 and interim periods within fiscal years beginning after December 15, 2021. Early adoption is still permitted for any interim or annual financial statements not yet issued.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an emerging growth company, the new lease standard is now effective for the Company for the fiscal year ending December 31, 2021 and interim periods within fiscal year ending December 31, 2022. The Company is currently evaluating the impact of this standard on its consolidated financial statements including the timing of its adoption. The Company anticipates to elect several practical expedients that permit the Company not to reassess (1) whether a contract is or contains a lease, (2) the classification of existing leases, and (3) whether previously capitalized initial direct costs would qualify for capitalization under ASC 842. The Company expects that the adoption of this new standard will have a material impact on its balance sheet. The most significant impact would be the recognition of operating lease right-of-use assets and liability. The standard is not expected to have a material impact to the Company's consolidated statements of income and cash flows.</w:t>
      </w:r>
    </w:p>
    <w:p>
      <w:pPr>
        <w:spacing w:after="0" w:line="17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FASB issued ASU 2019-05 in May 2019 and ASU 2019-08 in November 2019 for codification improvements of Topic 326. The new standard revises the accounting requirements related to the measurement of credit losses and will require organizations to measure all expected credit losses for financial assets based on historical experience, current conditions and reasonable and supportable forecasts about collectability. Assets must be presented in the financial statements at the net amount expected to be collected. In November 2019, the FASB issued ASU 2019-10, which defers the effective date of ASU 2016-13 for public companies that are eligible to be smaller reporting companies and all other companies, to fiscal years beginning after December 15, 2022, including interim periods within those fiscal years. In February 2020, the FASB issued ASU 2020-02, which provides guidance regarding methodologies, documentation, and internal controls related to expected credit losses. The Company is currently evaluating the impact of this standard on its consolidated financial statements, but do not expect the standard will have a material impact on the Company's consolidated financial statements.</w:t>
      </w:r>
    </w:p>
    <w:p>
      <w:pPr>
        <w:spacing w:after="0" w:line="166"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In June 2018, the FASB issued ASU 2018-07, Improvements to Non-employee Share-Based Payment Accounting. ASU 2018-07 expands the scope of Topic 718, Compensation-Stock Compensation, to include share-based payments issued to non-employees for goods or services. Consequently, the accounting for share-based payments to non-employees and employees will be substantially aligned. ASU 2018-07 supersedes Subtopic 505-50, Equity-Based Payments to Non-Employees. For public business entities, the amendments are effective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ASC</w:t>
      </w:r>
    </w:p>
    <w:p>
      <w:pPr>
        <w:spacing w:after="0" w:line="4" w:lineRule="exact"/>
        <w:rPr>
          <w:sz w:val="20"/>
          <w:szCs w:val="20"/>
          <w:color w:val="auto"/>
        </w:rPr>
      </w:pPr>
    </w:p>
    <w:p>
      <w:pPr>
        <w:ind w:firstLine="8"/>
        <w:spacing w:after="0" w:line="260" w:lineRule="auto"/>
        <w:tabs>
          <w:tab w:leader="none" w:pos="37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currently assessing the impact of this new guidance but does not expect it to have a material impact on its consolidated financial statements, and anticipates adopting the standard for the fiscal year ending December 31, 2020.</w:t>
      </w:r>
    </w:p>
    <w:p>
      <w:pPr>
        <w:spacing w:after="0" w:line="13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August 2018, the FASB issued ASU 2018-13, Fair Value Measurements, which eliminates, adds or modifies certain disclosure requirements for fair value measurements.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This update is effective for fiscal years beginning after December 15, 2019, including interim periods within that fiscal year, with early adoption permitted to adopt either the entire standard or only the provisions that eliminate or modify the requirements. The Company is currently assessing the impact of this new guidance but does not expect it to have a material impact on its consolidated financial statements, and anticipates adopting the standard for the fiscal year ending December 31, 2020.</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All of the Company's marketable securities were available-for-sale and were classified based on their maturities. Marketable securities with remaining maturities at the date of purchase of three months or less are classified as cash equivalents. Short term investments are securities that original maturity or remaining maturity is greater than three months and not more than twelve months. Long-term investments are securities for which the original maturity or remaining maturity is greater than twelve months.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summarizes the marketable securities:</w:t>
      </w:r>
    </w:p>
    <w:p>
      <w:pPr>
        <w:spacing w:after="0" w:line="280"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3"/>
          </w:tcPr>
          <w:p>
            <w:pPr>
              <w:jc w:val="center"/>
              <w:ind w:left="412"/>
              <w:spacing w:after="0"/>
              <w:rPr>
                <w:sz w:val="20"/>
                <w:szCs w:val="20"/>
                <w:color w:val="auto"/>
              </w:rPr>
            </w:pPr>
            <w:r>
              <w:rPr>
                <w:rFonts w:ascii="Arial" w:cs="Arial" w:eastAsia="Arial" w:hAnsi="Arial"/>
                <w:sz w:val="16"/>
                <w:szCs w:val="16"/>
                <w:b w:val="1"/>
                <w:bCs w:val="1"/>
                <w:color w:val="auto"/>
                <w:w w:val="93"/>
              </w:rPr>
              <w:t>March 31, 2020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Aggregate Fair</w:t>
            </w: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Amortized Cost</w:t>
            </w:r>
          </w:p>
        </w:tc>
        <w:tc>
          <w:tcPr>
            <w:tcW w:w="1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5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3"/>
              </w:rPr>
              <w:t>Unrealized Losses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3"/>
          </w:tcPr>
          <w:p>
            <w:pPr>
              <w:jc w:val="center"/>
              <w:ind w:left="412"/>
              <w:spacing w:after="0"/>
              <w:rPr>
                <w:sz w:val="20"/>
                <w:szCs w:val="20"/>
                <w:color w:val="auto"/>
              </w:rPr>
            </w:pPr>
            <w:r>
              <w:rPr>
                <w:rFonts w:ascii="Arial" w:cs="Arial" w:eastAsia="Arial" w:hAnsi="Arial"/>
                <w:sz w:val="16"/>
                <w:szCs w:val="16"/>
                <w:b w:val="1"/>
                <w:bCs w:val="1"/>
                <w:color w:val="auto"/>
                <w:w w:val="88"/>
              </w:rPr>
              <w:t>(in thousands)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62,194</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62,194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62,194</w:t>
            </w: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62,194</w:t>
            </w:r>
          </w:p>
        </w:tc>
        <w:tc>
          <w:tcPr>
            <w:tcW w:w="20" w:type="dxa"/>
            <w:vAlign w:val="bottom"/>
            <w:tcBorders>
              <w:top w:val="single" w:sz="8" w:color="auto"/>
            </w:tcBorders>
          </w:tcPr>
          <w:p>
            <w:pPr>
              <w:spacing w:after="0"/>
              <w:rPr>
                <w:sz w:val="20"/>
                <w:szCs w:val="20"/>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3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43"/>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52,025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52,348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11,816</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11,773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13,252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13,252</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77,093</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327</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77,373</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1,278</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Long-term investments</w:t>
            </w: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1,278</w:t>
            </w: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1,274</w:t>
            </w:r>
          </w:p>
        </w:tc>
        <w:tc>
          <w:tcPr>
            <w:tcW w:w="20" w:type="dxa"/>
            <w:vAlign w:val="bottom"/>
            <w:tcBorders>
              <w:top w:val="single" w:sz="8" w:color="auto"/>
            </w:tcBorders>
          </w:tcPr>
          <w:p>
            <w:pPr>
              <w:spacing w:after="0"/>
              <w:rPr>
                <w:sz w:val="20"/>
                <w:szCs w:val="20"/>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9"/>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140,565</w:t>
            </w: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327</w:t>
            </w: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140,841</w:t>
            </w:r>
          </w:p>
        </w:tc>
        <w:tc>
          <w:tcPr>
            <w:tcW w:w="20" w:type="dxa"/>
            <w:vAlign w:val="bottom"/>
            <w:tcBorders>
              <w:bottom w:val="single" w:sz="8" w:color="auto"/>
            </w:tcBorders>
            <w:shd w:val="clear" w:color="auto" w:fill="CCEEFF"/>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3"/>
          </w:tcPr>
          <w:p>
            <w:pPr>
              <w:jc w:val="center"/>
              <w:ind w:left="412"/>
              <w:spacing w:after="0"/>
              <w:rPr>
                <w:sz w:val="20"/>
                <w:szCs w:val="20"/>
                <w:color w:val="auto"/>
              </w:rPr>
            </w:pPr>
            <w:r>
              <w:rPr>
                <w:rFonts w:ascii="Arial" w:cs="Arial" w:eastAsia="Arial" w:hAnsi="Arial"/>
                <w:sz w:val="16"/>
                <w:szCs w:val="16"/>
                <w:b w:val="1"/>
                <w:bCs w:val="1"/>
                <w:color w:val="auto"/>
                <w:w w:val="90"/>
              </w:rPr>
              <w:t>December 31, 2019</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Aggregate Fair</w:t>
            </w: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Amortized Cost</w:t>
            </w:r>
          </w:p>
        </w:tc>
        <w:tc>
          <w:tcPr>
            <w:tcW w:w="1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5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3"/>
              </w:rPr>
              <w:t>Unrealized Losses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3"/>
          </w:tcPr>
          <w:p>
            <w:pPr>
              <w:jc w:val="center"/>
              <w:ind w:left="412"/>
              <w:spacing w:after="0"/>
              <w:rPr>
                <w:sz w:val="20"/>
                <w:szCs w:val="20"/>
                <w:color w:val="auto"/>
              </w:rPr>
            </w:pPr>
            <w:r>
              <w:rPr>
                <w:rFonts w:ascii="Arial" w:cs="Arial" w:eastAsia="Arial" w:hAnsi="Arial"/>
                <w:sz w:val="16"/>
                <w:szCs w:val="16"/>
                <w:b w:val="1"/>
                <w:bCs w:val="1"/>
                <w:color w:val="auto"/>
                <w:w w:val="88"/>
              </w:rPr>
              <w:t>(in thousands)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3,068</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3,068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2,495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2,495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5,563</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5,563</w:t>
            </w:r>
          </w:p>
        </w:tc>
        <w:tc>
          <w:tcPr>
            <w:tcW w:w="20" w:type="dxa"/>
            <w:vAlign w:val="bottom"/>
          </w:tcPr>
          <w:p>
            <w:pPr>
              <w:spacing w:after="0"/>
              <w:rPr>
                <w:sz w:val="22"/>
                <w:szCs w:val="22"/>
                <w:color w:val="auto"/>
              </w:rPr>
            </w:pPr>
          </w:p>
        </w:tc>
      </w:tr>
      <w:tr>
        <w:trPr>
          <w:trHeight w:val="480"/>
        </w:trPr>
        <w:tc>
          <w:tcPr>
            <w:tcW w:w="2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67,051</w:t>
            </w: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67,083</w:t>
            </w:r>
          </w:p>
        </w:tc>
        <w:tc>
          <w:tcPr>
            <w:tcW w:w="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9,075</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9,097</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5,165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5,165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20" w:type="dxa"/>
            <w:vAlign w:val="bottom"/>
          </w:tcPr>
          <w:p>
            <w:pPr>
              <w:spacing w:after="0"/>
              <w:rPr>
                <w:sz w:val="22"/>
                <w:szCs w:val="22"/>
                <w:color w:val="auto"/>
              </w:rPr>
            </w:pPr>
          </w:p>
        </w:tc>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81,291</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81,345</w:t>
            </w:r>
          </w:p>
        </w:tc>
        <w:tc>
          <w:tcPr>
            <w:tcW w:w="20" w:type="dxa"/>
            <w:vAlign w:val="bottom"/>
          </w:tcPr>
          <w:p>
            <w:pPr>
              <w:spacing w:after="0"/>
              <w:rPr>
                <w:sz w:val="22"/>
                <w:szCs w:val="22"/>
                <w:color w:val="auto"/>
              </w:rPr>
            </w:pPr>
          </w:p>
        </w:tc>
      </w:tr>
      <w:tr>
        <w:trPr>
          <w:trHeight w:val="493"/>
        </w:trPr>
        <w:tc>
          <w:tcPr>
            <w:tcW w:w="2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Corporate bonds</w:t>
            </w: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1,278</w:t>
            </w: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1,278</w:t>
            </w:r>
          </w:p>
        </w:tc>
        <w:tc>
          <w:tcPr>
            <w:tcW w:w="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1,278</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1,278</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88,132</w:t>
            </w:r>
          </w:p>
        </w:tc>
        <w:tc>
          <w:tcPr>
            <w:tcW w:w="1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88,186</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long-term investments outstanding as of March 31, 2020 and December 31, 2019 mature in April 2021.</w:t>
      </w:r>
    </w:p>
    <w:p>
      <w:pPr>
        <w:spacing w:after="0" w:line="2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Unrealized gains and losses on available-for-sale securities are recorded in accumulated other comprehensive income (loss) on the condensed consolidated balance sheets. The Company evaluates its investments to assess whether those in unrealized loss positions are other-than-temporarily impaired. The Company considers impairments to be other-than-temporary if it is related to deterioration in credit risk or if it is likely the Company will sell the securities before the recovery of their cost basis. The Company did not identify any of its marketable securities as other-than-temporarily impaired as of March 31, 2020 and December 31, 2019.</w:t>
      </w:r>
    </w:p>
    <w:p>
      <w:pPr>
        <w:sectPr>
          <w:pgSz w:w="11900" w:h="16838" w:orient="portrait"/>
          <w:cols w:equalWidth="0" w:num="1">
            <w:col w:w="11240"/>
          </w:cols>
          <w:pgMar w:left="320" w:top="121" w:right="339" w:bottom="144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229"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or liabilities that required fair value hierarchy measurements and disclosures for the periods presented.</w:t>
      </w:r>
    </w:p>
    <w:p>
      <w:pPr>
        <w:spacing w:after="0" w:line="15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table below summarizes the fair value of the Company’s marketable securities measured at fair value on a recurring basis based on the three-tier fair value hierarchy: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4"/>
              </w:rPr>
              <w:t>March 31, 2020</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18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20" w:type="dxa"/>
            <w:vAlign w:val="bottom"/>
          </w:tcPr>
          <w:p>
            <w:pPr>
              <w:spacing w:after="0"/>
              <w:rPr>
                <w:sz w:val="19"/>
                <w:szCs w:val="19"/>
                <w:color w:val="auto"/>
              </w:rPr>
            </w:pPr>
          </w:p>
        </w:tc>
        <w:tc>
          <w:tcPr>
            <w:tcW w:w="3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2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62,194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62,194</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2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52,348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52,348</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2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13,047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13,047</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0" w:type="dxa"/>
            <w:vAlign w:val="bottom"/>
          </w:tcPr>
          <w:p>
            <w:pPr>
              <w:spacing w:after="0"/>
              <w:rPr>
                <w:sz w:val="23"/>
                <w:szCs w:val="23"/>
                <w:color w:val="auto"/>
              </w:rPr>
            </w:pPr>
          </w:p>
        </w:tc>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2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13,252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13,252</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20" w:type="dxa"/>
            <w:vAlign w:val="bottom"/>
          </w:tcPr>
          <w:p>
            <w:pPr>
              <w:spacing w:after="0"/>
              <w:rPr>
                <w:sz w:val="24"/>
                <w:szCs w:val="24"/>
                <w:color w:val="auto"/>
              </w:rPr>
            </w:pPr>
          </w:p>
        </w:tc>
        <w:tc>
          <w:tcPr>
            <w:tcW w:w="35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marketable securities</w:t>
            </w:r>
          </w:p>
        </w:tc>
        <w:tc>
          <w:tcPr>
            <w:tcW w:w="22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5"/>
              </w:rPr>
              <w:t>114,542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26,299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5"/>
              </w:rPr>
              <w:t>140,841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6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1"/>
              </w:rPr>
              <w:t>December 31, 2019</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18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20" w:type="dxa"/>
            <w:vAlign w:val="bottom"/>
          </w:tcPr>
          <w:p>
            <w:pPr>
              <w:spacing w:after="0"/>
              <w:rPr>
                <w:sz w:val="19"/>
                <w:szCs w:val="19"/>
                <w:color w:val="auto"/>
              </w:rPr>
            </w:pPr>
          </w:p>
        </w:tc>
        <w:tc>
          <w:tcPr>
            <w:tcW w:w="3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2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3,068</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2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67,083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67,083</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2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10,375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10,375</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2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7,660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7,660</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20" w:type="dxa"/>
            <w:vAlign w:val="bottom"/>
          </w:tcPr>
          <w:p>
            <w:pPr>
              <w:spacing w:after="0"/>
              <w:rPr>
                <w:sz w:val="22"/>
                <w:szCs w:val="22"/>
                <w:color w:val="auto"/>
              </w:rPr>
            </w:pPr>
          </w:p>
        </w:tc>
        <w:tc>
          <w:tcPr>
            <w:tcW w:w="3580" w:type="dxa"/>
            <w:vAlign w:val="bottom"/>
          </w:tcPr>
          <w:p>
            <w:pPr>
              <w:ind w:left="320"/>
              <w:spacing w:after="0"/>
              <w:rPr>
                <w:sz w:val="20"/>
                <w:szCs w:val="20"/>
                <w:color w:val="auto"/>
              </w:rPr>
            </w:pPr>
            <w:r>
              <w:rPr>
                <w:rFonts w:ascii="Arial" w:cs="Arial" w:eastAsia="Arial" w:hAnsi="Arial"/>
                <w:sz w:val="18"/>
                <w:szCs w:val="18"/>
                <w:color w:val="auto"/>
              </w:rPr>
              <w:t>Total marketable securities</w:t>
            </w:r>
          </w:p>
        </w:tc>
        <w:tc>
          <w:tcPr>
            <w:tcW w:w="22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70,151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18,035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88,186</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80" w:type="dxa"/>
            <w:vAlign w:val="bottom"/>
            <w:vMerge w:val="restart"/>
          </w:tcPr>
          <w:p>
            <w:pPr>
              <w:jc w:val="right"/>
              <w:ind w:right="67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6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right="8960" w:hanging="452"/>
        <w:spacing w:after="0" w:line="488" w:lineRule="auto"/>
        <w:tabs>
          <w:tab w:leader="none" w:pos="19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Components </w:t>
      </w:r>
      <w:r>
        <w:rPr>
          <w:rFonts w:ascii="Arial" w:cs="Arial" w:eastAsia="Arial" w:hAnsi="Arial"/>
          <w:sz w:val="16"/>
          <w:szCs w:val="16"/>
          <w:b w:val="1"/>
          <w:bCs w:val="1"/>
          <w:i w:val="1"/>
          <w:iCs w:val="1"/>
          <w:color w:val="auto"/>
        </w:rPr>
        <w:t>Inventory</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2020 and December 31, 2019, inventory consisted entirely of finished goods.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r>
        <w:rPr>
          <w:rFonts w:ascii="Arial" w:cs="Arial" w:eastAsia="Arial" w:hAnsi="Arial"/>
          <w:sz w:val="18"/>
          <w:szCs w:val="18"/>
          <w:color w:val="auto"/>
        </w:rPr>
        <w:t>:</w:t>
      </w:r>
    </w:p>
    <w:p>
      <w:pPr>
        <w:spacing w:after="0" w:line="226"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2020</w:t>
            </w:r>
          </w:p>
        </w:tc>
        <w:tc>
          <w:tcPr>
            <w:tcW w:w="152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6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3"/>
          </w:tcPr>
          <w:p>
            <w:pPr>
              <w:jc w:val="right"/>
              <w:ind w:right="153"/>
              <w:spacing w:after="0"/>
              <w:rPr>
                <w:sz w:val="20"/>
                <w:szCs w:val="20"/>
                <w:color w:val="auto"/>
              </w:rPr>
            </w:pPr>
            <w:r>
              <w:rPr>
                <w:rFonts w:ascii="Arial" w:cs="Arial" w:eastAsia="Arial" w:hAnsi="Arial"/>
                <w:sz w:val="16"/>
                <w:szCs w:val="16"/>
                <w:b w:val="1"/>
                <w:bCs w:val="1"/>
                <w:color w:val="auto"/>
              </w:rPr>
              <w:t>(in thousands)</w:t>
            </w:r>
          </w:p>
        </w:tc>
        <w:tc>
          <w:tcPr>
            <w:tcW w:w="860" w:type="dxa"/>
            <w:vAlign w:val="bottom"/>
          </w:tcPr>
          <w:p>
            <w:pPr>
              <w:spacing w:after="0"/>
              <w:rPr>
                <w:sz w:val="18"/>
                <w:szCs w:val="18"/>
                <w:color w:val="auto"/>
              </w:rPr>
            </w:pPr>
          </w:p>
        </w:tc>
      </w:tr>
      <w:tr>
        <w:trPr>
          <w:trHeight w:val="33"/>
        </w:trPr>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Machinery and equipment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4,999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4,613</w:t>
            </w:r>
          </w:p>
        </w:tc>
      </w:tr>
      <w:tr>
        <w:trPr>
          <w:trHeight w:val="243"/>
        </w:trPr>
        <w:tc>
          <w:tcPr>
            <w:tcW w:w="6500" w:type="dxa"/>
            <w:vAlign w:val="bottom"/>
          </w:tcPr>
          <w:p>
            <w:pPr>
              <w:ind w:left="6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1,854</w:t>
            </w:r>
          </w:p>
        </w:tc>
      </w:tr>
      <w:tr>
        <w:trPr>
          <w:trHeight w:val="27"/>
        </w:trPr>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Computer and office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598</w:t>
            </w:r>
          </w:p>
        </w:tc>
      </w:tr>
      <w:tr>
        <w:trPr>
          <w:trHeight w:val="243"/>
        </w:trPr>
        <w:tc>
          <w:tcPr>
            <w:tcW w:w="6500" w:type="dxa"/>
            <w:vAlign w:val="bottom"/>
          </w:tcPr>
          <w:p>
            <w:pPr>
              <w:ind w:left="6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497</w:t>
            </w:r>
          </w:p>
        </w:tc>
      </w:tr>
      <w:tr>
        <w:trPr>
          <w:trHeight w:val="27"/>
        </w:trPr>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187</w:t>
            </w:r>
          </w:p>
        </w:tc>
      </w:tr>
      <w:tr>
        <w:trPr>
          <w:trHeight w:val="237"/>
        </w:trPr>
        <w:tc>
          <w:tcPr>
            <w:tcW w:w="65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8,289</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7,749</w:t>
            </w:r>
          </w:p>
        </w:tc>
      </w:tr>
      <w:tr>
        <w:trPr>
          <w:trHeight w:val="27"/>
        </w:trPr>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(4,020)</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(3,795)</w:t>
            </w:r>
          </w:p>
        </w:tc>
      </w:tr>
      <w:tr>
        <w:trPr>
          <w:trHeight w:val="237"/>
        </w:trPr>
        <w:tc>
          <w:tcPr>
            <w:tcW w:w="65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73"/>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3,954</w:t>
            </w:r>
          </w:p>
        </w:tc>
      </w:tr>
      <w:tr>
        <w:trPr>
          <w:trHeight w:val="27"/>
        </w:trPr>
        <w:tc>
          <w:tcPr>
            <w:tcW w:w="6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$0.2 million and $0.2 million for the three months ended March 31, 2020 and 2019, respectively.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Liabilities and Other</w:t>
      </w:r>
      <w:r>
        <w:rPr>
          <w:rFonts w:ascii="Arial" w:cs="Arial" w:eastAsia="Arial" w:hAnsi="Arial"/>
          <w:sz w:val="18"/>
          <w:szCs w:val="18"/>
          <w:color w:val="auto"/>
        </w:rPr>
        <w:t>:</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2020</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6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3"/>
          </w:tcPr>
          <w:p>
            <w:pPr>
              <w:jc w:val="right"/>
              <w:ind w:right="113"/>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18"/>
                <w:szCs w:val="18"/>
                <w:color w:val="auto"/>
              </w:rPr>
            </w:pPr>
          </w:p>
        </w:tc>
      </w:tr>
      <w:tr>
        <w:trPr>
          <w:trHeight w:val="33"/>
        </w:trPr>
        <w:tc>
          <w:tcPr>
            <w:tcW w:w="6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related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4,717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7,274</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Accrued litigation expense</w:t>
            </w:r>
          </w:p>
        </w:tc>
        <w:tc>
          <w:tcPr>
            <w:tcW w:w="160" w:type="dxa"/>
            <w:vAlign w:val="bottom"/>
          </w:tcPr>
          <w:p>
            <w:pPr>
              <w:spacing w:after="0"/>
              <w:rPr>
                <w:sz w:val="21"/>
                <w:szCs w:val="21"/>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3,200</w:t>
            </w:r>
          </w:p>
        </w:tc>
      </w:tr>
      <w:tr>
        <w:trPr>
          <w:trHeight w:val="27"/>
        </w:trPr>
        <w:tc>
          <w:tcPr>
            <w:tcW w:w="6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services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392</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Others</w:t>
            </w:r>
          </w:p>
        </w:tc>
        <w:tc>
          <w:tcPr>
            <w:tcW w:w="160" w:type="dxa"/>
            <w:vAlign w:val="bottom"/>
          </w:tcPr>
          <w:p>
            <w:pPr>
              <w:spacing w:after="0"/>
              <w:rPr>
                <w:sz w:val="21"/>
                <w:szCs w:val="21"/>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739</w:t>
            </w:r>
          </w:p>
        </w:tc>
      </w:tr>
      <w:tr>
        <w:trPr>
          <w:trHeight w:val="27"/>
        </w:trPr>
        <w:tc>
          <w:tcPr>
            <w:tcW w:w="6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9"/>
        </w:trPr>
        <w:tc>
          <w:tcPr>
            <w:tcW w:w="6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9,284</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11,605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460" w:right="8500" w:hanging="452"/>
        <w:spacing w:after="0" w:line="495" w:lineRule="auto"/>
        <w:tabs>
          <w:tab w:leader="none" w:pos="195"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has a non-cancelable operating lease for an office building space, located in Santa Clara, California which expires in May 2025. The Company also has non-cancelable operating leases for its office building spaces in Gallarate, Italy and Mannheim, Germany which both expire in November 2024, and in Knaresborough, United Kingdom, which expires in December 2026. Further, the Company also leases vehicles under operating lease arrangements for certain of its sales personnel in Europe which expire various times in 2020 to 2023.</w:t>
      </w:r>
    </w:p>
    <w:p>
      <w:pPr>
        <w:spacing w:after="0" w:line="13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Rent expense is recorded over the lease terms on a straight-line basis. Rent expense charged to operations under operating leases was $0.3 million and $0.3 million for three months ended March 31, 2020 and 2019,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aggregate future minimum lease payments under all leases as of March 31, 2020:</w:t>
      </w:r>
    </w:p>
    <w:p>
      <w:pPr>
        <w:spacing w:after="0" w:line="221"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6"/>
                <w:szCs w:val="16"/>
                <w:b w:val="1"/>
                <w:bCs w:val="1"/>
                <w:color w:val="auto"/>
                <w:w w:val="90"/>
              </w:rPr>
              <w:t>(in thousands)</w:t>
            </w:r>
          </w:p>
        </w:tc>
      </w:tr>
      <w:tr>
        <w:trPr>
          <w:trHeight w:val="27"/>
        </w:trPr>
        <w:tc>
          <w:tcPr>
            <w:tcW w:w="5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(remaining nine months)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850</w:t>
            </w: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1,024</w:t>
            </w:r>
          </w:p>
        </w:tc>
      </w:tr>
      <w:tr>
        <w:trPr>
          <w:trHeight w:val="27"/>
        </w:trPr>
        <w:tc>
          <w:tcPr>
            <w:tcW w:w="5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952</w:t>
            </w: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866</w:t>
            </w:r>
          </w:p>
        </w:tc>
      </w:tr>
      <w:tr>
        <w:trPr>
          <w:trHeight w:val="27"/>
        </w:trPr>
        <w:tc>
          <w:tcPr>
            <w:tcW w:w="5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867</w:t>
            </w: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363</w:t>
            </w:r>
          </w:p>
        </w:tc>
      </w:tr>
      <w:tr>
        <w:trPr>
          <w:trHeight w:val="27"/>
        </w:trPr>
        <w:tc>
          <w:tcPr>
            <w:tcW w:w="5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5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4,922</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Commitments and Obligations</w:t>
      </w:r>
    </w:p>
    <w:p>
      <w:pPr>
        <w:spacing w:after="0" w:line="225"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The Company has certain purchase commitments related to its inventory management with certain manufacturing suppliers wherein the Company is required to purchase the amounts forecasted in a blanket purchase order.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$0.2 million and $0.4 million as of March 31, 2020 and December 31, 2019, respectively.</w:t>
      </w:r>
    </w:p>
    <w:p>
      <w:pPr>
        <w:spacing w:after="0" w:line="3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February 6, 2019, a putative class action captioned Eric B. Fromer Chiropractic, Inc. ("Plaintiff") v. SI-BONE, Inc. (Civil Action No. 5:19-cv-633-SVK), was filed in the U.S. District Court, Northern District of California. The complaint alleges violations of the Telephone Consumer Protection Act (the “TCPA”) on behalf of an individual and a putative class of persons alleged to be similarly situated. The complaint alleges that the Company sent invitations to an educational dinner event to health care providers by way of facsimile transmission. The TCPA prohibits using a fax machine to send unsolicited advertisements not including proper opt-out instructions or to send unsolicited advertisements to persons with whom the sender did not have an established business relationship. The plaintiff sought various forms of relief, including statutory damages of $500 for each violation of the TCPA or, in the alternative, treble damages of up to $1,500 for each knowing and willful violation of the TCPA and a permanent injunction prohibiting the Company from sending or having sent advertisements by way of facsimile transmission. On December 23, 2019 the parties filed a joint stipulation of dismissal of the case in the District Court in the Northern District of California and on January 14, 2020, the parties executed a definitive settlement agreement (the "Settlement Agreement") pursuant to which, the Company agreed to settle all disputes regarding the advertising faxes to the settlement class.</w:t>
      </w:r>
    </w:p>
    <w:p>
      <w:pPr>
        <w:spacing w:after="0" w:line="19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this lawsuit is being resolved through a negotiated settlement and class resolution process, the Company believes that it will incur a loss associated with resolution of the claims against it. The Company has accrued litigation expense of $3.2 million during the year ended December 31, 2019 within general and administrative expenses in the consolidated financial statements. The accrual reflects the estimable and probable costs that the Company may incur based on estimated claims submitted by members of the settlement class, as defined in the Settlement Agreement. As of March 31, 2020, the total accrued litigation expense remained the same as of December 31, 2019. The final disposition of the lawsuit may result in a loss in excess of the aggregate recorded amount.</w:t>
      </w:r>
    </w:p>
    <w:p>
      <w:pPr>
        <w:spacing w:after="0" w:line="3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0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outstanding borrowings from the term loan described below, as of the dates presented:</w:t>
      </w:r>
    </w:p>
    <w:p>
      <w:pPr>
        <w:spacing w:after="0" w:line="280"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2020</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3"/>
          </w:tcPr>
          <w:p>
            <w:pPr>
              <w:ind w:left="920"/>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outstanding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60" w:type="dxa"/>
            <w:vAlign w:val="bottom"/>
          </w:tcPr>
          <w:p>
            <w:pPr>
              <w:spacing w:after="0"/>
              <w:rPr>
                <w:sz w:val="21"/>
                <w:szCs w:val="21"/>
                <w:color w:val="auto"/>
              </w:rPr>
            </w:pPr>
          </w:p>
        </w:tc>
        <w:tc>
          <w:tcPr>
            <w:tcW w:w="1400" w:type="dxa"/>
            <w:vAlign w:val="bottom"/>
          </w:tcPr>
          <w:p>
            <w:pPr>
              <w:ind w:left="92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debt, net of debt issuance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39,288</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39,223</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Classified as: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portion of long-term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8,731</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Long-term borrowings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30,557</w:t>
            </w:r>
          </w:p>
        </w:tc>
        <w:tc>
          <w:tcPr>
            <w:tcW w:w="100" w:type="dxa"/>
            <w:vAlign w:val="bottom"/>
          </w:tcPr>
          <w:p>
            <w:pPr>
              <w:spacing w:after="0"/>
              <w:rPr>
                <w:sz w:val="18"/>
                <w:szCs w:val="18"/>
                <w:color w:val="auto"/>
              </w:rPr>
            </w:pPr>
          </w:p>
        </w:tc>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34,865</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outstanding debt is related to a term loan entered by the Company with Biopharma Credit Investments IV Sub LP, or Pharmakon, in October 2017 for total loan proceeds of $40.0 million. The term loan includes an interest-only period for 35 months through September 2020 and is then repaid in equal quarterly principal payments plus interest through December 2022 and carries a fixed interest rate of 11.5%. The term loan includes a pre-payment fee equal to the remaining interest due for the first 30 months of the agreement if it is prepaid within the first 30 months, a 2% prepayment penalty for months 31-48, and a 1% penalty for months 49-60. The loan is a senior obligation secured with a blanket first lien on the assets of the Company. The effective interest rate for the three months ended March 31, 2020 and 2019 was 12.3% and 12.2%,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annual future minimum principal payments under the loan agreement as of March 31, 2020:</w:t>
      </w:r>
    </w:p>
    <w:p>
      <w:pPr>
        <w:spacing w:after="0" w:line="275"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6"/>
                <w:szCs w:val="16"/>
                <w:b w:val="1"/>
                <w:bCs w:val="1"/>
                <w:color w:val="auto"/>
                <w:w w:val="90"/>
              </w:rPr>
              <w:t>(in thousands)</w:t>
            </w:r>
          </w:p>
        </w:tc>
      </w:tr>
      <w:tr>
        <w:trPr>
          <w:trHeight w:val="27"/>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(remaining nine months)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4,444</w:t>
            </w:r>
          </w:p>
        </w:tc>
      </w:tr>
      <w:tr>
        <w:trPr>
          <w:trHeight w:val="243"/>
        </w:trPr>
        <w:tc>
          <w:tcPr>
            <w:tcW w:w="830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17,778</w:t>
            </w:r>
          </w:p>
        </w:tc>
      </w:tr>
      <w:tr>
        <w:trPr>
          <w:trHeight w:val="27"/>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17,778</w:t>
            </w: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color w:val="auto"/>
              </w:rPr>
              <w:t>Total future minimum payments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40,000</w:t>
            </w:r>
          </w:p>
        </w:tc>
      </w:tr>
      <w:tr>
        <w:trPr>
          <w:trHeight w:val="27"/>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representing debt issuance costs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w:t>
            </w:r>
          </w:p>
        </w:tc>
      </w:tr>
      <w:tr>
        <w:trPr>
          <w:trHeight w:val="237"/>
        </w:trPr>
        <w:tc>
          <w:tcPr>
            <w:tcW w:w="8300" w:type="dxa"/>
            <w:vAlign w:val="bottom"/>
          </w:tcPr>
          <w:p>
            <w:pPr>
              <w:ind w:left="480"/>
              <w:spacing w:after="0"/>
              <w:rPr>
                <w:sz w:val="20"/>
                <w:szCs w:val="20"/>
                <w:color w:val="auto"/>
              </w:rPr>
            </w:pPr>
            <w:r>
              <w:rPr>
                <w:rFonts w:ascii="Arial" w:cs="Arial" w:eastAsia="Arial" w:hAnsi="Arial"/>
                <w:sz w:val="18"/>
                <w:szCs w:val="18"/>
                <w:color w:val="auto"/>
              </w:rPr>
              <w:t>Long-term borrowings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39,288</w:t>
            </w:r>
          </w:p>
        </w:tc>
      </w:tr>
      <w:tr>
        <w:trPr>
          <w:trHeight w:val="27"/>
        </w:trPr>
        <w:tc>
          <w:tcPr>
            <w:tcW w:w="8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8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term loan requires the Company to maintain a minimum cash balance of $5.0 million and to meet either minimum net sales or trailing 12-month consolidated earnings before interest, taxes, depreciation, and amortization targets. The Company was in compliance with all debt covenants as of March 31, 2020. Due to uncertainties surrounding the impact of the COVID-19 pandemic, there is a substantial risk that the Company may not meet the remaining minimum net sales or the trailing 12-month consolidated EBITDA targets in future quarters. If the Company is not in compliance with these requirements, the loan may become due immediately at Pharmakon's option.</w:t>
      </w:r>
    </w:p>
    <w:p>
      <w:pPr>
        <w:spacing w:after="0" w:line="184" w:lineRule="exact"/>
        <w:rPr>
          <w:sz w:val="20"/>
          <w:szCs w:val="20"/>
          <w:color w:val="auto"/>
        </w:rPr>
      </w:pPr>
    </w:p>
    <w:p>
      <w:pPr>
        <w:ind w:left="460" w:right="7720" w:hanging="452"/>
        <w:spacing w:after="0" w:line="518" w:lineRule="auto"/>
        <w:tabs>
          <w:tab w:leader="none" w:pos="19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Incentive Compensation Plans </w:t>
      </w:r>
      <w:r>
        <w:rPr>
          <w:rFonts w:ascii="Arial" w:cs="Arial" w:eastAsia="Arial" w:hAnsi="Arial"/>
          <w:sz w:val="18"/>
          <w:szCs w:val="18"/>
          <w:b w:val="1"/>
          <w:bCs w:val="1"/>
          <w:i w:val="1"/>
          <w:iCs w:val="1"/>
          <w:color w:val="auto"/>
        </w:rPr>
        <w:t>Stock Options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table below summarizes the stock option activity for the three months ended March 31, 2020:</w:t>
      </w:r>
    </w:p>
    <w:p>
      <w:pPr>
        <w:spacing w:after="0" w:line="226" w:lineRule="exact"/>
        <w:rPr>
          <w:sz w:val="20"/>
          <w:szCs w:val="20"/>
          <w:color w:val="auto"/>
        </w:rPr>
      </w:pPr>
    </w:p>
    <w:tbl>
      <w:tblPr>
        <w:tblLayout w:type="fixed"/>
        <w:tblInd w:w="174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r>
      <w:tr>
        <w:trPr>
          <w:trHeight w:val="203"/>
        </w:trPr>
        <w:tc>
          <w:tcPr>
            <w:tcW w:w="5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5080" w:type="dxa"/>
            <w:vAlign w:val="bottom"/>
          </w:tcPr>
          <w:p>
            <w:pPr>
              <w:spacing w:after="0"/>
              <w:rPr>
                <w:sz w:val="17"/>
                <w:szCs w:val="17"/>
                <w:color w:val="auto"/>
              </w:rPr>
            </w:pPr>
          </w:p>
        </w:tc>
        <w:tc>
          <w:tcPr>
            <w:tcW w:w="1300" w:type="dxa"/>
            <w:vAlign w:val="bottom"/>
          </w:tcPr>
          <w:p>
            <w:pPr>
              <w:jc w:val="right"/>
              <w:ind w:right="21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w:t>
            </w:r>
          </w:p>
        </w:tc>
      </w:tr>
      <w:tr>
        <w:trPr>
          <w:trHeight w:val="210"/>
        </w:trPr>
        <w:tc>
          <w:tcPr>
            <w:tcW w:w="5080" w:type="dxa"/>
            <w:vAlign w:val="bottom"/>
          </w:tcPr>
          <w:p>
            <w:pPr>
              <w:spacing w:after="0"/>
              <w:rPr>
                <w:sz w:val="18"/>
                <w:szCs w:val="18"/>
                <w:color w:val="auto"/>
              </w:rPr>
            </w:pPr>
          </w:p>
        </w:tc>
        <w:tc>
          <w:tcPr>
            <w:tcW w:w="1300" w:type="dxa"/>
            <w:vAlign w:val="bottom"/>
          </w:tcPr>
          <w:p>
            <w:pPr>
              <w:jc w:val="right"/>
              <w:ind w:right="333"/>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Price</w:t>
            </w:r>
          </w:p>
        </w:tc>
      </w:tr>
      <w:tr>
        <w:trPr>
          <w:trHeight w:val="33"/>
        </w:trPr>
        <w:tc>
          <w:tcPr>
            <w:tcW w:w="50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2,718,971</w:t>
            </w:r>
          </w:p>
        </w:tc>
        <w:tc>
          <w:tcPr>
            <w:tcW w:w="14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$8.02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26,236</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17.31</w:t>
            </w:r>
          </w:p>
        </w:tc>
      </w:tr>
      <w:tr>
        <w:trPr>
          <w:trHeight w:val="27"/>
        </w:trPr>
        <w:tc>
          <w:tcPr>
            <w:tcW w:w="5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(43,334)</w:t>
            </w:r>
          </w:p>
        </w:tc>
        <w:tc>
          <w:tcPr>
            <w:tcW w:w="14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4.03</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Canceled and 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(1,319)</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12.87</w:t>
            </w:r>
          </w:p>
        </w:tc>
      </w:tr>
      <w:tr>
        <w:trPr>
          <w:trHeight w:val="27"/>
        </w:trPr>
        <w:tc>
          <w:tcPr>
            <w:tcW w:w="50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88"/>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2020</w:t>
            </w:r>
          </w:p>
        </w:tc>
        <w:tc>
          <w:tcPr>
            <w:tcW w:w="13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2,700,554</w:t>
            </w:r>
          </w:p>
        </w:tc>
        <w:tc>
          <w:tcPr>
            <w:tcW w:w="14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8.17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March 31, 2020, there was $5.0 million of unrecognized compensation cost related to stock options granted. These costs are expected to be recognized over a period of approximately 2.4 years.</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 below summarizes the weighted average grant date fair value per share and the assumptions used to estimate the grant date fair value of the stock options granted during the respective periods using the Black-Scholes option-pricing model:</w:t>
      </w:r>
    </w:p>
    <w:p>
      <w:pPr>
        <w:spacing w:after="0" w:line="225"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80" w:type="dxa"/>
            <w:vAlign w:val="bottom"/>
            <w:gridSpan w:val="5"/>
          </w:tcPr>
          <w:p>
            <w:pPr>
              <w:ind w:left="120"/>
              <w:spacing w:after="0"/>
              <w:rPr>
                <w:sz w:val="20"/>
                <w:szCs w:val="20"/>
                <w:color w:val="auto"/>
              </w:rPr>
            </w:pPr>
            <w:r>
              <w:rPr>
                <w:rFonts w:ascii="Arial" w:cs="Arial" w:eastAsia="Arial" w:hAnsi="Arial"/>
                <w:sz w:val="16"/>
                <w:szCs w:val="16"/>
                <w:b w:val="1"/>
                <w:bCs w:val="1"/>
                <w:color w:val="auto"/>
                <w:w w:val="98"/>
              </w:rPr>
              <w:t>Three Months Ended March 31,</w:t>
            </w:r>
          </w:p>
        </w:tc>
        <w:tc>
          <w:tcPr>
            <w:tcW w:w="680" w:type="dxa"/>
            <w:vAlign w:val="bottom"/>
          </w:tcPr>
          <w:p>
            <w:pPr>
              <w:spacing w:after="0"/>
              <w:rPr>
                <w:sz w:val="18"/>
                <w:szCs w:val="18"/>
                <w:color w:val="auto"/>
              </w:rPr>
            </w:pPr>
          </w:p>
        </w:tc>
      </w:tr>
      <w:tr>
        <w:trPr>
          <w:trHeight w:val="33"/>
        </w:trPr>
        <w:tc>
          <w:tcPr>
            <w:tcW w:w="46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4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680" w:type="dxa"/>
            <w:vAlign w:val="bottom"/>
          </w:tcPr>
          <w:p>
            <w:pPr>
              <w:spacing w:after="0"/>
              <w:rPr>
                <w:sz w:val="18"/>
                <w:szCs w:val="18"/>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4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Weighted average grant date fair value per share</w:t>
            </w:r>
          </w:p>
        </w:tc>
        <w:tc>
          <w:tcPr>
            <w:tcW w:w="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$8.37</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$10.40</w:t>
            </w: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60"/>
              <w:spacing w:after="0"/>
              <w:rPr>
                <w:sz w:val="20"/>
                <w:szCs w:val="20"/>
                <w:color w:val="auto"/>
              </w:rPr>
            </w:pPr>
            <w:r>
              <w:rPr>
                <w:rFonts w:ascii="Arial" w:cs="Arial" w:eastAsia="Arial" w:hAnsi="Arial"/>
                <w:sz w:val="18"/>
                <w:szCs w:val="18"/>
                <w:color w:val="auto"/>
              </w:rPr>
              <w:t>Expected term (years)</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460" w:type="dxa"/>
            <w:vAlign w:val="bottom"/>
          </w:tcPr>
          <w:p>
            <w:pPr>
              <w:jc w:val="right"/>
              <w:ind w:right="73"/>
              <w:spacing w:after="0"/>
              <w:rPr>
                <w:sz w:val="20"/>
                <w:szCs w:val="20"/>
                <w:color w:val="auto"/>
              </w:rPr>
            </w:pPr>
            <w:r>
              <w:rPr>
                <w:rFonts w:ascii="Arial" w:cs="Arial" w:eastAsia="Arial" w:hAnsi="Arial"/>
                <w:sz w:val="18"/>
                <w:szCs w:val="18"/>
                <w:color w:val="auto"/>
              </w:rPr>
              <w:t>to</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7.0</w:t>
            </w:r>
          </w:p>
        </w:tc>
        <w:tc>
          <w:tcPr>
            <w:tcW w:w="14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7.0</w:t>
            </w:r>
          </w:p>
        </w:tc>
      </w:tr>
      <w:tr>
        <w:trPr>
          <w:trHeight w:val="27"/>
        </w:trPr>
        <w:tc>
          <w:tcPr>
            <w:tcW w:w="4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Expected volatility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to</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47.20%</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47.00%</w:t>
            </w:r>
          </w:p>
        </w:tc>
      </w:tr>
      <w:tr>
        <w:trPr>
          <w:trHeight w:val="243"/>
        </w:trPr>
        <w:tc>
          <w:tcPr>
            <w:tcW w:w="466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140" w:type="dxa"/>
            <w:vAlign w:val="bottom"/>
            <w:gridSpan w:val="2"/>
          </w:tcPr>
          <w:p>
            <w:pPr>
              <w:jc w:val="right"/>
              <w:ind w:right="73"/>
              <w:spacing w:after="0"/>
              <w:rPr>
                <w:sz w:val="20"/>
                <w:szCs w:val="20"/>
                <w:color w:val="auto"/>
              </w:rPr>
            </w:pPr>
            <w:r>
              <w:rPr>
                <w:rFonts w:ascii="Arial" w:cs="Arial" w:eastAsia="Arial" w:hAnsi="Arial"/>
                <w:sz w:val="18"/>
                <w:szCs w:val="18"/>
                <w:color w:val="auto"/>
              </w:rPr>
              <w:t>1.56%   to</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1.64%</w:t>
            </w:r>
          </w:p>
        </w:tc>
        <w:tc>
          <w:tcPr>
            <w:tcW w:w="140" w:type="dxa"/>
            <w:vAlign w:val="bottom"/>
          </w:tcPr>
          <w:p>
            <w:pPr>
              <w:spacing w:after="0"/>
              <w:rPr>
                <w:sz w:val="21"/>
                <w:szCs w:val="21"/>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rPr>
              <w:t>2.52%   to   2.59%</w:t>
            </w:r>
          </w:p>
        </w:tc>
      </w:tr>
      <w:tr>
        <w:trPr>
          <w:trHeight w:val="27"/>
        </w:trPr>
        <w:tc>
          <w:tcPr>
            <w:tcW w:w="4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4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Dividend yield</w:t>
            </w:r>
          </w:p>
        </w:tc>
        <w:tc>
          <w:tcPr>
            <w:tcW w:w="680" w:type="dxa"/>
            <w:vAlign w:val="bottom"/>
            <w:shd w:val="clear" w:color="auto" w:fill="CCEEFF"/>
          </w:tcPr>
          <w:p>
            <w:pPr>
              <w:spacing w:after="0"/>
              <w:rPr>
                <w:sz w:val="21"/>
                <w:szCs w:val="21"/>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680" w:type="dxa"/>
            <w:vAlign w:val="bottom"/>
            <w:shd w:val="clear" w:color="auto" w:fill="CCEEFF"/>
          </w:tcPr>
          <w:p>
            <w:pPr>
              <w:spacing w:after="0"/>
              <w:rPr>
                <w:sz w:val="21"/>
                <w:szCs w:val="21"/>
                <w:color w:val="auto"/>
              </w:rPr>
            </w:pPr>
          </w:p>
        </w:tc>
      </w:tr>
      <w:tr>
        <w:trPr>
          <w:trHeight w:val="27"/>
        </w:trPr>
        <w:tc>
          <w:tcPr>
            <w:tcW w:w="46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Early exercises of stock options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as the options vest. As of March 31, 2020 and December 31, 2019, the Company had a total of 15,567 and 21,404 shares of common stock, respectively, subject to repurchase under the 2008 Stock Option Plan and $0.1 million and $0.1 million, respectively, of associated liabilities for the repurchase.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restricted stock units activity for the three months ended March 31, 2020:</w:t>
      </w:r>
    </w:p>
    <w:p>
      <w:pPr>
        <w:spacing w:after="0" w:line="280" w:lineRule="exact"/>
        <w:rPr>
          <w:sz w:val="20"/>
          <w:szCs w:val="20"/>
          <w:color w:val="auto"/>
        </w:rPr>
      </w:pPr>
    </w:p>
    <w:tbl>
      <w:tblPr>
        <w:tblLayout w:type="fixed"/>
        <w:tblInd w:w="160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5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8"/>
              </w:rPr>
              <w:t>Grant Date Fair</w:t>
            </w:r>
          </w:p>
        </w:tc>
      </w:tr>
      <w:tr>
        <w:trPr>
          <w:trHeight w:val="210"/>
        </w:trPr>
        <w:tc>
          <w:tcPr>
            <w:tcW w:w="5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w w:val="91"/>
              </w:rPr>
              <w:t>Number of Shares</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5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543,041</w:t>
            </w:r>
          </w:p>
        </w:tc>
        <w:tc>
          <w:tcPr>
            <w:tcW w:w="150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$19.72</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868,683</w:t>
            </w:r>
          </w:p>
        </w:tc>
        <w:tc>
          <w:tcPr>
            <w:tcW w:w="150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20.43</w:t>
            </w:r>
          </w:p>
        </w:tc>
      </w:tr>
      <w:tr>
        <w:trPr>
          <w:trHeight w:val="27"/>
        </w:trPr>
        <w:tc>
          <w:tcPr>
            <w:tcW w:w="5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(63,938)</w:t>
            </w:r>
          </w:p>
        </w:tc>
        <w:tc>
          <w:tcPr>
            <w:tcW w:w="150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21.00</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Canceled and 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(5,575)</w:t>
            </w:r>
          </w:p>
        </w:tc>
        <w:tc>
          <w:tcPr>
            <w:tcW w:w="150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18.43</w:t>
            </w:r>
          </w:p>
        </w:tc>
      </w:tr>
      <w:tr>
        <w:trPr>
          <w:trHeight w:val="27"/>
        </w:trPr>
        <w:tc>
          <w:tcPr>
            <w:tcW w:w="5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8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March 31,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1,342,211</w:t>
            </w:r>
          </w:p>
        </w:tc>
        <w:tc>
          <w:tcPr>
            <w:tcW w:w="150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20.13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March 31, 2020, there was a total unrecognized compensation cost of $23.4 million related to the restricted stock units granted. These costs are expected to be recognized over a period of approximately 3.5 years.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 period generally commence in May and November. As of March 31, 2020 and December 31, 2019, total accumulated ESPP related employee payroll deductions amounted to $0.9 million and $0.2 million, respectively, which were included within accrued compensation and related expenses in the condensed consolidated balance sheets. On March 26, 2020, the Company's Board of Directors approved the amendment of the terms of future offerings under the ESPP, among other things, to provide that the offering set to commence in May 2020 be twelve months in duration and consist of two purchase periods, provide for automatic enrollment in a new offering, and increase the maximum number of shares that may be purchased on any single purchase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presents the detail of stock-based compensation expense amounts included in the condensed consolidated statements of operations:</w:t>
      </w:r>
    </w:p>
    <w:p>
      <w:pPr>
        <w:spacing w:after="0" w:line="303" w:lineRule="exact"/>
        <w:rPr>
          <w:sz w:val="20"/>
          <w:szCs w:val="20"/>
          <w:color w:val="auto"/>
        </w:rPr>
      </w:pPr>
    </w:p>
    <w:p>
      <w:pPr>
        <w:jc w:val="center"/>
        <w:ind w:left="51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51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33020</wp:posOffset>
            </wp:positionV>
            <wp:extent cx="18256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58" w:lineRule="exact"/>
        <w:rPr>
          <w:sz w:val="20"/>
          <w:szCs w:val="20"/>
          <w:color w:val="auto"/>
        </w:rPr>
      </w:pPr>
    </w:p>
    <w:tbl>
      <w:tblPr>
        <w:tblLayout w:type="fixed"/>
        <w:tblInd w:w="162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452"/>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670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1,063</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5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2,622</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 of Common Stock</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summarizes the computation of basic and diluted net loss per share:</w:t>
      </w:r>
    </w:p>
    <w:p>
      <w:pPr>
        <w:spacing w:after="0" w:line="280"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37465</wp:posOffset>
            </wp:positionV>
            <wp:extent cx="19627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66" w:lineRule="exact"/>
        <w:rPr>
          <w:sz w:val="20"/>
          <w:szCs w:val="20"/>
          <w:color w:val="auto"/>
        </w:rPr>
      </w:pPr>
    </w:p>
    <w:p>
      <w:pPr>
        <w:ind w:left="7320"/>
        <w:spacing w:after="0"/>
        <w:tabs>
          <w:tab w:leader="none" w:pos="890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37465</wp:posOffset>
            </wp:positionV>
            <wp:extent cx="19627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66" w:lineRule="exact"/>
        <w:rPr>
          <w:sz w:val="20"/>
          <w:szCs w:val="20"/>
          <w:color w:val="auto"/>
        </w:rPr>
      </w:pPr>
    </w:p>
    <w:p>
      <w:pPr>
        <w:jc w:val="center"/>
        <w:ind w:left="5280"/>
        <w:spacing w:after="0"/>
        <w:rPr>
          <w:sz w:val="20"/>
          <w:szCs w:val="20"/>
          <w:color w:val="auto"/>
        </w:rPr>
      </w:pPr>
      <w:r>
        <w:rPr>
          <w:rFonts w:ascii="Arial" w:cs="Arial" w:eastAsia="Arial" w:hAnsi="Arial"/>
          <w:sz w:val="16"/>
          <w:szCs w:val="16"/>
          <w:b w:val="1"/>
          <w:bCs w:val="1"/>
          <w:color w:val="auto"/>
        </w:rPr>
        <w:t>(in thousands, except share and per share</w:t>
      </w:r>
    </w:p>
    <w:p>
      <w:pPr>
        <w:spacing w:after="0" w:line="26" w:lineRule="exact"/>
        <w:rPr>
          <w:sz w:val="20"/>
          <w:szCs w:val="20"/>
          <w:color w:val="auto"/>
        </w:rPr>
      </w:pPr>
    </w:p>
    <w:p>
      <w:pPr>
        <w:jc w:val="center"/>
        <w:ind w:left="5280"/>
        <w:spacing w:after="0"/>
        <w:rPr>
          <w:sz w:val="20"/>
          <w:szCs w:val="20"/>
          <w:color w:val="auto"/>
        </w:rPr>
      </w:pPr>
      <w:r>
        <w:rPr>
          <w:rFonts w:ascii="Arial" w:cs="Arial" w:eastAsia="Arial" w:hAnsi="Arial"/>
          <w:sz w:val="16"/>
          <w:szCs w:val="16"/>
          <w:b w:val="1"/>
          <w:bCs w:val="1"/>
          <w:color w:val="auto"/>
        </w:rPr>
        <w:t>data)</w:t>
      </w:r>
    </w:p>
    <w:p>
      <w:pPr>
        <w:sectPr>
          <w:pgSz w:w="11900" w:h="16838" w:orient="portrait"/>
          <w:cols w:equalWidth="0" w:num="1">
            <w:col w:w="11240"/>
          </w:cols>
          <w:pgMar w:left="320" w:top="121" w:right="339" w:bottom="1440" w:gutter="0" w:footer="0" w:header="0"/>
        </w:sectPr>
      </w:pPr>
    </w:p>
    <w:p>
      <w:pPr>
        <w:spacing w:after="0" w:line="51" w:lineRule="exact"/>
        <w:rPr>
          <w:sz w:val="20"/>
          <w:szCs w:val="20"/>
          <w:color w:val="auto"/>
        </w:rPr>
      </w:pPr>
    </w:p>
    <w:p>
      <w:pPr>
        <w:ind w:left="1500"/>
        <w:spacing w:after="0"/>
        <w:tabs>
          <w:tab w:leader="none" w:pos="6720" w:val="left"/>
        </w:tabs>
        <w:rPr>
          <w:sz w:val="20"/>
          <w:szCs w:val="20"/>
          <w:color w:val="auto"/>
        </w:rPr>
      </w:pPr>
      <w:r>
        <w:rPr>
          <w:rFonts w:ascii="Arial" w:cs="Arial" w:eastAsia="Arial" w:hAnsi="Arial"/>
          <w:sz w:val="18"/>
          <w:szCs w:val="18"/>
          <w:color w:val="auto"/>
        </w:rPr>
        <w:t>Net loss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-130175</wp:posOffset>
            </wp:positionV>
            <wp:extent cx="532320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23205" cy="171450"/>
                    </a:xfrm>
                    <a:prstGeom prst="rect">
                      <a:avLst/>
                    </a:prstGeom>
                    <a:noFill/>
                  </pic:spPr>
                </pic:pic>
              </a:graphicData>
            </a:graphic>
          </wp:anchor>
        </w:drawing>
      </w:r>
    </w:p>
    <w:p>
      <w:pPr>
        <w:spacing w:after="0" w:line="151" w:lineRule="exact"/>
        <w:rPr>
          <w:sz w:val="20"/>
          <w:szCs w:val="20"/>
          <w:color w:val="auto"/>
        </w:rPr>
      </w:pPr>
    </w:p>
    <w:p>
      <w:pPr>
        <w:ind w:left="1660" w:right="200" w:hanging="161"/>
        <w:spacing w:after="0" w:line="235" w:lineRule="auto"/>
        <w:rPr>
          <w:sz w:val="20"/>
          <w:szCs w:val="20"/>
          <w:color w:val="auto"/>
        </w:rPr>
      </w:pPr>
      <w:r>
        <w:rPr>
          <w:rFonts w:ascii="Arial" w:cs="Arial" w:eastAsia="Arial" w:hAnsi="Arial"/>
          <w:sz w:val="18"/>
          <w:szCs w:val="18"/>
          <w:color w:val="auto"/>
        </w:rPr>
        <w:t>Weighted-average shares used to compute basic and diluted net loss per share</w:t>
      </w:r>
    </w:p>
    <w:p>
      <w:pPr>
        <w:spacing w:after="0" w:line="108" w:lineRule="exact"/>
        <w:rPr>
          <w:sz w:val="20"/>
          <w:szCs w:val="20"/>
          <w:color w:val="auto"/>
        </w:rPr>
      </w:pPr>
    </w:p>
    <w:p>
      <w:pPr>
        <w:ind w:left="1500"/>
        <w:spacing w:after="0"/>
        <w:tabs>
          <w:tab w:leader="none" w:pos="6720" w:val="left"/>
        </w:tabs>
        <w:rPr>
          <w:sz w:val="20"/>
          <w:szCs w:val="20"/>
          <w:color w:val="auto"/>
        </w:rPr>
      </w:pPr>
      <w:r>
        <w:rPr>
          <w:rFonts w:ascii="Arial" w:cs="Arial" w:eastAsia="Arial" w:hAnsi="Arial"/>
          <w:sz w:val="18"/>
          <w:szCs w:val="18"/>
          <w:color w:val="auto"/>
        </w:rPr>
        <w:t>Net loss per share, basic and diluted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-130175</wp:posOffset>
            </wp:positionV>
            <wp:extent cx="5323205"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23205"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240"/>
        <w:spacing w:after="0"/>
        <w:tabs>
          <w:tab w:leader="none" w:pos="1040" w:val="left"/>
          <w:tab w:leader="none" w:pos="1900" w:val="left"/>
        </w:tabs>
        <w:rPr>
          <w:sz w:val="20"/>
          <w:szCs w:val="20"/>
          <w:color w:val="auto"/>
        </w:rPr>
      </w:pPr>
      <w:r>
        <w:rPr>
          <w:rFonts w:ascii="Arial" w:cs="Arial" w:eastAsia="Arial" w:hAnsi="Arial"/>
          <w:sz w:val="18"/>
          <w:szCs w:val="18"/>
          <w:color w:val="auto"/>
        </w:rPr>
        <w:t>(12,772)</w:t>
        <w:tab/>
        <w:t>$</w:t>
      </w:r>
      <w:r>
        <w:rPr>
          <w:sz w:val="20"/>
          <w:szCs w:val="20"/>
          <w:color w:val="auto"/>
        </w:rPr>
        <w:tab/>
      </w:r>
      <w:r>
        <w:rPr>
          <w:rFonts w:ascii="Arial" w:cs="Arial" w:eastAsia="Arial" w:hAnsi="Arial"/>
          <w:sz w:val="16"/>
          <w:szCs w:val="16"/>
          <w:color w:val="auto"/>
        </w:rPr>
        <w:t>(9,345)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31750</wp:posOffset>
            </wp:positionV>
            <wp:extent cx="19627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59" w:lineRule="exact"/>
        <w:rPr>
          <w:sz w:val="20"/>
          <w:szCs w:val="20"/>
          <w:color w:val="auto"/>
        </w:rPr>
      </w:pPr>
    </w:p>
    <w:p>
      <w:pPr>
        <w:spacing w:after="0"/>
        <w:tabs>
          <w:tab w:leader="none" w:pos="1560" w:val="left"/>
        </w:tabs>
        <w:rPr>
          <w:sz w:val="20"/>
          <w:szCs w:val="20"/>
          <w:color w:val="auto"/>
        </w:rPr>
      </w:pPr>
      <w:r>
        <w:rPr>
          <w:rFonts w:ascii="Arial" w:cs="Arial" w:eastAsia="Arial" w:hAnsi="Arial"/>
          <w:sz w:val="17"/>
          <w:szCs w:val="17"/>
          <w:color w:val="auto"/>
        </w:rPr>
        <w:t>27,252,409</w:t>
      </w:r>
      <w:r>
        <w:rPr>
          <w:sz w:val="20"/>
          <w:szCs w:val="20"/>
          <w:color w:val="auto"/>
        </w:rPr>
        <w:tab/>
      </w:r>
      <w:r>
        <w:rPr>
          <w:rFonts w:ascii="Arial" w:cs="Arial" w:eastAsia="Arial" w:hAnsi="Arial"/>
          <w:sz w:val="17"/>
          <w:szCs w:val="17"/>
          <w:color w:val="auto"/>
        </w:rPr>
        <w:t>24,390,648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39370</wp:posOffset>
            </wp:positionV>
            <wp:extent cx="1962785"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62785" cy="34290"/>
                    </a:xfrm>
                    <a:prstGeom prst="rect">
                      <a:avLst/>
                    </a:prstGeom>
                    <a:noFill/>
                  </pic:spPr>
                </pic:pic>
              </a:graphicData>
            </a:graphic>
          </wp:anchor>
        </w:drawing>
      </w:r>
    </w:p>
    <w:p>
      <w:pPr>
        <w:spacing w:after="0" w:line="190" w:lineRule="exact"/>
        <w:rPr>
          <w:sz w:val="20"/>
          <w:szCs w:val="20"/>
          <w:color w:val="auto"/>
        </w:rPr>
      </w:pPr>
    </w:p>
    <w:p>
      <w:pPr>
        <w:jc w:val="right"/>
        <w:ind w:right="1500"/>
        <w:spacing w:after="0"/>
        <w:tabs>
          <w:tab w:leader="none" w:pos="1360" w:val="left"/>
          <w:tab w:leader="none" w:pos="420" w:val="left"/>
        </w:tabs>
        <w:rPr>
          <w:sz w:val="20"/>
          <w:szCs w:val="20"/>
          <w:color w:val="auto"/>
        </w:rPr>
      </w:pPr>
      <w:r>
        <w:rPr>
          <w:rFonts w:ascii="Arial" w:cs="Arial" w:eastAsia="Arial" w:hAnsi="Arial"/>
          <w:sz w:val="18"/>
          <w:szCs w:val="18"/>
          <w:color w:val="auto"/>
        </w:rPr>
        <w:t>(0.47)</w:t>
        <w:tab/>
        <w:t>$</w:t>
      </w:r>
      <w:r>
        <w:rPr>
          <w:sz w:val="20"/>
          <w:szCs w:val="20"/>
          <w:color w:val="auto"/>
        </w:rPr>
        <w:tab/>
      </w:r>
      <w:r>
        <w:rPr>
          <w:rFonts w:ascii="Arial" w:cs="Arial" w:eastAsia="Arial" w:hAnsi="Arial"/>
          <w:sz w:val="16"/>
          <w:szCs w:val="16"/>
          <w:color w:val="auto"/>
        </w:rPr>
        <w:t>(0.38)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57785</wp:posOffset>
            </wp:positionV>
            <wp:extent cx="19627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460"/>
            <w:col w:w="3940"/>
          </w:cols>
          <w:pgMar w:left="320" w:top="121" w:right="339" w:bottom="1440" w:gutter="0" w:footer="0" w:header="0"/>
          <w:type w:val="continuous"/>
        </w:sectPr>
      </w:pPr>
    </w:p>
    <w:p>
      <w:pPr>
        <w:spacing w:after="0" w:line="106"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Because the Company has reported a net loss in all periods presented, outstanding stock options, restricted stock units, shares subject to repurchase,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pacing w:after="0" w:line="241" w:lineRule="exact"/>
        <w:rPr>
          <w:sz w:val="20"/>
          <w:szCs w:val="20"/>
          <w:color w:val="auto"/>
        </w:rPr>
      </w:pPr>
    </w:p>
    <w:tbl>
      <w:tblPr>
        <w:tblLayout w:type="fixed"/>
        <w:tblInd w:w="1420" w:type="dxa"/>
        <w:tblCellMar>
          <w:top w:w="0" w:type="dxa"/>
          <w:left w:w="0" w:type="dxa"/>
          <w:bottom w:w="0" w:type="dxa"/>
          <w:right w:w="0" w:type="dxa"/>
        </w:tblCellMar>
      </w:tblPr>
      <w:tr>
        <w:trPr>
          <w:trHeight w:val="210"/>
        </w:trPr>
        <w:tc>
          <w:tcPr>
            <w:tcW w:w="5340" w:type="dxa"/>
            <w:vAlign w:val="bottom"/>
          </w:tcPr>
          <w:p>
            <w:pPr>
              <w:spacing w:after="0"/>
              <w:rPr>
                <w:sz w:val="18"/>
                <w:szCs w:val="18"/>
                <w:color w:val="auto"/>
              </w:rPr>
            </w:pPr>
          </w:p>
        </w:tc>
        <w:tc>
          <w:tcPr>
            <w:tcW w:w="3060" w:type="dxa"/>
            <w:vAlign w:val="bottom"/>
            <w:gridSpan w:val="3"/>
          </w:tcPr>
          <w:p>
            <w:pPr>
              <w:jc w:val="right"/>
              <w:ind w:right="331"/>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53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5340" w:type="dxa"/>
            <w:vAlign w:val="bottom"/>
          </w:tcPr>
          <w:p>
            <w:pPr>
              <w:spacing w:after="0"/>
              <w:rPr>
                <w:sz w:val="18"/>
                <w:szCs w:val="18"/>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r>
      <w:tr>
        <w:trPr>
          <w:trHeight w:val="33"/>
        </w:trPr>
        <w:tc>
          <w:tcPr>
            <w:tcW w:w="5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Stock options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2,700,554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3,047,130</w:t>
            </w:r>
          </w:p>
        </w:tc>
      </w:tr>
      <w:tr>
        <w:trPr>
          <w:trHeight w:val="243"/>
        </w:trPr>
        <w:tc>
          <w:tcPr>
            <w:tcW w:w="5340" w:type="dxa"/>
            <w:vAlign w:val="bottom"/>
          </w:tcPr>
          <w:p>
            <w:pPr>
              <w:ind w:left="60"/>
              <w:spacing w:after="0"/>
              <w:rPr>
                <w:sz w:val="20"/>
                <w:szCs w:val="20"/>
                <w:color w:val="auto"/>
              </w:rPr>
            </w:pPr>
            <w:r>
              <w:rPr>
                <w:rFonts w:ascii="Arial" w:cs="Arial" w:eastAsia="Arial" w:hAnsi="Arial"/>
                <w:sz w:val="18"/>
                <w:szCs w:val="18"/>
                <w:color w:val="auto"/>
              </w:rPr>
              <w:t>Restricted stock units</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1,342,211</w:t>
            </w:r>
          </w:p>
        </w:tc>
        <w:tc>
          <w:tcPr>
            <w:tcW w:w="12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531,669</w:t>
            </w:r>
          </w:p>
        </w:tc>
      </w:tr>
      <w:tr>
        <w:trPr>
          <w:trHeight w:val="27"/>
        </w:trPr>
        <w:tc>
          <w:tcPr>
            <w:tcW w:w="5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Shares subject to repurchase</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15,567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59,193</w:t>
            </w:r>
          </w:p>
        </w:tc>
      </w:tr>
      <w:tr>
        <w:trPr>
          <w:trHeight w:val="243"/>
        </w:trPr>
        <w:tc>
          <w:tcPr>
            <w:tcW w:w="5340" w:type="dxa"/>
            <w:vAlign w:val="bottom"/>
          </w:tcPr>
          <w:p>
            <w:pPr>
              <w:ind w:left="60"/>
              <w:spacing w:after="0"/>
              <w:rPr>
                <w:sz w:val="20"/>
                <w:szCs w:val="20"/>
                <w:color w:val="auto"/>
              </w:rPr>
            </w:pPr>
            <w:r>
              <w:rPr>
                <w:rFonts w:ascii="Arial" w:cs="Arial" w:eastAsia="Arial" w:hAnsi="Arial"/>
                <w:sz w:val="18"/>
                <w:szCs w:val="18"/>
                <w:color w:val="auto"/>
              </w:rPr>
              <w:t>ESPP purchase rights</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65,442</w:t>
            </w:r>
          </w:p>
        </w:tc>
        <w:tc>
          <w:tcPr>
            <w:tcW w:w="12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Common stock warrants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118,122</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118,122</w:t>
            </w:r>
          </w:p>
        </w:tc>
      </w:tr>
      <w:tr>
        <w:trPr>
          <w:trHeight w:val="237"/>
        </w:trPr>
        <w:tc>
          <w:tcPr>
            <w:tcW w:w="5340" w:type="dxa"/>
            <w:vAlign w:val="bottom"/>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4,241,896</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3,756,114</w:t>
            </w:r>
          </w:p>
        </w:tc>
      </w:tr>
      <w:tr>
        <w:trPr>
          <w:trHeight w:val="27"/>
        </w:trPr>
        <w:tc>
          <w:tcPr>
            <w:tcW w:w="53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w:t>
      </w:r>
    </w:p>
    <w:p>
      <w:pPr>
        <w:spacing w:after="0" w:line="25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On February 24, 2020, the Company entered into a joint development agreement (the "Development Agreement") with SeaSpine Orthopedics Corporation ("SeaSpine") to develop a next generation device for sacropelvic fixation. Mr. Keith Valentine, who serves as the President, Chief Executive Officer and a member of the board of directors of SeaSpine, also serves as a member of the Company's Board of Directors since August 2015.</w:t>
      </w:r>
    </w:p>
    <w:p>
      <w:pPr>
        <w:spacing w:after="0" w:line="17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three months ended March 31, 2020, the Company expensed $22,000 of the reimbursement charges from SeaSpine, which was recorded within research and development expense in the condensed consolidated statement of operations. The outstanding liability to SeaSpine as of March 31, 2020 amounted to $10,000, recorded within accrued liabilities and other in the condensed consolidated balance sheet.</w:t>
      </w:r>
    </w:p>
    <w:p>
      <w:pPr>
        <w:spacing w:after="0" w:line="20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months ended March 31, 2020 and 2019. The Company continues to maintain a full valuation allowance against its net deferred tax assets due to the uncertainty surrounding realization of such assets.</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December 31, 2019.</w:t>
      </w:r>
    </w:p>
    <w:p>
      <w:pPr>
        <w:spacing w:after="0" w:line="18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March 27, 2020, the U.S. federal government enacted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Company evaluated its impact of the CARES Act as part of ASC 740 consideration and does not expect the provisions of the CARES Act would result in a material impact to the consolidated financial statements. The Company continues to monitor the impact this CARES Act may have on its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Impact of COVID-19 Outbreak</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As discussed in Note 2 - "Risk and Uncertainties" in the accompanying Notes to Condensed Consolidated Financial Statements, the extent of the impact of the COVID-19 pandemic on the Company's business is highly uncertain and difficult to predict, as the response to the pandemic is in its incipient stages and information is rapidly evolving. As of the date of issuance of the unaudited condensed consolidated financial statements,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51" w:lineRule="exact"/>
        <w:rPr>
          <w:sz w:val="20"/>
          <w:szCs w:val="20"/>
          <w:color w:val="auto"/>
        </w:rPr>
      </w:pPr>
    </w:p>
    <w:p>
      <w:pPr>
        <w:jc w:val="both"/>
        <w:ind w:firstLine="580"/>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March 11, 2020.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"Risk Factors" section of this Quarterly Report on Form 10-Q, our actual results could differ materially from the results described in, or implied, by these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a medical device company focused on the development of implantable devices used in the surgical treatment of the sacropelvic anatomy. We have pioneered a proprietary minimally invasive surgical implant system, which we call iFuse, to fuse the sacroiliac joint to treat sacroiliac joint dysfunction, which often causes severe lower back pain. Since we introduced iFuse in 2009, as of March 31, 2020, more than 46,000 procedures have been performed by over 2,000 surgeons in the U.S. and 35 other countries.</w:t>
      </w:r>
    </w:p>
    <w:p>
      <w:pPr>
        <w:spacing w:after="0" w:line="18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introduced our second-generation implant, the iFuse-3D, in 2017. This patented titanium implant combines the triangular cross-section of our first-generation iFuse Implant with a proprietary 3D-printed porous surface and fenestrated design.</w:t>
      </w:r>
    </w:p>
    <w:p>
      <w:pPr>
        <w:spacing w:after="0" w:line="17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April 2019, we received clearance from the U.S. Food and Drug Administration ("FDA"), to promote the use of our iFuse system with the iFuse Bedrock technique for fusion of the sacroiliac joint in conjunction with multi-level spinal fusion procedures to provide further stabilization and immobilization of the sacroiliac joint. We received CE marking and began marketing our iFuse system for the same indication in Europe in December 2019. In March 2020, we received FDA 510(k) clearance for an expanded indication for the iFuse Implant System to support our trauma program.</w:t>
      </w:r>
    </w:p>
    <w:p>
      <w:pPr>
        <w:spacing w:after="0" w:line="19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market our products primarily with a direct sales force as well as a number of distributors in the U.S., and with a combination of a direct sales force and distributors in other countries.</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October 2018, we completed our initial public offering ("IPO") resulting in net proceeds of $113.4 million after deducting underwriting discounts and commissions and offering expenses. In January and February 2020, we received a total of $63.0 million of net proceeds, after deducting the underwriting discounts, commissions and offering costs from our follow-on public offering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256"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Prior to the spread of COVID-19, we experienced case growth trends consistent with those experienced in the fourth quarter of 2019. Beginning at the end of February 2020, we began to see an impact on case volumes in Northern Italy due to the spread of the virus in the Lombardy region, the location of our operation in Gallarate, Italy. Overall, the disruption was not significant through the middle of March 2020, as Italy represents approximately 1% of our worldwide sales. Beginning in mid-March 2020, we saw a substantial worldwide reduction in global case volumes due to deferral of elective surgeries as a result of the spread of COVID-19 in the U.S. and across Europe. Many state and local governments in the U.S. and foreign governments have issued orders that temporarily preclude elective procedures in order to conserve scarce health system resources in view of the pandemic. Our revenue declined due to decreases in hospital admission rates and elective surgeries, which decreased the demand for procedures using our iFuse implants.</w:t>
      </w:r>
    </w:p>
    <w:p>
      <w:pPr>
        <w:spacing w:after="0" w:line="19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We have been continually taking actions to support patients, our customers, and our employees, while maintaining business continuity in response to the COVID-19 pandemic including:</w:t>
      </w:r>
    </w:p>
    <w:p>
      <w:pPr>
        <w:spacing w:after="0" w:line="198" w:lineRule="exact"/>
        <w:rPr>
          <w:sz w:val="20"/>
          <w:szCs w:val="20"/>
          <w:color w:val="auto"/>
        </w:rPr>
      </w:pPr>
    </w:p>
    <w:p>
      <w:pPr>
        <w:jc w:val="both"/>
        <w:ind w:left="660" w:hanging="328"/>
        <w:spacing w:after="0" w:line="262" w:lineRule="auto"/>
        <w:tabs>
          <w:tab w:leader="none" w:pos="655"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Protecting Employees and Others: </w:t>
      </w:r>
      <w:r>
        <w:rPr>
          <w:rFonts w:ascii="Arial" w:cs="Arial" w:eastAsia="Arial" w:hAnsi="Arial"/>
          <w:sz w:val="17"/>
          <w:szCs w:val="17"/>
          <w:color w:val="auto"/>
        </w:rPr>
        <w:t>To reduce the risk to our employees and their families from potential exposure to COVID-19, all employees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Santa Clara office and in other office locations have been required to work from home, with the exception of those related to manufacturing and order fulfillment, and select others, based on local restrictions and guidance. We also restricted non-essential business travel, and urged employees to restrict personal travel, to protect the health and safety of our employees, patients and customers.</w:t>
      </w:r>
    </w:p>
    <w:p>
      <w:pPr>
        <w:spacing w:after="0" w:line="199" w:lineRule="exact"/>
        <w:rPr>
          <w:rFonts w:ascii="Arial" w:cs="Arial" w:eastAsia="Arial" w:hAnsi="Arial"/>
          <w:sz w:val="17"/>
          <w:szCs w:val="17"/>
          <w:b w:val="1"/>
          <w:bCs w:val="1"/>
          <w:color w:val="auto"/>
        </w:rPr>
      </w:pPr>
    </w:p>
    <w:p>
      <w:pPr>
        <w:jc w:val="both"/>
        <w:ind w:left="660" w:hanging="328"/>
        <w:spacing w:after="0" w:line="284" w:lineRule="auto"/>
        <w:tabs>
          <w:tab w:leader="none" w:pos="655"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Continuing Operations and Clinical Support: </w:t>
      </w:r>
      <w:r>
        <w:rPr>
          <w:rFonts w:ascii="Arial" w:cs="Arial" w:eastAsia="Arial" w:hAnsi="Arial"/>
          <w:sz w:val="16"/>
          <w:szCs w:val="16"/>
          <w:color w:val="auto"/>
        </w:rPr>
        <w:t>Consistent with applicable exceptions, we are maintaining streamlined assembly, distribution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related processes in order to continue providing products to our customers. Specific protocols have been designed and implemented in order to minimize contact time among employees working on site. Where healthcare operations have been impacted, the sales team is supporting healthcare providers via telephone and online technologies, until conditions permit resumption of healthcare operations.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jc w:val="both"/>
        <w:ind w:left="660" w:hanging="328"/>
        <w:spacing w:after="0" w:line="270" w:lineRule="auto"/>
        <w:tabs>
          <w:tab w:leader="none" w:pos="655"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Curtailing Operating Expenses: </w:t>
      </w:r>
      <w:r>
        <w:rPr>
          <w:rFonts w:ascii="Arial" w:cs="Arial" w:eastAsia="Arial" w:hAnsi="Arial"/>
          <w:sz w:val="17"/>
          <w:szCs w:val="17"/>
          <w:color w:val="auto"/>
        </w:rPr>
        <w:t>Until we have more clarity on the extent and duration of the impact from the COVID-19, we have taken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preemptive steps to curtail spending, including implementing hiring restrictions, eliminating discretionary spending, reducing executive salaries, reducing capital expenditures, reducing non-essential marketing expenses, and delaying clinical research projects.</w:t>
      </w:r>
    </w:p>
    <w:p>
      <w:pPr>
        <w:spacing w:after="0" w:line="191"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Our immediate priority amidst this pandemic is the health and safety of our employees, customers and patients. We took actions and will continually assess whether it is prudent to take further actions to minimize business disruption, ensure we can continue supporting physicians, and reduce spending in areas not critical to patient care to ensure we have financial flexibility.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 and Key Performance Indicators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monitor certain key performance indicators that we believe provide us and our investors indications of conditions that may affect results of our operations. Our revenue growth rate and commercial progress is impacted, among others, by our key performance indicators including our ability to leverage our sales force, increase surgeon activity, engage key opinion leaders and influence coverage and reimbursements.</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Leverage our sales force</w:t>
      </w:r>
    </w:p>
    <w:p>
      <w:pPr>
        <w:spacing w:after="0" w:line="25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made significant investments in our sales force in 2019 and made further progress in the first quarter of 2020. We continuously evaluate the need to expand our sales force in line with anticipated future demand for our products. As of March 31, 2020, our U.S. sales force consisted of 62 territory sales managers and 53 clinical support specialists directly employed by us and 37 third-party distributors, compared to 49 territory sales managers and 42 clinical support specialists directly employed by us and 34 third-party distributors as of March 31, 2019. As of March 31, 2020, our international sales force consisted of 19 sales representatives directly employed by us and 31 third-party distributors, compared to 17 sales representatives directly employed by us and 27 third-party distributors as of March 31, 2019. We have halted sales force hiring during the pandemic. We have built a valuable sales team, and we believe they will be important to the recovery that follows the pandemic.</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Increase surgeon activity</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continue to focus on increasing surgeon activity. Surgeon activity includes both the number of surgeons performing iFuse procedures as well as the number of procedures performed per surgeon. As of March 31, 2020, more than 1,400 surgeons in the U.S. have been trained on iFuse and have treated at least one patient. We will continue to pursue the remainder of the approximately 7,500 target surgeons in the U.S. for training in the future. However, this process has been and will continue to be hampered during the duration of the COVID-19 outbreak. We are utilizing a virtual education series for surgeons and mid-level practitioners to continue our training activities. As restrictions are lifted, we will focus on increasing the number of procedures performed by our active surgeons, converting recently trained surgeons to first case, and converting inactive surgeons to active surgeons.</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Engage key opinion leaders</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We conduct training courses in several academic centers in the U.S. We are seeing interest from key opinion leaders at academic centers in our Bedrock technique. We introduced this technique in June 2019 for use in the fusion of the sacroiliac joints in conjunction with a multi-segment spinal fusion, or long construct, procedure. The Bedrock technique is based on our proprietary implants, with one implace placed a posterior approach, through the sacrum, across the sacroiliac joint, and into the ilium, in contrast to placement via of three iFuse implants placed via a lateral approach through the ilium and into the sacrum, as in our traditional iFuse procedure. The Bedrock technique is used to increase stability at the base of a long construct, and biomechanical testing has shown iFuse implants in this position reduce sacroiliac joint motion by approximately 30% in conjunction with a long construct. Interest in the Bedrock technique has enabled our field sales representatives to access leading spine surgeons at important academic medical centers in the U.S. Our representatives are often then able to train a broader group of spine surgeons, including residents and fellows in training at the centers, on both the Bedrock technique and minimally invasive sacroiliac fusion. Since the launch of Bedrock, we have conducted more than 40 training courses at academic centers in the U.S. We recently received CE mark clearance for the promotion of the Bedrock technique in Europe and we launched the promotion of this technique in select European markets. We believe that acceptance of the sacroiliac joint as a pain generator by leading spine surgeons may result in more widespread awareness of sacroiliac joint dysfunction and its role in causing certain types of chronic low back pain. Our ability to engage with key opinion leaders has been impeded by COVID-19. However, we are continuing our activities with key opinion leaders through our virtual education series.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2" w:name="page23"/>
    <w:bookmarkEnd w:id="22"/>
    <w:p>
      <w:pPr>
        <w:ind w:left="420"/>
        <w:spacing w:after="0"/>
        <w:rPr>
          <w:sz w:val="20"/>
          <w:szCs w:val="20"/>
          <w:color w:val="auto"/>
        </w:rPr>
      </w:pPr>
      <w:r>
        <w:rPr>
          <w:rFonts w:ascii="Arial" w:cs="Arial" w:eastAsia="Arial" w:hAnsi="Arial"/>
          <w:sz w:val="18"/>
          <w:szCs w:val="18"/>
          <w:b w:val="1"/>
          <w:bCs w:val="1"/>
          <w:i w:val="1"/>
          <w:iCs w:val="1"/>
          <w:color w:val="auto"/>
        </w:rPr>
        <w:t>Influence coverage and reimbursement</w:t>
      </w:r>
    </w:p>
    <w:p>
      <w:pPr>
        <w:spacing w:after="0" w:line="2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made significant progress in both the number of covered lives and the Medicare physician fee for surgeons performing minimally invasive sacroiliac fusion in the U.S.</w:t>
      </w:r>
    </w:p>
    <w:p>
      <w:pPr>
        <w:spacing w:after="0" w:line="197" w:lineRule="exact"/>
        <w:rPr>
          <w:sz w:val="20"/>
          <w:szCs w:val="20"/>
          <w:color w:val="auto"/>
        </w:rPr>
      </w:pPr>
    </w:p>
    <w:p>
      <w:pPr>
        <w:jc w:val="both"/>
        <w:ind w:left="660" w:hanging="328"/>
        <w:spacing w:after="0" w:line="288"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Covered lives </w:t>
      </w:r>
      <w:r>
        <w:rPr>
          <w:rFonts w:ascii="Arial" w:cs="Arial" w:eastAsia="Arial" w:hAnsi="Arial"/>
          <w:sz w:val="16"/>
          <w:szCs w:val="16"/>
          <w:color w:val="auto"/>
        </w:rPr>
        <w:t>- As of March 31, 2020, of the U.S. payors covering 282.7 million lives that reimburse for iFuse, 147.9 million lives are covered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private payors. Currently, covered lives counts do not include Anthem, which announced in December 2019 that they would cover minimally invasive sacroiliac fusion procedures in the event of pelvic girdle trauma only. These figures compare to 266.0 million covered lives, of which 131.0 million were covered by private payors as of March 31, 2019. We track the number of U.S. covered lives, or individuals whose healthcare is paid for by a private commercial or governmental payor that routinely reimburses for minimally invasive sacroiliac fusion, as a proxy for availability of the procedure within the U.S. healthcare payment system. As of March 31, 2020, 33 private payors have issued positive coverage policies exclusive to iFuse for sacroiliac joint fusion because of the clinical evidence, compared to 30 exclusive coverage policies as of March 31, 2019. These payors have based their exclusive coverage decisions on the quality of our data. Further, as of March 31, 2020 and 2019, 19 private payors are covering iFuse and other products for sacroiliac joint fusion. We believe that the full impact of each coverage decision grows over time as surgeons gain confidence that they will receive reimbursement for the majority of their diagnosed patients.</w:t>
      </w:r>
    </w:p>
    <w:p>
      <w:pPr>
        <w:spacing w:after="0" w:line="195"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Surgeon payment </w:t>
      </w:r>
      <w:r>
        <w:rPr>
          <w:rFonts w:ascii="Arial" w:cs="Arial" w:eastAsia="Arial" w:hAnsi="Arial"/>
          <w:sz w:val="18"/>
          <w:szCs w:val="18"/>
          <w:color w:val="auto"/>
        </w:rPr>
        <w:t>- The Center for Medicare &amp; Medicaid Services ("CMS") announced in November 2019 that the U.S. national average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physician fee reimbursement for minimally invasive sacroiliac joint fusion increased from $720, effective January 1, 2019 to $915, effective January 1, 2020. Many private payors set their payment amounts with reference to the Medicare payment, often approximately 10% to 33% higher than the Medicare payment for a procedure. Upon resumption of elective procedures, we believe that expanded coverage for minimally invasive sacroiliac fusion and the increase in physician reimbursement for the procedure may enable surgeons to treat more patients diagnosed with sacroiliac joint dysfunction with iFuse.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generate our revenue from sales of iFuse. Revenue from sales of iFuse fluctuate based on volume of cases (procedures performed), discounts, mix of international and U.S. sales, and the number of implants used for a particular patient. Similar to other orthopedic companies, our case volume can vary from quarter to quarter due to a variety of factors including reimbursement, sales force changes, physician activities, and seasonality. In addition, our revenue is impacted by changes in average selling price as we respond to the competitive landscape. Further, revenue results can differ based upon the mix of business between U.S. and international sales and mix of our products either delivered at the point of implantation at the hospital or other medical facilities or delivered through distributors or to hospitals where the products were ordered in advance of the procedure. Our revenue from international sales is impacted by fluctuations in foreign currency exchange rates between the U.S. dollar (our reporting currency) and the local currency.</w:t>
      </w:r>
    </w:p>
    <w:p>
      <w:pPr>
        <w:spacing w:after="0" w:line="166"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COVID-19 pandemic reduced our expected number of cases in the first quarter of 2020. As the pandemic continues in the U.S. and Europe, it is having and will continue to have a more significant impact on case volumes, similar to how the pandemic impacted elective surgery cancellations we experienced in March 2020. The COVID-19 pandemic has also significantly disrupted capital markets as well as worldwide economies, which could lead to prolonged local and/or global economic recessions. This could pressure hospital spending, impacting our pricing. As a result of these factors, it has made it difficult for us to forecast future iFuse sales. Therefore, we believe that historical sales trends are not a good indicator of future growth.</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3" w:name="page24"/>
    <w:bookmarkEnd w:id="23"/>
    <w:p>
      <w:pPr>
        <w:ind w:left="50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2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utilize third-party manufacturers for production of iFuse implants and instrument sets. Cost of goods sold consists primarily of costs of the components of iFuse implants and instruments, instrument set depreciation, scrap and inventory obsolescence, as well as distribution-related expenses such as logistics and shipping costs. Our cost of goods sold has historically increased as case levels increase.</w:t>
      </w:r>
    </w:p>
    <w:p>
      <w:pPr>
        <w:spacing w:after="0" w:line="18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gross profit and gross margin have been and will continue to be affected by factors impacting revenue and cost of goods sold. In addition, our gross margins are typically higher on products we sell directly as compared to products we sell through third-party distributors. As a result, changes in the mix of direct versus distributor sales can directly influence our gross margins. Due to an expected decrease in overall demand in the second quarter of 2020 from COVID-19, we anticipate that our operations will run at less than normal capacity. Accordingly, certain labor and overhead costs will be expensed as incurred, which could significantly reduce our gross profit and gross margin. We cannot reliably estimate the extent to which the COVID-19 pandemic will impact our overall demand in the near-term.</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anticipate operating expenses will continue to increase to support our employees. However, we have paused on hiring of staff at this time due to the pandemic. In addition, we have taken steps to reduce variable expenses that are ineffective due to the COVID-19 pandemic.</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Sales and Marketing Expenses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to our senior sales management, direct territory sales managers, territory associate representatives and third-party distributors.</w:t>
      </w:r>
    </w:p>
    <w:p>
      <w:pPr>
        <w:spacing w:after="0" w:line="13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sales and marketing spending in the first quarter 2020 reflected normal business activities into March and then a curtailment of certain costs associated with the impact of the COVID-19 pandemic. And while certain spending will decrease in the near-term as a result of a reduction in revenue and activities limited by the COVID-19 pandemic, much of our spending will continue to increase to support our customers and the continuity of our business. For example, we have guaranteed certain levels of incentive compensation to members of our field sales organization for the second quarter 2020 in order to retain these employees and partially mitigate the impact of the pandemic to their compensation. We have, however, eliminated certain other spending during the COVID-19 pandemic, such as travel and related expenses, regional surgeon training, trade shows, and discretionary marketing, and we expect these expenditures will resume as the acuity of the pandemic recedes.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and consultants’ compensation and stock-based compensation expense. We expense research and development costs as they are incurred.</w:t>
      </w:r>
    </w:p>
    <w:p>
      <w:pPr>
        <w:spacing w:after="0" w:line="21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 The increase in engineering expenditures will be partially offset in the near term by a decline in clinical study expenses due to postponement of these activities due to COVID-19 pandemic.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ind w:left="4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General and administrative expenses primarily consist of salaries, stock-based compensation expense, and other costs for finance, accounting, legal, compliance, and administrative matters. We have taken measures to control discretionary items classified as general and administrative expenses, but expect our general and administrative expenses to return to normal levels as the acuity of the pandemic recedes, and thereafter increase to sustain our business and support our operations as a public company, including but not limited to: expenses related to compliance with the rules and regulations of the Securities and Exchange Commission and those of the Nasdaq Global Market on which our securities are traded; additional insurance expenses; investor relations activities; and other administrative and professional services.</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income is primarily related to our investments of excess cash in money market funds and marketable securities.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is primarily related to borrowings and amortization of debt issuance costs.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(expense), net consists primarily of net foreign exchange gains and losses on foreign transactions.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We manage and operate as one reportable segment. The table below summarizes our results of operations for the periods presented (percentages are amounts as a percentage of revenue), which we derived from the accompanying condensed consolidated financial statements:</w:t>
      </w:r>
    </w:p>
    <w:p>
      <w:pPr>
        <w:spacing w:after="0" w:line="201"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6"/>
          </w:tcPr>
          <w:p>
            <w:pPr>
              <w:jc w:val="right"/>
              <w:ind w:right="351"/>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11"/>
              <w:spacing w:after="0"/>
              <w:rPr>
                <w:sz w:val="20"/>
                <w:szCs w:val="20"/>
                <w:color w:val="auto"/>
              </w:rPr>
            </w:pPr>
            <w:r>
              <w:rPr>
                <w:rFonts w:ascii="Arial" w:cs="Arial" w:eastAsia="Arial" w:hAnsi="Arial"/>
                <w:sz w:val="16"/>
                <w:szCs w:val="16"/>
                <w:b w:val="1"/>
                <w:bCs w:val="1"/>
                <w:color w:val="auto"/>
              </w:rPr>
              <w:t>2019</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512"/>
              <w:spacing w:after="0"/>
              <w:rPr>
                <w:sz w:val="20"/>
                <w:szCs w:val="20"/>
                <w:color w:val="auto"/>
              </w:rPr>
            </w:pPr>
            <w:r>
              <w:rPr>
                <w:rFonts w:ascii="Arial" w:cs="Arial" w:eastAsia="Arial" w:hAnsi="Arial"/>
                <w:sz w:val="16"/>
                <w:szCs w:val="16"/>
                <w:b w:val="1"/>
                <w:bCs w:val="1"/>
                <w:color w:val="auto"/>
              </w:rPr>
              <w:t>Amount</w:t>
            </w:r>
          </w:p>
        </w:tc>
        <w:tc>
          <w:tcPr>
            <w:tcW w:w="580" w:type="dxa"/>
            <w:vAlign w:val="bottom"/>
          </w:tcPr>
          <w:p>
            <w:pPr>
              <w:jc w:val="right"/>
              <w:ind w:right="11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551"/>
              <w:spacing w:after="0"/>
              <w:rPr>
                <w:sz w:val="20"/>
                <w:szCs w:val="20"/>
                <w:color w:val="auto"/>
              </w:rPr>
            </w:pPr>
            <w:r>
              <w:rPr>
                <w:rFonts w:ascii="Arial" w:cs="Arial" w:eastAsia="Arial" w:hAnsi="Arial"/>
                <w:sz w:val="16"/>
                <w:szCs w:val="16"/>
                <w:b w:val="1"/>
                <w:bCs w:val="1"/>
                <w:color w:val="auto"/>
              </w:rPr>
              <w:t>Amount</w:t>
            </w:r>
          </w:p>
        </w:tc>
        <w:tc>
          <w:tcPr>
            <w:tcW w:w="600" w:type="dxa"/>
            <w:vAlign w:val="bottom"/>
          </w:tcPr>
          <w:p>
            <w:pPr>
              <w:jc w:val="right"/>
              <w:ind w:right="13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6"/>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6"/>
          </w:tcPr>
          <w:p>
            <w:pPr>
              <w:jc w:val="right"/>
              <w:ind w:right="171"/>
              <w:spacing w:after="0"/>
              <w:rPr>
                <w:sz w:val="20"/>
                <w:szCs w:val="20"/>
                <w:color w:val="auto"/>
              </w:rPr>
            </w:pPr>
            <w:r>
              <w:rPr>
                <w:rFonts w:ascii="Arial" w:cs="Arial" w:eastAsia="Arial" w:hAnsi="Arial"/>
                <w:sz w:val="16"/>
                <w:szCs w:val="16"/>
                <w:b w:val="1"/>
                <w:bCs w:val="1"/>
                <w:color w:val="auto"/>
              </w:rPr>
              <w:t>(in thousands, except for percentages)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76"/>
        </w:trPr>
        <w:tc>
          <w:tcPr>
            <w:tcW w:w="394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16,821</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14,991</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280" w:type="dxa"/>
            <w:vAlign w:val="bottom"/>
          </w:tcPr>
          <w:p>
            <w:pPr>
              <w:jc w:val="right"/>
              <w:ind w:right="332"/>
              <w:spacing w:after="0"/>
              <w:rPr>
                <w:sz w:val="20"/>
                <w:szCs w:val="20"/>
                <w:color w:val="auto"/>
              </w:rPr>
            </w:pPr>
            <w:r>
              <w:rPr>
                <w:rFonts w:ascii="Arial" w:cs="Arial" w:eastAsia="Arial" w:hAnsi="Arial"/>
                <w:sz w:val="18"/>
                <w:szCs w:val="18"/>
                <w:color w:val="auto"/>
              </w:rPr>
              <w:t>1,932</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1,526</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63"/>
        </w:trPr>
        <w:tc>
          <w:tcPr>
            <w:tcW w:w="3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14,889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13,465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19,281</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15,815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9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280" w:type="dxa"/>
            <w:vAlign w:val="bottom"/>
          </w:tcPr>
          <w:p>
            <w:pPr>
              <w:jc w:val="right"/>
              <w:ind w:right="332"/>
              <w:spacing w:after="0"/>
              <w:rPr>
                <w:sz w:val="20"/>
                <w:szCs w:val="20"/>
                <w:color w:val="auto"/>
              </w:rPr>
            </w:pPr>
            <w:r>
              <w:rPr>
                <w:rFonts w:ascii="Arial" w:cs="Arial" w:eastAsia="Arial" w:hAnsi="Arial"/>
                <w:sz w:val="18"/>
                <w:szCs w:val="18"/>
                <w:color w:val="auto"/>
              </w:rPr>
              <w:t>2,090</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1,683</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5,400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4,766</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rPr>
              <w:t>26,771</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51"/>
              <w:spacing w:after="0"/>
              <w:rPr>
                <w:sz w:val="20"/>
                <w:szCs w:val="20"/>
                <w:color w:val="auto"/>
              </w:rPr>
            </w:pPr>
            <w:r>
              <w:rPr>
                <w:rFonts w:ascii="Arial" w:cs="Arial" w:eastAsia="Arial" w:hAnsi="Arial"/>
                <w:sz w:val="18"/>
                <w:szCs w:val="18"/>
                <w:color w:val="auto"/>
              </w:rPr>
              <w:t>22,264</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(11,882)</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(8,799)</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498</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744</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9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280" w:type="dxa"/>
            <w:vAlign w:val="bottom"/>
          </w:tcPr>
          <w:p>
            <w:pPr>
              <w:jc w:val="right"/>
              <w:ind w:right="292"/>
              <w:spacing w:after="0"/>
              <w:rPr>
                <w:sz w:val="20"/>
                <w:szCs w:val="20"/>
                <w:color w:val="auto"/>
              </w:rPr>
            </w:pPr>
            <w:r>
              <w:rPr>
                <w:rFonts w:ascii="Arial" w:cs="Arial" w:eastAsia="Arial" w:hAnsi="Arial"/>
                <w:sz w:val="18"/>
                <w:szCs w:val="18"/>
                <w:color w:val="auto"/>
              </w:rPr>
              <w:t>(1,231)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11"/>
              <w:spacing w:after="0"/>
              <w:rPr>
                <w:sz w:val="20"/>
                <w:szCs w:val="20"/>
                <w:color w:val="auto"/>
              </w:rPr>
            </w:pPr>
            <w:r>
              <w:rPr>
                <w:rFonts w:ascii="Arial" w:cs="Arial" w:eastAsia="Arial" w:hAnsi="Arial"/>
                <w:sz w:val="18"/>
                <w:szCs w:val="18"/>
                <w:color w:val="auto"/>
              </w:rPr>
              <w:t>(1,230)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(157)</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(60)</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3"/>
        </w:trPr>
        <w:tc>
          <w:tcPr>
            <w:tcW w:w="394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(12,772)</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(9,345)</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derive the majority of our revenue from sales to customers in the U.S. Revenue by geography is based on billing address of the customer. No single country outside the U.S. accounts for more than 10% of the total revenue during the periods presented. The table below summarizes our revenue by geography:</w:t>
      </w:r>
    </w:p>
    <w:p>
      <w:pPr>
        <w:spacing w:after="0" w:line="238" w:lineRule="exact"/>
        <w:rPr>
          <w:sz w:val="20"/>
          <w:szCs w:val="20"/>
          <w:color w:val="auto"/>
        </w:rPr>
      </w:pPr>
    </w:p>
    <w:tbl>
      <w:tblPr>
        <w:tblLayout w:type="fixed"/>
        <w:tblInd w:w="154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6"/>
          </w:tcPr>
          <w:p>
            <w:pPr>
              <w:jc w:val="right"/>
              <w:ind w:right="374"/>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35"/>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94"/>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575"/>
              <w:spacing w:after="0"/>
              <w:rPr>
                <w:sz w:val="20"/>
                <w:szCs w:val="20"/>
                <w:color w:val="auto"/>
              </w:rPr>
            </w:pPr>
            <w:r>
              <w:rPr>
                <w:rFonts w:ascii="Arial" w:cs="Arial" w:eastAsia="Arial" w:hAnsi="Arial"/>
                <w:sz w:val="16"/>
                <w:szCs w:val="16"/>
                <w:b w:val="1"/>
                <w:bCs w:val="1"/>
                <w:color w:val="auto"/>
              </w:rPr>
              <w:t>Amount</w:t>
            </w:r>
          </w:p>
        </w:tc>
        <w:tc>
          <w:tcPr>
            <w:tcW w:w="580" w:type="dxa"/>
            <w:vAlign w:val="bottom"/>
          </w:tcPr>
          <w:p>
            <w:pPr>
              <w:jc w:val="right"/>
              <w:ind w:right="13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94"/>
              <w:spacing w:after="0"/>
              <w:rPr>
                <w:sz w:val="20"/>
                <w:szCs w:val="20"/>
                <w:color w:val="auto"/>
              </w:rPr>
            </w:pPr>
            <w:r>
              <w:rPr>
                <w:rFonts w:ascii="Arial" w:cs="Arial" w:eastAsia="Arial" w:hAnsi="Arial"/>
                <w:sz w:val="16"/>
                <w:szCs w:val="16"/>
                <w:b w:val="1"/>
                <w:bCs w:val="1"/>
                <w:color w:val="auto"/>
              </w:rPr>
              <w:t>Amount</w:t>
            </w:r>
          </w:p>
        </w:tc>
        <w:tc>
          <w:tcPr>
            <w:tcW w:w="540" w:type="dxa"/>
            <w:vAlign w:val="bottom"/>
          </w:tcPr>
          <w:p>
            <w:pPr>
              <w:jc w:val="right"/>
              <w:ind w:right="11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6"/>
          </w:tcPr>
          <w:p>
            <w:pPr>
              <w:jc w:val="right"/>
              <w:ind w:right="194"/>
              <w:spacing w:after="0"/>
              <w:rPr>
                <w:sz w:val="20"/>
                <w:szCs w:val="20"/>
                <w:color w:val="auto"/>
              </w:rPr>
            </w:pPr>
            <w:r>
              <w:rPr>
                <w:rFonts w:ascii="Arial" w:cs="Arial" w:eastAsia="Arial" w:hAnsi="Arial"/>
                <w:sz w:val="16"/>
                <w:szCs w:val="16"/>
                <w:b w:val="1"/>
                <w:bCs w:val="1"/>
                <w:color w:val="auto"/>
              </w:rPr>
              <w:t>(in thousands except for percentages)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8"/>
                <w:szCs w:val="18"/>
                <w:color w:val="auto"/>
              </w:rPr>
              <w:t>15,297</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rPr>
              <w:t>13,450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340" w:type="dxa"/>
            <w:vAlign w:val="bottom"/>
          </w:tcPr>
          <w:p>
            <w:pPr>
              <w:jc w:val="right"/>
              <w:ind w:right="355"/>
              <w:spacing w:after="0"/>
              <w:rPr>
                <w:sz w:val="20"/>
                <w:szCs w:val="20"/>
                <w:color w:val="auto"/>
              </w:rPr>
            </w:pPr>
            <w:r>
              <w:rPr>
                <w:rFonts w:ascii="Arial" w:cs="Arial" w:eastAsia="Arial" w:hAnsi="Arial"/>
                <w:sz w:val="18"/>
                <w:szCs w:val="18"/>
                <w:color w:val="auto"/>
              </w:rPr>
              <w:t>1,524</w:t>
            </w: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54"/>
              <w:spacing w:after="0"/>
              <w:rPr>
                <w:sz w:val="20"/>
                <w:szCs w:val="20"/>
                <w:color w:val="auto"/>
              </w:rPr>
            </w:pPr>
            <w:r>
              <w:rPr>
                <w:rFonts w:ascii="Arial" w:cs="Arial" w:eastAsia="Arial" w:hAnsi="Arial"/>
                <w:sz w:val="18"/>
                <w:szCs w:val="18"/>
                <w:color w:val="auto"/>
              </w:rPr>
              <w:t>1,541</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r>
      <w:tr>
        <w:trPr>
          <w:trHeight w:val="288"/>
        </w:trPr>
        <w:tc>
          <w:tcPr>
            <w:tcW w:w="35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8"/>
                <w:szCs w:val="18"/>
                <w:color w:val="auto"/>
              </w:rPr>
              <w:t>16,821</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rPr>
              <w:t>14,991</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2020 and March 31, 2019</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Cost of Goods Sold, Gross Profit, and Gross Margin</w:t>
      </w:r>
      <w:r>
        <w:rPr>
          <w:rFonts w:ascii="Arial" w:cs="Arial" w:eastAsia="Arial" w:hAnsi="Arial"/>
          <w:sz w:val="18"/>
          <w:szCs w:val="18"/>
          <w:color w:val="auto"/>
        </w:rPr>
        <w:t>:</w:t>
      </w: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5"/>
          </w:tcPr>
          <w:p>
            <w:pPr>
              <w:jc w:val="right"/>
              <w:ind w:right="213"/>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8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32"/>
              <w:spacing w:after="0"/>
              <w:rPr>
                <w:sz w:val="20"/>
                <w:szCs w:val="20"/>
                <w:color w:val="auto"/>
              </w:rPr>
            </w:pPr>
            <w:r>
              <w:rPr>
                <w:rFonts w:ascii="Arial" w:cs="Arial" w:eastAsia="Arial" w:hAnsi="Arial"/>
                <w:sz w:val="16"/>
                <w:szCs w:val="16"/>
                <w:b w:val="1"/>
                <w:bCs w:val="1"/>
                <w:color w:val="auto"/>
                <w:w w:val="91"/>
              </w:rPr>
              <w:t>Change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jc w:val="right"/>
              <w:ind w:right="232"/>
              <w:spacing w:after="0"/>
              <w:rPr>
                <w:sz w:val="20"/>
                <w:szCs w:val="20"/>
                <w:color w:val="auto"/>
              </w:rPr>
            </w:pPr>
            <w:r>
              <w:rPr>
                <w:rFonts w:ascii="Arial" w:cs="Arial" w:eastAsia="Arial" w:hAnsi="Arial"/>
                <w:sz w:val="16"/>
                <w:szCs w:val="16"/>
                <w:b w:val="1"/>
                <w:bCs w:val="1"/>
                <w:color w:val="auto"/>
                <w:w w:val="90"/>
              </w:rPr>
              <w:t>(in thousands, except for percentages)</w:t>
            </w:r>
          </w:p>
        </w:tc>
        <w:tc>
          <w:tcPr>
            <w:tcW w:w="15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16,821</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14,991</w:t>
            </w:r>
          </w:p>
        </w:tc>
        <w:tc>
          <w:tcPr>
            <w:tcW w:w="8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1,830</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406</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27%</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8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14,889</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8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1,424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17"/>
        </w:trPr>
        <w:tc>
          <w:tcPr>
            <w:tcW w:w="47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6" w:name="page27"/>
    <w:bookmarkEnd w:id="26"/>
    <w:p>
      <w:pPr>
        <w:jc w:val="both"/>
        <w:ind w:firstLine="486"/>
        <w:spacing w:after="0" w:line="275"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increased $1.8 million or 12%, for the three months ended March 31, 2020 as compared to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2019. The increase was primarily due to an increase of $1.8 million as a result of growth in domestic case volumes. Our international sales were relatively flat. Our U.S. case volumes increased due to higher sales force productivity, higher numbers of sales personnel, and increased active surgeons due to improving U.S. reimbursement coverage. Though our total revenue increased as discussed above, it was partly impacted by lower than anticipated case volumes in the second half of March 2020 due to the effects of the COVID-19 pandemic.</w:t>
      </w:r>
    </w:p>
    <w:p>
      <w:pPr>
        <w:spacing w:after="0" w:line="20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i w:val="1"/>
          <w:iCs w:val="1"/>
          <w:color w:val="auto"/>
        </w:rPr>
        <w:t xml:space="preserve">Cost of Goods Sold, Gross Profit, and Gross Margin. </w:t>
      </w:r>
      <w:r>
        <w:rPr>
          <w:rFonts w:ascii="Arial" w:cs="Arial" w:eastAsia="Arial" w:hAnsi="Arial"/>
          <w:sz w:val="17"/>
          <w:szCs w:val="17"/>
          <w:color w:val="auto"/>
        </w:rPr>
        <w:t>Total cost of goods sold increased $0.4 million, or 27%,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as compared to the three months ended March 31, 2019. The increase in cost of goods sold was primarily due to higher sales volume and implant costs. Higher net revenue, partly offset by a write-down of inventory, resulted in increased gross profit of $1.4 million, or 11%. The gross margin decreased to 88.5% for the three months ended March 31, 2020 as compared to 89.8% for the three months ended March 31, 2019 due to higher cost of operations to support the growth of the business and the increases in the write-down of inventory.</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w:t>
      </w: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7"/>
        </w:trPr>
        <w:tc>
          <w:tcPr>
            <w:tcW w:w="4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52"/>
              <w:spacing w:after="0"/>
              <w:rPr>
                <w:sz w:val="20"/>
                <w:szCs w:val="20"/>
                <w:color w:val="auto"/>
              </w:rPr>
            </w:pPr>
            <w:r>
              <w:rPr>
                <w:rFonts w:ascii="Arial" w:cs="Arial" w:eastAsia="Arial" w:hAnsi="Arial"/>
                <w:sz w:val="16"/>
                <w:szCs w:val="16"/>
                <w:b w:val="1"/>
                <w:bCs w:val="1"/>
                <w:color w:val="auto"/>
              </w:rPr>
              <w:t>$ Change</w:t>
            </w:r>
          </w:p>
        </w:tc>
        <w:tc>
          <w:tcPr>
            <w:tcW w:w="1600" w:type="dxa"/>
            <w:vAlign w:val="bottom"/>
          </w:tcPr>
          <w:p>
            <w:pPr>
              <w:jc w:val="center"/>
              <w:ind w:left="12"/>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4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7"/>
        </w:trPr>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gridSpan w:val="4"/>
          </w:tcPr>
          <w:p>
            <w:pPr>
              <w:jc w:val="right"/>
              <w:ind w:right="152"/>
              <w:spacing w:after="0"/>
              <w:rPr>
                <w:sz w:val="20"/>
                <w:szCs w:val="20"/>
                <w:color w:val="auto"/>
              </w:rPr>
            </w:pPr>
            <w:r>
              <w:rPr>
                <w:rFonts w:ascii="Arial" w:cs="Arial" w:eastAsia="Arial" w:hAnsi="Arial"/>
                <w:sz w:val="16"/>
                <w:szCs w:val="16"/>
                <w:b w:val="1"/>
                <w:bCs w:val="1"/>
                <w:color w:val="auto"/>
                <w:w w:val="90"/>
              </w:rPr>
              <w:t>(in thousands, except for percentages)</w:t>
            </w:r>
          </w:p>
        </w:tc>
        <w:tc>
          <w:tcPr>
            <w:tcW w:w="1600" w:type="dxa"/>
            <w:vAlign w:val="bottom"/>
          </w:tcPr>
          <w:p>
            <w:pPr>
              <w:spacing w:after="0"/>
              <w:rPr>
                <w:sz w:val="17"/>
                <w:szCs w:val="17"/>
                <w:color w:val="auto"/>
              </w:rPr>
            </w:pPr>
          </w:p>
        </w:tc>
      </w:tr>
      <w:tr>
        <w:trPr>
          <w:trHeight w:val="253"/>
        </w:trPr>
        <w:tc>
          <w:tcPr>
            <w:tcW w:w="4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15,815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3,466</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w:t>
            </w:r>
          </w:p>
        </w:tc>
      </w:tr>
      <w:tr>
        <w:trPr>
          <w:trHeight w:val="243"/>
        </w:trPr>
        <w:tc>
          <w:tcPr>
            <w:tcW w:w="478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407</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24%</w:t>
            </w:r>
          </w:p>
        </w:tc>
      </w:tr>
      <w:tr>
        <w:trPr>
          <w:trHeight w:val="27"/>
        </w:trPr>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634</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13%</w:t>
            </w:r>
          </w:p>
        </w:tc>
      </w:tr>
      <w:tr>
        <w:trPr>
          <w:trHeight w:val="263"/>
        </w:trPr>
        <w:tc>
          <w:tcPr>
            <w:tcW w:w="4780" w:type="dxa"/>
            <w:vAlign w:val="bottom"/>
          </w:tcPr>
          <w:p>
            <w:pPr>
              <w:ind w:left="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26,771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22,264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4,507</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20%</w:t>
            </w: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$3.5 million, or 22%, for the three months ended March 31,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March 31, 2019. The increase was primarily due to an increase of $1.8 million in employee related costs and stock-based compensation expense driven by increased headcount, $1.4 million in commissions due to increased sales and $0.3 million in facilities and other related expenses due to the overall growth of our sales and marketing department.</w:t>
      </w:r>
    </w:p>
    <w:p>
      <w:pPr>
        <w:spacing w:after="0" w:line="18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$0.4 million, or 24%,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as compared to the three months ended March 31, 2019. The increase was primarily due to increase in employee related costs and stock-based compensation expense due to increase in headcount.</w:t>
      </w:r>
    </w:p>
    <w:p>
      <w:pPr>
        <w:spacing w:after="0" w:line="184"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increased $0.6 million, or 13%,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as compared to the three months ended March 31, 2019. The increase was primarily due to an increase of $0.3 million in employee related costs and stock-based compensation expense driven by increased headcount, $0.2 million public offering costs allocated to sale of common stock by selling shareholders, and $0.1 million in facilities and other related expenses from expansion of our general and administrative department.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and Other Income (Expense), Net</w:t>
      </w:r>
      <w:r>
        <w:rPr>
          <w:rFonts w:ascii="Arial" w:cs="Arial" w:eastAsia="Arial" w:hAnsi="Arial"/>
          <w:sz w:val="18"/>
          <w:szCs w:val="18"/>
          <w:color w:val="auto"/>
        </w:rPr>
        <w:t>:</w:t>
      </w:r>
    </w:p>
    <w:p>
      <w:pPr>
        <w:spacing w:after="0" w:line="280"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37465</wp:posOffset>
            </wp:positionV>
            <wp:extent cx="19716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4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6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4"/>
          </w:tcPr>
          <w:p>
            <w:pPr>
              <w:jc w:val="right"/>
              <w:ind w:right="174"/>
              <w:spacing w:after="0"/>
              <w:rPr>
                <w:sz w:val="20"/>
                <w:szCs w:val="20"/>
                <w:color w:val="auto"/>
              </w:rPr>
            </w:pPr>
            <w:r>
              <w:rPr>
                <w:rFonts w:ascii="Arial" w:cs="Arial" w:eastAsia="Arial" w:hAnsi="Arial"/>
                <w:sz w:val="16"/>
                <w:szCs w:val="16"/>
                <w:b w:val="1"/>
                <w:bCs w:val="1"/>
                <w:color w:val="auto"/>
                <w:w w:val="90"/>
              </w:rPr>
              <w:t>(in thousands, except for percentages)</w:t>
            </w:r>
          </w:p>
        </w:tc>
        <w:tc>
          <w:tcPr>
            <w:tcW w:w="1600" w:type="dxa"/>
            <w:vAlign w:val="bottom"/>
          </w:tcPr>
          <w:p>
            <w:pPr>
              <w:spacing w:after="0"/>
              <w:rPr>
                <w:sz w:val="19"/>
                <w:szCs w:val="19"/>
                <w:color w:val="auto"/>
              </w:rPr>
            </w:pPr>
          </w:p>
        </w:tc>
      </w:tr>
      <w:tr>
        <w:trPr>
          <w:trHeight w:val="33"/>
        </w:trPr>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-33%</w:t>
            </w:r>
          </w:p>
        </w:tc>
      </w:tr>
      <w:tr>
        <w:trPr>
          <w:trHeight w:val="243"/>
        </w:trPr>
        <w:tc>
          <w:tcPr>
            <w:tcW w:w="478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16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1"/>
              </w:rPr>
              <w:t>162%</w:t>
            </w:r>
          </w:p>
        </w:tc>
      </w:tr>
      <w:tr>
        <w:trPr>
          <w:trHeight w:val="263"/>
        </w:trPr>
        <w:tc>
          <w:tcPr>
            <w:tcW w:w="4780" w:type="dxa"/>
            <w:vAlign w:val="bottom"/>
          </w:tcPr>
          <w:p>
            <w:pPr>
              <w:ind w:left="60"/>
              <w:spacing w:after="0"/>
              <w:rPr>
                <w:sz w:val="20"/>
                <w:szCs w:val="20"/>
                <w:color w:val="auto"/>
              </w:rPr>
            </w:pPr>
            <w:r>
              <w:rPr>
                <w:rFonts w:ascii="Arial" w:cs="Arial" w:eastAsia="Arial" w:hAnsi="Arial"/>
                <w:sz w:val="18"/>
                <w:szCs w:val="18"/>
                <w:color w:val="auto"/>
              </w:rPr>
              <w:t>Total interest and other expense, net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(344)</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63%</w:t>
            </w:r>
          </w:p>
        </w:tc>
      </w:tr>
      <w:tr>
        <w:trPr>
          <w:trHeight w:val="21"/>
        </w:trPr>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decreased by $0.2 million for the three months ended March 31, 2020 as compared to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mainly due to lower interest on our investments in marketable securities.</w:t>
      </w:r>
    </w:p>
    <w:p>
      <w:pPr>
        <w:spacing w:after="0" w:line="170"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which mainly relates to our outstanding debt, remained relatively unchanged for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2020 as compared to the three months ended March 31,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7" w:name="page28"/>
    <w:bookmarkEnd w:id="27"/>
    <w:p>
      <w:pPr>
        <w:jc w:val="both"/>
        <w:ind w:right="20" w:firstLine="445"/>
        <w:spacing w:after="0" w:line="27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by $0.1 million for the three months ended March 31, 2020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mainly due to higher foreign exchange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As of March 31, 2020, we had cash and marketable securities of $146.2 million compared to $93.1 million as of December 31, 2019. We have financed our operations through our public offerings, debt financing arrangements, and the sale of our products. As of March 31, 2020 and December 31, 2019, we had $39.3 million and $39.2 million principal amount of outstanding debt, net of debt issuance costs, respectively.</w:t>
      </w:r>
    </w:p>
    <w:p>
      <w:pPr>
        <w:spacing w:after="0" w:line="16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As of March 31, 2020, we had an accumulated deficit of $208.4 million. During the three months ended March 31, 2020, we incurred a net loss of $12.8 million. During the years ended December 31, 2019 and 2018, we incurred a net loss of $38.4 million and $17.5 million, respectively, and expect to incur additional losses in the future. We have not achieved positive cash flow from operations to date. The debt covenants associated with our current debt agreement require us to maintain a minimum cash balance and meet either minimum net sales or trailing 12-month consolidated earnings before interest, taxes, depreciation, and amortization ("EBITDA") targets as discussed in detail below. If we do not comply with these covenants, the debt could immediately become due.</w:t>
      </w:r>
    </w:p>
    <w:p>
      <w:pPr>
        <w:spacing w:after="0" w:line="192"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Based upon our current operating plan, we believe that our existing cash and marketable securities will enable us to fund our operating expenses and capital expenditure requirements through at least the next 12 months. However, the economic impact of the duration and severity of the COVID-19 pandemic, and our responses thereto (including such actions we have taken or may take in the future as disclosed elsewhere in this Report) pose risk and uncertainties in our future available capital resources. Further, we may face challenges and uncertainties and, as a result, our available capital resources may be consumed more rapidly than currently expected due to, but not limited to, the following as a result of the COVID-19 pandemic or otherwise:</w:t>
      </w:r>
    </w:p>
    <w:p>
      <w:pPr>
        <w:spacing w:after="0" w:line="2" w:lineRule="exact"/>
        <w:rPr>
          <w:sz w:val="20"/>
          <w:szCs w:val="20"/>
          <w:color w:val="auto"/>
        </w:rPr>
      </w:pPr>
    </w:p>
    <w:p>
      <w:pPr>
        <w:jc w:val="both"/>
        <w:ind w:firstLine="8"/>
        <w:spacing w:after="0" w:line="302" w:lineRule="auto"/>
        <w:tabs>
          <w:tab w:leader="none" w:pos="2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outstanding debt is related to a term loan we entered with Biopharma Credit Investments IV Sub LP, or Pharmakon, in October 2017 for total loan proceeds of $40.0 million (our "term loan"). The term loan includes an interest-only period for 35 months through September 2020 and is then repaid in equal principal payments plus interest through December 2022 and carries a fixed interest rate of 11.5% and a closing fee of 1.5%. The term loan includes a pre-payment fee of the remaining interest payable for the first 30 months of the agreement if it is prepaid within the first 30 months, a 2% prepayment penalty for months 31-48, and a 1% penalty for months 49-60. The term loan is collateralized by all of our assets, including intellectual property. The term loan requires us to maintain a minimum cash balance of $5.0 million.</w:t>
      </w:r>
    </w:p>
    <w:p>
      <w:pPr>
        <w:spacing w:after="0" w:line="17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are also required to meet either the minimum net sales or trailing 12-month consolidated EBITDA targets. We need to meet one or the other, but not both. If we do not meet either the minimum net sales or trailing 12-month consolidated EBITDA targets, the debt will immediately become due. The remaining minimum net sales and trailing 12-month consolidated EBITDA targets are as follows:</w:t>
      </w:r>
    </w:p>
    <w:p>
      <w:pPr>
        <w:spacing w:after="0" w:line="238" w:lineRule="exact"/>
        <w:rPr>
          <w:sz w:val="20"/>
          <w:szCs w:val="20"/>
          <w:color w:val="auto"/>
        </w:rPr>
      </w:pPr>
    </w:p>
    <w:tbl>
      <w:tblPr>
        <w:tblLayout w:type="fixed"/>
        <w:tblInd w:w="226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7"/>
              </w:rPr>
              <w:t>Minimum Net</w:t>
            </w:r>
          </w:p>
        </w:tc>
        <w:tc>
          <w:tcPr>
            <w:tcW w:w="7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5"/>
              </w:rPr>
              <w:t>Trailing 12-Month</w:t>
            </w:r>
          </w:p>
        </w:tc>
      </w:tr>
      <w:tr>
        <w:trPr>
          <w:trHeight w:val="210"/>
        </w:trPr>
        <w:tc>
          <w:tcPr>
            <w:tcW w:w="2780" w:type="dxa"/>
            <w:vAlign w:val="bottom"/>
            <w:gridSpan w:val="2"/>
          </w:tcPr>
          <w:p>
            <w:pPr>
              <w:ind w:left="480"/>
              <w:spacing w:after="0"/>
              <w:rPr>
                <w:sz w:val="20"/>
                <w:szCs w:val="20"/>
                <w:color w:val="auto"/>
              </w:rPr>
            </w:pPr>
            <w:r>
              <w:rPr>
                <w:rFonts w:ascii="Arial" w:cs="Arial" w:eastAsia="Arial" w:hAnsi="Arial"/>
                <w:sz w:val="16"/>
                <w:szCs w:val="16"/>
                <w:b w:val="1"/>
                <w:bCs w:val="1"/>
                <w:color w:val="auto"/>
              </w:rPr>
              <w:t>Twelve Months Ending</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5"/>
              </w:rPr>
              <w:t>Sales</w:t>
            </w:r>
          </w:p>
        </w:tc>
        <w:tc>
          <w:tcPr>
            <w:tcW w:w="7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5"/>
              </w:rPr>
              <w:t>Consolidated EBITDA</w:t>
            </w:r>
          </w:p>
        </w:tc>
      </w:tr>
      <w:tr>
        <w:trPr>
          <w:trHeight w:val="33"/>
        </w:trPr>
        <w:tc>
          <w:tcPr>
            <w:tcW w:w="2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r>
      <w:tr>
        <w:trPr>
          <w:trHeight w:val="217"/>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8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$58,500</w:t>
            </w:r>
          </w:p>
        </w:tc>
        <w:tc>
          <w:tcPr>
            <w:tcW w:w="7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or</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$2,000</w:t>
            </w:r>
          </w:p>
        </w:tc>
      </w:tr>
      <w:tr>
        <w:trPr>
          <w:trHeight w:val="24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thereafter, as applicable</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$60,000</w:t>
            </w:r>
          </w:p>
        </w:tc>
        <w:tc>
          <w:tcPr>
            <w:tcW w:w="720" w:type="dxa"/>
            <w:vAlign w:val="bottom"/>
          </w:tcPr>
          <w:p>
            <w:pPr>
              <w:ind w:left="400"/>
              <w:spacing w:after="0"/>
              <w:rPr>
                <w:sz w:val="20"/>
                <w:szCs w:val="20"/>
                <w:color w:val="auto"/>
              </w:rPr>
            </w:pPr>
            <w:r>
              <w:rPr>
                <w:rFonts w:ascii="Arial" w:cs="Arial" w:eastAsia="Arial" w:hAnsi="Arial"/>
                <w:sz w:val="18"/>
                <w:szCs w:val="18"/>
                <w:color w:val="auto"/>
              </w:rPr>
              <w:t>or</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$3,000</w:t>
            </w:r>
          </w:p>
        </w:tc>
      </w:tr>
    </w:tbl>
    <w:p>
      <w:pPr>
        <w:spacing w:after="0" w:line="22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March 31, 2020 and December 31, 2019, we were in compliance with all of our debt obligations and covenants. Due to uncertainties surrounding the impact of the COVID-19 pandemic, there is a substantial risk that we may not meet the remaining minimum net sales or the trailing 12-month consolidated EBITDA targets in future quarters. If we are not in compliance with these requirements, the loan may become due immediately at Pharmakon's option.</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have been no material changes to our contractual obligations and commitments outside the ordinary course of business as of March 31, 2020 compared to our contractual obligations and commitments as of December 31, 2019 as reported in tabular format in our Annual Report on Form 10-K for the year ended December 31,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92"/>
              <w:spacing w:after="0"/>
              <w:rPr>
                <w:sz w:val="20"/>
                <w:szCs w:val="20"/>
                <w:color w:val="auto"/>
              </w:rPr>
            </w:pPr>
            <w:r>
              <w:rPr>
                <w:rFonts w:ascii="Arial" w:cs="Arial" w:eastAsia="Arial" w:hAnsi="Arial"/>
                <w:sz w:val="16"/>
                <w:szCs w:val="16"/>
                <w:b w:val="1"/>
                <w:bCs w:val="1"/>
                <w:color w:val="auto"/>
              </w:rPr>
              <w:t>$ Change</w:t>
            </w:r>
          </w:p>
        </w:tc>
        <w:tc>
          <w:tcPr>
            <w:tcW w:w="1500" w:type="dxa"/>
            <w:vAlign w:val="bottom"/>
          </w:tcPr>
          <w:p>
            <w:pPr>
              <w:ind w:left="44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45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Net cash provided by (used in):</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4"/>
          </w:tcPr>
          <w:p>
            <w:pPr>
              <w:jc w:val="right"/>
              <w:ind w:right="172"/>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(2,277)</w:t>
            </w:r>
          </w:p>
        </w:tc>
        <w:tc>
          <w:tcPr>
            <w:tcW w:w="150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88"/>
              </w:rPr>
              <w:t>32%</w:t>
            </w:r>
          </w:p>
        </w:tc>
        <w:tc>
          <w:tcPr>
            <w:tcW w:w="0" w:type="dxa"/>
            <w:vAlign w:val="bottom"/>
          </w:tcPr>
          <w:p>
            <w:pPr>
              <w:spacing w:after="0"/>
              <w:rPr>
                <w:sz w:val="1"/>
                <w:szCs w:val="1"/>
                <w:color w:val="auto"/>
              </w:rPr>
            </w:pPr>
          </w:p>
        </w:tc>
      </w:tr>
      <w:tr>
        <w:trPr>
          <w:trHeight w:val="243"/>
        </w:trPr>
        <w:tc>
          <w:tcPr>
            <w:tcW w:w="4520" w:type="dxa"/>
            <w:vAlign w:val="bottom"/>
          </w:tcPr>
          <w:p>
            <w:pPr>
              <w:ind w:left="6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3,339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(5,553)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8,892</w:t>
            </w:r>
          </w:p>
        </w:tc>
        <w:tc>
          <w:tcPr>
            <w:tcW w:w="1500" w:type="dxa"/>
            <w:vAlign w:val="bottom"/>
          </w:tcPr>
          <w:p>
            <w:pPr>
              <w:jc w:val="center"/>
              <w:ind w:left="32"/>
              <w:spacing w:after="0"/>
              <w:rPr>
                <w:sz w:val="20"/>
                <w:szCs w:val="20"/>
                <w:color w:val="auto"/>
              </w:rPr>
            </w:pPr>
            <w:r>
              <w:rPr>
                <w:rFonts w:ascii="Arial" w:cs="Arial" w:eastAsia="Arial" w:hAnsi="Arial"/>
                <w:sz w:val="18"/>
                <w:szCs w:val="18"/>
                <w:color w:val="auto"/>
                <w:w w:val="92"/>
              </w:rPr>
              <w:t>(160)%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63,152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63,027</w:t>
            </w:r>
          </w:p>
        </w:tc>
        <w:tc>
          <w:tcPr>
            <w:tcW w:w="150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0"/>
              </w:rPr>
              <w:t>50,422%</w:t>
            </w:r>
          </w:p>
        </w:tc>
        <w:tc>
          <w:tcPr>
            <w:tcW w:w="0" w:type="dxa"/>
            <w:vAlign w:val="bottom"/>
          </w:tcPr>
          <w:p>
            <w:pPr>
              <w:spacing w:after="0"/>
              <w:rPr>
                <w:sz w:val="1"/>
                <w:szCs w:val="1"/>
                <w:color w:val="auto"/>
              </w:rPr>
            </w:pPr>
          </w:p>
        </w:tc>
      </w:tr>
      <w:tr>
        <w:trPr>
          <w:trHeight w:val="176"/>
        </w:trPr>
        <w:tc>
          <w:tcPr>
            <w:tcW w:w="4520" w:type="dxa"/>
            <w:vAlign w:val="bottom"/>
          </w:tcPr>
          <w:p>
            <w:pPr>
              <w:ind w:left="60"/>
              <w:spacing w:after="0" w:line="176" w:lineRule="exact"/>
              <w:rPr>
                <w:sz w:val="20"/>
                <w:szCs w:val="20"/>
                <w:color w:val="auto"/>
              </w:rPr>
            </w:pPr>
            <w:r>
              <w:rPr>
                <w:rFonts w:ascii="Arial" w:cs="Arial" w:eastAsia="Arial" w:hAnsi="Arial"/>
                <w:sz w:val="18"/>
                <w:szCs w:val="18"/>
                <w:color w:val="auto"/>
              </w:rPr>
              <w:t>Effects of exchange rate changes on cash and cash</w:t>
            </w:r>
          </w:p>
        </w:tc>
        <w:tc>
          <w:tcPr>
            <w:tcW w:w="2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restart"/>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vMerge w:val="restart"/>
          </w:tcPr>
          <w:p>
            <w:pPr>
              <w:jc w:val="right"/>
              <w:ind w:right="52"/>
              <w:spacing w:after="0"/>
              <w:rPr>
                <w:sz w:val="20"/>
                <w:szCs w:val="20"/>
                <w:color w:val="auto"/>
              </w:rPr>
            </w:pPr>
            <w:r>
              <w:rPr>
                <w:rFonts w:ascii="Arial" w:cs="Arial" w:eastAsia="Arial" w:hAnsi="Arial"/>
                <w:sz w:val="18"/>
                <w:szCs w:val="18"/>
                <w:color w:val="auto"/>
              </w:rPr>
              <w:t>50</w:t>
            </w:r>
          </w:p>
        </w:tc>
        <w:tc>
          <w:tcPr>
            <w:tcW w:w="1500" w:type="dxa"/>
            <w:vAlign w:val="bottom"/>
            <w:vMerge w:val="restart"/>
          </w:tcPr>
          <w:p>
            <w:pPr>
              <w:jc w:val="center"/>
              <w:ind w:left="12"/>
              <w:spacing w:after="0"/>
              <w:rPr>
                <w:sz w:val="20"/>
                <w:szCs w:val="20"/>
                <w:color w:val="auto"/>
              </w:rPr>
            </w:pPr>
            <w:r>
              <w:rPr>
                <w:rFonts w:ascii="Arial" w:cs="Arial" w:eastAsia="Arial" w:hAnsi="Arial"/>
                <w:sz w:val="18"/>
                <w:szCs w:val="18"/>
                <w:color w:val="auto"/>
                <w:w w:val="91"/>
              </w:rPr>
              <w:t>(94)%</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equivalents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4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8"/>
              </w:rPr>
              <w:t>Net increase (decrease) in 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57,133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(12,559)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69,692</w:t>
            </w:r>
          </w:p>
        </w:tc>
        <w:tc>
          <w:tcPr>
            <w:tcW w:w="15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Used in Operating Activities</w:t>
      </w:r>
    </w:p>
    <w:p>
      <w:pPr>
        <w:spacing w:after="0" w:line="171"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Net cash used in operating activities for the three months ended March 31, 2020 of $9.4 million resulted from cash outflows due to a net loss of $12.8 million, adjusted for $3.1 million of non-cash items, partially offset by cash inflows from changes in operating assets and liabilities of $0.3 million. Net cash used in operating activities for the three months ended March 31, 2019 of $7.1 million resulted from cash outflows due to a net loss of $9.3 million, adjusted for $1.7 million of non-cash items, and cash inflows from changes in operating assets and liabilities of $0.5 million. The increase in net loss, net of non-cash items for the three months ended March 31, 2020 compared to the three months ended March 31, 2019 was mainly due to higher operating expenses from expansion of the business, partially offset by higher revenue. Cash inflows from changes in operating assets and liabilities for the three months ended March 31, 2020 was primarily due to a decrease in accounts receivable due to the timing of collections and cases performed, partly offset by decreases in accrued expenses and other liabilities due to timing of payments. Cash inflows from changes in operating assets and liabilities for the three months ended March 31, 2019 was primarily due to the timing of payments of our accounts payable, accrued expenses and other liabilities.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Provided by (Used in) Investing Activities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Net cash provided by investing activities in the three months ended March 31, 2020 was $3.3 million compared to net cash used in investing activities of $5.6 million in the three months ended March 31, 2019. Net cash provided by investing activities for the three months ended March 31, 2020 consisted of maturities of our marketable securities of $21.0 million, partially offset by purchases of marketable securities of $16.8 million and purchases of property and equipment of $0.9 million. Net cash used in investing activities for the three months ended March 31, 2019 consisted of purchases of marketable securities of $22.7 million and purchases of property and equipment of $0.4 million, partially offset by maturities of marketable securities of 17.6 million.</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Cash provided by financing activities in the three months ended March 31, 2020 was $63.2 million compared to $0.1 million in the three months ended March 31, 2019. Cash provided by financing activities for the three months ended March 31, 2020 consisted of proceeds from the follow-on public offering, net of underwriting discounts, commissions and offering costs of $63.0 million and proceeds received from exercises of stock options of $0.2 million. Cash provided by financing activities for the three months ended March 31, 2019 consisted of proceeds from exercises of stock options.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9" w:name="page30"/>
    <w:bookmarkEnd w:id="29"/>
    <w:p>
      <w:pPr>
        <w:jc w:val="both"/>
        <w:ind w:firstLine="445"/>
        <w:spacing w:after="0" w:line="259" w:lineRule="auto"/>
        <w:rPr>
          <w:sz w:val="20"/>
          <w:szCs w:val="20"/>
          <w:color w:val="auto"/>
        </w:rPr>
      </w:pPr>
      <w:r>
        <w:rPr>
          <w:rFonts w:ascii="Arial" w:cs="Arial" w:eastAsia="Arial" w:hAnsi="Arial"/>
          <w:sz w:val="18"/>
          <w:szCs w:val="18"/>
          <w:color w:val="auto"/>
        </w:rPr>
        <w:t>Our critical accounting policies and estimates are described in "Management's Discussion and Analysis of Financial Condition and Results of Operations - Critical Accounting Policies and Estimates" in our Annual Report on Form 10-K filed with the SEC on March 11, 2020. There had been no material changes to these accounting policies. See Note 2 of Notes to Condensed Consolidated Financial Statements (Unaudited) for related discussions on updates on recently issued accounting pronouncements.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results of operations, liquidity, capital expenditures or capital resources that is material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April 2012, the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are not be subject to the same new or revised accounting standards as other public companies that are not emerging growth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See Note 2 of Notes to Condensed Consolidated Financial Statements (Unaudited) for related discussions on updates on recently issued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pursuant to the Securities and Exchange Act of 1934, as amended (the “Exchange Act”), is recorded, processed, summarized and reported within the time periods specified in the rules and forms of the Securities and Exchange Commission, and that such information is accumulated and communicated to our management, including our Chief Executive Officer ("CEO") and Chief Operating Officer and Chief Financial Officer ("COO/CFO"), as appropriate, to allow timely decisions regarding required disclosure.</w:t>
      </w:r>
    </w:p>
    <w:p>
      <w:pPr>
        <w:spacing w:after="0" w:line="21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that such improvements will be sufficient to provide us with effective internal control over financial reporting.</w:t>
      </w:r>
    </w:p>
    <w:p>
      <w:pPr>
        <w:spacing w:after="0" w:line="22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Management, with the participation of the CEO and COO/CFO, evaluated the effectiveness of the design and operation of our disclosure controls and procedures as defined in Rules 13a-15(e) and 15d-15(e) of the Exchange Act as of the end of the period covered by this report. Based on this evaluation, our CEO and COO/CFO have concluded that, as of March 31, 2020, our disclosure controls and procedures were effective at the reasonable assurances level.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2020, that have materially affected, or are reasonably likely to materially affect, our internal control over financial reporting. In response to the COVID-19 pandemic, our employees have begun working from home beginning on March 17, 2020. Management has taken measures to ensure that our internal control over financial reporting are unchanged during this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 xml:space="preserve">For information regarding legal proceedings, refer to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in “Note 6 </w:t>
      </w:r>
      <w:r>
        <w:rPr>
          <w:rFonts w:ascii="Arial" w:cs="Arial" w:eastAsia="Arial" w:hAnsi="Arial"/>
          <w:sz w:val="18"/>
          <w:szCs w:val="18"/>
          <w:i w:val="1"/>
          <w:iCs w:val="1"/>
          <w:color w:val="auto"/>
        </w:rPr>
        <w:t>-</w:t>
      </w:r>
      <w:r>
        <w:rPr>
          <w:rFonts w:ascii="Arial" w:cs="Arial" w:eastAsia="Arial" w:hAnsi="Arial"/>
          <w:sz w:val="18"/>
          <w:szCs w:val="18"/>
          <w:color w:val="auto"/>
        </w:rPr>
        <w:t xml:space="preserve"> Commitments and Contingencies” in the accompanying Notes to Condensed Consolidated Financial Statements (Unaudited), which information is incorporated by reference here.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Investors should carefully consider the risks described below, as well as the other information in this Quarterly Report on Form 10-Q, including our condensed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17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We have incurred net losses since our inception in 2008. For the three months ended March 31, 2020, we had net loss of $12.8 million. For the years ended December 31, 2019 and 2018, we had net losses of $38.4 million and $17.5 million, respectively. As of March 31, 2020, we had an accumulated deficit of $208.4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and even if we are able to do so, our ability to do so has been delayed by the COVID-19 pandemic. Once restrictive measures put in place to deal with the COVID-19 outbreak are lifted and we determine that we are able to resume normal operations, we expect that our operating expenses will continue to increase as we continue to build our commercial infrastructure, develop, enhance, and commercialize our existing and new products.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3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expected future capital requirements may depend on many factors including expanding our surgeon base, the expansion of our sales 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1" w:name="page32"/>
    <w:bookmarkEnd w:id="31"/>
    <w:p>
      <w:pPr>
        <w:jc w:val="both"/>
        <w:ind w:firstLine="405"/>
        <w:spacing w:after="0" w:line="308" w:lineRule="auto"/>
        <w:rPr>
          <w:sz w:val="20"/>
          <w:szCs w:val="20"/>
          <w:color w:val="auto"/>
        </w:rPr>
      </w:pPr>
      <w:r>
        <w:rPr>
          <w:rFonts w:ascii="Arial" w:cs="Arial" w:eastAsia="Arial" w:hAnsi="Arial"/>
          <w:sz w:val="17"/>
          <w:szCs w:val="17"/>
          <w:b w:val="1"/>
          <w:bCs w:val="1"/>
          <w:i w:val="1"/>
          <w:iCs w:val="1"/>
          <w:color w:val="auto"/>
        </w:rPr>
        <w:t>Epidemic diseases, or the perception of their effects, have had and could have (or, in the case of the COVID-19 pandemic, will continue to have during its duration) a material adverse effect on our business, financial condition, results of operations, or cash flows.</w:t>
      </w:r>
    </w:p>
    <w:p>
      <w:pPr>
        <w:spacing w:after="0" w:line="146"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Outbreaks of epidemic, pandemic, or contagious diseases, such as COVID-19, and historically, the Ebola virus, Middle East Respiratory Syndrome, Severe Acute Respiratory Syndrome, or the H1N1 influenza virus, could divert medical resources and priorities towards the treatment of that disease. An outbreak of a contagious disease, or continued escalation of the outbreak of COVID-19 could also negatively affect hospital admission rates and the decision by patients to undergo elective surgery, which could decrease demand for procedures using our iFuse implants and cause other disruptions to our business. Business disruptions could include disruptions or restrictions on our ability to travel or to distribute our products, government orders suspending the performance of elective surgical procedures such as the iFuse procedure,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epidemic, pandemic, or contagious diseases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iFuse implants that are performed and have a material adverse effect on our business, financial condition, results of operations, or cash flows.</w:t>
      </w:r>
    </w:p>
    <w:p>
      <w:pPr>
        <w:spacing w:after="0" w:line="179"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To date, COVID-19 has had, and we expect will continue to have, an adverse impact on our operations as a result of preventive and precautionary measures that we, other businesses, health systems and governments are taking. Due to these impacts and measures, we have experienced and expect to continue to experience significant and unpredictable reductions in the demand for our products, negatively impacted by hospital admission rates and the decision by patients to undergo elective surgery, which decreased the demand for procedures using our iFuse implants. These developments and effects are expected to continue and may also significantly affect our business across the U.S. and other countries where COVID-19 has spread and may continue to spread. There are numerous uncertainties associated with this COVID-19 outbreak, including the number of individuals who will become infected, whether a vaccine or cure that mitigates the effect of the virus will be synthesized, and, if so, when such vaccine or cure will be ready to be used, the extent of the protective and preventative measures that have been put in place by both governmental entities and other businesses and those that may be put in place in the future, whether the virus's impact will be seasonal, the effect that testing for COVID-19 and antibodies, once available, will enable relaxation of protective measures for a subset of the population, and numerous other uncertainties. We intend to continue to execute on our strategic plans and operational initiatives during the COVID-19 outbreak. However, the aforementioned uncertainties may result in delays or modifications to these plans and initiatives.</w:t>
      </w:r>
    </w:p>
    <w:p>
      <w:pPr>
        <w:spacing w:after="0" w:line="210"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Existing travel restrictions, and the risk that countries may continue to close borders, impose prolonged quarantines, and further restrict travel, limits our ability to reach surgeons with our goal of increasing surgeon activity by educating them to include the sacroiliac joint in their differential diagnosis of lower back pain and to regularly perform the iFuse procedure for patients for whom the procedure is indicated.</w:t>
      </w:r>
    </w:p>
    <w:p>
      <w:pPr>
        <w:spacing w:after="0" w:line="20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the COVID-19 pandemic has adversely affected, and may continue to adversely affect, the economies and financial markets of many countries, which may result in a period of regional, national, and global economic slowdown or regional, national, or global recessions that could curtail or delay spending by hospitals and affect demand for our products as well as increased risk of customer defaults or delays in payments. These market disruptions could impair our ability to raise capital, should our business experience a prolonged period of reduced revenue requiring additional capital to sustain the business. COVID-19 and the current financial, economic, and capital markets environment, and future developments in these and other areas present material uncertainty and risk with respect to our performance, financial condition, results of operations, and cash flows. Due to the uncertain scope and duration of the pandemic and uncertain timing of global recovery and economic normalization, we are unable to estimate the impacts on our operations and financial results. As a result, we have withdrawn our full year 2020 financial and procedure guidance.</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existence and further duration of the COVID-19 pandemic may also further exacerbate certain of the risks described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p>
      <w:pPr>
        <w:jc w:val="both"/>
        <w:spacing w:after="0" w:line="342" w:lineRule="auto"/>
        <w:rPr>
          <w:sz w:val="20"/>
          <w:szCs w:val="20"/>
          <w:color w:val="auto"/>
        </w:rPr>
      </w:pPr>
      <w:r>
        <w:rPr>
          <w:rFonts w:ascii="Arial" w:cs="Arial" w:eastAsia="Arial" w:hAnsi="Arial"/>
          <w:sz w:val="16"/>
          <w:szCs w:val="16"/>
          <w:b w:val="1"/>
          <w:bCs w:val="1"/>
          <w:i w:val="1"/>
          <w:iCs w:val="1"/>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3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Adequate coverage and reimbursement for procedures performed with our products is central to the acceptance of our current and future products. We may be unable to sell our products on a profitable basis if third-party payors deny coverage or reduce their current levels of payment, or if reimbursement levels are insufficient to support use of our products or compensate surgeons for their time spent diagnosing patients and performing procedures using our products. For example, our sales decreased significantly after minimally invasive sacroiliac joint fusion was assigned to a Category III Current Procedural Terminology ("CPT") code effective July 1, 2013. After implementation of this Category III CPT Code, surgeons were no longer able to consistently obtain reimbursement for procedures performed using our products. However, effective January 1, 2015, minimally invasive sacroiliac joint fusion was assigned to a Category I CPT Code.</w:t>
      </w:r>
    </w:p>
    <w:p>
      <w:pPr>
        <w:spacing w:after="0" w:line="14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Many private payors refer to coverage decisions and payment amounts determined by the Centers for Medicare and Medicaid Services ("CMS"), which administers the Medicare program, as guidelines for setting their coverage and reimbursement policies. By December 31, 2016, all Medicare Administrative Contractors were regularly reimbursing for minimally invasive sacroiliac joint fusion. Private payors that do not follow the Medicare guidelines may adopt different coverage and reimbursement policies for procedures performed with our products. Private commercial payors have been slower to adopt positive coverage policies for minimally invasive sacroiliac joint fusion, and many private payors still have policies that treat the procedure as experimental or investigational and do not regularly reimburse for the procedure. Future action by CMS or third-party payors may further reduce the availability of payments to physicians, outpatient surgery centers, and/or hospitals for procedures using our products.</w:t>
      </w:r>
    </w:p>
    <w:p>
      <w:pPr>
        <w:spacing w:after="0" w:line="20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healthcare industry in the U.S.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For example, several Blue Cross Blue Shield payors have adopted policies that treat 3D-printed orthopedic implants that come in standard sizes, rather than customized to the patient’s anatomy, such as our iFuse-3D implant, as experimental and investigational and therefore not eligible for reimbursement. There can be no guarantee that we will be able to provide the scientific and clinical data necessary to overcome these policies. Such policies may contribute to a decrease in sales of our iFuse-3D implants.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20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1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When an iFuse procedure is performed, both the surgeon and the healthcare facility, either a hospital or ambulatory surgical center, submit claims for reimbursement to the healthcare payor. Generally, the facility obtains a lump sum payment, or facility fee, for minimally invasive sacroiliac joint fusions. Our products are purchased by the facility, along with other supplies used in the procedure. The facility must also pay for its own fixed costs of operation, including certain operating room personnel involved in the procedure. If these costs exceed the facility fee reimbursement, the facility’s managers may discourage or restrict surgeons from performing the procedure in the facility or using certain technologies, such as our iFuse implants, to perform the procedure.</w:t>
      </w:r>
    </w:p>
    <w:p>
      <w:pPr>
        <w:spacing w:after="0" w:line="21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Effective January 1, 2020, the national average Medicare payment to hospital outpatient departments is $15,944 and the Medicare payment to an ambulatory surgical center for a sacroiliac joint fusion is $12,981. We believe that payments to facilities are generally adequate for these facilities to offer the iFuse procedure. However, there can be no guarantee that these facility fee payments will not decline in the future. The number of iFuse procedures performed and the prices paid for our implants may in the future decline if payments to facilities for minimally invasive sacroiliac joint fusions decline.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3" w:name="page34"/>
    <w:bookmarkEnd w:id="33"/>
    <w:p>
      <w:pPr>
        <w:jc w:val="both"/>
        <w:ind w:firstLine="405"/>
        <w:spacing w:after="0" w:line="291" w:lineRule="auto"/>
        <w:rPr>
          <w:sz w:val="20"/>
          <w:szCs w:val="20"/>
          <w:color w:val="auto"/>
        </w:rPr>
      </w:pPr>
      <w:r>
        <w:rPr>
          <w:rFonts w:ascii="Arial" w:cs="Arial" w:eastAsia="Arial" w:hAnsi="Arial"/>
          <w:sz w:val="16"/>
          <w:szCs w:val="16"/>
          <w:color w:val="auto"/>
        </w:rPr>
        <w:t>Surgeons are reimbursed separately for their professional time and effort to perform a surgical procedure. Prior to reassignment of minimally invasive sacroiliac joint fusion to a Category III CPT Code, the national average Medicare physician fee schedule payment to surgeons for CPT codes commonly used to submit claims for reimbursement for the iFuse procedure was approximately $1,000 and the procedure was commonly covered by both government and private commercial payors in the U.S. Effective January 1, 2020, the average Medicare payment for the Category I CPT code is $915. Many private payors set their payment amounts with reference to the Medicare payment, often approximately 10% to 33% higher than the Medicare payment for a procedure. For some governmental programs, such as Medicaid, coverage and reimbursement differ from state to state, and some state Medicaid programs may not pay an adequate amount for the procedures performed with our products, if any payment is made at all.</w:t>
      </w:r>
    </w:p>
    <w:p>
      <w:pPr>
        <w:spacing w:after="0" w:line="19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believe that some surgeons may continue to view the Medicare and commercial reimbursement amounts as insufficient for the procedure, given the work effort involved with the procedure, including the time to diagnose the patient and obtain prior authorization from the patient’s health insurer if necessary. Many private payors require extensive documentation of a multi-step diagnosis before authorizing minimally invasive sacroiliac joint fusion for a patient.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adversely affect our revenues.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6"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As of March 31, 2020, 33 of the largest 65 U.S. private payors that we track and target have issued positive coverage policies covering the patented triangular design of our iFuse implants and excluding coverage of other products that are intended to fuse the sacroiliac joint because of the clinical evidence supporting the use of iFuse and the lack of clinical evidence supporting the use of other products. Additionally, the public hospital system in France initiated coverage for iFuse exclusively beginning September 6, 2018. We believe that payors have adopted these exclusive coverage decisions due to the strength of our clinical evidence and in part due to recommendations of specialty benefit managers and healthcare technology assessment organizations. In 2018, AIM Specialty Health, Blue Cross Blue Shield Association Evidence Street, and eviCore Healthcare published positive coverage recommendations to their constituents and payor customers, recommending that iFuse be covered exclusively. Clinical trials of the type and size necessary to offer evidence of the safety and efficacy of competing products could be performed and could show that other products for sacroiliac joint fusion are as effective as, or more effective than, iFuse. Payors could also abandon their decisions to cover iFuse exclusively for other reasons. If healthcare payors covering a significant number of covered lives reverse their policies of covering minimally invasive sacroiliac joint fusion exclusively when performed with the iFuse system, sales of our iFuse implants could decline or fail to grow, which could adversely affect our business, results of operations and financial condition.</w:t>
      </w:r>
    </w:p>
    <w:p>
      <w:pPr>
        <w:spacing w:after="0" w:line="1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Surgeons play the primary role in determining the course of treatment in consultation with their patients and, ultimately, the product that will be used to treat a patient. In order for us to sell our iFuse system successfully, we must convince surgeons through education and training that treatment with iFuse is beneficial, safe, and cost-effective for patients as compared to our competitors’ products. If we are not successful in convincing surgeons of the merits of iFuse, their use of our products may decline, adversely affecting our revenues and profitability.</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Historically, most spine surgeons did not include an evaluation of the sacroiliac joint in their diagnostic work-up because they did not have an adequate surgical procedure to perform for patients diagnosed with sacroiliac joint dysfunction. As a result, some patients with lower back pain resulting from sacroiliac joint dysfunction have been misdiagnosed. We believe that educating surgeons and other healthcare professionals about the clinical merits and patient benefits of iFuse is an important element of building our business. If we fail to effectively educate surgeons and other medical professionals, they may not include a sacroiliac joint evaluation as part of their diagnosis and, as a result, those patients may continue to receive unnecessary surgical procedures or only non-surgical treatment.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117" w:lineRule="exact"/>
        <w:rPr>
          <w:sz w:val="20"/>
          <w:szCs w:val="20"/>
          <w:color w:val="auto"/>
        </w:rPr>
      </w:pPr>
    </w:p>
    <w:p>
      <w:pPr>
        <w:ind w:left="600" w:hanging="10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4" w:name="page35"/>
    <w:bookmarkEnd w:id="34"/>
    <w:p>
      <w:pPr>
        <w:jc w:val="both"/>
        <w:ind w:firstLine="445"/>
        <w:spacing w:after="0" w:line="301" w:lineRule="auto"/>
        <w:rPr>
          <w:sz w:val="20"/>
          <w:szCs w:val="20"/>
          <w:color w:val="auto"/>
        </w:rPr>
      </w:pPr>
      <w:r>
        <w:rPr>
          <w:rFonts w:ascii="Arial" w:cs="Arial" w:eastAsia="Arial" w:hAnsi="Arial"/>
          <w:sz w:val="16"/>
          <w:szCs w:val="16"/>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 benefits of using our products. If we are unable to provide that data, surgeons may not use our products. In such circumstances, we may not achieve expected sales and may be unable to achieve profitability.</w:t>
      </w:r>
    </w:p>
    <w:p>
      <w:pPr>
        <w:spacing w:after="0" w:line="157"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Many patients with sacroiliac joint dysfunction are cared for by pain physicians, who are generally trained as anesthesiologists or physical medicine and rehabilitation specialists. Pain physicians often offer a variety of non-surgical and surgical interventions to sacroiliac joint dysfunction patients, including, but not limited to, steroid injections, radiofrequency ablation of the nerves serving the sacroiliac joint and implantation of neurostimulation devices and other products intended to treat the sacroiliac joint or the pain it causes. Our professional education program seeks to teach pain physicians, and other health care providers, about the benefits of iFuse, in order to prompt these providers to refer their patients with sacroiliac joint dysfunction to surgeons who have been trained to perform the iFuse procedure. These providers may, however, prefer to continue to treat these patients with the interventions they offer. If we are unable to convince potential referring health care providers of the comparative benefits of iFuse, and we are therefore unable to prompt sufficient numbers of these providers to refer their patients with sacroiliac joint dysfunction for treatment by surgeons trained to perform the iFuse procedure, sales of our iFuse implants could decline or fail to grow, which could adversely affect our business, results of operations and financial condition.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62"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The products we currently market in the U.S. have either received premarket clearance under Section 510(k) of the U.S. Federal Food, Drug, and Cosmetic Act ("FDCA"), or are exempt from premarket review. Those marketed in the European Union ("EU"), have been the subject of a CE Certificate of Conformity. The 510(k) clearance process of the U.S. Food and Drug Administration ("FDA") requires us to document that our product is “substantially equivalent” to another 510(k)-cleared products. The 510(k) process is shorter and typically requires the submission of less supporting documentation than other FDA approval processes, such as a premarket approval, ("PMA"), and does not usually require pre-clinical or clinical studies. Additionally, to date, we have not been required to complete clinical studies in connection with the sale of our products outside the U.S.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 Similar risks apply to product approvals and registrations in other countries outside the U.S. and the EU as well.</w:t>
      </w:r>
    </w:p>
    <w:p>
      <w:pPr>
        <w:spacing w:after="0" w:line="2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7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8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84"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are unable to predict what changes will be made to the reimbursement methodologies used by third-party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increased pricing pressure.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jc w:val="both"/>
        <w:ind w:firstLine="445"/>
        <w:spacing w:after="0" w:line="269" w:lineRule="auto"/>
        <w:rPr>
          <w:sz w:val="20"/>
          <w:szCs w:val="20"/>
          <w:color w:val="auto"/>
        </w:rPr>
      </w:pPr>
      <w:r>
        <w:rPr>
          <w:rFonts w:ascii="Arial" w:cs="Arial" w:eastAsia="Arial" w:hAnsi="Arial"/>
          <w:sz w:val="17"/>
          <w:szCs w:val="17"/>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7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Physician-owned distributorships ("POD"), are medical device distributors that are owned, directly or indirectly, by physicians. These physicians profit from selling or arranging the sale of medical devices for use in procedures they perform on their own patients at hospitals that purchase the devices from the POD. We do not engage with PODs. The proliferation of PODs could result in increased pricing pressure on our products or harm our ability to sell our products to physicians who own or are affiliated with those distributorships.</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will likely cause procedures to be shifted from the hospital environment to ambulatory surgical centers, or ASCs, where pressure on the prices of our products is generally more acute.</w:t>
      </w:r>
    </w:p>
    <w:p>
      <w:pPr>
        <w:spacing w:after="0" w:line="62"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To protect health care professionals involved in surgical care and their patients, we anticipate that more outpatient eligible procedures will be performed in ASCs during the COVID-19 pandemic, and as its acuity declines and the healthcare system returns to a more normalized state. Since patients do not stay overnight in ASCs and COVID-19 patients would not otherwise be treated in ASCs, it is likely that the ASC will be viewed as a safer site of service for patients and health care providers, where the risk of transmission of the novel coronavirus can be more effectively controlled. Because ASC facility fee reimbursement is typically less than facility fee reimbursement for hospitals, we typically experience more pressure on the pricing of our products by ASCs than by hospitals, and the average price for which we sell our products to ASCs is less than the average prices we charge to hospitals. An accelerated shift of procedures using our products to ASCs as a result of the COVID-19 pandemic could adversely impact the average selling prices of our products and our revenues could suffer as a result.</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adversely affected.</w:t>
      </w:r>
    </w:p>
    <w:p>
      <w:pPr>
        <w:spacing w:after="0" w:line="6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currently marketed products are, and any future products we commercialize will likely be, subject to intense competition. Our field is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84"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number of competitors that we are aware of marketing sacroiliac joint fusion products in the U.S. has grown from zero to more than 20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us at a disadvantage.</w:t>
      </w:r>
    </w:p>
    <w:p>
      <w:pPr>
        <w:spacing w:after="0" w:line="17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the U.S., we believe that our primary competitors currently are Medtronic plc and Globus Medical, Inc.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6" w:name="page37"/>
    <w:bookmarkEnd w:id="36"/>
    <w:p>
      <w:pPr>
        <w:ind w:firstLine="445"/>
        <w:spacing w:after="0" w:line="277" w:lineRule="auto"/>
        <w:rPr>
          <w:sz w:val="20"/>
          <w:szCs w:val="20"/>
          <w:color w:val="auto"/>
        </w:rPr>
      </w:pPr>
      <w:r>
        <w:rPr>
          <w:rFonts w:ascii="Arial" w:cs="Arial" w:eastAsia="Arial" w:hAnsi="Arial"/>
          <w:sz w:val="18"/>
          <w:szCs w:val="18"/>
          <w:color w:val="auto"/>
        </w:rPr>
        <w:t>Some of our competitors are considerably larger than us, or are subsidiaries of larger companies. These competitors may enjoy several competitive advantages over us, including:</w:t>
      </w:r>
    </w:p>
    <w:p>
      <w:pPr>
        <w:spacing w:after="0" w:line="62" w:lineRule="exact"/>
        <w:rPr>
          <w:sz w:val="20"/>
          <w:szCs w:val="20"/>
          <w:color w:val="auto"/>
        </w:rPr>
      </w:pPr>
    </w:p>
    <w:p>
      <w:pPr>
        <w:ind w:left="600" w:hanging="106"/>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legal matters;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relationships with surgeons, hospitals, and other healthcare providers;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large and established sales and marketing and distribution networks;</w:t>
      </w:r>
    </w:p>
    <w:p>
      <w:pPr>
        <w:spacing w:after="0" w:line="117" w:lineRule="exact"/>
        <w:rPr>
          <w:rFonts w:ascii="Arial" w:cs="Arial" w:eastAsia="Arial" w:hAnsi="Arial"/>
          <w:sz w:val="18"/>
          <w:szCs w:val="18"/>
          <w:color w:val="auto"/>
        </w:rPr>
      </w:pPr>
    </w:p>
    <w:p>
      <w:pPr>
        <w:ind w:left="900" w:hanging="406"/>
        <w:spacing w:after="0" w:line="277" w:lineRule="auto"/>
        <w:tabs>
          <w:tab w:leader="none" w:pos="6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experience in obtaining and maintaining domestic and international regulatory clearances or approvals, or CE Certificates of Conformity for products and product enhancements;</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expansive portfolios of intellectual property rights;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ability to cross-sell their products or to incentivize hospitals or surgeons to use their products.</w:t>
      </w:r>
    </w:p>
    <w:p>
      <w:pPr>
        <w:spacing w:after="0" w:line="225"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products or that are alternatives to our existing or planned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manufacture and sell a single family of products focused on procedures, the goal of which is to stabilize and fuse the sacroiliac joint, which could negatively affect our operations and financial condition.</w:t>
      </w:r>
    </w:p>
    <w:p>
      <w:pPr>
        <w:spacing w:after="0" w:line="6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do not sell any product other than iFuse and related tools and instruments. Therefore, we are solely dependent on widespread market adoption of iFuse and we will continue to be dependent on the success of this single product for the foreseeable future. There can be no assurance that iFuse will gain a substantial degree of market acceptance among surgeons, patients or healthcare providers. Our failure to successfully grow the market for iFuse and increase our share within that market or any other event impeding our ability to sell iFuse, could adversely affect our results of operations, financial condition and continuing operations.</w:t>
      </w:r>
    </w:p>
    <w:p>
      <w:pPr>
        <w:spacing w:after="0" w:line="29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38"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In November 2018, we introduced our iFuse Bedrock technique, in which spine surgeons place iFuse implants across the sacroiliac joint using a different surgical approach to treat sacroiliac joint dysfunction at the same time they are fusing multiple levels of the spine above and affixing those spinal fusion devices to the pelvis. In April 2019, the FDA cleared promotion of iFuse Bedrock for a broader and more general purpose, to provide additional stability and immobilization of the sacroiliac joint in connection with a thoracolumbar fusion procedure. To date, clinical experience with the iFuse Bedrock technique is limited and we have yet to complete a clinical trial to evaluate the iFuse Bedrock technique. Surgeons do not know if the addition of iFuse implants to the implants used to fuse multiple levels of the lumbar spine will result in patient benefit. If surgeons' clinical experience with iFuse Bedrock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our network of direct sales representatives and third-party distributors, we may not be able to generate anticipated sales.</w:t>
      </w:r>
    </w:p>
    <w:p>
      <w:pPr>
        <w:spacing w:after="0" w:line="1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March 31, 2020, our U.S. sales force consisted of 62 territory sales managers and 53 clinical support specialists directly employed by us, and 37 third-party distributors. As of March 31, 2020, our international sales force consisted of 19 sales representatives directly employed by us and 31 third-party distributors, which together have had sales in 35 countries through March 31, 2020. Our operating results are directly dependent upon the sales and marketing efforts of both our direct sales force and of our third-party distributors.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7" w:name="page38"/>
    <w:bookmarkEnd w:id="37"/>
    <w:p>
      <w:pPr>
        <w:jc w:val="both"/>
        <w:ind w:firstLine="445"/>
        <w:spacing w:after="0" w:line="291" w:lineRule="auto"/>
        <w:rPr>
          <w:sz w:val="20"/>
          <w:szCs w:val="20"/>
          <w:color w:val="auto"/>
        </w:rPr>
      </w:pPr>
      <w:r>
        <w:rPr>
          <w:rFonts w:ascii="Arial" w:cs="Arial" w:eastAsia="Arial" w:hAnsi="Arial"/>
          <w:sz w:val="16"/>
          <w:szCs w:val="16"/>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66"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16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11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are dependent upon the continued services of key members of our senior management and a limited number of key advisors and personnel. In particular, we are highly dependent on the skills and leadership of our President, Chief Executive Officer, and Chairman, Jeffrey W. Dunn.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may have undesirable side effects which may require them to be taken off the market, require them to include safety warnings or otherwise limit their sales.</w:t>
      </w:r>
    </w:p>
    <w:p>
      <w:pPr>
        <w:spacing w:after="0" w:line="6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117" w:lineRule="exact"/>
        <w:rPr>
          <w:sz w:val="20"/>
          <w:szCs w:val="20"/>
          <w:color w:val="auto"/>
        </w:rPr>
      </w:pPr>
    </w:p>
    <w:p>
      <w:pPr>
        <w:ind w:left="600" w:hanging="106"/>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117" w:lineRule="exact"/>
        <w:rPr>
          <w:rFonts w:ascii="Arial" w:cs="Arial" w:eastAsia="Arial" w:hAnsi="Arial"/>
          <w:sz w:val="18"/>
          <w:szCs w:val="18"/>
          <w:color w:val="auto"/>
        </w:rPr>
      </w:pPr>
    </w:p>
    <w:p>
      <w:pPr>
        <w:ind w:left="900" w:right="20" w:hanging="406"/>
        <w:spacing w:after="0" w:line="277" w:lineRule="auto"/>
        <w:tabs>
          <w:tab w:leader="none" w:pos="6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900" w:hanging="406"/>
        <w:spacing w:after="0" w:line="277" w:lineRule="auto"/>
        <w:tabs>
          <w:tab w:leader="none" w:pos="6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 (temporarily or permanently) or to conduct other field safety corrective actions;</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8" w:name="page39"/>
    <w:bookmarkEnd w:id="38"/>
    <w:p>
      <w:pPr>
        <w:jc w:val="both"/>
        <w:ind w:firstLine="445"/>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76" w:lineRule="exact"/>
        <w:rPr>
          <w:sz w:val="20"/>
          <w:szCs w:val="20"/>
          <w:color w:val="auto"/>
        </w:rPr>
      </w:pPr>
    </w:p>
    <w:p>
      <w:pPr>
        <w:ind w:left="600" w:hanging="106"/>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large-scale epidemics of communicable diseases such as COVID-19;</w:t>
      </w:r>
    </w:p>
    <w:p>
      <w:pPr>
        <w:spacing w:after="0" w:line="117" w:lineRule="exact"/>
        <w:rPr>
          <w:rFonts w:ascii="Arial" w:cs="Arial" w:eastAsia="Arial" w:hAnsi="Arial"/>
          <w:sz w:val="18"/>
          <w:szCs w:val="18"/>
          <w:color w:val="auto"/>
        </w:rPr>
      </w:pPr>
    </w:p>
    <w:p>
      <w:pPr>
        <w:ind w:left="900" w:hanging="406"/>
        <w:spacing w:after="0" w:line="277" w:lineRule="auto"/>
        <w:tabs>
          <w:tab w:leader="none" w:pos="6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of such products.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risks were to materialize, our ability to provide our products to customers on a timely basis could be adversely impacted.</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7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rely on third-party suppliers to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investors that we will be able to obtain sufficient quantities of product in the future.</w:t>
      </w:r>
    </w:p>
    <w:p>
      <w:pPr>
        <w:spacing w:after="0" w:line="18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In addition future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6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generally use a small number of suppliers for our instruments and rely on RMS for iFuse 3D implants and Orchid for iFuse implants. Our dependence on such a limited number of suppliers exposes us to risks, including, among other things:</w:t>
      </w:r>
    </w:p>
    <w:p>
      <w:pPr>
        <w:spacing w:after="0" w:line="62" w:lineRule="exact"/>
        <w:rPr>
          <w:sz w:val="20"/>
          <w:szCs w:val="20"/>
          <w:color w:val="auto"/>
        </w:rPr>
      </w:pPr>
    </w:p>
    <w:p>
      <w:pPr>
        <w:ind w:left="900" w:right="20" w:hanging="406"/>
        <w:spacing w:after="0" w:line="277" w:lineRule="auto"/>
        <w:tabs>
          <w:tab w:leader="none" w:pos="6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62" w:lineRule="exact"/>
        <w:rPr>
          <w:rFonts w:ascii="Arial" w:cs="Arial" w:eastAsia="Arial" w:hAnsi="Arial"/>
          <w:sz w:val="18"/>
          <w:szCs w:val="18"/>
          <w:color w:val="auto"/>
        </w:rPr>
      </w:pPr>
    </w:p>
    <w:p>
      <w:pPr>
        <w:ind w:left="900" w:hanging="406"/>
        <w:spacing w:after="0" w:line="308" w:lineRule="auto"/>
        <w:tabs>
          <w:tab w:leader="none" w:pos="60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38" w:lineRule="exact"/>
        <w:rPr>
          <w:rFonts w:ascii="Arial" w:cs="Arial" w:eastAsia="Arial" w:hAnsi="Arial"/>
          <w:sz w:val="17"/>
          <w:szCs w:val="17"/>
          <w:color w:val="auto"/>
        </w:rPr>
      </w:pPr>
    </w:p>
    <w:p>
      <w:pPr>
        <w:ind w:left="900" w:hanging="406"/>
        <w:spacing w:after="0" w:line="277" w:lineRule="auto"/>
        <w:tabs>
          <w:tab w:leader="none" w:pos="6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62" w:lineRule="exact"/>
        <w:rPr>
          <w:rFonts w:ascii="Arial" w:cs="Arial" w:eastAsia="Arial" w:hAnsi="Arial"/>
          <w:sz w:val="18"/>
          <w:szCs w:val="18"/>
          <w:color w:val="auto"/>
        </w:rPr>
      </w:pPr>
    </w:p>
    <w:p>
      <w:pPr>
        <w:ind w:left="900" w:right="20" w:hanging="406"/>
        <w:spacing w:after="0" w:line="277" w:lineRule="auto"/>
        <w:tabs>
          <w:tab w:leader="none" w:pos="62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62" w:lineRule="exact"/>
        <w:rPr>
          <w:rFonts w:ascii="Arial" w:cs="Arial" w:eastAsia="Arial" w:hAnsi="Arial"/>
          <w:sz w:val="18"/>
          <w:szCs w:val="18"/>
          <w:color w:val="auto"/>
        </w:rPr>
      </w:pPr>
    </w:p>
    <w:p>
      <w:pPr>
        <w:ind w:left="900" w:hanging="406"/>
        <w:spacing w:after="0" w:line="277" w:lineRule="auto"/>
        <w:tabs>
          <w:tab w:leader="none" w:pos="6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and components, resulting in an interruption in the manufacture, assembly and shipment of our systems;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9" w:name="page40"/>
    <w:bookmarkEnd w:id="39"/>
    <w:p>
      <w:pPr>
        <w:ind w:left="900" w:hanging="406"/>
        <w:spacing w:after="0" w:line="277" w:lineRule="auto"/>
        <w:tabs>
          <w:tab w:leader="none" w:pos="6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third-party manufacturers could experience plant closures do local epidemics of communicable diseases, such as COVID-19, or local outbreaks of such diseases among their workforce, thereby shuttering a plant in which our products are manufactured;</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experience delays in delivery by our third-party manufacturers and suppliers due to changes in demand from us or their other customers;</w:t>
      </w:r>
    </w:p>
    <w:p>
      <w:pPr>
        <w:spacing w:after="0" w:line="140" w:lineRule="exact"/>
        <w:rPr>
          <w:rFonts w:ascii="Arial" w:cs="Arial" w:eastAsia="Arial" w:hAnsi="Arial"/>
          <w:sz w:val="16"/>
          <w:szCs w:val="16"/>
          <w:color w:val="auto"/>
        </w:rPr>
      </w:pPr>
    </w:p>
    <w:p>
      <w:pPr>
        <w:ind w:left="900" w:hanging="406"/>
        <w:spacing w:after="0" w:line="277" w:lineRule="auto"/>
        <w:tabs>
          <w:tab w:leader="none" w:pos="6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third-party manufacturers and suppliers may wish to discontinue supplying components or services to us for risk management reasons;</w:t>
      </w:r>
    </w:p>
    <w:p>
      <w:pPr>
        <w:spacing w:after="0" w:line="128" w:lineRule="exact"/>
        <w:rPr>
          <w:rFonts w:ascii="Arial" w:cs="Arial" w:eastAsia="Arial" w:hAnsi="Arial"/>
          <w:sz w:val="17"/>
          <w:szCs w:val="17"/>
          <w:color w:val="auto"/>
        </w:rPr>
      </w:pPr>
    </w:p>
    <w:p>
      <w:pPr>
        <w:ind w:left="900" w:hanging="406"/>
        <w:spacing w:after="0" w:line="277" w:lineRule="auto"/>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62" w:lineRule="exact"/>
        <w:rPr>
          <w:rFonts w:ascii="Arial" w:cs="Arial" w:eastAsia="Arial" w:hAnsi="Arial"/>
          <w:sz w:val="18"/>
          <w:szCs w:val="18"/>
          <w:color w:val="auto"/>
        </w:rPr>
      </w:pPr>
    </w:p>
    <w:p>
      <w:pPr>
        <w:ind w:left="900" w:hanging="406"/>
        <w:spacing w:after="0" w:line="277" w:lineRule="auto"/>
        <w:tabs>
          <w:tab w:leader="none" w:pos="6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7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46"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172"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78"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may also have difficulty obtaining similar components from other suppliers that are acceptable to the FDA our Notified Body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6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encounter problems or delays in the assembly of our products or fail to meet certain regulatory requirements which could result in an adverse effect on our business and financial results.</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After the most acute effects of the COVID-19 pandemic subside, 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57" w:lineRule="exact"/>
        <w:rPr>
          <w:sz w:val="20"/>
          <w:szCs w:val="20"/>
          <w:color w:val="auto"/>
        </w:rPr>
      </w:pPr>
    </w:p>
    <w:p>
      <w:pPr>
        <w:ind w:left="600" w:hanging="10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25"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If we are unable to satisfy commercial demand for our iFuse system due to our inability to assemble and test, our ability to generate revenue would be impaired, market acceptance of our products could be adversely affected and customers may instead purchase or use our competitors’ products.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enhance and broaden our product offerings through our research and development efforts, we may be unable to compete effectively.</w:t>
      </w:r>
    </w:p>
    <w:p>
      <w:pPr>
        <w:spacing w:after="0" w:line="140"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In order to increase our market share in the sacroiliac joint fusion market,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68" w:lineRule="exact"/>
        <w:rPr>
          <w:sz w:val="20"/>
          <w:szCs w:val="20"/>
          <w:color w:val="auto"/>
        </w:rPr>
      </w:pPr>
    </w:p>
    <w:p>
      <w:pPr>
        <w:ind w:left="600" w:hanging="10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117" w:lineRule="exact"/>
        <w:rPr>
          <w:rFonts w:ascii="Arial" w:cs="Arial" w:eastAsia="Arial" w:hAnsi="Arial"/>
          <w:sz w:val="18"/>
          <w:szCs w:val="18"/>
          <w:color w:val="auto"/>
        </w:rPr>
      </w:pPr>
    </w:p>
    <w:p>
      <w:pPr>
        <w:ind w:left="900" w:right="20" w:hanging="406"/>
        <w:spacing w:after="0" w:line="277" w:lineRule="auto"/>
        <w:tabs>
          <w:tab w:leader="none" w:pos="6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17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 resources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129"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As a result of the need to maintain adequate levels of inventory, we are subject to the risk of inventory obsolescence. Many of our products come in sets, which feature components in a variety of sizes so that the implant or device may be customized to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1" w:name="page42"/>
    <w:bookmarkEnd w:id="41"/>
    <w:p>
      <w:pPr>
        <w:jc w:val="both"/>
        <w:ind w:firstLine="445"/>
        <w:spacing w:after="0" w:line="340" w:lineRule="auto"/>
        <w:rPr>
          <w:sz w:val="20"/>
          <w:szCs w:val="20"/>
          <w:color w:val="auto"/>
        </w:rPr>
      </w:pPr>
      <w:r>
        <w:rPr>
          <w:rFonts w:ascii="Arial" w:cs="Arial" w:eastAsia="Arial" w:hAnsi="Arial"/>
          <w:sz w:val="15"/>
          <w:szCs w:val="15"/>
          <w:b w:val="1"/>
          <w:bCs w:val="1"/>
          <w:i w:val="1"/>
          <w:iCs w:val="1"/>
          <w:color w:val="auto"/>
        </w:rPr>
        <w:t>The size and future growth in the market for iFuse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spacing w:after="0" w:line="2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We are not aware of an independent third-party study that reliably reports the potential market size for iFuse or cost savings as a result of the iFuse procedure. Therefore, our estimates of the size and potential for future growth in the market for our iFuse products, including cost savings to the economy overall, including patients and employers, and to the healthcare system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For example, the surveys we have conducted are based on a small number of respondents and are not statistically significant and may have other limitations.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international business effectively.</w:t>
      </w:r>
    </w:p>
    <w:p>
      <w:pPr>
        <w:spacing w:after="0" w:line="117"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U.S., including the Office of Foreign Asset Control of the U.S. Treasury. Any failure to comply with applicable legal and regulatory obligations in the U.S.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some of the countries in which we sell or plan to sell our products are, to some degree, subject to various risks, including:</w:t>
      </w:r>
    </w:p>
    <w:p>
      <w:pPr>
        <w:spacing w:after="0" w:line="117" w:lineRule="exact"/>
        <w:rPr>
          <w:sz w:val="20"/>
          <w:szCs w:val="20"/>
          <w:color w:val="auto"/>
        </w:rPr>
      </w:pPr>
    </w:p>
    <w:p>
      <w:pPr>
        <w:ind w:left="600" w:hanging="10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117" w:lineRule="exact"/>
        <w:rPr>
          <w:rFonts w:ascii="Arial" w:cs="Arial" w:eastAsia="Arial" w:hAnsi="Arial"/>
          <w:sz w:val="18"/>
          <w:szCs w:val="18"/>
          <w:color w:val="auto"/>
        </w:rPr>
      </w:pPr>
    </w:p>
    <w:p>
      <w:pPr>
        <w:ind w:left="900" w:hanging="406"/>
        <w:spacing w:after="0" w:line="277" w:lineRule="auto"/>
        <w:tabs>
          <w:tab w:leader="none" w:pos="6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25"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2" w:name="page43"/>
    <w:bookmarkEnd w:id="42"/>
    <w:p>
      <w:pPr>
        <w:jc w:val="both"/>
        <w:ind w:firstLine="445"/>
        <w:spacing w:after="0" w:line="263" w:lineRule="auto"/>
        <w:rPr>
          <w:sz w:val="20"/>
          <w:szCs w:val="20"/>
          <w:color w:val="auto"/>
        </w:rPr>
      </w:pPr>
      <w:r>
        <w:rPr>
          <w:rFonts w:ascii="Arial" w:cs="Arial" w:eastAsia="Arial" w:hAnsi="Arial"/>
          <w:sz w:val="18"/>
          <w:szCs w:val="18"/>
          <w:color w:val="auto"/>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11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medical and changes through the development and introduction of new products. Product development involves a high degree of risk and there can be no assurance that our new product development efforts will result in any commercially successful products.</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62" w:lineRule="exact"/>
        <w:rPr>
          <w:sz w:val="20"/>
          <w:szCs w:val="20"/>
          <w:color w:val="auto"/>
        </w:rPr>
      </w:pPr>
    </w:p>
    <w:p>
      <w:pPr>
        <w:ind w:left="600" w:hanging="106"/>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117" w:lineRule="exact"/>
        <w:rPr>
          <w:sz w:val="20"/>
          <w:szCs w:val="20"/>
          <w:color w:val="auto"/>
        </w:rPr>
      </w:pPr>
    </w:p>
    <w:p>
      <w:pPr>
        <w:ind w:left="600" w:hanging="10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 or breach of our cybersecurity;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w:t>
      </w:r>
    </w:p>
    <w:p>
      <w:pPr>
        <w:spacing w:after="0" w:line="18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65"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3" w:name="page44"/>
    <w:bookmarkEnd w:id="43"/>
    <w:p>
      <w:pPr>
        <w:jc w:val="both"/>
        <w:spacing w:after="0" w:line="375" w:lineRule="auto"/>
        <w:rPr>
          <w:sz w:val="20"/>
          <w:szCs w:val="20"/>
          <w:color w:val="auto"/>
        </w:rPr>
      </w:pPr>
      <w:r>
        <w:rPr>
          <w:rFonts w:ascii="Arial" w:cs="Arial" w:eastAsia="Arial" w:hAnsi="Arial"/>
          <w:sz w:val="15"/>
          <w:szCs w:val="15"/>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76" w:lineRule="exact"/>
        <w:rPr>
          <w:sz w:val="20"/>
          <w:szCs w:val="20"/>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62"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7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 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4" w:name="page45"/>
    <w:bookmarkEnd w:id="44"/>
    <w:p>
      <w:pPr>
        <w:jc w:val="both"/>
        <w:ind w:firstLine="445"/>
        <w:spacing w:after="0" w:line="269" w:lineRule="auto"/>
        <w:rPr>
          <w:sz w:val="20"/>
          <w:szCs w:val="20"/>
          <w:color w:val="auto"/>
        </w:rPr>
      </w:pPr>
      <w:r>
        <w:rPr>
          <w:rFonts w:ascii="Arial" w:cs="Arial" w:eastAsia="Arial" w:hAnsi="Arial"/>
          <w:sz w:val="17"/>
          <w:szCs w:val="17"/>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U.S. and abroad, and failure to comply with applicable requirements could cause our business to suffer.</w:t>
      </w:r>
    </w:p>
    <w:p>
      <w:pPr>
        <w:spacing w:after="0" w:line="62"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38" w:lineRule="exact"/>
        <w:rPr>
          <w:sz w:val="20"/>
          <w:szCs w:val="20"/>
          <w:color w:val="auto"/>
        </w:rPr>
      </w:pPr>
    </w:p>
    <w:p>
      <w:pPr>
        <w:ind w:left="600" w:hanging="106"/>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117" w:lineRule="exact"/>
        <w:rPr>
          <w:rFonts w:ascii="Arial" w:cs="Arial" w:eastAsia="Arial" w:hAnsi="Arial"/>
          <w:sz w:val="18"/>
          <w:szCs w:val="18"/>
          <w:color w:val="auto"/>
        </w:rPr>
      </w:pPr>
    </w:p>
    <w:p>
      <w:pPr>
        <w:ind w:left="900" w:hanging="406"/>
        <w:spacing w:after="0" w:line="277" w:lineRule="auto"/>
        <w:tabs>
          <w:tab w:leader="none" w:pos="6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5" w:name="page46"/>
    <w:bookmarkEnd w:id="45"/>
    <w:p>
      <w:pPr>
        <w:jc w:val="both"/>
        <w:ind w:firstLine="445"/>
        <w:spacing w:after="0" w:line="268" w:lineRule="auto"/>
        <w:rPr>
          <w:sz w:val="20"/>
          <w:szCs w:val="20"/>
          <w:color w:val="auto"/>
        </w:rPr>
      </w:pPr>
      <w:r>
        <w:rPr>
          <w:rFonts w:ascii="Arial" w:cs="Arial" w:eastAsia="Arial" w:hAnsi="Arial"/>
          <w:sz w:val="17"/>
          <w:szCs w:val="17"/>
          <w:color w:val="auto"/>
        </w:rPr>
        <w:t>Before we can market or sell a new regulated product or make a significant modification to an existing product in the U.S., with only limited exceptions, we must obtain either clearance under Section 510(k) of the FDCA for Class II devices or approval of a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184"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In the U.S.,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17" w:lineRule="exact"/>
        <w:rPr>
          <w:sz w:val="20"/>
          <w:szCs w:val="20"/>
          <w:color w:val="auto"/>
        </w:rPr>
      </w:pPr>
    </w:p>
    <w:p>
      <w:pPr>
        <w:ind w:left="600" w:hanging="10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U.S.</w:t>
      </w:r>
    </w:p>
    <w:p>
      <w:pPr>
        <w:spacing w:after="0" w:line="187"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In the EEA, our medical devices must currently comply with the Essential Requirements set forth in Annex I to the EU Medical Devices Directive (Council Directive 93/42/EEC), or Essential Requirements.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third-party organization designated by the competent authorities of a EEA country to conduct conformity assessments, known as a Notified Body. The Notified Body would typically audit and examine the medical device’s Technical File including the clinical evaluation, the quality system for the manufacture, design and conduct a final inspection of our medical devices before issuing a CE Certificate of Conformity demonstrating compliance with the Essential Requirements or the QSR of the Medical Devices Directive.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6" w:name="page47"/>
    <w:bookmarkEnd w:id="46"/>
    <w:p>
      <w:pPr>
        <w:jc w:val="both"/>
        <w:ind w:firstLine="445"/>
        <w:spacing w:after="0" w:line="269" w:lineRule="auto"/>
        <w:rPr>
          <w:sz w:val="20"/>
          <w:szCs w:val="20"/>
          <w:color w:val="auto"/>
        </w:rPr>
      </w:pPr>
      <w:r>
        <w:rPr>
          <w:rFonts w:ascii="Arial" w:cs="Arial" w:eastAsia="Arial" w:hAnsi="Arial"/>
          <w:sz w:val="17"/>
          <w:szCs w:val="17"/>
          <w:color w:val="auto"/>
        </w:rPr>
        <w:t>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 (i) 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 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 consuming.</w:t>
      </w:r>
    </w:p>
    <w:p>
      <w:pPr>
        <w:spacing w:after="0" w:line="20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May 2017, the EU Medical Device Regulation, (Regulation 2017/745) was adopted as described in "Item 1. Business - Regulation - International Regulation of Our Products" in our Annual Report on Form 10-K filed with the SEC on March 11, 2020. On April 24, 2020, the European Parliament adopted legislation deferring effectiveness of the EU Medical Device Regulation until May 2021.</w:t>
      </w:r>
    </w:p>
    <w:p>
      <w:pPr>
        <w:spacing w:after="0" w:line="18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FDA and other regulatory authorities, including foreign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w:t>
      </w:r>
    </w:p>
    <w:p>
      <w:pPr>
        <w:spacing w:after="0" w:line="117" w:lineRule="exact"/>
        <w:rPr>
          <w:sz w:val="20"/>
          <w:szCs w:val="20"/>
          <w:color w:val="auto"/>
        </w:rPr>
      </w:pPr>
    </w:p>
    <w:p>
      <w:pPr>
        <w:ind w:left="600" w:hanging="10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refusal of the FDA or our Notified Body or other regulator to grant future clearances or approvals or to issue CE Certificates of Conformity;</w:t>
      </w:r>
    </w:p>
    <w:p>
      <w:pPr>
        <w:spacing w:after="0" w:line="128" w:lineRule="exact"/>
        <w:rPr>
          <w:rFonts w:ascii="Arial" w:cs="Arial" w:eastAsia="Arial" w:hAnsi="Arial"/>
          <w:sz w:val="17"/>
          <w:szCs w:val="17"/>
          <w:color w:val="auto"/>
        </w:rPr>
      </w:pPr>
    </w:p>
    <w:p>
      <w:pPr>
        <w:ind w:left="900" w:hanging="406"/>
        <w:spacing w:after="0" w:line="277" w:lineRule="auto"/>
        <w:tabs>
          <w:tab w:leader="none" w:pos="6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withdrawals, variation, or suspensions of current clearances or approvals and CE Certificates of Conformity, resulting in prohibitions on sales of our products; and</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2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b w:val="1"/>
          <w:bCs w:val="1"/>
          <w:i w:val="1"/>
          <w:iCs w:val="1"/>
          <w:color w:val="auto"/>
        </w:rPr>
        <w:t>We and our sales representatives must comply with U.S. federal and state fraud and abuse laws, including those relating to physician kickbacks and false claims for reimbursement, as well as equivalent foreign laws.</w:t>
      </w:r>
    </w:p>
    <w:p>
      <w:pPr>
        <w:spacing w:after="0" w:line="62"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Healthcare providers, distributors, physicians,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and government authorities may conclude that our business practices do not comply with applicable fraud and abuse or other healthcare laws and regulations or guidance despite our good faith efforts to comply.</w:t>
      </w:r>
    </w:p>
    <w:p>
      <w:pPr>
        <w:spacing w:after="0" w:line="19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 For example, we are subject to the federal health care Anti-Kickback Statute, the federal civil False Claims Act, the Health Insurance Portability and Accountability Act ("HIPAA") and the federal Physician Payment Sunshine Act, each of which is described in detail in "Item 1. Business - "Healthcare Fraud and Abuse"and "Data Privacy and Security Laws" in our Annual Report on Form 10-K filed with the SEC on March 11, 2020.</w:t>
      </w:r>
    </w:p>
    <w:p>
      <w:pPr>
        <w:spacing w:after="0" w:line="203"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Certain states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analogous state and foreign law equivalents of each of the above federal laws, such as anti-kickback and false claims laws, which may apply to items or services reimbursed by any third-party payor, including commercial insurers and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9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If we or our employees are found to have violated any of the above laws we may be subject to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spacing w:after="0" w:line="214" w:lineRule="exact"/>
        <w:rPr>
          <w:sz w:val="20"/>
          <w:szCs w:val="20"/>
          <w:color w:val="auto"/>
        </w:rPr>
      </w:pPr>
    </w:p>
    <w:p>
      <w:pPr>
        <w:jc w:val="both"/>
        <w:ind w:firstLine="450"/>
        <w:spacing w:after="0" w:line="289" w:lineRule="auto"/>
        <w:rPr>
          <w:sz w:val="20"/>
          <w:szCs w:val="20"/>
          <w:color w:val="auto"/>
        </w:rPr>
      </w:pPr>
      <w:r>
        <w:rPr>
          <w:rFonts w:ascii="Arial" w:cs="Arial" w:eastAsia="Arial" w:hAnsi="Arial"/>
          <w:sz w:val="16"/>
          <w:szCs w:val="16"/>
          <w:color w:val="auto"/>
        </w:rPr>
        <w:t>We have entered into consulting agreements and royalty agreements with surgeons, including some who are customers. We also engage in co-marketing arrangements with certain surgeons who use our products. In addition, a small number of our current customer surgeons have previously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8" w:name="page49"/>
    <w:bookmarkEnd w:id="48"/>
    <w:p>
      <w:pPr>
        <w:jc w:val="both"/>
        <w:ind w:firstLine="450"/>
        <w:spacing w:after="0" w:line="290" w:lineRule="auto"/>
        <w:rPr>
          <w:sz w:val="20"/>
          <w:szCs w:val="20"/>
          <w:color w:val="auto"/>
        </w:rPr>
      </w:pPr>
      <w:r>
        <w:rPr>
          <w:rFonts w:ascii="Arial" w:cs="Arial" w:eastAsia="Arial" w:hAnsi="Arial"/>
          <w:sz w:val="16"/>
          <w:szCs w:val="16"/>
          <w:color w:val="auto"/>
        </w:rPr>
        <w:t>In certain cases, federal, state and foreign authorities pursue actions for false claims on the basis that manufacturers and distributors are promoting unapproved, or “off-label” uses of their products. Pursuant to FDA regulations, we can only market our products for cleared or approved uses. Although surgeons are permitted to use medical devices for indications other than those cleared or approved by the FDA, we are prohibited from promoting 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 Federal, state and foreign authorities also pursue actions for false claims based upon improper billing and coding advice or recommendations, as well as decisions related to the medical necessity of procedures, including the site-of-service where procedures are performed.</w:t>
      </w:r>
    </w:p>
    <w:p>
      <w:pPr>
        <w:spacing w:after="0" w:line="192" w:lineRule="exact"/>
        <w:rPr>
          <w:sz w:val="20"/>
          <w:szCs w:val="20"/>
          <w:color w:val="auto"/>
        </w:rPr>
      </w:pPr>
    </w:p>
    <w:p>
      <w:pPr>
        <w:jc w:val="both"/>
        <w:ind w:firstLine="450"/>
        <w:spacing w:after="0" w:line="308" w:lineRule="auto"/>
        <w:rPr>
          <w:sz w:val="20"/>
          <w:szCs w:val="20"/>
          <w:color w:val="auto"/>
        </w:rPr>
      </w:pPr>
      <w:r>
        <w:rPr>
          <w:rFonts w:ascii="Arial" w:cs="Arial" w:eastAsia="Arial" w:hAnsi="Arial"/>
          <w:sz w:val="16"/>
          <w:szCs w:val="16"/>
          <w:color w:val="auto"/>
        </w:rPr>
        <w:t>Various state and federal regulatory and enforcement agencies continue actively to investigate violations of health care laws and regulations, and the U.S. Congress continues to strengthen the arsenal of enforcement tools. The Bipartisan Budget Act of 2018 increased the criminal and civil penalties that</w:t>
      </w:r>
    </w:p>
    <w:p>
      <w:pPr>
        <w:jc w:val="both"/>
        <w:spacing w:after="0" w:line="270" w:lineRule="auto"/>
        <w:rPr>
          <w:sz w:val="20"/>
          <w:szCs w:val="20"/>
          <w:color w:val="auto"/>
        </w:rPr>
      </w:pPr>
      <w:r>
        <w:rPr>
          <w:rFonts w:ascii="Arial" w:cs="Arial" w:eastAsia="Arial" w:hAnsi="Arial"/>
          <w:sz w:val="17"/>
          <w:szCs w:val="17"/>
          <w:color w:val="auto"/>
        </w:rPr>
        <w:t>can be imposed for violating certain federal health care laws, including the federal Anti- Kickback Statute. To enforce compliance with the federal laws, the U.S. Department of Justice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208" w:lineRule="exact"/>
        <w:rPr>
          <w:sz w:val="20"/>
          <w:szCs w:val="20"/>
          <w:color w:val="auto"/>
        </w:rPr>
      </w:pPr>
    </w:p>
    <w:p>
      <w:pPr>
        <w:jc w:val="both"/>
        <w:ind w:firstLine="450"/>
        <w:spacing w:after="0" w:line="301" w:lineRule="auto"/>
        <w:rPr>
          <w:sz w:val="20"/>
          <w:szCs w:val="20"/>
          <w:color w:val="auto"/>
        </w:rPr>
      </w:pPr>
      <w:r>
        <w:rPr>
          <w:rFonts w:ascii="Arial" w:cs="Arial" w:eastAsia="Arial" w:hAnsi="Arial"/>
          <w:sz w:val="16"/>
          <w:szCs w:val="16"/>
          <w:color w:val="auto"/>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adequately protect personal information in compliance with evolving legal requirements could harm our business.</w:t>
      </w:r>
    </w:p>
    <w:p>
      <w:pPr>
        <w:spacing w:after="0" w:line="252"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In the ordinary course of our business, we collect and store sensitive data, including legally protected personally identifiable information. We collect this kind of information during the course of clinical trials and for post-marketing safety vigilance, helping enable surgeons and their patients to pursue claims for reimbursement for procedures using iFuse and servicing potential warranty claims. In doing so, we are subject to various federal, state and foreign laws that protect the confidentiality of certain patient health information, including patient medical records, and restrict the use and disclosure of patient health information by healthcare providers, such as HIPAA, in the U.S. and regulations in the European Union ("EU"), which are described in detail in Item 1 Business - Data Privacy and Security Laws” in our Annual Report on Form 10-K filed with the SEC on March 11, 2020.</w:t>
      </w:r>
    </w:p>
    <w:p>
      <w:pPr>
        <w:spacing w:after="0" w:line="205"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June 2018, California enacted the California Consumer Privacy Act ("CCPA"). The CCPA, which became effective on January 1, 2020, requires a broad range of businesses to honor the requests of California residents to access and require deletion of their personal information, opt out of certain personal information sharing, and receive detailed information about how their personal information is used and shared. The CCPA provides for civil penalties of up to $7,500 for intentional violations, and a private right of action for data breaches that allows private plaintiffs to seek the greater of actual damages or statutory damages of up to $750 per consumer per data breach. These remedies are expected to increase data breach litigation. The California Attorney General, who is charged with interpreting and enforcing the law, has not yet promulgated final implementing regulations, and considerable uncertainty as to how the law will be implemented and enforced remains. Although the CCPA includes exemptions for certain clinical trials data, and protected health information governed by HIPAA, the law may increase our compliance costs and potential liability with respect to other personal information we collect about California residents. The CCPA has prompted a number of proposals for new federal and state privacy legislation that, if passed, could increase our potential liability, increase our compliance costs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9" w:name="page50"/>
    <w:bookmarkEnd w:id="49"/>
    <w:p>
      <w:pPr>
        <w:jc w:val="both"/>
        <w:ind w:firstLine="450"/>
        <w:spacing w:after="0" w:line="270" w:lineRule="auto"/>
        <w:rPr>
          <w:sz w:val="20"/>
          <w:szCs w:val="20"/>
          <w:color w:val="auto"/>
        </w:rPr>
      </w:pPr>
      <w:r>
        <w:rPr>
          <w:rFonts w:ascii="Arial" w:cs="Arial" w:eastAsia="Arial" w:hAnsi="Arial"/>
          <w:sz w:val="17"/>
          <w:szCs w:val="17"/>
          <w:color w:val="auto"/>
        </w:rPr>
        <w:t>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on our operations, financial performance, and business. Evolving and changing definitions of personal data and personal information, within the European Union, the U.S.,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225"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8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Furthermore, we are subject to anti-boycott laws, anti-money laundering laws, and the export controls and economic embargo rules and regulations of the U.S.,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76"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64"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38" w:lineRule="exact"/>
        <w:rPr>
          <w:sz w:val="20"/>
          <w:szCs w:val="20"/>
          <w:color w:val="auto"/>
        </w:rPr>
      </w:pPr>
    </w:p>
    <w:p>
      <w:pPr>
        <w:ind w:left="600" w:hanging="106"/>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0" w:name="page51"/>
    <w:bookmarkEnd w:id="50"/>
    <w:p>
      <w:pPr>
        <w:ind w:left="600" w:hanging="106"/>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refusing or delaying our requests for 510(k) clearance or premarket approval and conformity assessments of new products or modified products;</w:t>
      </w:r>
    </w:p>
    <w:p>
      <w:pPr>
        <w:spacing w:after="0" w:line="140" w:lineRule="exact"/>
        <w:rPr>
          <w:rFonts w:ascii="Arial" w:cs="Arial" w:eastAsia="Arial" w:hAnsi="Arial"/>
          <w:sz w:val="16"/>
          <w:szCs w:val="16"/>
          <w:color w:val="auto"/>
        </w:rPr>
      </w:pPr>
    </w:p>
    <w:p>
      <w:pPr>
        <w:ind w:left="600" w:hanging="106"/>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variation or withdrawal of CE Certificates of Conformity;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9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w:t>
      </w:r>
    </w:p>
    <w:p>
      <w:pPr>
        <w:spacing w:after="0" w:line="14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65"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FDA inspected our facilities in May 2014. As a result, we received a Notice of Inspectional Observations, or Form 483, with three observations that have since been addressed with a corrective and preventative action plan. We responded to the Agency in writing and the matter was closed as of October 2014 through the issuance of an Establishment Inspection Report. To date, the FDA has not taken any further action with respect to the May 2014 inspection or its findings. The FDA inspected our facilities again in December 2016 and no findings were noted.</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1" w:name="page52"/>
    <w:bookmarkEnd w:id="51"/>
    <w:p>
      <w:pPr>
        <w:spacing w:after="0" w:line="251"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2" w:lineRule="exact"/>
        <w:rPr>
          <w:sz w:val="20"/>
          <w:szCs w:val="20"/>
          <w:color w:val="auto"/>
        </w:rPr>
      </w:pPr>
    </w:p>
    <w:p>
      <w:pPr>
        <w:ind w:firstLine="445"/>
        <w:spacing w:after="0" w:line="235" w:lineRule="auto"/>
        <w:rPr>
          <w:sz w:val="20"/>
          <w:szCs w:val="20"/>
          <w:color w:val="auto"/>
        </w:rPr>
      </w:pPr>
      <w:r>
        <w:rPr>
          <w:rFonts w:ascii="Arial" w:cs="Arial" w:eastAsia="Arial" w:hAnsi="Arial"/>
          <w:sz w:val="17"/>
          <w:szCs w:val="17"/>
          <w:color w:val="auto"/>
        </w:rPr>
        <w:t>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In the U.S., the full indication for the iFuse Implant System is: “The iFuse Implant System is intended for sacroiliac fusion for the following conditions: (i) Sacroiliac joint dysfunction that is a direct result of sacroiliac joint disruption and degenerative sacroiliitis. This includes conditions whose symptoms began during pregnancy or in the peripartum period and have persisted postpartum for more than 6 months. (ii) To augment immobilization and stabilization of the sacroiliac joint in skeletally mature patients undergoing sacropelvic fixation as part of a lumbar or thoracolumbar fusion. (iii) Acute, non-acute, and non-traumatic fractures involving the sacroiliac joint.” In the U.S.,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95"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We believe that the specific surgical procedures for which our products are marketed fall within the scope of the surgical applications that have been cleared by the FDA and our notified body. However, if the FDA or an equivalent third country authority determines that our promotional materials or training constitutes promotion of an off-label use, it could request that we modify our training or promotional materials, require us to stop promoting our products for those specific procedures until we obtain FDA or third country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2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62"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Under the FDA’s medical device reporting, regulations, and equivalent rules of other countries we are required to report to the FDA or a similar authority in such other country, any information that our product may have caused or contributed to a death or serious injury or in which our product malfunctioned and, if the malfunction were to recur, would likely cause or contribute to death or serious injury. If we fail to report these events to the FDA or applicable authority in another country within the required timeframes, or at all, FDA, or the applicable authority in the other country could take enforcement action against us. Any such adverse event involving our products or repeated product malfunctions may result in a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92" w:lineRule="exact"/>
        <w:rPr>
          <w:sz w:val="20"/>
          <w:szCs w:val="20"/>
          <w:color w:val="auto"/>
        </w:rPr>
      </w:pPr>
    </w:p>
    <w:p>
      <w:pPr>
        <w:ind w:right="20" w:firstLine="445"/>
        <w:spacing w:after="0" w:line="238" w:lineRule="auto"/>
        <w:rPr>
          <w:sz w:val="20"/>
          <w:szCs w:val="20"/>
          <w:color w:val="auto"/>
        </w:rPr>
      </w:pPr>
      <w:r>
        <w:rPr>
          <w:rFonts w:ascii="Arial" w:cs="Arial" w:eastAsia="Arial" w:hAnsi="Arial"/>
          <w:sz w:val="18"/>
          <w:szCs w:val="18"/>
          <w:color w:val="auto"/>
        </w:rPr>
        <w:t>In the EEA, we must comply with the EU Medical Device Vigilance System. Under this system, incidents must be reported to the relevant authorities of the Member States of the EEA, and manufacturers are required to take Field Safety Corrective Actions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 The entry into application in May 2021 of the Medical Device Regulation will increase the obligation that we must fulfill in relation to vigilance and post-market surveillance obligations.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2" w:name="page53"/>
    <w:bookmarkEnd w:id="52"/>
    <w:p>
      <w:pPr>
        <w:jc w:val="both"/>
        <w:ind w:firstLine="445"/>
        <w:spacing w:after="0" w:line="273" w:lineRule="auto"/>
        <w:rPr>
          <w:sz w:val="20"/>
          <w:szCs w:val="20"/>
          <w:color w:val="auto"/>
        </w:rPr>
      </w:pPr>
      <w:r>
        <w:rPr>
          <w:rFonts w:ascii="Arial" w:cs="Arial" w:eastAsia="Arial" w:hAnsi="Arial"/>
          <w:sz w:val="17"/>
          <w:szCs w:val="17"/>
          <w:color w:val="auto"/>
        </w:rPr>
        <w:t>Any adverse event involving our products, whether in the U.S.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84"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7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spacing w:after="0" w:line="30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6"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 We have made modifications to our products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products as modified until clearance or approvals can be obtained, which could require us to redesign our products and harm our operating results. In these circumstances, we may be subject to significant enforcement actions.</w:t>
      </w:r>
    </w:p>
    <w:p>
      <w:pPr>
        <w:spacing w:after="0" w:line="16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enforcement action, regulatory fines, or penalties.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3" w:name="page54"/>
    <w:bookmarkEnd w:id="53"/>
    <w:p>
      <w:pPr>
        <w:jc w:val="both"/>
        <w:ind w:firstLine="445"/>
        <w:spacing w:after="0" w:line="293" w:lineRule="auto"/>
        <w:rPr>
          <w:sz w:val="20"/>
          <w:szCs w:val="20"/>
          <w:color w:val="auto"/>
        </w:rPr>
      </w:pPr>
      <w:r>
        <w:rPr>
          <w:rFonts w:ascii="Arial" w:cs="Arial" w:eastAsia="Arial" w:hAnsi="Arial"/>
          <w:sz w:val="16"/>
          <w:szCs w:val="16"/>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6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manufacturing process, or changes to our devices which could affect compliance with the essential requirements or the devices’ intended use. The Notified Body will then assess the changes and verify whether they affect the products’ conformity with Essential Requirements and related applicable laws. There can be no assurances that the assessment will be favorable and that the Notified Body will attest our compliance with the essential requirements, which will prevent us from selling our products in the EEA. Moreover, any substantial changes that take place in the coming years may impact the continuing effectiveness of our CE Certificates of Conformity that were issued on the basis of the Medical Device Directive.</w:t>
      </w:r>
    </w:p>
    <w:p>
      <w:pPr>
        <w:spacing w:after="0" w:line="19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w:t>
      </w:r>
    </w:p>
    <w:p>
      <w:pPr>
        <w:spacing w:after="0" w:line="2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spacing w:after="0" w:line="76"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to support regulatory approval and we may not successfully complete these clinical trials.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Certificates of Conformity for our new products would have an adverse effect on our ability to expand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11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Latin America, and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76"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b w:val="1"/>
          <w:bCs w:val="1"/>
          <w:i w:val="1"/>
          <w:iCs w:val="1"/>
          <w:color w:val="auto"/>
        </w:rPr>
        <w:t>Clinical trials necessary to support a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spacing w:after="0" w:line="7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Initiating and completing clinical trials necessary to support a PMA application for our future products and additional safety and effectiveness data beyond that typically required for a 510(k) clearance for iFuse, as well as other possible future product candidates, and to support a conformity assessment procedure to support a new CE Certificate of Conformity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spacing w:after="0" w:line="18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For example, the COVID-19 pandemic has caused substantial delays in site initiation and patient enrollment in our SILVIA trial designed to assess the safety and efficacy of our Bedrock technique.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8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29"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2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Moreover, the new Medical Device Regulation will enter into application on May 26, 2021.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5" w:name="page56"/>
    <w:bookmarkEnd w:id="55"/>
    <w:p>
      <w:pPr>
        <w:jc w:val="both"/>
        <w:ind w:firstLine="445"/>
        <w:spacing w:after="0" w:line="273" w:lineRule="auto"/>
        <w:rPr>
          <w:sz w:val="20"/>
          <w:szCs w:val="20"/>
          <w:color w:val="auto"/>
        </w:rPr>
      </w:pPr>
      <w:r>
        <w:rPr>
          <w:rFonts w:ascii="Arial" w:cs="Arial" w:eastAsia="Arial" w:hAnsi="Arial"/>
          <w:sz w:val="17"/>
          <w:szCs w:val="17"/>
          <w:color w:val="auto"/>
        </w:rPr>
        <w:t>In December 2016, the 21st Century Cures Act was enacted, with a number of provisions impacting medical device regulation. The FDA has implemented, and continues to implement, these reforms, which could impose additional regulatory requirements upon us and delay our ability to obtain new 510(k) clearances, increase the costs of compliance or restrict our ability to maintain our current clearances.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78"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Leadership, personnel and structural changes within the FDA as well as recent and impending federal election outcomes, including the 2020 presidential election,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88"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Another example can be found in the EEA. The Medical Devices Regulation became effective on May 25, 2017. Following its entry into application on May 26, 2020, the Medical Devices Regulation will introduce substantial changes to the obligations with which medical device manufacturers must comply in the EEA. High risk medical devices will be subject to additional scrutiny during the conformity assessment procedure. Specifically, the Medical Devices Regulation repeals and replaces the EU Medical Devices Directive. Unlike directives, which must be implemented into the national laws of the EEA Member States, regulations are directly applicable, i.e., without the need for adoption of national legislation in EEA Member States implementing them. The purpose of regulations is to eliminate current differences in regulation of medical devices among EEA Member States. The Medical Devices Regulation, among other things, is intended to establish a uniform, transparent, predictable and sustainable regulatory framework across the EEA for</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medical devices to ensure a high level of safety and health while supporting innovation. These regulations will substantially impact medical devices manufacturers. Examples of the changes which will be introduced by these regulations include the following:</w:t>
      </w:r>
    </w:p>
    <w:p>
      <w:pPr>
        <w:spacing w:after="0" w:line="62" w:lineRule="exact"/>
        <w:rPr>
          <w:sz w:val="20"/>
          <w:szCs w:val="20"/>
          <w:color w:val="auto"/>
        </w:rPr>
      </w:pPr>
    </w:p>
    <w:p>
      <w:pPr>
        <w:ind w:left="600" w:hanging="106"/>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scrutiny during the conformity assessment procedure for high risk medical devices;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strengthening of the clinical data requirements related to medical devices;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strengthening of the designation and monitoring processes governing notified bodies;</w:t>
      </w:r>
    </w:p>
    <w:p>
      <w:pPr>
        <w:spacing w:after="0" w:line="117" w:lineRule="exact"/>
        <w:rPr>
          <w:rFonts w:ascii="Arial" w:cs="Arial" w:eastAsia="Arial" w:hAnsi="Arial"/>
          <w:sz w:val="18"/>
          <w:szCs w:val="18"/>
          <w:color w:val="auto"/>
        </w:rPr>
      </w:pPr>
    </w:p>
    <w:p>
      <w:pPr>
        <w:ind w:left="900" w:hanging="406"/>
        <w:spacing w:after="0" w:line="277" w:lineRule="auto"/>
        <w:tabs>
          <w:tab w:leader="none" w:pos="6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obligation for manufacturers and authorized representative to have a person responsible for regulatory compliance continuously at their disposal;</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authorized representatives would be held legally responsible and liable for defective products placed on the EU market;</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traceability of medical devices following the introduction of a Unique Device Identification ("UDI"), system;</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rules governing the reprocessing of medical devices; and</w:t>
      </w:r>
    </w:p>
    <w:p>
      <w:pPr>
        <w:spacing w:after="0" w:line="117" w:lineRule="exact"/>
        <w:rPr>
          <w:rFonts w:ascii="Arial" w:cs="Arial" w:eastAsia="Arial" w:hAnsi="Arial"/>
          <w:sz w:val="18"/>
          <w:szCs w:val="18"/>
          <w:color w:val="auto"/>
        </w:rPr>
      </w:pPr>
    </w:p>
    <w:p>
      <w:pPr>
        <w:ind w:left="900" w:hanging="406"/>
        <w:spacing w:after="0" w:line="263" w:lineRule="auto"/>
        <w:tabs>
          <w:tab w:leader="none" w:pos="6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transparency with the establishment of European database on medical devices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21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Medical Device Regulation substantially amplifies the provisions of the Medical Device Directive governing clinical investigations of medical devices. Among others,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on sponsors and investigators the obligation to ensure they make use of these make use of these systems.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6" w:name="page57"/>
    <w:bookmarkEnd w:id="56"/>
    <w:p>
      <w:pPr>
        <w:ind w:left="460"/>
        <w:spacing w:after="0"/>
        <w:rPr>
          <w:sz w:val="20"/>
          <w:szCs w:val="20"/>
          <w:color w:val="auto"/>
        </w:rPr>
      </w:pPr>
      <w:r>
        <w:rPr>
          <w:rFonts w:ascii="Arial" w:cs="Arial" w:eastAsia="Arial" w:hAnsi="Arial"/>
          <w:sz w:val="16"/>
          <w:szCs w:val="16"/>
          <w:color w:val="auto"/>
        </w:rPr>
        <w:t>Transition from the regulation of our products under the current Medical Device Directive, and implementing legislation in each EU Member State,</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regulation under the Medical Devices Regulation may require a substantial transition effort by us. In addition, detail as to how certain aspects of the Medical Devices Regulation will be applied remains unclear. Failure to update our quality system and regulatory documentation could delay our transition to compliance with the Medical Devices Regulation and delay or prevent us from obtaining new CE Certificates of Conformity under the Regulation. Transition from compliance with the Medical Device Directive to the Medical Devices Regulation could result in disruption to our business in the EEA which could adversely affect our business, results of operation and financial condition. In addition, any changes to the membership of the European Union, such as the departure of the United Kingdom from the EU, may impact the regulatory requirements for the impacted countries and impair our business operations and our ability to market products in such countries.</w:t>
      </w:r>
    </w:p>
    <w:p>
      <w:pPr>
        <w:spacing w:after="0" w:line="17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among other things, reduced and/or limited Medicare reimbursement to certain providers. Legislative changes to the Patient Protection and Affordable Care Act remain possible in the 116th U.S. Congress and under the Trump Administration. We expect that the Patient Protection and Affordable Care Act, as currently enacted or as it may be amended in the future, and other healthcare reform measures that may be adopted in the future, could have a material adverse effect on our industry generally and on our ability to maintain or increase sales of our existing products. Other federal laws further reduce Medicare’s payments to providers by two percent through 2024. These reductions reduce reimbursement for our products, which could potentially negatively impact our revenue, and may reduce providers’ revenues or profits, which could affect their ability to purchase new technologies. Both the federal and state governments in the U.S.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117"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In addition, if longer-term patient results and experience indicates that our products or any component of a product cause tissue damage, motor impairment, or other adverse effects, we could be subject to significant liability. Surgeons may misuse or ineffectively use our products, which may result in unsatisfactory patient outcomes or patient injury.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7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129"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manufacture of certain of our products, including our implants and products, and the handling of materials used in the product testing process, including in our cadaveric laboratory,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comprehensive tax reform bill adopted in 2017 could adversely affect our business and financial condition.</w:t>
      </w:r>
    </w:p>
    <w:p>
      <w:pPr>
        <w:spacing w:after="0" w:line="11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On December 22, 2017, President Trump signed into law new legislation that significantly revised the Internal Revenue Code of 1986, as amended, or the Code.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arising after 2017 to 80% of current year taxable income and elimination of carrybacks of such net operating losses,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UK’s withdrawal from the EU and uncertainty regarding tariffs affecting U.S. imports and exports may have a negative effect on global economic conditions, financial markets and our business.</w:t>
      </w:r>
    </w:p>
    <w:p>
      <w:pPr>
        <w:spacing w:after="0" w:line="19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January 31, 2020, the UK withdrew from the EU. Brexit has created significant uncertainty concerning the future relationship between the UK and the EU. In light of the fact that a significant portion of the regulatory framework in the UK is derived from EU laws, Brexit could materially impact the regulatory regime with respect to the development, manufacture, importation, approval and commercialization of our product in the UK or the EU. Any changes in our manufacturing or commercialization activities as a result of Brexit, could increase our costs and otherwise adversely affect our business. In addition, currency exchange rates for the British Pound and the euro with respect to each other and to the U.S. dollar have already been, and may continue to be, negatively affected by Brexit, which could cause volatility in our quarterly financial results.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do not know to what extent, or when, the UK’s withdrawal from the EU or any other future changes to membership in the EU will impact our</w:t>
      </w:r>
    </w:p>
    <w:p>
      <w:pPr>
        <w:spacing w:after="0" w:line="61"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business, particularly our ability to conduct international business from a base of operations in the UK. The UK could lose the benefits of global trade agreements negotiated by the EU on behalf of its members, possibly resulting in increased trade barriers, which could make doing business in Europe more</w:t>
      </w:r>
    </w:p>
    <w:p>
      <w:pPr>
        <w:jc w:val="both"/>
        <w:spacing w:after="0" w:line="334" w:lineRule="auto"/>
        <w:rPr>
          <w:sz w:val="20"/>
          <w:szCs w:val="20"/>
          <w:color w:val="auto"/>
        </w:rPr>
      </w:pPr>
      <w:r>
        <w:rPr>
          <w:rFonts w:ascii="Arial" w:cs="Arial" w:eastAsia="Arial" w:hAnsi="Arial"/>
          <w:sz w:val="16"/>
          <w:szCs w:val="16"/>
          <w:color w:val="auto"/>
        </w:rPr>
        <w:t>difficult and/or costly. Moreover, in the U.S., tariffs on certain U.S. imports have recently been imposed, and the EU and other countries have responded with retaliatory tariffs on certain U.S. exports. We cannot predict what effects these and potential additional tariffs will have on our business, including in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context of escalating global trade and political tensions. However, these tariffs and other trade restrictions, whether resulting from the UK’s withdrawal from the EU or otherwise, could increase our cost of doing business, reduce our gross margins or otherwise negatively impact our business and our financial results.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7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rely primarily on patent, copyright, trademark and trade secret laws, as well as confidentiality and non- disclosure agreements and other methods, to protect our proprietary technologies and know-how. As of March 31, 2020, we owned 40 issued U.S. patents and had 20 pending U.S. patent applications, and we owned 11 issued foreign patents and had 6 pending foreign patent applications. We have focused the majority of our foreign patent efforts in China, Europe, and Japan. Our current U.S. patents on iFuse, including the triangular shape, expire in August 2024. Our current U.S. patents on iFuse 3D, including the fenestrated design, expire in September 2035. Our foreign patents will expire between August 2025 and October 2031. Competitors may market similar triangular shaped devices upon the expiration of the patents in 2024. We will continue to have patent protection of our 3D-printed fenestrated implants through 2035.</w:t>
      </w:r>
    </w:p>
    <w:p>
      <w:pPr>
        <w:spacing w:after="0" w:line="222"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As of March 31, 2020, we have 13 registered trademarks in the U.S. and have filed for 4 more. We have sought protection for at least 2 of these trademarks in 60 countries including the 28 European member countries of the Madrid Protocol.</w:t>
      </w:r>
    </w:p>
    <w:p>
      <w:pPr>
        <w:spacing w:after="0" w:line="17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U.S. Even if patents are granted outside the U.S., effective enforcement in those countries may not be available. Since most of our issued patents are for the U.S.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8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192"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jc w:val="both"/>
        <w:ind w:firstLine="445"/>
        <w:spacing w:after="0" w:line="291" w:lineRule="auto"/>
        <w:rPr>
          <w:sz w:val="20"/>
          <w:szCs w:val="20"/>
          <w:color w:val="auto"/>
        </w:rPr>
      </w:pPr>
      <w:r>
        <w:rPr>
          <w:rFonts w:ascii="Arial" w:cs="Arial" w:eastAsia="Arial" w:hAnsi="Arial"/>
          <w:sz w:val="16"/>
          <w:szCs w:val="16"/>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6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30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6"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93"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Our commercial success will depend in part on not infringing the patents or violating the other proprietary rights of third parties. Significant litigation regarding patent rights exists in our industry. Our competitors in both the U.S.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business assets and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0" w:name="page61"/>
    <w:bookmarkEnd w:id="60"/>
    <w:p>
      <w:pPr>
        <w:jc w:val="both"/>
        <w:ind w:firstLine="445"/>
        <w:spacing w:after="0" w:line="255" w:lineRule="auto"/>
        <w:rPr>
          <w:sz w:val="20"/>
          <w:szCs w:val="20"/>
          <w:color w:val="auto"/>
        </w:rPr>
      </w:pPr>
      <w:r>
        <w:rPr>
          <w:rFonts w:ascii="Arial" w:cs="Arial" w:eastAsia="Arial" w:hAnsi="Arial"/>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an investment in our common stock could decline.</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76" w:lineRule="exact"/>
        <w:rPr>
          <w:sz w:val="20"/>
          <w:szCs w:val="20"/>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that the COVID-19 pandemic has on our business;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900" w:hanging="406"/>
        <w:spacing w:after="0" w:line="277" w:lineRule="auto"/>
        <w:tabs>
          <w:tab w:leader="none" w:pos="6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900" w:hanging="406"/>
        <w:spacing w:after="0" w:line="277" w:lineRule="auto"/>
        <w:tabs>
          <w:tab w:leader="none" w:pos="6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developments in the U.S., foreign countries, or both;</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sales volumes and our operating results may fluctuate over the course of the year, which could affect the price of our common stock.</w:t>
      </w:r>
    </w:p>
    <w:p>
      <w:pPr>
        <w:spacing w:after="0" w:line="264"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346" w:lineRule="exact"/>
        <w:rPr>
          <w:sz w:val="20"/>
          <w:szCs w:val="20"/>
          <w:color w:val="auto"/>
        </w:rPr>
      </w:pPr>
    </w:p>
    <w:p>
      <w:pPr>
        <w:ind w:left="560" w:hanging="120"/>
        <w:spacing w:after="0"/>
        <w:tabs>
          <w:tab w:leader="none" w:pos="5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impact that the COVID-19 pandemic has on our business;</w:t>
      </w:r>
    </w:p>
    <w:p>
      <w:pPr>
        <w:spacing w:after="0" w:line="134" w:lineRule="exact"/>
        <w:rPr>
          <w:rFonts w:ascii="Arial" w:cs="Arial" w:eastAsia="Arial" w:hAnsi="Arial"/>
          <w:sz w:val="18"/>
          <w:szCs w:val="18"/>
          <w:color w:val="auto"/>
        </w:rPr>
      </w:pPr>
    </w:p>
    <w:p>
      <w:pPr>
        <w:ind w:left="900" w:hanging="487"/>
        <w:spacing w:after="0"/>
        <w:tabs>
          <w:tab w:leader="none" w:pos="900" w:val="left"/>
        </w:tabs>
        <w:numPr>
          <w:ilvl w:val="0"/>
          <w:numId w:val="33"/>
        </w:numPr>
        <w:rPr>
          <w:rFonts w:ascii="Arial" w:cs="Arial" w:eastAsia="Arial" w:hAnsi="Arial"/>
          <w:sz w:val="22"/>
          <w:szCs w:val="22"/>
          <w:color w:val="auto"/>
        </w:rPr>
      </w:pPr>
      <w:r>
        <w:rPr>
          <w:rFonts w:ascii="Arial" w:cs="Arial" w:eastAsia="Arial" w:hAnsi="Arial"/>
          <w:sz w:val="18"/>
          <w:szCs w:val="18"/>
          <w:color w:val="auto"/>
        </w:rPr>
        <w:t>payor coverage and reimbursement;</w:t>
      </w:r>
    </w:p>
    <w:p>
      <w:pPr>
        <w:spacing w:after="0" w:line="134" w:lineRule="exact"/>
        <w:rPr>
          <w:rFonts w:ascii="Arial" w:cs="Arial" w:eastAsia="Arial" w:hAnsi="Arial"/>
          <w:sz w:val="22"/>
          <w:szCs w:val="22"/>
          <w:color w:val="auto"/>
        </w:rPr>
      </w:pPr>
    </w:p>
    <w:p>
      <w:pPr>
        <w:ind w:left="520" w:hanging="107"/>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products sold in the quarter and our ability to drive increased sales of our products;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61" w:name="page62"/>
    <w:bookmarkEnd w:id="61"/>
    <w:p>
      <w:pPr>
        <w:ind w:left="520" w:hanging="10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57" w:lineRule="exact"/>
        <w:rPr>
          <w:rFonts w:ascii="Arial" w:cs="Arial" w:eastAsia="Arial" w:hAnsi="Arial"/>
          <w:sz w:val="18"/>
          <w:szCs w:val="18"/>
          <w:color w:val="auto"/>
        </w:rPr>
      </w:pPr>
    </w:p>
    <w:p>
      <w:pPr>
        <w:ind w:left="520" w:hanging="10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57" w:lineRule="exact"/>
        <w:rPr>
          <w:rFonts w:ascii="Arial" w:cs="Arial" w:eastAsia="Arial" w:hAnsi="Arial"/>
          <w:sz w:val="18"/>
          <w:szCs w:val="18"/>
          <w:color w:val="auto"/>
        </w:rPr>
      </w:pPr>
    </w:p>
    <w:p>
      <w:pPr>
        <w:ind w:left="520" w:hanging="10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157" w:lineRule="exact"/>
        <w:rPr>
          <w:rFonts w:ascii="Arial" w:cs="Arial" w:eastAsia="Arial" w:hAnsi="Arial"/>
          <w:sz w:val="18"/>
          <w:szCs w:val="18"/>
          <w:color w:val="auto"/>
        </w:rPr>
      </w:pPr>
    </w:p>
    <w:p>
      <w:pPr>
        <w:ind w:left="520" w:hanging="10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157" w:lineRule="exact"/>
        <w:rPr>
          <w:rFonts w:ascii="Arial" w:cs="Arial" w:eastAsia="Arial" w:hAnsi="Arial"/>
          <w:sz w:val="18"/>
          <w:szCs w:val="18"/>
          <w:color w:val="auto"/>
        </w:rPr>
      </w:pPr>
    </w:p>
    <w:p>
      <w:pPr>
        <w:ind w:left="520" w:hanging="10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57" w:lineRule="exact"/>
        <w:rPr>
          <w:rFonts w:ascii="Arial" w:cs="Arial" w:eastAsia="Arial" w:hAnsi="Arial"/>
          <w:sz w:val="18"/>
          <w:szCs w:val="18"/>
          <w:color w:val="auto"/>
        </w:rPr>
      </w:pPr>
    </w:p>
    <w:p>
      <w:pPr>
        <w:ind w:left="520" w:hanging="10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57" w:lineRule="exact"/>
        <w:rPr>
          <w:rFonts w:ascii="Arial" w:cs="Arial" w:eastAsia="Arial" w:hAnsi="Arial"/>
          <w:sz w:val="18"/>
          <w:szCs w:val="18"/>
          <w:color w:val="auto"/>
        </w:rPr>
      </w:pPr>
    </w:p>
    <w:p>
      <w:pPr>
        <w:ind w:left="520" w:hanging="10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157" w:lineRule="exact"/>
        <w:rPr>
          <w:rFonts w:ascii="Arial" w:cs="Arial" w:eastAsia="Arial" w:hAnsi="Arial"/>
          <w:sz w:val="18"/>
          <w:szCs w:val="18"/>
          <w:color w:val="auto"/>
        </w:rPr>
      </w:pPr>
    </w:p>
    <w:p>
      <w:pPr>
        <w:ind w:left="520" w:hanging="10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57" w:lineRule="exact"/>
        <w:rPr>
          <w:rFonts w:ascii="Arial" w:cs="Arial" w:eastAsia="Arial" w:hAnsi="Arial"/>
          <w:sz w:val="18"/>
          <w:szCs w:val="18"/>
          <w:color w:val="auto"/>
        </w:rPr>
      </w:pPr>
    </w:p>
    <w:p>
      <w:pPr>
        <w:ind w:left="520" w:hanging="10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57" w:lineRule="exact"/>
        <w:rPr>
          <w:rFonts w:ascii="Arial" w:cs="Arial" w:eastAsia="Arial" w:hAnsi="Arial"/>
          <w:sz w:val="18"/>
          <w:szCs w:val="18"/>
          <w:color w:val="auto"/>
        </w:rPr>
      </w:pPr>
    </w:p>
    <w:p>
      <w:pPr>
        <w:ind w:left="980" w:hanging="567"/>
        <w:spacing w:after="0" w:line="277" w:lineRule="auto"/>
        <w:tabs>
          <w:tab w:leader="none" w:pos="5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102" w:lineRule="exact"/>
        <w:rPr>
          <w:rFonts w:ascii="Arial" w:cs="Arial" w:eastAsia="Arial" w:hAnsi="Arial"/>
          <w:sz w:val="18"/>
          <w:szCs w:val="18"/>
          <w:color w:val="auto"/>
        </w:rPr>
      </w:pPr>
    </w:p>
    <w:p>
      <w:pPr>
        <w:ind w:left="520" w:hanging="10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157" w:lineRule="exact"/>
        <w:rPr>
          <w:rFonts w:ascii="Arial" w:cs="Arial" w:eastAsia="Arial" w:hAnsi="Arial"/>
          <w:sz w:val="18"/>
          <w:szCs w:val="18"/>
          <w:color w:val="auto"/>
        </w:rPr>
      </w:pPr>
    </w:p>
    <w:p>
      <w:pPr>
        <w:ind w:left="520" w:hanging="10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157" w:lineRule="exact"/>
        <w:rPr>
          <w:rFonts w:ascii="Arial" w:cs="Arial" w:eastAsia="Arial" w:hAnsi="Arial"/>
          <w:sz w:val="18"/>
          <w:szCs w:val="18"/>
          <w:color w:val="auto"/>
        </w:rPr>
      </w:pPr>
    </w:p>
    <w:p>
      <w:pPr>
        <w:ind w:left="520" w:hanging="10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w:t>
      </w:r>
    </w:p>
    <w:p>
      <w:pPr>
        <w:spacing w:after="0" w:line="157" w:lineRule="exact"/>
        <w:rPr>
          <w:rFonts w:ascii="Arial" w:cs="Arial" w:eastAsia="Arial" w:hAnsi="Arial"/>
          <w:sz w:val="18"/>
          <w:szCs w:val="18"/>
          <w:color w:val="auto"/>
        </w:rPr>
      </w:pPr>
    </w:p>
    <w:p>
      <w:pPr>
        <w:ind w:left="520" w:hanging="10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157" w:lineRule="exact"/>
        <w:rPr>
          <w:rFonts w:ascii="Arial" w:cs="Arial" w:eastAsia="Arial" w:hAnsi="Arial"/>
          <w:sz w:val="18"/>
          <w:szCs w:val="18"/>
          <w:color w:val="auto"/>
        </w:rPr>
      </w:pPr>
    </w:p>
    <w:p>
      <w:pPr>
        <w:ind w:left="520" w:hanging="10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157" w:lineRule="exact"/>
        <w:rPr>
          <w:rFonts w:ascii="Arial" w:cs="Arial" w:eastAsia="Arial" w:hAnsi="Arial"/>
          <w:sz w:val="18"/>
          <w:szCs w:val="18"/>
          <w:color w:val="auto"/>
        </w:rPr>
      </w:pPr>
    </w:p>
    <w:p>
      <w:pPr>
        <w:ind w:left="520" w:hanging="10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157" w:lineRule="exact"/>
        <w:rPr>
          <w:rFonts w:ascii="Arial" w:cs="Arial" w:eastAsia="Arial" w:hAnsi="Arial"/>
          <w:sz w:val="18"/>
          <w:szCs w:val="18"/>
          <w:color w:val="auto"/>
        </w:rPr>
      </w:pPr>
    </w:p>
    <w:p>
      <w:pPr>
        <w:ind w:left="520" w:hanging="10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157" w:lineRule="exact"/>
        <w:rPr>
          <w:rFonts w:ascii="Arial" w:cs="Arial" w:eastAsia="Arial" w:hAnsi="Arial"/>
          <w:sz w:val="18"/>
          <w:szCs w:val="18"/>
          <w:color w:val="auto"/>
        </w:rPr>
      </w:pPr>
    </w:p>
    <w:p>
      <w:pPr>
        <w:ind w:left="560" w:hanging="120"/>
        <w:spacing w:after="0"/>
        <w:tabs>
          <w:tab w:leader="none" w:pos="5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252"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Some of the products we may seek to develop and introduce in the future will require FDA clearance or approval before commercialization in the U.S., and commercialization of such products outside of the U.S.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We may be unable to utilize our federal net operating loss carryforwards to reduce our income taxes.</w:t>
      </w:r>
    </w:p>
    <w:p>
      <w:pPr>
        <w:spacing w:after="0" w:line="25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As of December 31, 2019, we had net operating loss ("NOL") carryforwards of $164.4 million and $129.6 million available to reduce future taxable income, if any, for U.S. federal income tax and state income tax purposes, respectively. If not utilized, our federal and state NOL carryforwards begin to expire in 2028 and 2020, respectively. These NOL carryforwards could expire unused and be unavailable to offset future income tax liabilities.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have determined that we have experienced Section 382 ownership changes in 2010 and $1.4 million of our NOL and tax credit carryforwards are subject to limitation. We also updated our Section 382 ownership change analysis through June 30, 2019, considering the recent changes in ownership following our IPO in October 2018. Based on the result of the analysis, we concluded that we did not undergo ownership change that would require for any additional limitations on our NOL carryforwards. We further concluded that the equity shift between June 30, 2019 to December 31, 2019 was not material, considering the changes in the outstanding number of shares at each respective periods. We will continually assess the need to update our Section 382 ownership change analysis, including the impact of the completion of our follow-on public offering in January and February 2020, as we may experience ownership changes that could materially limit our ability to use our NOL carryforwards, which may harm our future operating results by effectively increasing our future tax obligations.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consequently, our stockholders' ability to achieve a return on investment in our common stock will depend on appreciation in the price of our common stock.</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have never declared or paid any dividends on our common stock. We intend to retain any earnings to finance the operation and expansion of our business, and we do not anticipate paying any cash dividends in the future. As a result, our stockholders may only receive a return on an investment in our common stock if the market price of our common stock increases. In addition, our loan and security agreements contain restrictions on our ability to pay dividends.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contains covenants that may restrict our business and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under our credit facility are secured by substantially all of our assets. Our credit facility also restricts our ability to, among other things:</w:t>
      </w:r>
    </w:p>
    <w:p>
      <w:pPr>
        <w:spacing w:after="0" w:line="140" w:lineRule="exact"/>
        <w:rPr>
          <w:sz w:val="20"/>
          <w:szCs w:val="20"/>
          <w:color w:val="auto"/>
        </w:rPr>
      </w:pPr>
    </w:p>
    <w:p>
      <w:pPr>
        <w:ind w:left="600" w:hanging="106"/>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consolidate or merge with or acquire other entities;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 liens on our assets;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 into transactions with our affiliates;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any payment in respect of any subordinated indebtedness;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waive or amend any of our current intellectual property agreements or material contracts.</w:t>
      </w:r>
    </w:p>
    <w:p>
      <w:pPr>
        <w:spacing w:after="0" w:line="185"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color w:val="auto"/>
        </w:rPr>
        <w:t>These restrictions are subject to certain exceptions. In addition, our loan and security agreement requires us to maintain a minimum cash balance and revenue targets. Beginning with the three months ended March 31, 2019, we are required to meet either revenue or earnings targets.</w:t>
      </w:r>
    </w:p>
    <w:p>
      <w:pPr>
        <w:spacing w:after="0" w:line="14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covenants in our credit facility,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Due to uncertainties surrounding the impact of COVID-19 pandemic, there is a substantial risk that we may not meet the remaining minimum net sales or the trailing 12-month consolidated EBITDA targets in future quarters. If not waived, future defaults could cause all of the outstanding indebtedness under our credit facility agreement to become immediately due and payable.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3" w:name="page64"/>
    <w:bookmarkEnd w:id="63"/>
    <w:p>
      <w:pPr>
        <w:jc w:val="both"/>
        <w:ind w:firstLine="445"/>
        <w:spacing w:after="0" w:line="263"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11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57" w:lineRule="exact"/>
        <w:rPr>
          <w:sz w:val="20"/>
          <w:szCs w:val="20"/>
          <w:color w:val="auto"/>
        </w:rPr>
      </w:pPr>
    </w:p>
    <w:p>
      <w:pPr>
        <w:ind w:left="900" w:right="20" w:hanging="406"/>
        <w:spacing w:after="0" w:line="277" w:lineRule="auto"/>
        <w:tabs>
          <w:tab w:leader="none" w:pos="6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900" w:hanging="406"/>
        <w:spacing w:after="0" w:line="308" w:lineRule="auto"/>
        <w:tabs>
          <w:tab w:leader="none" w:pos="632"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38" w:lineRule="exact"/>
        <w:rPr>
          <w:rFonts w:ascii="Arial" w:cs="Arial" w:eastAsia="Arial" w:hAnsi="Arial"/>
          <w:sz w:val="17"/>
          <w:szCs w:val="17"/>
          <w:color w:val="auto"/>
        </w:rPr>
      </w:pPr>
    </w:p>
    <w:p>
      <w:pPr>
        <w:ind w:left="900" w:right="20" w:hanging="406"/>
        <w:spacing w:after="0" w:line="308" w:lineRule="auto"/>
        <w:tabs>
          <w:tab w:leader="none" w:pos="603"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38" w:lineRule="exact"/>
        <w:rPr>
          <w:rFonts w:ascii="Arial" w:cs="Arial" w:eastAsia="Arial" w:hAnsi="Arial"/>
          <w:sz w:val="17"/>
          <w:szCs w:val="17"/>
          <w:color w:val="auto"/>
        </w:rPr>
      </w:pPr>
    </w:p>
    <w:p>
      <w:pPr>
        <w:ind w:left="900" w:hanging="406"/>
        <w:spacing w:after="0" w:line="277"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900" w:right="20" w:hanging="406"/>
        <w:spacing w:after="0" w:line="263" w:lineRule="auto"/>
        <w:tabs>
          <w:tab w:leader="none" w:pos="6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75" w:lineRule="exact"/>
        <w:rPr>
          <w:rFonts w:ascii="Arial" w:cs="Arial" w:eastAsia="Arial" w:hAnsi="Arial"/>
          <w:sz w:val="18"/>
          <w:szCs w:val="18"/>
          <w:color w:val="auto"/>
        </w:rPr>
      </w:pPr>
    </w:p>
    <w:p>
      <w:pPr>
        <w:ind w:left="900" w:hanging="406"/>
        <w:spacing w:after="0" w:line="259" w:lineRule="auto"/>
        <w:tabs>
          <w:tab w:leader="none" w:pos="6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78" w:lineRule="exact"/>
        <w:rPr>
          <w:rFonts w:ascii="Arial" w:cs="Arial" w:eastAsia="Arial" w:hAnsi="Arial"/>
          <w:sz w:val="18"/>
          <w:szCs w:val="18"/>
          <w:color w:val="auto"/>
        </w:rPr>
      </w:pPr>
    </w:p>
    <w:p>
      <w:pPr>
        <w:ind w:left="900" w:hanging="406"/>
        <w:spacing w:after="0" w:line="263" w:lineRule="auto"/>
        <w:tabs>
          <w:tab w:leader="none" w:pos="6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3" w:lineRule="exact"/>
        <w:rPr>
          <w:sz w:val="20"/>
          <w:szCs w:val="20"/>
          <w:color w:val="auto"/>
        </w:rPr>
      </w:pPr>
    </w:p>
    <w:p>
      <w:pPr>
        <w:jc w:val="both"/>
        <w:ind w:right="20" w:firstLine="445"/>
        <w:spacing w:after="0" w:line="34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2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84"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4" w:name="page65"/>
    <w:bookmarkEnd w:id="64"/>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5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amended and restated certificate of incorporation also provides that the U.S. federal district courts are the exclusive forum for resolving any complaint asserting a cause of action arising under the Securities Act.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sales of unregistered equity securities during the three months ended March 31, 2020.</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repurchases of shares or equity securities during the three months ended March 31, 2020.</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Use of Proceeds from our Initial Public Offering of Common Stock</w:t>
      </w:r>
    </w:p>
    <w:p>
      <w:pPr>
        <w:spacing w:after="0" w:line="225"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On October 16, 2018, our registration statement on Form S-1 (File No. 333-227445) relating to our Initial Public Offering ("IPO") of common stock became effective. The IPO closed on October 16, 2018 at which time we issued 8,280,000 shares of our common stock at an initial offering price of $15.00 per share for gross proceeds of $124.2 million. We received net proceeds from the IPO of approximately $113.4 million, after deducting the underwriting discount of $8.7 million and other offering-related expenses of $2.1 million. None of the expenses associated with the IPO were paid to directors, officers, persons owning 10% or more of any class of equity securities, or to their associates, or to our affiliates.</w:t>
      </w:r>
    </w:p>
    <w:p>
      <w:pPr>
        <w:spacing w:after="0" w:line="20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16, 2018. As of March 31, 2020, approximately $49.7 million of the net proceeds had been used for general corporate purposes including cash used in operations and capital expenditures.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6"/>
          <w:szCs w:val="16"/>
          <w:color w:val="auto"/>
        </w:rPr>
        <w:t xml:space="preserve">In the description of our common stock, as described in Exhibit 4.3 of our Form 10-K filed with the Securities and Exchange Commission on March 11, 2020, we stated that as a result of the recent decision by the Delaware Chancery Court in the </w:t>
      </w:r>
      <w:r>
        <w:rPr>
          <w:rFonts w:ascii="Arial" w:cs="Arial" w:eastAsia="Arial" w:hAnsi="Arial"/>
          <w:sz w:val="16"/>
          <w:szCs w:val="16"/>
          <w:i w:val="1"/>
          <w:iCs w:val="1"/>
          <w:color w:val="auto"/>
        </w:rPr>
        <w:t>Sciabacucchi</w:t>
      </w:r>
      <w:r>
        <w:rPr>
          <w:rFonts w:ascii="Arial" w:cs="Arial" w:eastAsia="Arial" w:hAnsi="Arial"/>
          <w:sz w:val="16"/>
          <w:szCs w:val="16"/>
          <w:color w:val="auto"/>
        </w:rPr>
        <w:t xml:space="preserve"> case, we did not currently intend to enforce the federal forum selection provision of our Certificate of Incorporation unless the </w:t>
      </w:r>
      <w:r>
        <w:rPr>
          <w:rFonts w:ascii="Arial" w:cs="Arial" w:eastAsia="Arial" w:hAnsi="Arial"/>
          <w:sz w:val="16"/>
          <w:szCs w:val="16"/>
          <w:i w:val="1"/>
          <w:iCs w:val="1"/>
          <w:color w:val="auto"/>
        </w:rPr>
        <w:t>Sciabacucchi</w:t>
      </w:r>
      <w:r>
        <w:rPr>
          <w:rFonts w:ascii="Arial" w:cs="Arial" w:eastAsia="Arial" w:hAnsi="Arial"/>
          <w:sz w:val="16"/>
          <w:szCs w:val="16"/>
          <w:color w:val="auto"/>
        </w:rPr>
        <w:t xml:space="preserve"> decision described therein is appealed and the Delaware Supreme Court reverses the decision. That appeal occurred and the Delaware Supreme Court reversed the decision, upholding the validity of the federal forum selection clause in that case. As a result, we may assert the federal forum selection provision of our Certificate of Incorporation in any future proceeding in which it applies. Accordingly, we are refiling the description of our common stock as Exhibit 4.3 to this report to include this update.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6686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3.1</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4.1</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4.2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49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wp:posOffset>
            </wp:positionV>
            <wp:extent cx="30600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6"/>
          <w:szCs w:val="16"/>
          <w:u w:val="single" w:color="auto"/>
          <w:color w:val="0000FF"/>
        </w:rPr>
      </w:pPr>
      <w:hyperlink r:id="rId92">
        <w:r>
          <w:rPr>
            <w:rFonts w:ascii="Arial" w:cs="Arial" w:eastAsia="Arial" w:hAnsi="Arial"/>
            <w:sz w:val="16"/>
            <w:szCs w:val="16"/>
            <w:u w:val="single" w:color="auto"/>
            <w:color w:val="0000FF"/>
          </w:rPr>
          <w:t>Amended and Restated Certificate of Incorporation.</w:t>
        </w:r>
      </w:hyperlink>
    </w:p>
    <w:p>
      <w:pPr>
        <w:spacing w:after="0" w:line="140" w:lineRule="exact"/>
        <w:rPr>
          <w:sz w:val="20"/>
          <w:szCs w:val="20"/>
          <w:color w:val="auto"/>
        </w:rPr>
      </w:pPr>
    </w:p>
    <w:p>
      <w:pPr>
        <w:spacing w:after="0"/>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Amended and Restated Bylaws.</w:t>
        </w:r>
      </w:hyperlink>
    </w:p>
    <w:p>
      <w:pPr>
        <w:spacing w:after="0" w:line="117" w:lineRule="exact"/>
        <w:rPr>
          <w:sz w:val="20"/>
          <w:szCs w:val="20"/>
          <w:color w:val="auto"/>
        </w:rPr>
      </w:pPr>
    </w:p>
    <w:p>
      <w:pPr>
        <w:spacing w:after="0"/>
        <w:rPr>
          <w:rFonts w:ascii="Arial" w:cs="Arial" w:eastAsia="Arial" w:hAnsi="Arial"/>
          <w:sz w:val="16"/>
          <w:szCs w:val="16"/>
          <w:u w:val="single" w:color="auto"/>
          <w:color w:val="0000FF"/>
        </w:rPr>
      </w:pPr>
      <w:hyperlink r:id="rId94">
        <w:r>
          <w:rPr>
            <w:rFonts w:ascii="Arial" w:cs="Arial" w:eastAsia="Arial" w:hAnsi="Arial"/>
            <w:sz w:val="16"/>
            <w:szCs w:val="16"/>
            <w:u w:val="single" w:color="auto"/>
            <w:color w:val="0000FF"/>
          </w:rPr>
          <w:t>Form of Common Stock Certificate of the Company.</w:t>
        </w:r>
      </w:hyperlink>
    </w:p>
    <w:p>
      <w:pPr>
        <w:spacing w:after="0" w:line="140"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92">
        <w:r>
          <w:rPr>
            <w:rFonts w:ascii="Arial" w:cs="Arial" w:eastAsia="Arial" w:hAnsi="Arial"/>
            <w:sz w:val="18"/>
            <w:szCs w:val="18"/>
            <w:u w:val="single" w:color="auto"/>
            <w:color w:val="0000FF"/>
          </w:rPr>
          <w:t>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93">
        <w:r>
          <w:rPr>
            <w:rFonts w:ascii="Arial" w:cs="Arial" w:eastAsia="Arial" w:hAnsi="Arial"/>
            <w:sz w:val="18"/>
            <w:szCs w:val="18"/>
            <w:u w:val="single" w:color="auto"/>
            <w:color w:val="0000FF"/>
          </w:rPr>
          <w:t>3.2</w:t>
        </w:r>
      </w:hyperlink>
      <w:r>
        <w:rPr>
          <w:rFonts w:ascii="Arial" w:cs="Arial" w:eastAsia="Arial" w:hAnsi="Arial"/>
          <w:sz w:val="18"/>
          <w:szCs w:val="18"/>
          <w:color w:val="auto"/>
        </w:rPr>
        <w:t>.</w:t>
      </w:r>
    </w:p>
    <w:p>
      <w:pPr>
        <w:spacing w:after="0" w:line="171" w:lineRule="exact"/>
        <w:rPr>
          <w:sz w:val="20"/>
          <w:szCs w:val="20"/>
          <w:color w:val="auto"/>
        </w:rPr>
      </w:pPr>
    </w:p>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Description of SI-BONE, Inc. Common Stock</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4"/>
              </w:rPr>
              <w:t>Incorporation By Reference</w:t>
            </w:r>
          </w:p>
        </w:tc>
        <w:tc>
          <w:tcPr>
            <w:tcW w:w="8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20" w:type="dxa"/>
            <w:vAlign w:val="bottom"/>
            <w:vMerge w:val="restart"/>
          </w:tcPr>
          <w:p>
            <w:pPr>
              <w:jc w:val="center"/>
              <w:ind w:left="75"/>
              <w:spacing w:after="0"/>
              <w:rPr>
                <w:sz w:val="20"/>
                <w:szCs w:val="20"/>
                <w:color w:val="auto"/>
              </w:rPr>
            </w:pPr>
            <w:r>
              <w:rPr>
                <w:rFonts w:ascii="Arial" w:cs="Arial" w:eastAsia="Arial" w:hAnsi="Arial"/>
                <w:sz w:val="14"/>
                <w:szCs w:val="14"/>
                <w:b w:val="1"/>
                <w:bCs w:val="1"/>
                <w:color w:val="auto"/>
                <w:w w:val="97"/>
              </w:rPr>
              <w:t>Form</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SEC File No.</w:t>
            </w:r>
          </w:p>
        </w:tc>
        <w:tc>
          <w:tcPr>
            <w:tcW w:w="18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10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8"/>
              </w:rPr>
              <w:t>Exhibit/</w:t>
            </w:r>
          </w:p>
        </w:tc>
        <w:tc>
          <w:tcPr>
            <w:tcW w:w="12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8"/>
              </w:rPr>
              <w:t>Reference</w:t>
            </w:r>
          </w:p>
        </w:tc>
        <w:tc>
          <w:tcPr>
            <w:tcW w:w="18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20" w:type="dxa"/>
            <w:vAlign w:val="bottom"/>
          </w:tcPr>
          <w:p>
            <w:pPr>
              <w:jc w:val="center"/>
              <w:ind w:left="55"/>
              <w:spacing w:after="0"/>
              <w:rPr>
                <w:sz w:val="20"/>
                <w:szCs w:val="20"/>
                <w:color w:val="auto"/>
              </w:rPr>
            </w:pPr>
            <w:r>
              <w:rPr>
                <w:rFonts w:ascii="Arial" w:cs="Arial" w:eastAsia="Arial" w:hAnsi="Arial"/>
                <w:sz w:val="18"/>
                <w:szCs w:val="18"/>
                <w:color w:val="auto"/>
                <w:w w:val="99"/>
              </w:rPr>
              <w:t>8-K</w:t>
            </w:r>
          </w:p>
        </w:tc>
        <w:tc>
          <w:tcPr>
            <w:tcW w:w="1480" w:type="dxa"/>
            <w:vAlign w:val="bottom"/>
            <w:gridSpan w:val="3"/>
          </w:tcPr>
          <w:p>
            <w:pPr>
              <w:jc w:val="center"/>
              <w:ind w:left="235"/>
              <w:spacing w:after="0"/>
              <w:rPr>
                <w:sz w:val="20"/>
                <w:szCs w:val="20"/>
                <w:color w:val="auto"/>
              </w:rPr>
            </w:pPr>
            <w:r>
              <w:rPr>
                <w:rFonts w:ascii="Arial" w:cs="Arial" w:eastAsia="Arial" w:hAnsi="Arial"/>
                <w:sz w:val="18"/>
                <w:szCs w:val="18"/>
                <w:color w:val="auto"/>
                <w:w w:val="88"/>
              </w:rPr>
              <w:t>001-38701</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center"/>
              <w:ind w:right="137"/>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10/19/2018</w:t>
            </w:r>
          </w:p>
        </w:tc>
        <w:tc>
          <w:tcPr>
            <w:tcW w:w="0" w:type="dxa"/>
            <w:vAlign w:val="bottom"/>
          </w:tcPr>
          <w:p>
            <w:pPr>
              <w:spacing w:after="0"/>
              <w:rPr>
                <w:sz w:val="1"/>
                <w:szCs w:val="1"/>
                <w:color w:val="auto"/>
              </w:rPr>
            </w:pPr>
          </w:p>
        </w:tc>
      </w:tr>
      <w:tr>
        <w:trPr>
          <w:trHeight w:val="324"/>
        </w:trPr>
        <w:tc>
          <w:tcPr>
            <w:tcW w:w="820" w:type="dxa"/>
            <w:vAlign w:val="bottom"/>
          </w:tcPr>
          <w:p>
            <w:pPr>
              <w:jc w:val="center"/>
              <w:ind w:left="55"/>
              <w:spacing w:after="0"/>
              <w:rPr>
                <w:sz w:val="20"/>
                <w:szCs w:val="20"/>
                <w:color w:val="auto"/>
              </w:rPr>
            </w:pPr>
            <w:r>
              <w:rPr>
                <w:rFonts w:ascii="Arial" w:cs="Arial" w:eastAsia="Arial" w:hAnsi="Arial"/>
                <w:sz w:val="18"/>
                <w:szCs w:val="18"/>
                <w:color w:val="auto"/>
                <w:w w:val="97"/>
              </w:rPr>
              <w:t>S-1/A</w:t>
            </w:r>
          </w:p>
        </w:tc>
        <w:tc>
          <w:tcPr>
            <w:tcW w:w="1480" w:type="dxa"/>
            <w:vAlign w:val="bottom"/>
            <w:gridSpan w:val="3"/>
          </w:tcPr>
          <w:p>
            <w:pPr>
              <w:jc w:val="center"/>
              <w:ind w:left="235"/>
              <w:spacing w:after="0"/>
              <w:rPr>
                <w:sz w:val="20"/>
                <w:szCs w:val="20"/>
                <w:color w:val="auto"/>
              </w:rPr>
            </w:pPr>
            <w:r>
              <w:rPr>
                <w:rFonts w:ascii="Arial" w:cs="Arial" w:eastAsia="Arial" w:hAnsi="Arial"/>
                <w:sz w:val="18"/>
                <w:szCs w:val="18"/>
                <w:color w:val="auto"/>
                <w:w w:val="91"/>
              </w:rPr>
              <w:t>333-227445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center"/>
              <w:ind w:right="137"/>
              <w:spacing w:after="0"/>
              <w:rPr>
                <w:sz w:val="20"/>
                <w:szCs w:val="20"/>
                <w:color w:val="auto"/>
              </w:rPr>
            </w:pPr>
            <w:r>
              <w:rPr>
                <w:rFonts w:ascii="Arial" w:cs="Arial" w:eastAsia="Arial" w:hAnsi="Arial"/>
                <w:sz w:val="18"/>
                <w:szCs w:val="18"/>
                <w:color w:val="auto"/>
                <w:w w:val="87"/>
              </w:rPr>
              <w:t>3.4</w:t>
            </w: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324"/>
        </w:trPr>
        <w:tc>
          <w:tcPr>
            <w:tcW w:w="820" w:type="dxa"/>
            <w:vAlign w:val="bottom"/>
          </w:tcPr>
          <w:p>
            <w:pPr>
              <w:jc w:val="center"/>
              <w:ind w:left="55"/>
              <w:spacing w:after="0"/>
              <w:rPr>
                <w:sz w:val="20"/>
                <w:szCs w:val="20"/>
                <w:color w:val="auto"/>
              </w:rPr>
            </w:pPr>
            <w:r>
              <w:rPr>
                <w:rFonts w:ascii="Arial" w:cs="Arial" w:eastAsia="Arial" w:hAnsi="Arial"/>
                <w:sz w:val="18"/>
                <w:szCs w:val="18"/>
                <w:color w:val="auto"/>
                <w:w w:val="97"/>
              </w:rPr>
              <w:t>S-1/A</w:t>
            </w:r>
          </w:p>
        </w:tc>
        <w:tc>
          <w:tcPr>
            <w:tcW w:w="1480" w:type="dxa"/>
            <w:vAlign w:val="bottom"/>
            <w:gridSpan w:val="3"/>
          </w:tcPr>
          <w:p>
            <w:pPr>
              <w:jc w:val="center"/>
              <w:ind w:left="235"/>
              <w:spacing w:after="0"/>
              <w:rPr>
                <w:sz w:val="20"/>
                <w:szCs w:val="20"/>
                <w:color w:val="auto"/>
              </w:rPr>
            </w:pPr>
            <w:r>
              <w:rPr>
                <w:rFonts w:ascii="Arial" w:cs="Arial" w:eastAsia="Arial" w:hAnsi="Arial"/>
                <w:sz w:val="18"/>
                <w:szCs w:val="18"/>
                <w:color w:val="auto"/>
                <w:w w:val="91"/>
              </w:rPr>
              <w:t>333-227445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center"/>
              <w:ind w:right="137"/>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bl>
    <w:p>
      <w:pPr>
        <w:spacing w:after="0" w:line="785" w:lineRule="exact"/>
        <w:rPr>
          <w:sz w:val="20"/>
          <w:szCs w:val="20"/>
          <w:color w:val="auto"/>
        </w:rPr>
      </w:pPr>
    </w:p>
    <w:p>
      <w:pPr>
        <w:sectPr>
          <w:pgSz w:w="11900" w:h="16838" w:orient="portrait"/>
          <w:cols w:equalWidth="0" w:num="3">
            <w:col w:w="820" w:space="460"/>
            <w:col w:w="4280" w:space="720"/>
            <w:col w:w="4940"/>
          </w:cols>
          <w:pgMar w:left="320" w:top="769" w:right="359" w:bottom="1440" w:gutter="0" w:footer="0" w:header="0"/>
          <w:type w:val="continuous"/>
        </w:sectPr>
      </w:pPr>
    </w:p>
    <w:tbl>
      <w:tblPr>
        <w:tblLayout w:type="fixed"/>
        <w:tblInd w:w="60" w:type="dxa"/>
        <w:tblCellMar>
          <w:top w:w="0" w:type="dxa"/>
          <w:left w:w="0" w:type="dxa"/>
          <w:bottom w:w="0" w:type="dxa"/>
          <w:right w:w="0" w:type="dxa"/>
        </w:tblCellMar>
      </w:tblPr>
      <w:tr>
        <w:trPr>
          <w:trHeight w:val="227"/>
        </w:trPr>
        <w:tc>
          <w:tcPr>
            <w:tcW w:w="1240" w:type="dxa"/>
            <w:vAlign w:val="bottom"/>
          </w:tcPr>
          <w:p>
            <w:pPr>
              <w:spacing w:after="0"/>
              <w:rPr>
                <w:sz w:val="20"/>
                <w:szCs w:val="20"/>
                <w:color w:val="auto"/>
              </w:rPr>
            </w:pPr>
            <w:r>
              <w:rPr>
                <w:rFonts w:ascii="Arial" w:cs="Arial" w:eastAsia="Arial" w:hAnsi="Arial"/>
                <w:sz w:val="18"/>
                <w:szCs w:val="18"/>
                <w:color w:val="auto"/>
              </w:rPr>
              <w:t>10.1</w:t>
            </w:r>
          </w:p>
        </w:tc>
        <w:tc>
          <w:tcPr>
            <w:tcW w:w="4760" w:type="dxa"/>
            <w:vAlign w:val="bottom"/>
            <w:gridSpan w:val="17"/>
          </w:tcPr>
          <w:p>
            <w:pPr>
              <w:spacing w:after="0"/>
              <w:rPr>
                <w:rFonts w:ascii="Arial" w:cs="Arial" w:eastAsia="Arial" w:hAnsi="Arial"/>
                <w:sz w:val="18"/>
                <w:szCs w:val="18"/>
                <w:color w:val="0000FF"/>
              </w:rPr>
            </w:pPr>
            <w:hyperlink r:id="rId95">
              <w:r>
                <w:rPr>
                  <w:rFonts w:ascii="Arial" w:cs="Arial" w:eastAsia="Arial" w:hAnsi="Arial"/>
                  <w:sz w:val="18"/>
                  <w:szCs w:val="18"/>
                  <w:u w:val="single" w:color="auto"/>
                  <w:color w:val="0000FF"/>
                </w:rPr>
                <w:t>January 2020</w:t>
              </w:r>
              <w:r>
                <w:rPr>
                  <w:rFonts w:ascii="Arial" w:cs="Arial" w:eastAsia="Arial" w:hAnsi="Arial"/>
                  <w:sz w:val="18"/>
                  <w:szCs w:val="18"/>
                  <w:color w:val="0000FF"/>
                </w:rPr>
                <w:t xml:space="preserve"> changes to Chief Executive Officer, Chief</w:t>
              </w:r>
            </w:hyperlink>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240" w:type="dxa"/>
            <w:vAlign w:val="bottom"/>
          </w:tcPr>
          <w:p>
            <w:pPr>
              <w:spacing w:after="0"/>
              <w:rPr>
                <w:sz w:val="13"/>
                <w:szCs w:val="13"/>
                <w:color w:val="auto"/>
              </w:rPr>
            </w:pPr>
          </w:p>
        </w:tc>
        <w:tc>
          <w:tcPr>
            <w:tcW w:w="4000" w:type="dxa"/>
            <w:vAlign w:val="bottom"/>
            <w:gridSpan w:val="7"/>
          </w:tcPr>
          <w:p>
            <w:pPr>
              <w:spacing w:after="0" w:line="156" w:lineRule="exact"/>
              <w:rPr>
                <w:rFonts w:ascii="Arial" w:cs="Arial" w:eastAsia="Arial" w:hAnsi="Arial"/>
                <w:sz w:val="18"/>
                <w:szCs w:val="18"/>
                <w:color w:val="0000FF"/>
                <w:w w:val="93"/>
              </w:rPr>
            </w:pPr>
            <w:hyperlink r:id="rId95">
              <w:r>
                <w:rPr>
                  <w:rFonts w:ascii="Arial" w:cs="Arial" w:eastAsia="Arial" w:hAnsi="Arial"/>
                  <w:sz w:val="18"/>
                  <w:szCs w:val="18"/>
                  <w:color w:val="0000FF"/>
                  <w:w w:val="93"/>
                </w:rPr>
                <w:t>Operating Officer &amp; Chief Financial Officer, and Chief</w:t>
              </w:r>
            </w:hyperlink>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40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Commercial Officer Compensati</w:t>
              </w:r>
              <w:r>
                <w:rPr>
                  <w:rFonts w:ascii="Arial" w:cs="Arial" w:eastAsia="Arial" w:hAnsi="Arial"/>
                  <w:sz w:val="18"/>
                  <w:szCs w:val="18"/>
                  <w:u w:val="single" w:color="auto"/>
                  <w:color w:val="0000FF"/>
                </w:rPr>
                <w:t>on</w:t>
              </w:r>
            </w:hyperlink>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10.2</w:t>
            </w:r>
          </w:p>
        </w:tc>
        <w:tc>
          <w:tcPr>
            <w:tcW w:w="4760" w:type="dxa"/>
            <w:vAlign w:val="bottom"/>
            <w:gridSpan w:val="17"/>
          </w:tcPr>
          <w:p>
            <w:pPr>
              <w:spacing w:after="0"/>
              <w:rPr>
                <w:rFonts w:ascii="Arial" w:cs="Arial" w:eastAsia="Arial" w:hAnsi="Arial"/>
                <w:sz w:val="18"/>
                <w:szCs w:val="18"/>
                <w:color w:val="0000FF"/>
                <w:w w:val="92"/>
              </w:rPr>
            </w:pPr>
            <w:hyperlink r:id="rId96">
              <w:r>
                <w:rPr>
                  <w:rFonts w:ascii="Arial" w:cs="Arial" w:eastAsia="Arial" w:hAnsi="Arial"/>
                  <w:sz w:val="18"/>
                  <w:szCs w:val="18"/>
                  <w:u w:val="single" w:color="auto"/>
                  <w:color w:val="0000FF"/>
                  <w:w w:val="92"/>
                </w:rPr>
                <w:t>March</w:t>
              </w:r>
              <w:r>
                <w:rPr>
                  <w:rFonts w:ascii="Arial" w:cs="Arial" w:eastAsia="Arial" w:hAnsi="Arial"/>
                  <w:sz w:val="18"/>
                  <w:szCs w:val="18"/>
                  <w:color w:val="0000FF"/>
                  <w:w w:val="92"/>
                </w:rPr>
                <w:t xml:space="preserve"> 2020 changes to Chief Executive Officer, Chief Operating</w:t>
              </w:r>
            </w:hyperlink>
          </w:p>
        </w:tc>
      </w:tr>
      <w:tr>
        <w:trPr>
          <w:trHeight w:val="155"/>
        </w:trPr>
        <w:tc>
          <w:tcPr>
            <w:tcW w:w="1240" w:type="dxa"/>
            <w:vAlign w:val="bottom"/>
          </w:tcPr>
          <w:p>
            <w:pPr>
              <w:spacing w:after="0"/>
              <w:rPr>
                <w:sz w:val="13"/>
                <w:szCs w:val="13"/>
                <w:color w:val="auto"/>
              </w:rPr>
            </w:pPr>
          </w:p>
        </w:tc>
        <w:tc>
          <w:tcPr>
            <w:tcW w:w="460" w:type="dxa"/>
            <w:vAlign w:val="bottom"/>
            <w:gridSpan w:val="2"/>
          </w:tcPr>
          <w:p>
            <w:pPr>
              <w:spacing w:after="0" w:line="156" w:lineRule="exact"/>
              <w:rPr>
                <w:rFonts w:ascii="Arial" w:cs="Arial" w:eastAsia="Arial" w:hAnsi="Arial"/>
                <w:sz w:val="18"/>
                <w:szCs w:val="18"/>
                <w:color w:val="0000FF"/>
                <w:w w:val="82"/>
              </w:rPr>
            </w:pPr>
            <w:hyperlink r:id="rId96">
              <w:r>
                <w:rPr>
                  <w:rFonts w:ascii="Arial" w:cs="Arial" w:eastAsia="Arial" w:hAnsi="Arial"/>
                  <w:sz w:val="18"/>
                  <w:szCs w:val="18"/>
                  <w:color w:val="0000FF"/>
                  <w:w w:val="82"/>
                </w:rPr>
                <w:t>Officer</w:t>
              </w:r>
            </w:hyperlink>
          </w:p>
        </w:tc>
        <w:tc>
          <w:tcPr>
            <w:tcW w:w="4220" w:type="dxa"/>
            <w:vAlign w:val="bottom"/>
            <w:tcBorders>
              <w:top w:val="single" w:sz="8" w:color="0000FF"/>
            </w:tcBorders>
            <w:gridSpan w:val="11"/>
          </w:tcPr>
          <w:p>
            <w:pPr>
              <w:ind w:left="80"/>
              <w:spacing w:after="0" w:line="156" w:lineRule="exact"/>
              <w:rPr>
                <w:rFonts w:ascii="Arial" w:cs="Arial" w:eastAsia="Arial" w:hAnsi="Arial"/>
                <w:sz w:val="18"/>
                <w:szCs w:val="18"/>
                <w:color w:val="0000FF"/>
                <w:w w:val="93"/>
              </w:rPr>
            </w:pPr>
            <w:hyperlink r:id="rId96">
              <w:r>
                <w:rPr>
                  <w:rFonts w:ascii="Arial" w:cs="Arial" w:eastAsia="Arial" w:hAnsi="Arial"/>
                  <w:sz w:val="18"/>
                  <w:szCs w:val="18"/>
                  <w:color w:val="0000FF"/>
                  <w:w w:val="93"/>
                </w:rPr>
                <w:t>&amp; Chief Financial Officer, and Chief Commercial Officer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47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Compensation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442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71">
              <w:r>
                <w:rPr>
                  <w:rFonts w:ascii="Arial" w:cs="Arial" w:eastAsia="Arial" w:hAnsi="Arial"/>
                  <w:sz w:val="18"/>
                  <w:szCs w:val="18"/>
                  <w:color w:val="0000FF"/>
                  <w:w w:val="92"/>
                </w:rPr>
                <w:t>Certification of Principal Executive Officer Pursuant to Rules</w:t>
              </w:r>
            </w:hyperlink>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240" w:type="dxa"/>
            <w:vAlign w:val="bottom"/>
          </w:tcPr>
          <w:p>
            <w:pPr>
              <w:spacing w:after="0"/>
              <w:rPr>
                <w:sz w:val="13"/>
                <w:szCs w:val="13"/>
                <w:color w:val="auto"/>
              </w:rPr>
            </w:pPr>
          </w:p>
        </w:tc>
        <w:tc>
          <w:tcPr>
            <w:tcW w:w="4760" w:type="dxa"/>
            <w:vAlign w:val="bottom"/>
            <w:gridSpan w:val="17"/>
          </w:tcPr>
          <w:p>
            <w:pPr>
              <w:spacing w:after="0" w:line="156" w:lineRule="exact"/>
              <w:rPr>
                <w:rFonts w:ascii="Arial" w:cs="Arial" w:eastAsia="Arial" w:hAnsi="Arial"/>
                <w:sz w:val="18"/>
                <w:szCs w:val="18"/>
                <w:color w:val="0000FF"/>
                <w:w w:val="95"/>
              </w:rPr>
            </w:pPr>
            <w:hyperlink w:anchor="page71">
              <w:r>
                <w:rPr>
                  <w:rFonts w:ascii="Arial" w:cs="Arial" w:eastAsia="Arial" w:hAnsi="Arial"/>
                  <w:sz w:val="18"/>
                  <w:szCs w:val="18"/>
                  <w:color w:val="0000FF"/>
                  <w:w w:val="95"/>
                </w:rPr>
                <w:t>13a-14(a) and 15d-14(a) under the Securities Exchange Act of</w:t>
              </w:r>
            </w:hyperlink>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20" w:type="dxa"/>
            <w:vAlign w:val="bottom"/>
            <w:gridSpan w:val="5"/>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240" w:type="dxa"/>
            <w:vAlign w:val="bottom"/>
          </w:tcPr>
          <w:p>
            <w:pPr>
              <w:spacing w:after="0"/>
              <w:rPr>
                <w:sz w:val="13"/>
                <w:szCs w:val="13"/>
                <w:color w:val="auto"/>
              </w:rPr>
            </w:pPr>
          </w:p>
        </w:tc>
        <w:tc>
          <w:tcPr>
            <w:tcW w:w="4760" w:type="dxa"/>
            <w:vAlign w:val="bottom"/>
            <w:gridSpan w:val="17"/>
          </w:tcPr>
          <w:p>
            <w:pPr>
              <w:spacing w:after="0" w:line="156" w:lineRule="exact"/>
              <w:rPr>
                <w:rFonts w:ascii="Arial" w:cs="Arial" w:eastAsia="Arial" w:hAnsi="Arial"/>
                <w:sz w:val="18"/>
                <w:szCs w:val="18"/>
                <w:color w:val="0000FF"/>
                <w:w w:val="90"/>
              </w:rPr>
            </w:pPr>
            <w:hyperlink w:anchor="page71">
              <w:r>
                <w:rPr>
                  <w:rFonts w:ascii="Arial" w:cs="Arial" w:eastAsia="Arial" w:hAnsi="Arial"/>
                  <w:sz w:val="18"/>
                  <w:szCs w:val="18"/>
                  <w:color w:val="0000FF"/>
                  <w:w w:val="90"/>
                </w:rPr>
                <w:t>1934, as Adopted Pursuant to Section 302 of the Sarbanes-Oxley</w:t>
              </w:r>
            </w:hyperlink>
          </w:p>
        </w:tc>
      </w:tr>
      <w:tr>
        <w:trPr>
          <w:trHeight w:val="155"/>
        </w:trPr>
        <w:tc>
          <w:tcPr>
            <w:tcW w:w="1240" w:type="dxa"/>
            <w:vAlign w:val="bottom"/>
          </w:tcPr>
          <w:p>
            <w:pPr>
              <w:spacing w:after="0"/>
              <w:rPr>
                <w:sz w:val="13"/>
                <w:szCs w:val="13"/>
                <w:color w:val="auto"/>
              </w:rPr>
            </w:pPr>
          </w:p>
        </w:tc>
        <w:tc>
          <w:tcPr>
            <w:tcW w:w="46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71">
              <w:r>
                <w:rPr>
                  <w:rFonts w:ascii="Arial" w:cs="Arial" w:eastAsia="Arial" w:hAnsi="Arial"/>
                  <w:sz w:val="18"/>
                  <w:szCs w:val="18"/>
                  <w:color w:val="0000FF"/>
                </w:rPr>
                <w:t>Act of 2002.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474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72">
              <w:r>
                <w:rPr>
                  <w:rFonts w:ascii="Arial" w:cs="Arial" w:eastAsia="Arial" w:hAnsi="Arial"/>
                  <w:sz w:val="18"/>
                  <w:szCs w:val="18"/>
                  <w:color w:val="0000FF"/>
                  <w:w w:val="91"/>
                </w:rPr>
                <w:t>Certification of Principal Financial Officer Pursuant to Rules 13a-</w:t>
              </w:r>
            </w:hyperlink>
          </w:p>
        </w:tc>
        <w:tc>
          <w:tcPr>
            <w:tcW w:w="20" w:type="dxa"/>
            <w:vAlign w:val="bottom"/>
          </w:tcPr>
          <w:p>
            <w:pPr>
              <w:spacing w:after="0"/>
              <w:rPr>
                <w:sz w:val="22"/>
                <w:szCs w:val="22"/>
                <w:color w:val="auto"/>
              </w:rPr>
            </w:pPr>
          </w:p>
        </w:tc>
      </w:tr>
      <w:tr>
        <w:trPr>
          <w:trHeight w:val="156"/>
        </w:trPr>
        <w:tc>
          <w:tcPr>
            <w:tcW w:w="1240" w:type="dxa"/>
            <w:vAlign w:val="bottom"/>
          </w:tcPr>
          <w:p>
            <w:pPr>
              <w:spacing w:after="0"/>
              <w:rPr>
                <w:sz w:val="13"/>
                <w:szCs w:val="13"/>
                <w:color w:val="auto"/>
              </w:rPr>
            </w:pPr>
          </w:p>
        </w:tc>
        <w:tc>
          <w:tcPr>
            <w:tcW w:w="4600" w:type="dxa"/>
            <w:vAlign w:val="bottom"/>
            <w:tcBorders>
              <w:bottom w:val="single" w:sz="8" w:color="0000FF"/>
            </w:tcBorders>
            <w:gridSpan w:val="11"/>
          </w:tcPr>
          <w:p>
            <w:pPr>
              <w:spacing w:after="0" w:line="156" w:lineRule="exact"/>
              <w:rPr>
                <w:rFonts w:ascii="Arial" w:cs="Arial" w:eastAsia="Arial" w:hAnsi="Arial"/>
                <w:sz w:val="18"/>
                <w:szCs w:val="18"/>
                <w:color w:val="0000FF"/>
                <w:w w:val="89"/>
              </w:rPr>
            </w:pPr>
            <w:hyperlink w:anchor="page72">
              <w:r>
                <w:rPr>
                  <w:rFonts w:ascii="Arial" w:cs="Arial" w:eastAsia="Arial" w:hAnsi="Arial"/>
                  <w:sz w:val="18"/>
                  <w:szCs w:val="18"/>
                  <w:color w:val="0000FF"/>
                  <w:w w:val="89"/>
                </w:rPr>
                <w:t>14(a) and 15d-14(a) under the Securities Exchange Act of 1934,</w:t>
              </w:r>
            </w:hyperlink>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4760" w:type="dxa"/>
            <w:vAlign w:val="bottom"/>
            <w:gridSpan w:val="17"/>
          </w:tcPr>
          <w:p>
            <w:pPr>
              <w:spacing w:after="0" w:line="156" w:lineRule="exact"/>
              <w:rPr>
                <w:rFonts w:ascii="Arial" w:cs="Arial" w:eastAsia="Arial" w:hAnsi="Arial"/>
                <w:sz w:val="18"/>
                <w:szCs w:val="18"/>
                <w:color w:val="0000FF"/>
                <w:w w:val="90"/>
              </w:rPr>
            </w:pPr>
            <w:hyperlink w:anchor="page72">
              <w:r>
                <w:rPr>
                  <w:rFonts w:ascii="Arial" w:cs="Arial" w:eastAsia="Arial" w:hAnsi="Arial"/>
                  <w:sz w:val="18"/>
                  <w:szCs w:val="18"/>
                  <w:color w:val="0000FF"/>
                  <w:w w:val="90"/>
                </w:rPr>
                <w:t>as Adopted Pursuant to Section 302 of the Sarbanes-Oxley Act of</w:t>
              </w:r>
            </w:hyperlink>
          </w:p>
        </w:tc>
      </w:tr>
      <w:tr>
        <w:trPr>
          <w:trHeight w:val="156"/>
        </w:trPr>
        <w:tc>
          <w:tcPr>
            <w:tcW w:w="1240" w:type="dxa"/>
            <w:vAlign w:val="bottom"/>
          </w:tcPr>
          <w:p>
            <w:pPr>
              <w:spacing w:after="0"/>
              <w:rPr>
                <w:sz w:val="13"/>
                <w:szCs w:val="13"/>
                <w:color w:val="auto"/>
              </w:rPr>
            </w:pPr>
          </w:p>
        </w:tc>
        <w:tc>
          <w:tcPr>
            <w:tcW w:w="3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9"/>
              </w:rPr>
            </w:pPr>
            <w:hyperlink w:anchor="page72">
              <w:r>
                <w:rPr>
                  <w:rFonts w:ascii="Arial" w:cs="Arial" w:eastAsia="Arial" w:hAnsi="Arial"/>
                  <w:sz w:val="18"/>
                  <w:szCs w:val="18"/>
                  <w:color w:val="0000FF"/>
                  <w:w w:val="79"/>
                </w:rPr>
                <w:t>2002.</w:t>
              </w:r>
            </w:hyperlink>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4760" w:type="dxa"/>
            <w:vAlign w:val="bottom"/>
            <w:gridSpan w:val="17"/>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Certification of Principal Executive Officer and Principal</w:t>
              </w:r>
            </w:hyperlink>
          </w:p>
        </w:tc>
      </w:tr>
      <w:tr>
        <w:trPr>
          <w:trHeight w:val="155"/>
        </w:trPr>
        <w:tc>
          <w:tcPr>
            <w:tcW w:w="1240" w:type="dxa"/>
            <w:vAlign w:val="bottom"/>
          </w:tcPr>
          <w:p>
            <w:pPr>
              <w:spacing w:after="0"/>
              <w:rPr>
                <w:sz w:val="13"/>
                <w:szCs w:val="13"/>
                <w:color w:val="auto"/>
              </w:rPr>
            </w:pPr>
          </w:p>
        </w:tc>
        <w:tc>
          <w:tcPr>
            <w:tcW w:w="4100" w:type="dxa"/>
            <w:vAlign w:val="bottom"/>
            <w:tcBorders>
              <w:top w:val="single" w:sz="8" w:color="0000FF"/>
            </w:tcBorders>
            <w:gridSpan w:val="8"/>
          </w:tcPr>
          <w:p>
            <w:pPr>
              <w:spacing w:after="0" w:line="156" w:lineRule="exact"/>
              <w:rPr>
                <w:rFonts w:ascii="Arial" w:cs="Arial" w:eastAsia="Arial" w:hAnsi="Arial"/>
                <w:sz w:val="18"/>
                <w:szCs w:val="18"/>
                <w:color w:val="0000FF"/>
                <w:w w:val="90"/>
              </w:rPr>
            </w:pPr>
            <w:hyperlink w:anchor="page73">
              <w:r>
                <w:rPr>
                  <w:rFonts w:ascii="Arial" w:cs="Arial" w:eastAsia="Arial" w:hAnsi="Arial"/>
                  <w:sz w:val="18"/>
                  <w:szCs w:val="18"/>
                  <w:color w:val="0000FF"/>
                  <w:w w:val="90"/>
                </w:rPr>
                <w:t>Financial Officer Pursuant to 18 U.S.C. Section 1350, as</w:t>
              </w:r>
            </w:hyperlink>
          </w:p>
        </w:tc>
        <w:tc>
          <w:tcPr>
            <w:tcW w:w="660" w:type="dxa"/>
            <w:vAlign w:val="bottom"/>
            <w:gridSpan w:val="9"/>
          </w:tcPr>
          <w:p>
            <w:pPr>
              <w:spacing w:after="0" w:line="156" w:lineRule="exact"/>
              <w:rPr>
                <w:rFonts w:ascii="Arial" w:cs="Arial" w:eastAsia="Arial" w:hAnsi="Arial"/>
                <w:sz w:val="18"/>
                <w:szCs w:val="18"/>
                <w:color w:val="0000FF"/>
                <w:w w:val="95"/>
              </w:rPr>
            </w:pPr>
            <w:hyperlink w:anchor="page73">
              <w:r>
                <w:rPr>
                  <w:rFonts w:ascii="Arial" w:cs="Arial" w:eastAsia="Arial" w:hAnsi="Arial"/>
                  <w:sz w:val="18"/>
                  <w:szCs w:val="18"/>
                  <w:color w:val="0000FF"/>
                  <w:w w:val="95"/>
                </w:rPr>
                <w:t>Adopted</w:t>
              </w:r>
            </w:hyperlink>
          </w:p>
        </w:tc>
      </w:tr>
      <w:tr>
        <w:trPr>
          <w:trHeight w:val="224"/>
        </w:trPr>
        <w:tc>
          <w:tcPr>
            <w:tcW w:w="1240" w:type="dxa"/>
            <w:vAlign w:val="bottom"/>
          </w:tcPr>
          <w:p>
            <w:pPr>
              <w:spacing w:after="0"/>
              <w:rPr>
                <w:sz w:val="19"/>
                <w:szCs w:val="19"/>
                <w:color w:val="auto"/>
              </w:rPr>
            </w:pPr>
          </w:p>
        </w:tc>
        <w:tc>
          <w:tcPr>
            <w:tcW w:w="4720" w:type="dxa"/>
            <w:vAlign w:val="bottom"/>
            <w:tcBorders>
              <w:top w:val="single" w:sz="8" w:color="0000FF"/>
            </w:tcBorders>
            <w:gridSpan w:val="15"/>
          </w:tcPr>
          <w:p>
            <w:pPr>
              <w:spacing w:after="0"/>
              <w:rPr>
                <w:rFonts w:ascii="Arial" w:cs="Arial" w:eastAsia="Arial" w:hAnsi="Arial"/>
                <w:sz w:val="18"/>
                <w:szCs w:val="18"/>
                <w:u w:val="single" w:color="auto"/>
                <w:color w:val="0000FF"/>
                <w:w w:val="98"/>
              </w:rPr>
            </w:pPr>
            <w:hyperlink w:anchor="page73">
              <w:r>
                <w:rPr>
                  <w:rFonts w:ascii="Arial" w:cs="Arial" w:eastAsia="Arial" w:hAnsi="Arial"/>
                  <w:sz w:val="18"/>
                  <w:szCs w:val="18"/>
                  <w:u w:val="single" w:color="auto"/>
                  <w:color w:val="0000FF"/>
                  <w:w w:val="98"/>
                </w:rPr>
                <w:t>Pursuant to Section 906 of the Sarbanes-Oxley Act of 2002.</w:t>
              </w:r>
            </w:hyperlink>
          </w:p>
        </w:tc>
        <w:tc>
          <w:tcPr>
            <w:tcW w:w="40" w:type="dxa"/>
            <w:vAlign w:val="bottom"/>
            <w:gridSpan w:val="2"/>
          </w:tcPr>
          <w:p>
            <w:pPr>
              <w:spacing w:after="0"/>
              <w:rPr>
                <w:sz w:val="19"/>
                <w:szCs w:val="19"/>
                <w:color w:val="auto"/>
              </w:rPr>
            </w:pPr>
          </w:p>
        </w:tc>
      </w:tr>
      <w:tr>
        <w:trPr>
          <w:trHeight w:val="295"/>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4760" w:type="dxa"/>
            <w:vAlign w:val="bottom"/>
            <w:gridSpan w:val="17"/>
          </w:tcPr>
          <w:p>
            <w:pPr>
              <w:spacing w:after="0"/>
              <w:rPr>
                <w:sz w:val="20"/>
                <w:szCs w:val="20"/>
                <w:color w:val="auto"/>
              </w:rPr>
            </w:pPr>
            <w:r>
              <w:rPr>
                <w:rFonts w:ascii="Arial" w:cs="Arial" w:eastAsia="Arial" w:hAnsi="Arial"/>
                <w:sz w:val="18"/>
                <w:szCs w:val="18"/>
                <w:color w:val="auto"/>
                <w:w w:val="95"/>
              </w:rPr>
              <w:t>Inline XBRL Instance Document - the instance document does</w:t>
            </w:r>
          </w:p>
        </w:tc>
      </w:tr>
      <w:tr>
        <w:trPr>
          <w:trHeight w:val="216"/>
        </w:trPr>
        <w:tc>
          <w:tcPr>
            <w:tcW w:w="1240" w:type="dxa"/>
            <w:vAlign w:val="bottom"/>
          </w:tcPr>
          <w:p>
            <w:pPr>
              <w:spacing w:after="0"/>
              <w:rPr>
                <w:sz w:val="18"/>
                <w:szCs w:val="18"/>
                <w:color w:val="auto"/>
              </w:rPr>
            </w:pPr>
          </w:p>
        </w:tc>
        <w:tc>
          <w:tcPr>
            <w:tcW w:w="4760" w:type="dxa"/>
            <w:vAlign w:val="bottom"/>
            <w:gridSpan w:val="17"/>
          </w:tcPr>
          <w:p>
            <w:pPr>
              <w:spacing w:after="0"/>
              <w:rPr>
                <w:sz w:val="20"/>
                <w:szCs w:val="20"/>
                <w:color w:val="auto"/>
              </w:rPr>
            </w:pPr>
            <w:r>
              <w:rPr>
                <w:rFonts w:ascii="Arial" w:cs="Arial" w:eastAsia="Arial" w:hAnsi="Arial"/>
                <w:sz w:val="18"/>
                <w:szCs w:val="18"/>
                <w:color w:val="auto"/>
                <w:w w:val="91"/>
              </w:rPr>
              <w:t>not appear in the Interactive Data File because its XBRL tags are</w:t>
            </w:r>
          </w:p>
        </w:tc>
      </w:tr>
      <w:tr>
        <w:trPr>
          <w:trHeight w:val="230"/>
        </w:trPr>
        <w:tc>
          <w:tcPr>
            <w:tcW w:w="1240" w:type="dxa"/>
            <w:vAlign w:val="bottom"/>
          </w:tcPr>
          <w:p>
            <w:pPr>
              <w:spacing w:after="0"/>
              <w:rPr>
                <w:sz w:val="20"/>
                <w:szCs w:val="20"/>
                <w:color w:val="auto"/>
              </w:rPr>
            </w:pPr>
          </w:p>
        </w:tc>
        <w:tc>
          <w:tcPr>
            <w:tcW w:w="4760" w:type="dxa"/>
            <w:vAlign w:val="bottom"/>
            <w:gridSpan w:val="1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476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476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240" w:type="dxa"/>
            <w:vAlign w:val="bottom"/>
          </w:tcPr>
          <w:p>
            <w:pPr>
              <w:spacing w:after="0"/>
              <w:rPr>
                <w:sz w:val="20"/>
                <w:szCs w:val="20"/>
                <w:color w:val="auto"/>
              </w:rPr>
            </w:pPr>
          </w:p>
        </w:tc>
        <w:tc>
          <w:tcPr>
            <w:tcW w:w="4760" w:type="dxa"/>
            <w:vAlign w:val="bottom"/>
            <w:gridSpan w:val="17"/>
          </w:tcPr>
          <w:p>
            <w:pPr>
              <w:spacing w:after="0"/>
              <w:rPr>
                <w:sz w:val="20"/>
                <w:szCs w:val="20"/>
                <w:color w:val="auto"/>
              </w:rPr>
            </w:pPr>
            <w:r>
              <w:rPr>
                <w:rFonts w:ascii="Arial" w:cs="Arial" w:eastAsia="Arial" w:hAnsi="Arial"/>
                <w:sz w:val="18"/>
                <w:szCs w:val="18"/>
                <w:color w:val="auto"/>
              </w:rPr>
              <w:t>Document.</w:t>
            </w: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476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240" w:type="dxa"/>
            <w:vAlign w:val="bottom"/>
          </w:tcPr>
          <w:p>
            <w:pPr>
              <w:spacing w:after="0"/>
              <w:rPr>
                <w:sz w:val="20"/>
                <w:szCs w:val="20"/>
                <w:color w:val="auto"/>
              </w:rPr>
            </w:pPr>
          </w:p>
        </w:tc>
        <w:tc>
          <w:tcPr>
            <w:tcW w:w="4760" w:type="dxa"/>
            <w:vAlign w:val="bottom"/>
            <w:gridSpan w:val="17"/>
          </w:tcPr>
          <w:p>
            <w:pPr>
              <w:spacing w:after="0"/>
              <w:rPr>
                <w:sz w:val="20"/>
                <w:szCs w:val="20"/>
                <w:color w:val="auto"/>
              </w:rPr>
            </w:pPr>
            <w:r>
              <w:rPr>
                <w:rFonts w:ascii="Arial" w:cs="Arial" w:eastAsia="Arial" w:hAnsi="Arial"/>
                <w:sz w:val="18"/>
                <w:szCs w:val="18"/>
                <w:color w:val="auto"/>
              </w:rPr>
              <w:t>Document.</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4760" w:type="dxa"/>
            <w:vAlign w:val="bottom"/>
            <w:gridSpan w:val="17"/>
          </w:tcPr>
          <w:p>
            <w:pPr>
              <w:spacing w:after="0"/>
              <w:rPr>
                <w:sz w:val="20"/>
                <w:szCs w:val="20"/>
                <w:color w:val="auto"/>
              </w:rPr>
            </w:pPr>
            <w:r>
              <w:rPr>
                <w:rFonts w:ascii="Arial" w:cs="Arial" w:eastAsia="Arial" w:hAnsi="Arial"/>
                <w:sz w:val="18"/>
                <w:szCs w:val="18"/>
                <w:color w:val="auto"/>
                <w:w w:val="97"/>
              </w:rPr>
              <w:t>Inline XBRL Taxonomy Extension Label Linkbase Document.</w:t>
            </w: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476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1240" w:type="dxa"/>
            <w:vAlign w:val="bottom"/>
          </w:tcPr>
          <w:p>
            <w:pPr>
              <w:spacing w:after="0"/>
              <w:rPr>
                <w:sz w:val="20"/>
                <w:szCs w:val="20"/>
                <w:color w:val="auto"/>
              </w:rPr>
            </w:pPr>
          </w:p>
        </w:tc>
        <w:tc>
          <w:tcPr>
            <w:tcW w:w="4760" w:type="dxa"/>
            <w:vAlign w:val="bottom"/>
            <w:gridSpan w:val="17"/>
          </w:tcPr>
          <w:p>
            <w:pPr>
              <w:spacing w:after="0"/>
              <w:rPr>
                <w:sz w:val="20"/>
                <w:szCs w:val="20"/>
                <w:color w:val="auto"/>
              </w:rPr>
            </w:pPr>
            <w:r>
              <w:rPr>
                <w:rFonts w:ascii="Arial" w:cs="Arial" w:eastAsia="Arial" w:hAnsi="Arial"/>
                <w:sz w:val="18"/>
                <w:szCs w:val="18"/>
                <w:color w:val="auto"/>
              </w:rPr>
              <w:t>Document.</w:t>
            </w:r>
          </w:p>
        </w:tc>
      </w:tr>
    </w:tbl>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001-38701</w:t>
            </w:r>
          </w:p>
        </w:tc>
        <w:tc>
          <w:tcPr>
            <w:tcW w:w="1260" w:type="dxa"/>
            <w:vAlign w:val="bottom"/>
          </w:tcPr>
          <w:p>
            <w:pPr>
              <w:ind w:left="280"/>
              <w:spacing w:after="0"/>
              <w:rPr>
                <w:sz w:val="20"/>
                <w:szCs w:val="20"/>
                <w:color w:val="auto"/>
              </w:rPr>
            </w:pPr>
            <w:r>
              <w:rPr>
                <w:rFonts w:ascii="Arial" w:cs="Arial" w:eastAsia="Arial" w:hAnsi="Arial"/>
                <w:sz w:val="18"/>
                <w:szCs w:val="18"/>
                <w:color w:val="auto"/>
              </w:rPr>
              <w:t>Item 5.02</w:t>
            </w:r>
          </w:p>
        </w:tc>
        <w:tc>
          <w:tcPr>
            <w:tcW w:w="1040" w:type="dxa"/>
            <w:vAlign w:val="bottom"/>
          </w:tcPr>
          <w:p>
            <w:pPr>
              <w:jc w:val="right"/>
              <w:spacing w:after="0"/>
              <w:rPr>
                <w:sz w:val="20"/>
                <w:szCs w:val="20"/>
                <w:color w:val="auto"/>
              </w:rPr>
            </w:pPr>
            <w:r>
              <w:rPr>
                <w:rFonts w:ascii="Arial" w:cs="Arial" w:eastAsia="Arial" w:hAnsi="Arial"/>
                <w:sz w:val="18"/>
                <w:szCs w:val="18"/>
                <w:color w:val="auto"/>
              </w:rPr>
              <w:t>1/3/2020</w:t>
            </w:r>
          </w:p>
        </w:tc>
      </w:tr>
      <w:tr>
        <w:trPr>
          <w:trHeight w:val="675"/>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001-38701</w:t>
            </w:r>
          </w:p>
        </w:tc>
        <w:tc>
          <w:tcPr>
            <w:tcW w:w="1260" w:type="dxa"/>
            <w:vAlign w:val="bottom"/>
          </w:tcPr>
          <w:p>
            <w:pPr>
              <w:ind w:left="280"/>
              <w:spacing w:after="0"/>
              <w:rPr>
                <w:sz w:val="20"/>
                <w:szCs w:val="20"/>
                <w:color w:val="auto"/>
              </w:rPr>
            </w:pPr>
            <w:r>
              <w:rPr>
                <w:rFonts w:ascii="Arial" w:cs="Arial" w:eastAsia="Arial" w:hAnsi="Arial"/>
                <w:sz w:val="18"/>
                <w:szCs w:val="18"/>
                <w:color w:val="auto"/>
              </w:rPr>
              <w:t>Item 5.02</w:t>
            </w:r>
          </w:p>
        </w:tc>
        <w:tc>
          <w:tcPr>
            <w:tcW w:w="1040" w:type="dxa"/>
            <w:vAlign w:val="bottom"/>
          </w:tcPr>
          <w:p>
            <w:pPr>
              <w:jc w:val="right"/>
              <w:spacing w:after="0"/>
              <w:rPr>
                <w:sz w:val="20"/>
                <w:szCs w:val="20"/>
                <w:color w:val="auto"/>
              </w:rPr>
            </w:pPr>
            <w:r>
              <w:rPr>
                <w:rFonts w:ascii="Arial" w:cs="Arial" w:eastAsia="Arial" w:hAnsi="Arial"/>
                <w:sz w:val="18"/>
                <w:szCs w:val="18"/>
                <w:color w:val="auto"/>
              </w:rPr>
              <w:t>3/30/2020</w:t>
            </w:r>
          </w:p>
        </w:tc>
      </w:tr>
    </w:tbl>
    <w:p>
      <w:pPr>
        <w:spacing w:after="0" w:line="5869" w:lineRule="exact"/>
        <w:rPr>
          <w:sz w:val="20"/>
          <w:szCs w:val="20"/>
          <w:color w:val="auto"/>
        </w:rPr>
      </w:pPr>
    </w:p>
    <w:p>
      <w:pPr>
        <w:sectPr>
          <w:pgSz w:w="11900" w:h="16838" w:orient="portrait"/>
          <w:cols w:equalWidth="0" w:num="2">
            <w:col w:w="6040" w:space="580"/>
            <w:col w:w="4600"/>
          </w:cols>
          <w:pgMar w:left="320" w:top="769" w:right="359" w:bottom="1440" w:gutter="0" w:footer="0" w:header="0"/>
          <w:type w:val="continuous"/>
        </w:sectPr>
      </w:pPr>
    </w:p>
    <w:p>
      <w:pPr>
        <w:spacing w:after="0" w:line="258"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40" w:right="20" w:hanging="332"/>
        <w:spacing w:after="0" w:line="253" w:lineRule="auto"/>
        <w:tabs>
          <w:tab w:leader="none" w:pos="3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ectPr>
          <w:pgSz w:w="11900" w:h="16838" w:orient="portrait"/>
          <w:cols w:equalWidth="0" w:num="1">
            <w:col w:w="11220"/>
          </w:cols>
          <w:pgMar w:left="320" w:top="76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340" w:type="dxa"/>
            <w:vAlign w:val="bottom"/>
            <w:gridSpan w:val="2"/>
          </w:tcPr>
          <w:p>
            <w:pPr>
              <w:ind w:left="1500"/>
              <w:spacing w:after="0"/>
              <w:rPr>
                <w:sz w:val="20"/>
                <w:szCs w:val="20"/>
                <w:color w:val="auto"/>
              </w:rPr>
            </w:pPr>
            <w:r>
              <w:rPr>
                <w:rFonts w:ascii="Arial" w:cs="Arial" w:eastAsia="Arial" w:hAnsi="Arial"/>
                <w:sz w:val="18"/>
                <w:szCs w:val="18"/>
                <w:color w:val="auto"/>
              </w:rPr>
              <w:t>SI-BONE, Inc.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560" w:type="dxa"/>
            <w:vAlign w:val="bottom"/>
          </w:tcPr>
          <w:p>
            <w:pPr>
              <w:ind w:left="140"/>
              <w:spacing w:after="0"/>
              <w:rPr>
                <w:sz w:val="20"/>
                <w:szCs w:val="20"/>
                <w:color w:val="auto"/>
              </w:rPr>
            </w:pPr>
            <w:r>
              <w:rPr>
                <w:rFonts w:ascii="Arial" w:cs="Arial" w:eastAsia="Arial" w:hAnsi="Arial"/>
                <w:sz w:val="18"/>
                <w:szCs w:val="18"/>
                <w:color w:val="auto"/>
              </w:rPr>
              <w:t>May 5, 5020</w:t>
            </w:r>
          </w:p>
        </w:tc>
        <w:tc>
          <w:tcPr>
            <w:tcW w:w="2180" w:type="dxa"/>
            <w:vAlign w:val="bottom"/>
          </w:tcPr>
          <w:p>
            <w:pPr>
              <w:ind w:left="1500"/>
              <w:spacing w:after="0"/>
              <w:rPr>
                <w:sz w:val="20"/>
                <w:szCs w:val="20"/>
                <w:color w:val="auto"/>
              </w:rPr>
            </w:pPr>
            <w:r>
              <w:rPr>
                <w:rFonts w:ascii="Arial" w:cs="Arial" w:eastAsia="Arial" w:hAnsi="Arial"/>
                <w:sz w:val="18"/>
                <w:szCs w:val="18"/>
                <w:color w:val="auto"/>
              </w:rPr>
              <w:t>By:</w:t>
            </w:r>
          </w:p>
        </w:tc>
        <w:tc>
          <w:tcPr>
            <w:tcW w:w="4160" w:type="dxa"/>
            <w:vAlign w:val="bottom"/>
          </w:tcPr>
          <w:p>
            <w:pPr>
              <w:ind w:left="20"/>
              <w:spacing w:after="0"/>
              <w:rPr>
                <w:sz w:val="20"/>
                <w:szCs w:val="20"/>
                <w:color w:val="auto"/>
              </w:rPr>
            </w:pPr>
            <w:r>
              <w:rPr>
                <w:rFonts w:ascii="Arial" w:cs="Arial" w:eastAsia="Arial" w:hAnsi="Arial"/>
                <w:sz w:val="18"/>
                <w:szCs w:val="18"/>
                <w:color w:val="auto"/>
              </w:rPr>
              <w:t>/s/ Jeffrey W. Dunn</w:t>
            </w:r>
          </w:p>
        </w:tc>
      </w:tr>
      <w:tr>
        <w:trPr>
          <w:trHeight w:val="27"/>
        </w:trPr>
        <w:tc>
          <w:tcPr>
            <w:tcW w:w="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Jeffrey W. Dunn</w:t>
            </w:r>
          </w:p>
        </w:tc>
      </w:tr>
      <w:tr>
        <w:trPr>
          <w:trHeight w:val="270"/>
        </w:trPr>
        <w:tc>
          <w:tcPr>
            <w:tcW w:w="5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03"/>
        </w:trPr>
        <w:tc>
          <w:tcPr>
            <w:tcW w:w="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(Duly Authorized Officer and Principal Executive</w:t>
            </w:r>
          </w:p>
        </w:tc>
      </w:tr>
      <w:tr>
        <w:trPr>
          <w:trHeight w:val="230"/>
        </w:trPr>
        <w:tc>
          <w:tcPr>
            <w:tcW w:w="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Officer</w:t>
            </w:r>
            <w:r>
              <w:rPr>
                <w:rFonts w:ascii="Arial" w:cs="Arial" w:eastAsia="Arial" w:hAnsi="Arial"/>
                <w:sz w:val="14"/>
                <w:szCs w:val="14"/>
                <w:color w:val="auto"/>
              </w:rPr>
              <w:t>)</w:t>
            </w:r>
          </w:p>
        </w:tc>
      </w:tr>
      <w:tr>
        <w:trPr>
          <w:trHeight w:val="674"/>
        </w:trPr>
        <w:tc>
          <w:tcPr>
            <w:tcW w:w="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340" w:type="dxa"/>
            <w:vAlign w:val="bottom"/>
            <w:gridSpan w:val="2"/>
          </w:tcPr>
          <w:p>
            <w:pPr>
              <w:ind w:left="1500"/>
              <w:spacing w:after="0"/>
              <w:rPr>
                <w:sz w:val="20"/>
                <w:szCs w:val="20"/>
                <w:color w:val="auto"/>
              </w:rPr>
            </w:pPr>
            <w:r>
              <w:rPr>
                <w:rFonts w:ascii="Arial" w:cs="Arial" w:eastAsia="Arial" w:hAnsi="Arial"/>
                <w:sz w:val="18"/>
                <w:szCs w:val="18"/>
                <w:color w:val="auto"/>
              </w:rPr>
              <w:t>SI-BONE, Inc.</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560" w:type="dxa"/>
            <w:vAlign w:val="bottom"/>
          </w:tcPr>
          <w:p>
            <w:pPr>
              <w:ind w:left="140"/>
              <w:spacing w:after="0"/>
              <w:rPr>
                <w:sz w:val="20"/>
                <w:szCs w:val="20"/>
                <w:color w:val="auto"/>
              </w:rPr>
            </w:pPr>
            <w:r>
              <w:rPr>
                <w:rFonts w:ascii="Arial" w:cs="Arial" w:eastAsia="Arial" w:hAnsi="Arial"/>
                <w:sz w:val="18"/>
                <w:szCs w:val="18"/>
                <w:color w:val="auto"/>
              </w:rPr>
              <w:t>May 5, 5020</w:t>
            </w:r>
          </w:p>
        </w:tc>
        <w:tc>
          <w:tcPr>
            <w:tcW w:w="2180" w:type="dxa"/>
            <w:vAlign w:val="bottom"/>
          </w:tcPr>
          <w:p>
            <w:pPr>
              <w:ind w:left="1500"/>
              <w:spacing w:after="0"/>
              <w:rPr>
                <w:sz w:val="20"/>
                <w:szCs w:val="20"/>
                <w:color w:val="auto"/>
              </w:rPr>
            </w:pPr>
            <w:r>
              <w:rPr>
                <w:rFonts w:ascii="Arial" w:cs="Arial" w:eastAsia="Arial" w:hAnsi="Arial"/>
                <w:sz w:val="18"/>
                <w:szCs w:val="18"/>
                <w:color w:val="auto"/>
              </w:rPr>
              <w:t>By:</w:t>
            </w:r>
          </w:p>
        </w:tc>
        <w:tc>
          <w:tcPr>
            <w:tcW w:w="4160" w:type="dxa"/>
            <w:vAlign w:val="bottom"/>
          </w:tcPr>
          <w:p>
            <w:pPr>
              <w:ind w:left="20"/>
              <w:spacing w:after="0"/>
              <w:rPr>
                <w:sz w:val="20"/>
                <w:szCs w:val="20"/>
                <w:color w:val="auto"/>
              </w:rPr>
            </w:pPr>
            <w:r>
              <w:rPr>
                <w:rFonts w:ascii="Arial" w:cs="Arial" w:eastAsia="Arial" w:hAnsi="Arial"/>
                <w:sz w:val="18"/>
                <w:szCs w:val="18"/>
                <w:color w:val="auto"/>
              </w:rPr>
              <w:t>/s/ Laura A. Francis</w:t>
            </w:r>
          </w:p>
        </w:tc>
      </w:tr>
      <w:tr>
        <w:trPr>
          <w:trHeight w:val="27"/>
        </w:trPr>
        <w:tc>
          <w:tcPr>
            <w:tcW w:w="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Laura A. Francis</w:t>
            </w:r>
          </w:p>
        </w:tc>
      </w:tr>
      <w:tr>
        <w:trPr>
          <w:trHeight w:val="270"/>
        </w:trPr>
        <w:tc>
          <w:tcPr>
            <w:tcW w:w="5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Chief Operating Officer and Chief Financial Officer</w:t>
            </w:r>
          </w:p>
        </w:tc>
      </w:tr>
    </w:tbl>
    <w:p>
      <w:pPr>
        <w:spacing w:after="0" w:line="4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(Duly Authorized Officer and Principal Financial and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240"/>
          </w:cols>
          <w:pgMar w:left="320" w:top="769"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SI-BONE, INC. COMMON STOCK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authorized capital stock consists of 100,000,000 shares of common stock, $0.0001 par value per share, and 5,000,000 shares of preferred stock, $0.0001 par value per share. A description of our common stock and the material terms and provisions of our certificate of incorporation and bylaws affecting the rights of holders of our common stock is set forth below. The description is intended as a summary, and is qualified in its entirety by reference to our certificate of incorporation and the bylaws.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holders of our common stock are entitled to one vote per share. 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 and Delaware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15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prior to the time that the interested stockholder became an interested stockholder;</w:t>
      </w:r>
    </w:p>
    <w:p>
      <w:pPr>
        <w:spacing w:after="0" w:line="236" w:lineRule="exact"/>
        <w:rPr>
          <w:rFonts w:ascii="Arial" w:cs="Arial" w:eastAsia="Arial" w:hAnsi="Arial"/>
          <w:sz w:val="17"/>
          <w:szCs w:val="17"/>
          <w:color w:val="auto"/>
        </w:rPr>
      </w:pPr>
    </w:p>
    <w:p>
      <w:pPr>
        <w:ind w:left="660" w:right="100" w:hanging="328"/>
        <w:spacing w:after="0" w:line="275"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color w:val="222222"/>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w:t>
      </w:r>
      <w:r>
        <w:rPr>
          <w:rFonts w:ascii="Arial" w:cs="Arial" w:eastAsia="Arial" w:hAnsi="Arial"/>
          <w:sz w:val="17"/>
          <w:szCs w:val="17"/>
          <w:color w:val="000000"/>
        </w:rPr>
        <w:t>or</w:t>
      </w:r>
    </w:p>
    <w:p>
      <w:pPr>
        <w:spacing w:after="0" w:line="176" w:lineRule="exact"/>
        <w:rPr>
          <w:rFonts w:ascii="Arial" w:cs="Arial" w:eastAsia="Arial" w:hAnsi="Arial"/>
          <w:sz w:val="17"/>
          <w:szCs w:val="17"/>
          <w:color w:val="auto"/>
        </w:rPr>
      </w:pPr>
    </w:p>
    <w:p>
      <w:pPr>
        <w:ind w:left="660" w:right="100" w:hanging="328"/>
        <w:spacing w:after="0" w:line="263"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ectPr>
          <w:pgSz w:w="11900" w:h="16838" w:orient="portrait"/>
          <w:cols w:equalWidth="0" w:num="1">
            <w:col w:w="11240"/>
          </w:cols>
          <w:pgMar w:left="320" w:top="769" w:right="339" w:bottom="1440" w:gutter="0" w:footer="0" w:header="0"/>
        </w:sectPr>
      </w:pPr>
    </w:p>
    <w:bookmarkStart w:id="69" w:name="page70"/>
    <w:bookmarkEnd w:id="69"/>
    <w:p>
      <w:pPr>
        <w:ind w:firstLine="486"/>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may have the effect of deterring hostile takeovers or delaying or preventing changes in control of our management team, including the following:</w:t>
      </w:r>
    </w:p>
    <w:p>
      <w:pPr>
        <w:spacing w:after="0" w:line="170" w:lineRule="exact"/>
        <w:rPr>
          <w:sz w:val="20"/>
          <w:szCs w:val="20"/>
          <w:color w:val="auto"/>
        </w:rPr>
      </w:pPr>
    </w:p>
    <w:p>
      <w:pPr>
        <w:jc w:val="both"/>
        <w:ind w:left="660" w:hanging="328"/>
        <w:spacing w:after="0" w:line="279" w:lineRule="auto"/>
        <w:tabs>
          <w:tab w:leader="none" w:pos="655"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Board of Directors Vacancies</w:t>
      </w:r>
      <w:r>
        <w:rPr>
          <w:rFonts w:ascii="Arial" w:cs="Arial" w:eastAsia="Arial" w:hAnsi="Arial"/>
          <w:sz w:val="17"/>
          <w:szCs w:val="17"/>
          <w:color w:val="auto"/>
        </w:rPr>
        <w:t>. Our amended and restated certificate of incorporation and amended and restated bylaws authorize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to fill vacant directorships, including newly-created seats. In addition, the number of directors constituting our board of directors is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71" w:lineRule="exact"/>
        <w:rPr>
          <w:rFonts w:ascii="Arial" w:cs="Arial" w:eastAsia="Arial" w:hAnsi="Arial"/>
          <w:sz w:val="17"/>
          <w:szCs w:val="17"/>
          <w:i w:val="1"/>
          <w:iCs w:val="1"/>
          <w:color w:val="auto"/>
        </w:rPr>
      </w:pPr>
    </w:p>
    <w:p>
      <w:pPr>
        <w:jc w:val="both"/>
        <w:ind w:left="660" w:hanging="328"/>
        <w:spacing w:after="0" w:line="25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provide that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into three classes of directors, each of whom will hold office for a three-year term. In addition, directors may only be removed from the board of directors for cause and only by the approval of a majority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187"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provides that stockholders are not able</w:t>
      </w:r>
      <w:r>
        <w:rPr>
          <w:rFonts w:ascii="Arial" w:cs="Arial" w:eastAsia="Arial" w:hAnsi="Arial"/>
          <w:sz w:val="18"/>
          <w:szCs w:val="18"/>
          <w:i w:val="1"/>
          <w:iCs w:val="1"/>
          <w:color w:val="auto"/>
        </w:rPr>
        <w:t xml:space="preserve"> </w:t>
      </w:r>
      <w:r>
        <w:rPr>
          <w:rFonts w:ascii="Arial" w:cs="Arial" w:eastAsia="Arial" w:hAnsi="Arial"/>
          <w:sz w:val="18"/>
          <w:szCs w:val="18"/>
          <w:color w:val="auto"/>
        </w:rPr>
        <w:t>to take action by written consent, and are only be able to take action at annual or special meetings of our stockholders. Stockholders are not be permitted to cumulate their votes for the election of directors. Our amended and restated bylaws further provide that special meetings of our stockholders may be called only by a majority vote of our entire board of directors, the chairman of our board of directors, or our chief executive officer.</w:t>
      </w:r>
    </w:p>
    <w:p>
      <w:pPr>
        <w:spacing w:after="0" w:line="187"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amended and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87"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Issuance of Undesignated Preferred Stock</w:t>
      </w:r>
      <w:r>
        <w:rPr>
          <w:rFonts w:ascii="Arial" w:cs="Arial" w:eastAsia="Arial" w:hAnsi="Arial"/>
          <w:sz w:val="17"/>
          <w:szCs w:val="17"/>
          <w:color w:val="auto"/>
        </w:rPr>
        <w:t>. Our board of directors have the authority, without further action by the holders of common stock, to</w:t>
      </w:r>
      <w:r>
        <w:rPr>
          <w:rFonts w:ascii="Arial" w:cs="Arial" w:eastAsia="Arial" w:hAnsi="Arial"/>
          <w:sz w:val="17"/>
          <w:szCs w:val="17"/>
          <w:i w:val="1"/>
          <w:iCs w:val="1"/>
          <w:color w:val="auto"/>
        </w:rPr>
        <w:t xml:space="preserve"> </w:t>
      </w:r>
      <w:r>
        <w:rPr>
          <w:rFonts w:ascii="Arial" w:cs="Arial" w:eastAsia="Arial" w:hAnsi="Arial"/>
          <w:sz w:val="17"/>
          <w:szCs w:val="17"/>
          <w:color w:val="auto"/>
        </w:rPr>
        <w:t>issue up to 5,000,000 shares of undesignated preferred stock with rights and preferences, including voting rights, designated from time to time by the board of directors. The existence of authorized but unissued shares of preferred stock enable our board of directors to render more difficult or to discourage an attempt to obtain control of us by means of a merger, tender offer, proxy contest,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29"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provision does not apply to suits brought to enforce a duty or liability created by the Exchange Act.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is the exclusive forum for resolving any complaint asserting a cause of action arising under the Securities Act. The Delaware Supreme Court has held that this type of clause is enforceable, and we may therefore assert it in any future proceeding in which it applies.</w:t>
      </w:r>
    </w:p>
    <w:p>
      <w:pPr>
        <w:sectPr>
          <w:pgSz w:w="11900" w:h="16838" w:orient="portrait"/>
          <w:cols w:equalWidth="0" w:num="1">
            <w:col w:w="11240"/>
          </w:cols>
          <w:pgMar w:left="320" w:top="773"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Dunn, certify that:</w:t>
      </w:r>
    </w:p>
    <w:p>
      <w:pPr>
        <w:spacing w:after="0" w:line="252"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1060" w:hanging="404"/>
        <w:spacing w:after="0" w:line="263" w:lineRule="auto"/>
        <w:tabs>
          <w:tab w:leader="none" w:pos="1051"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060" w:hanging="404"/>
        <w:spacing w:after="0" w:line="342" w:lineRule="auto"/>
        <w:tabs>
          <w:tab w:leader="none" w:pos="1048"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404"/>
        <w:spacing w:after="0" w:line="263" w:lineRule="auto"/>
        <w:tabs>
          <w:tab w:leader="none" w:pos="1051"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5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060" w:hanging="404"/>
        <w:spacing w:after="0" w:line="308" w:lineRule="auto"/>
        <w:tabs>
          <w:tab w:leader="none" w:pos="1051"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060" w:hanging="404"/>
        <w:spacing w:after="0" w:line="277" w:lineRule="auto"/>
        <w:tabs>
          <w:tab w:leader="none" w:pos="104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31750</wp:posOffset>
            </wp:positionV>
            <wp:extent cx="30772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57" w:lineRule="exact"/>
        <w:rPr>
          <w:sz w:val="20"/>
          <w:szCs w:val="20"/>
          <w:color w:val="auto"/>
        </w:rPr>
      </w:pPr>
    </w:p>
    <w:p>
      <w:pPr>
        <w:ind w:left="860"/>
        <w:spacing w:after="0"/>
        <w:tabs>
          <w:tab w:leader="none" w:pos="1400" w:val="left"/>
          <w:tab w:leader="none" w:pos="7360" w:val="left"/>
        </w:tabs>
        <w:rPr>
          <w:sz w:val="20"/>
          <w:szCs w:val="20"/>
          <w:color w:val="auto"/>
        </w:rPr>
      </w:pPr>
      <w:r>
        <w:rPr>
          <w:rFonts w:ascii="Arial" w:cs="Arial" w:eastAsia="Arial" w:hAnsi="Arial"/>
          <w:sz w:val="18"/>
          <w:szCs w:val="18"/>
          <w:color w:val="auto"/>
        </w:rPr>
        <w:t>Date:</w:t>
        <w:tab/>
        <w:t>May 5, 5020</w:t>
      </w:r>
      <w:r>
        <w:rPr>
          <w:sz w:val="20"/>
          <w:szCs w:val="20"/>
          <w:color w:val="auto"/>
        </w:rPr>
        <w:tab/>
      </w:r>
      <w:r>
        <w:rPr>
          <w:rFonts w:ascii="Arial" w:cs="Arial" w:eastAsia="Arial" w:hAnsi="Arial"/>
          <w:sz w:val="16"/>
          <w:szCs w:val="16"/>
          <w:color w:val="auto"/>
        </w:rPr>
        <w:t>Jeffrey W. Dunn</w:t>
      </w:r>
    </w:p>
    <w:p>
      <w:pPr>
        <w:spacing w:after="0" w:line="6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769"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Laura A. Francis, certify that:</w:t>
      </w:r>
    </w:p>
    <w:p>
      <w:pPr>
        <w:spacing w:after="0" w:line="37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1060" w:hanging="404"/>
        <w:spacing w:after="0" w:line="263" w:lineRule="auto"/>
        <w:tabs>
          <w:tab w:leader="none" w:pos="105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060" w:hanging="404"/>
        <w:spacing w:after="0" w:line="342" w:lineRule="auto"/>
        <w:tabs>
          <w:tab w:leader="none" w:pos="1048"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404"/>
        <w:spacing w:after="0" w:line="263" w:lineRule="auto"/>
        <w:tabs>
          <w:tab w:leader="none" w:pos="105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5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060" w:hanging="404"/>
        <w:spacing w:after="0" w:line="308" w:lineRule="auto"/>
        <w:tabs>
          <w:tab w:leader="none" w:pos="1051"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060" w:hanging="404"/>
        <w:spacing w:after="0" w:line="277" w:lineRule="auto"/>
        <w:tabs>
          <w:tab w:leader="none" w:pos="104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31750</wp:posOffset>
            </wp:positionV>
            <wp:extent cx="30600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780"/>
        <w:spacing w:after="0"/>
        <w:tabs>
          <w:tab w:leader="none" w:pos="1380" w:val="left"/>
          <w:tab w:leader="none" w:pos="7440" w:val="left"/>
        </w:tabs>
        <w:rPr>
          <w:sz w:val="20"/>
          <w:szCs w:val="20"/>
          <w:color w:val="auto"/>
        </w:rPr>
      </w:pPr>
      <w:r>
        <w:rPr>
          <w:rFonts w:ascii="Arial" w:cs="Arial" w:eastAsia="Arial" w:hAnsi="Arial"/>
          <w:sz w:val="18"/>
          <w:szCs w:val="18"/>
          <w:color w:val="auto"/>
        </w:rPr>
        <w:t>Date:</w:t>
        <w:tab/>
        <w:t>May 5, 5020</w:t>
      </w:r>
      <w:r>
        <w:rPr>
          <w:sz w:val="20"/>
          <w:szCs w:val="20"/>
          <w:color w:val="auto"/>
        </w:rPr>
        <w:tab/>
      </w:r>
      <w:r>
        <w:rPr>
          <w:rFonts w:ascii="Arial" w:cs="Arial" w:eastAsia="Arial" w:hAnsi="Arial"/>
          <w:sz w:val="16"/>
          <w:szCs w:val="16"/>
          <w:color w:val="auto"/>
        </w:rPr>
        <w:t>Laura A. Francis</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Operating Officer and Chief Financial Officer</w:t>
      </w:r>
    </w:p>
    <w:p>
      <w:pPr>
        <w:sectPr>
          <w:pgSz w:w="11900" w:h="16838" w:orient="portrait"/>
          <w:cols w:equalWidth="0" w:num="1">
            <w:col w:w="11240"/>
          </w:cols>
          <w:pgMar w:left="320" w:top="769"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Jeffrey W. Dunn, President and Chief Executive Officer of SI-Bone, Inc. (the “Company”), and Laura A. Francis, Chief Operating Officer and Chief Financial Officer of the Company, each hereby certify that, to the best of his or her knowledge:</w:t>
      </w:r>
    </w:p>
    <w:p>
      <w:pPr>
        <w:spacing w:after="0" w:line="187" w:lineRule="exact"/>
        <w:rPr>
          <w:sz w:val="20"/>
          <w:szCs w:val="20"/>
          <w:color w:val="auto"/>
        </w:rPr>
      </w:pPr>
    </w:p>
    <w:p>
      <w:pPr>
        <w:ind w:firstLine="8"/>
        <w:spacing w:after="0" w:line="277" w:lineRule="auto"/>
        <w:tabs>
          <w:tab w:leader="none" w:pos="20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2020, to which this Certification is attached as Exhibit 32.1 (the “Periodic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firstLine="8"/>
        <w:spacing w:after="0" w:line="277" w:lineRule="auto"/>
        <w:tabs>
          <w:tab w:leader="none" w:pos="21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31750</wp:posOffset>
            </wp:positionV>
            <wp:extent cx="33343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57" w:lineRule="exact"/>
        <w:rPr>
          <w:sz w:val="20"/>
          <w:szCs w:val="20"/>
          <w:color w:val="auto"/>
        </w:rPr>
      </w:pPr>
    </w:p>
    <w:p>
      <w:pPr>
        <w:ind w:left="440"/>
        <w:spacing w:after="0"/>
        <w:tabs>
          <w:tab w:leader="none" w:pos="1000" w:val="left"/>
          <w:tab w:leader="none" w:pos="7600" w:val="left"/>
        </w:tabs>
        <w:rPr>
          <w:sz w:val="20"/>
          <w:szCs w:val="20"/>
          <w:color w:val="auto"/>
        </w:rPr>
      </w:pPr>
      <w:r>
        <w:rPr>
          <w:rFonts w:ascii="Arial" w:cs="Arial" w:eastAsia="Arial" w:hAnsi="Arial"/>
          <w:sz w:val="18"/>
          <w:szCs w:val="18"/>
          <w:color w:val="auto"/>
        </w:rPr>
        <w:t>Date:</w:t>
        <w:tab/>
        <w:t>May 5, 5020</w:t>
      </w:r>
      <w:r>
        <w:rPr>
          <w:sz w:val="20"/>
          <w:szCs w:val="20"/>
          <w:color w:val="auto"/>
        </w:rPr>
        <w:tab/>
      </w:r>
      <w:r>
        <w:rPr>
          <w:rFonts w:ascii="Arial" w:cs="Arial" w:eastAsia="Arial" w:hAnsi="Arial"/>
          <w:sz w:val="16"/>
          <w:szCs w:val="16"/>
          <w:color w:val="auto"/>
        </w:rPr>
        <w:t>Jeffrey W. Dunn</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President and Chief Executive Officer</w:t>
      </w:r>
    </w:p>
    <w:p>
      <w:pPr>
        <w:spacing w:after="0" w:line="27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31750</wp:posOffset>
            </wp:positionV>
            <wp:extent cx="33343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440"/>
        <w:spacing w:after="0"/>
        <w:tabs>
          <w:tab w:leader="none" w:pos="1000" w:val="left"/>
          <w:tab w:leader="none" w:pos="7580" w:val="left"/>
        </w:tabs>
        <w:rPr>
          <w:sz w:val="20"/>
          <w:szCs w:val="20"/>
          <w:color w:val="auto"/>
        </w:rPr>
      </w:pPr>
      <w:r>
        <w:rPr>
          <w:rFonts w:ascii="Arial" w:cs="Arial" w:eastAsia="Arial" w:hAnsi="Arial"/>
          <w:sz w:val="18"/>
          <w:szCs w:val="18"/>
          <w:color w:val="auto"/>
        </w:rPr>
        <w:t>Date:</w:t>
        <w:tab/>
        <w:t>May 5, 5020</w:t>
      </w:r>
      <w:r>
        <w:rPr>
          <w:sz w:val="20"/>
          <w:szCs w:val="20"/>
          <w:color w:val="auto"/>
        </w:rPr>
        <w:tab/>
      </w:r>
      <w:r>
        <w:rPr>
          <w:rFonts w:ascii="Arial" w:cs="Arial" w:eastAsia="Arial" w:hAnsi="Arial"/>
          <w:sz w:val="16"/>
          <w:szCs w:val="16"/>
          <w:color w:val="auto"/>
        </w:rPr>
        <w:t>Laura A. Francis</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Operating Officer and Chief Financial Officer</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lowerRoman"/>
      <w:start w:val="1"/>
    </w:lvl>
  </w:abstractNum>
  <w:abstractNum w:abstractNumId="5">
    <w:nsid w:val="8EDBDAB"/>
    <w:multiLevelType w:val="hybridMultilevel"/>
    <w:lvl w:ilvl="0">
      <w:lvlJc w:val="left"/>
      <w:lvlText w:val="%1."/>
      <w:numFmt w:val="decimal"/>
      <w:start w:val="606"/>
    </w:lvl>
  </w:abstractNum>
  <w:abstractNum w:abstractNumId="6">
    <w:nsid w:val="79838CB2"/>
    <w:multiLevelType w:val="hybridMultilevel"/>
    <w:lvl w:ilvl="0">
      <w:lvlJc w:val="left"/>
      <w:lvlText w:val="%1."/>
      <w:numFmt w:val="decimal"/>
      <w:start w:val="5"/>
    </w:lvl>
  </w:abstractNum>
  <w:abstractNum w:abstractNumId="7">
    <w:nsid w:val="4353D0CD"/>
    <w:multiLevelType w:val="hybridMultilevel"/>
    <w:lvl w:ilvl="0">
      <w:lvlJc w:val="left"/>
      <w:lvlText w:val="%1."/>
      <w:numFmt w:val="decimal"/>
      <w:start w:val="6"/>
    </w:lvl>
  </w:abstractNum>
  <w:abstractNum w:abstractNumId="8">
    <w:nsid w:val="B03E0C6"/>
    <w:multiLevelType w:val="hybridMultilevel"/>
    <w:lvl w:ilvl="0">
      <w:lvlJc w:val="left"/>
      <w:lvlText w:val="%1."/>
      <w:numFmt w:val="decimal"/>
      <w:start w:val="8"/>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lvl w:ilvl="1">
      <w:lvlJc w:val="left"/>
      <w:lvlText w:val="•"/>
      <w:numFmt w:val="bullet"/>
      <w:start w:val="1"/>
    </w:lvl>
  </w:abstractNum>
  <w:abstractNum w:abstractNumId="33">
    <w:nsid w:val="2463B9EA"/>
    <w:multiLevelType w:val="hybridMultilevel"/>
    <w:lvl w:ilvl="0">
      <w:lvlJc w:val="left"/>
      <w:lvlText w:val="•"/>
      <w:numFmt w:val="bullet"/>
      <w:start w:val="1"/>
    </w:lvl>
    <w:lvl w:ilvl="1">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92" Type="http://schemas.openxmlformats.org/officeDocument/2006/relationships/hyperlink" Target="http://www.sec.gov/Archives/edgar/data/1459839/000119312518303020/d641574dex31.htm" TargetMode="External"/><Relationship Id="rId93" Type="http://schemas.openxmlformats.org/officeDocument/2006/relationships/hyperlink" Target="http://www.sec.gov/Archives/edgar/data/1459839/000119312518293978/d452987dex34.htm" TargetMode="External"/><Relationship Id="rId94" Type="http://schemas.openxmlformats.org/officeDocument/2006/relationships/hyperlink" Target="http://www.sec.gov/Archives/edgar/data/1459839/000119312518293978/d452987dex41.htm" TargetMode="External"/><Relationship Id="rId95" Type="http://schemas.openxmlformats.org/officeDocument/2006/relationships/hyperlink" Target="http://www.sec.gov/Archives/edgar/data/1459839/000145983920000003/sibn8-k132020fy2020bonuspl.htm" TargetMode="External"/><Relationship Id="rId96" Type="http://schemas.openxmlformats.org/officeDocument/2006/relationships/hyperlink" Target="http://www.sec.gov/Archives/edgar/data/1459839/000145983920000035/sibn8-k3262020change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2020-05-05T15:13:12Z</dcterms:created>
  <dcterms:modified xsi:type="dcterms:W3CDTF">2020-05-05T15:13:12Z</dcterms:modified>
</cp:coreProperties>
</file>