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655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595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92"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SI-BONE,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SIBN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30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09/01/2023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13,660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2"/>
              </w:rPr>
              <w:t>83,305</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09/01/2023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6,340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2"/>
              </w:rPr>
              <w:t>89,645</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09/01/2023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13,660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22.6096</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75,985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09/01/2023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6,340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22.6096</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69,645</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91"/>
              </w:rPr>
              <w:t>132,580</w:t>
            </w:r>
          </w:p>
        </w:tc>
        <w:tc>
          <w:tcPr>
            <w:tcW w:w="260" w:type="dxa"/>
            <w:vAlign w:val="bottom"/>
          </w:tcPr>
          <w:p>
            <w:pPr>
              <w:spacing w:after="0"/>
              <w:rPr>
                <w:sz w:val="21"/>
                <w:szCs w:val="21"/>
                <w:color w:val="auto"/>
              </w:rPr>
            </w:pPr>
          </w:p>
        </w:tc>
        <w:tc>
          <w:tcPr>
            <w:tcW w:w="66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09/01/2023</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6,340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05/25/2025</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49"/>
              <w:spacing w:after="0"/>
              <w:rPr>
                <w:sz w:val="20"/>
                <w:szCs w:val="20"/>
                <w:color w:val="auto"/>
              </w:rPr>
            </w:pPr>
            <w:r>
              <w:rPr>
                <w:rFonts w:ascii="Arial" w:cs="Arial" w:eastAsia="Arial" w:hAnsi="Arial"/>
                <w:sz w:val="17"/>
                <w:szCs w:val="17"/>
                <w:color w:val="0000FF"/>
              </w:rPr>
              <w:t>6,340</w:t>
            </w:r>
          </w:p>
        </w:tc>
        <w:tc>
          <w:tcPr>
            <w:tcW w:w="18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jc w:val="right"/>
              <w:ind w:right="41"/>
              <w:spacing w:after="0"/>
              <w:rPr>
                <w:sz w:val="20"/>
                <w:szCs w:val="20"/>
                <w:color w:val="auto"/>
              </w:rPr>
            </w:pPr>
            <w:r>
              <w:rPr>
                <w:rFonts w:ascii="Arial" w:cs="Arial" w:eastAsia="Arial" w:hAnsi="Arial"/>
                <w:sz w:val="13"/>
                <w:szCs w:val="13"/>
                <w:color w:val="0000FF"/>
              </w:rPr>
              <w:t>0.00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09/01/2023</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00FF"/>
              </w:rPr>
              <w:t>13,660</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07/26/2026</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ind w:right="9"/>
              <w:spacing w:after="0" w:line="189" w:lineRule="exact"/>
              <w:rPr>
                <w:sz w:val="20"/>
                <w:szCs w:val="20"/>
                <w:color w:val="auto"/>
              </w:rPr>
            </w:pPr>
            <w:r>
              <w:rPr>
                <w:rFonts w:ascii="Arial" w:cs="Arial" w:eastAsia="Arial" w:hAnsi="Arial"/>
                <w:sz w:val="17"/>
                <w:szCs w:val="17"/>
                <w:color w:val="0000FF"/>
              </w:rPr>
              <w:t>13,660</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101,241</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$22.33 to $22.90, inclusive. The Reporting Person undertakes to provide the Issuer, any security holder of the Issuer, or the Staff of the Securities and Exchange Commission, upon request,full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53,089 shares issuable on the settlement of restricted stock units granted to the Reporting Person. Each restricted stock unit represents contingent right to receive one share of the Issuer's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the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09/06/2023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2023-09-06T18:23:29Z</dcterms:created>
  <dcterms:modified xsi:type="dcterms:W3CDTF">2023-09-06T18:23:29Z</dcterms:modified>
</cp:coreProperties>
</file>