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jc w:val="center"/>
        <w:ind w:right="-19"/>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K</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81" w:lineRule="exact"/>
        <w:rPr>
          <w:sz w:val="24"/>
          <w:szCs w:val="24"/>
          <w:color w:val="auto"/>
        </w:rPr>
      </w:pPr>
    </w:p>
    <w:p>
      <w:pPr>
        <w:ind w:left="1120" w:hanging="918"/>
        <w:spacing w:after="0"/>
        <w:tabs>
          <w:tab w:leader="none" w:pos="1120" w:val="left"/>
        </w:tabs>
        <w:numPr>
          <w:ilvl w:val="0"/>
          <w:numId w:val="1"/>
        </w:numPr>
        <w:rPr>
          <w:rFonts w:ascii="Arial" w:cs="Arial" w:eastAsia="Arial" w:hAnsi="Arial"/>
          <w:sz w:val="29"/>
          <w:szCs w:val="29"/>
          <w:color w:val="auto"/>
          <w:vertAlign w:val="superscript"/>
        </w:rPr>
      </w:pPr>
      <w:r>
        <w:rPr>
          <w:rFonts w:ascii="Arial" w:cs="Arial" w:eastAsia="Arial" w:hAnsi="Arial"/>
          <w:sz w:val="20"/>
          <w:szCs w:val="20"/>
          <w:b w:val="1"/>
          <w:bCs w:val="1"/>
          <w:color w:val="auto"/>
        </w:rPr>
        <w:t>ANNUAL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26" w:lineRule="exact"/>
        <w:rPr>
          <w:sz w:val="24"/>
          <w:szCs w:val="24"/>
          <w:color w:val="auto"/>
        </w:rPr>
      </w:pPr>
    </w:p>
    <w:p>
      <w:pPr>
        <w:ind w:left="680" w:hanging="523"/>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 FOR</w:t>
      </w:r>
    </w:p>
    <w:p>
      <w:pPr>
        <w:spacing w:after="0" w:line="22" w:lineRule="exact"/>
        <w:rPr>
          <w:sz w:val="24"/>
          <w:szCs w:val="24"/>
          <w:color w:val="auto"/>
        </w:rPr>
      </w:pPr>
    </w:p>
    <w:p>
      <w:pPr>
        <w:ind w:left="3660"/>
        <w:spacing w:after="0"/>
        <w:tabs>
          <w:tab w:leader="none" w:pos="7920" w:val="left"/>
        </w:tabs>
        <w:rPr>
          <w:sz w:val="20"/>
          <w:szCs w:val="20"/>
          <w:color w:val="auto"/>
        </w:rPr>
      </w:pPr>
      <w:r>
        <w:rPr>
          <w:rFonts w:ascii="Arial" w:cs="Arial" w:eastAsia="Arial" w:hAnsi="Arial"/>
          <w:sz w:val="20"/>
          <w:szCs w:val="20"/>
          <w:b w:val="1"/>
          <w:bCs w:val="1"/>
          <w:color w:val="auto"/>
        </w:rPr>
        <w:t>THE TRANSITION PERIOD FROM</w:t>
      </w:r>
      <w:r>
        <w:rPr>
          <w:sz w:val="20"/>
          <w:szCs w:val="20"/>
          <w:color w:val="auto"/>
        </w:rPr>
        <w:tab/>
      </w:r>
      <w:r>
        <w:rPr>
          <w:rFonts w:ascii="Arial" w:cs="Arial" w:eastAsia="Arial" w:hAnsi="Arial"/>
          <w:sz w:val="20"/>
          <w:szCs w:val="20"/>
          <w:b w:val="1"/>
          <w:bCs w:val="1"/>
          <w:color w:val="auto"/>
        </w:rPr>
        <w:t>TO</w:t>
      </w:r>
    </w:p>
    <w:p>
      <w:pPr>
        <w:spacing w:after="0" w:line="77"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8"/>
          <w:szCs w:val="18"/>
          <w:b w:val="1"/>
          <w:bCs w:val="1"/>
          <w:color w:val="auto"/>
        </w:rPr>
        <w:t>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38701</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SI-BONE,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2" w:lineRule="exact"/>
        <w:rPr>
          <w:sz w:val="24"/>
          <w:szCs w:val="24"/>
          <w:color w:val="auto"/>
        </w:rPr>
      </w:pPr>
    </w:p>
    <w:p>
      <w:pPr>
        <w:ind w:left="2620"/>
        <w:spacing w:after="0"/>
        <w:tabs>
          <w:tab w:leader="none" w:pos="824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26-2216351</w:t>
      </w:r>
    </w:p>
    <w:p>
      <w:pPr>
        <w:spacing w:after="0" w:line="63" w:lineRule="exact"/>
        <w:rPr>
          <w:sz w:val="24"/>
          <w:szCs w:val="24"/>
          <w:color w:val="auto"/>
        </w:rPr>
      </w:pPr>
    </w:p>
    <w:p>
      <w:pPr>
        <w:ind w:left="1920"/>
        <w:spacing w:after="0"/>
        <w:tabs>
          <w:tab w:leader="none" w:pos="8000" w:val="left"/>
        </w:tabs>
        <w:rPr>
          <w:sz w:val="20"/>
          <w:szCs w:val="20"/>
          <w:color w:val="auto"/>
        </w:rPr>
      </w:pPr>
      <w:r>
        <w:rPr>
          <w:rFonts w:ascii="Arial" w:cs="Arial" w:eastAsia="Arial" w:hAnsi="Arial"/>
          <w:sz w:val="18"/>
          <w:szCs w:val="18"/>
          <w:b w:val="1"/>
          <w:bCs w:val="1"/>
          <w:color w:val="auto"/>
        </w:rPr>
        <w:t>(State or other jurisdiction</w:t>
      </w:r>
      <w:r>
        <w:rPr>
          <w:sz w:val="20"/>
          <w:szCs w:val="20"/>
          <w:color w:val="auto"/>
        </w:rPr>
        <w:tab/>
      </w:r>
      <w:r>
        <w:rPr>
          <w:rFonts w:ascii="Arial" w:cs="Arial" w:eastAsia="Arial" w:hAnsi="Arial"/>
          <w:sz w:val="16"/>
          <w:szCs w:val="16"/>
          <w:b w:val="1"/>
          <w:bCs w:val="1"/>
          <w:color w:val="auto"/>
        </w:rPr>
        <w:t>(I.R.S. Employer</w:t>
      </w:r>
    </w:p>
    <w:p>
      <w:pPr>
        <w:spacing w:after="0" w:line="27" w:lineRule="exact"/>
        <w:rPr>
          <w:sz w:val="24"/>
          <w:szCs w:val="24"/>
          <w:color w:val="auto"/>
        </w:rPr>
      </w:pPr>
    </w:p>
    <w:p>
      <w:pPr>
        <w:ind w:left="1700"/>
        <w:spacing w:after="0"/>
        <w:tabs>
          <w:tab w:leader="none" w:pos="7960" w:val="left"/>
        </w:tabs>
        <w:rPr>
          <w:sz w:val="20"/>
          <w:szCs w:val="20"/>
          <w:color w:val="auto"/>
        </w:rPr>
      </w:pPr>
      <w:r>
        <w:rPr>
          <w:rFonts w:ascii="Arial" w:cs="Arial" w:eastAsia="Arial" w:hAnsi="Arial"/>
          <w:sz w:val="18"/>
          <w:szCs w:val="18"/>
          <w:b w:val="1"/>
          <w:bCs w:val="1"/>
          <w:color w:val="auto"/>
        </w:rPr>
        <w:t>of incorporation or organization)</w:t>
      </w:r>
      <w:r>
        <w:rPr>
          <w:sz w:val="20"/>
          <w:szCs w:val="20"/>
          <w:color w:val="auto"/>
        </w:rPr>
        <w:tab/>
      </w:r>
      <w:r>
        <w:rPr>
          <w:rFonts w:ascii="Arial" w:cs="Arial" w:eastAsia="Arial" w:hAnsi="Arial"/>
          <w:sz w:val="16"/>
          <w:szCs w:val="16"/>
          <w:b w:val="1"/>
          <w:bCs w:val="1"/>
          <w:color w:val="auto"/>
        </w:rPr>
        <w:t>Identification No.)</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471 El Camino Real, Suite 101, Santa Clara, California 95050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58"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Registrant’s telephone number, including area code: (408) 207</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0700</w:t>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 Common Stock, Par Value $0.0001 Per Share; Common stock traded on the Nasdaq Stock Market</w:t>
      </w: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44" w:lineRule="exact"/>
        <w:rPr>
          <w:sz w:val="24"/>
          <w:szCs w:val="24"/>
          <w:color w:val="auto"/>
        </w:rPr>
      </w:pPr>
    </w:p>
    <w:p>
      <w:pPr>
        <w:ind w:right="3640"/>
        <w:spacing w:after="0" w:line="29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x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x</w:t>
      </w:r>
    </w:p>
    <w:p>
      <w:pPr>
        <w:spacing w:after="0" w:line="70" w:lineRule="exact"/>
        <w:rPr>
          <w:sz w:val="24"/>
          <w:szCs w:val="24"/>
          <w:color w:val="auto"/>
        </w:rPr>
      </w:pPr>
    </w:p>
    <w:p>
      <w:pPr>
        <w:spacing w:after="0" w:line="22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0" w:lineRule="exact"/>
        <w:rPr>
          <w:sz w:val="24"/>
          <w:szCs w:val="24"/>
          <w:color w:val="auto"/>
        </w:rPr>
      </w:pPr>
    </w:p>
    <w:p>
      <w:pPr>
        <w:ind w:right="220"/>
        <w:spacing w:after="0" w:line="22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43" w:lineRule="exact"/>
        <w:rPr>
          <w:sz w:val="24"/>
          <w:szCs w:val="24"/>
          <w:color w:val="auto"/>
        </w:rPr>
      </w:pPr>
    </w:p>
    <w:p>
      <w:pPr>
        <w:ind w:right="80"/>
        <w:spacing w:after="0" w:line="172" w:lineRule="exact"/>
        <w:rPr>
          <w:sz w:val="20"/>
          <w:szCs w:val="20"/>
          <w:color w:val="auto"/>
        </w:rPr>
      </w:pPr>
      <w:r>
        <w:rPr>
          <w:rFonts w:ascii="Arial" w:cs="Arial" w:eastAsia="Arial" w:hAnsi="Arial"/>
          <w:sz w:val="14"/>
          <w:szCs w:val="14"/>
          <w:color w:val="auto"/>
        </w:rPr>
        <w:t>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4"/>
          <w:szCs w:val="14"/>
          <w:color w:val="auto"/>
        </w:rPr>
        <w:t>‑</w:t>
      </w:r>
      <w:r>
        <w:rPr>
          <w:rFonts w:ascii="Arial" w:cs="Arial" w:eastAsia="Arial" w:hAnsi="Arial"/>
          <w:sz w:val="14"/>
          <w:szCs w:val="14"/>
          <w:color w:val="auto"/>
        </w:rPr>
        <w:t>K or any amendment to this Form 10</w:t>
      </w:r>
      <w:r>
        <w:rPr>
          <w:rFonts w:ascii="MS PGothic" w:cs="MS PGothic" w:eastAsia="MS PGothic" w:hAnsi="MS PGothic"/>
          <w:sz w:val="14"/>
          <w:szCs w:val="14"/>
          <w:color w:val="auto"/>
        </w:rPr>
        <w:t>‑</w:t>
      </w:r>
      <w:r>
        <w:rPr>
          <w:rFonts w:ascii="Arial" w:cs="Arial" w:eastAsia="Arial" w:hAnsi="Arial"/>
          <w:sz w:val="14"/>
          <w:szCs w:val="14"/>
          <w:color w:val="auto"/>
        </w:rPr>
        <w:t>K. x</w:t>
      </w:r>
    </w:p>
    <w:p>
      <w:pPr>
        <w:spacing w:after="0" w:line="48" w:lineRule="exact"/>
        <w:rPr>
          <w:sz w:val="24"/>
          <w:szCs w:val="24"/>
          <w:color w:val="auto"/>
        </w:rPr>
      </w:pPr>
    </w:p>
    <w:p>
      <w:pPr>
        <w:ind w:right="560"/>
        <w:spacing w:after="0" w:line="172" w:lineRule="exact"/>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ectPr>
          <w:pgSz w:w="11900" w:h="16838" w:orient="portrait"/>
          <w:cols w:equalWidth="0" w:num="1">
            <w:col w:w="11420"/>
          </w:cols>
          <w:pgMar w:left="240" w:top="215" w:right="239" w:bottom="1440" w:gutter="0" w:footer="0" w:header="0"/>
        </w:sectPr>
      </w:pPr>
    </w:p>
    <w:p>
      <w:pPr>
        <w:spacing w:after="0" w:line="182"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660" w:type="dxa"/>
            <w:vAlign w:val="bottom"/>
            <w:vMerge w:val="restart"/>
          </w:tcPr>
          <w:p>
            <w:pPr>
              <w:spacing w:after="0"/>
              <w:rPr>
                <w:sz w:val="20"/>
                <w:szCs w:val="20"/>
                <w:color w:val="auto"/>
              </w:rPr>
            </w:pPr>
            <w:r>
              <w:rPr>
                <w:rFonts w:ascii="Arial" w:cs="Arial" w:eastAsia="Arial" w:hAnsi="Arial"/>
                <w:sz w:val="14"/>
                <w:szCs w:val="14"/>
                <w:color w:val="auto"/>
              </w:rPr>
              <w:t>Large accelerated filer</w:t>
            </w:r>
          </w:p>
        </w:tc>
        <w:tc>
          <w:tcPr>
            <w:tcW w:w="33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vMerge w:val="restart"/>
          </w:tcPr>
          <w:p>
            <w:pPr>
              <w:ind w:left="2820"/>
              <w:spacing w:after="0"/>
              <w:rPr>
                <w:sz w:val="20"/>
                <w:szCs w:val="20"/>
                <w:color w:val="auto"/>
              </w:rPr>
            </w:pPr>
            <w:r>
              <w:rPr>
                <w:rFonts w:ascii="Arial" w:cs="Arial" w:eastAsia="Arial" w:hAnsi="Arial"/>
                <w:sz w:val="14"/>
                <w:szCs w:val="14"/>
                <w:color w:val="auto"/>
              </w:rPr>
              <w:t>Accelerated filer</w:t>
            </w:r>
          </w:p>
        </w:tc>
        <w:tc>
          <w:tcPr>
            <w:tcW w:w="0" w:type="dxa"/>
            <w:vAlign w:val="bottom"/>
          </w:tcPr>
          <w:p>
            <w:pPr>
              <w:spacing w:after="0"/>
              <w:rPr>
                <w:sz w:val="1"/>
                <w:szCs w:val="1"/>
                <w:color w:val="auto"/>
              </w:rPr>
            </w:pPr>
          </w:p>
        </w:tc>
      </w:tr>
      <w:tr>
        <w:trPr>
          <w:trHeight w:val="63"/>
        </w:trPr>
        <w:tc>
          <w:tcPr>
            <w:tcW w:w="1660" w:type="dxa"/>
            <w:vAlign w:val="bottom"/>
            <w:vMerge w:val="continue"/>
          </w:tcPr>
          <w:p>
            <w:pPr>
              <w:spacing w:after="0"/>
              <w:rPr>
                <w:sz w:val="5"/>
                <w:szCs w:val="5"/>
                <w:color w:val="auto"/>
              </w:rPr>
            </w:pPr>
          </w:p>
        </w:tc>
        <w:tc>
          <w:tcPr>
            <w:tcW w:w="336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3360" w:type="dxa"/>
            <w:vAlign w:val="bottom"/>
          </w:tcPr>
          <w:p>
            <w:pPr>
              <w:ind w:left="360"/>
              <w:spacing w:after="0"/>
              <w:rPr>
                <w:sz w:val="20"/>
                <w:szCs w:val="20"/>
                <w:color w:val="auto"/>
              </w:rPr>
            </w:pPr>
            <w:r>
              <w:rPr>
                <w:rFonts w:ascii="Arial" w:cs="Arial" w:eastAsia="Arial" w:hAnsi="Arial"/>
                <w:sz w:val="14"/>
                <w:szCs w:val="14"/>
                <w:color w:val="auto"/>
              </w:rPr>
              <w:t>x</w:t>
            </w:r>
          </w:p>
        </w:tc>
        <w:tc>
          <w:tcPr>
            <w:tcW w:w="4400" w:type="dxa"/>
            <w:vAlign w:val="bottom"/>
            <w:vMerge w:val="restart"/>
          </w:tcPr>
          <w:p>
            <w:pPr>
              <w:ind w:left="2820"/>
              <w:spacing w:after="0"/>
              <w:rPr>
                <w:sz w:val="20"/>
                <w:szCs w:val="20"/>
                <w:color w:val="auto"/>
              </w:rPr>
            </w:pPr>
            <w:r>
              <w:rPr>
                <w:rFonts w:ascii="Arial" w:cs="Arial" w:eastAsia="Arial" w:hAnsi="Arial"/>
                <w:sz w:val="14"/>
                <w:szCs w:val="14"/>
                <w:color w:val="auto"/>
                <w:w w:val="93"/>
              </w:rPr>
              <w:t>Smaller reporting company</w:t>
            </w:r>
          </w:p>
        </w:tc>
        <w:tc>
          <w:tcPr>
            <w:tcW w:w="0" w:type="dxa"/>
            <w:vAlign w:val="bottom"/>
          </w:tcPr>
          <w:p>
            <w:pPr>
              <w:spacing w:after="0"/>
              <w:rPr>
                <w:sz w:val="1"/>
                <w:szCs w:val="1"/>
                <w:color w:val="auto"/>
              </w:rPr>
            </w:pPr>
          </w:p>
        </w:tc>
      </w:tr>
      <w:tr>
        <w:trPr>
          <w:trHeight w:val="68"/>
        </w:trPr>
        <w:tc>
          <w:tcPr>
            <w:tcW w:w="1660" w:type="dxa"/>
            <w:vAlign w:val="bottom"/>
            <w:vMerge w:val="continue"/>
          </w:tcPr>
          <w:p>
            <w:pPr>
              <w:spacing w:after="0"/>
              <w:rPr>
                <w:sz w:val="5"/>
                <w:szCs w:val="5"/>
                <w:color w:val="auto"/>
              </w:rPr>
            </w:pPr>
          </w:p>
        </w:tc>
        <w:tc>
          <w:tcPr>
            <w:tcW w:w="3360" w:type="dxa"/>
            <w:vAlign w:val="bottom"/>
          </w:tcPr>
          <w:p>
            <w:pPr>
              <w:spacing w:after="0"/>
              <w:rPr>
                <w:sz w:val="5"/>
                <w:szCs w:val="5"/>
                <w:color w:val="auto"/>
              </w:rPr>
            </w:pPr>
          </w:p>
        </w:tc>
        <w:tc>
          <w:tcPr>
            <w:tcW w:w="4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4400" w:type="dxa"/>
            <w:vAlign w:val="bottom"/>
          </w:tcPr>
          <w:p>
            <w:pPr>
              <w:ind w:left="2820"/>
              <w:spacing w:after="0"/>
              <w:rPr>
                <w:sz w:val="20"/>
                <w:szCs w:val="20"/>
                <w:color w:val="auto"/>
              </w:rPr>
            </w:pPr>
            <w:r>
              <w:rPr>
                <w:rFonts w:ascii="Arial" w:cs="Arial" w:eastAsia="Arial" w:hAnsi="Arial"/>
                <w:sz w:val="14"/>
                <w:szCs w:val="14"/>
                <w:color w:val="auto"/>
                <w:w w:val="93"/>
              </w:rPr>
              <w:t>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8" w:lineRule="exact"/>
        <w:rPr>
          <w:sz w:val="24"/>
          <w:szCs w:val="24"/>
          <w:color w:val="auto"/>
        </w:rPr>
      </w:pPr>
    </w:p>
    <w:p>
      <w:pPr>
        <w:spacing w:after="0" w:line="207" w:lineRule="exact"/>
        <w:tabs>
          <w:tab w:leader="none" w:pos="7320" w:val="left"/>
        </w:tabs>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8"/>
          <w:szCs w:val="18"/>
          <w:color w:val="auto"/>
        </w:rPr>
        <w:t>☐</w:t>
      </w:r>
      <w:r>
        <w:rPr>
          <w:rFonts w:ascii="Arial" w:cs="Arial" w:eastAsia="Arial" w:hAnsi="Arial"/>
          <w:sz w:val="14"/>
          <w:szCs w:val="14"/>
          <w:color w:val="auto"/>
        </w:rPr>
        <w:tab/>
        <w:t>NO x</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color w:val="auto"/>
        </w:rPr>
        <w:t>The registrant’s common stock was not publicly traded as of the last business day of the registrant’s most recently completed second fiscal quarter.</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13, 2019 was 24,458,938.</w:t>
      </w:r>
    </w:p>
    <w:p>
      <w:pPr>
        <w:spacing w:after="0" w:line="177"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DOCUMENTS INCORPORATED BY REFERENCE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16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94" w:lineRule="exact"/>
        <w:rPr>
          <w:sz w:val="24"/>
          <w:szCs w:val="24"/>
          <w:color w:val="auto"/>
        </w:rPr>
      </w:pPr>
    </w:p>
    <w:p>
      <w:pPr>
        <w:sectPr>
          <w:pgSz w:w="11900" w:h="16838" w:orient="portrait"/>
          <w:cols w:equalWidth="0" w:num="2">
            <w:col w:w="10040" w:space="380"/>
            <w:col w:w="1000"/>
          </w:cols>
          <w:pgMar w:left="240" w:top="215" w:right="239" w:bottom="1440" w:gutter="0" w:footer="0" w:header="0"/>
          <w:type w:val="continuous"/>
        </w:sectPr>
      </w:pPr>
    </w:p>
    <w:p>
      <w:pPr>
        <w:ind w:right="140"/>
        <w:spacing w:after="0" w:line="299" w:lineRule="auto"/>
        <w:rPr>
          <w:sz w:val="20"/>
          <w:szCs w:val="20"/>
          <w:color w:val="auto"/>
        </w:rPr>
      </w:pPr>
      <w:r>
        <w:rPr>
          <w:rFonts w:ascii="Arial" w:cs="Arial" w:eastAsia="Arial" w:hAnsi="Arial"/>
          <w:sz w:val="14"/>
          <w:szCs w:val="14"/>
          <w:color w:val="auto"/>
        </w:rPr>
        <w:t>Portions of the Registrant’s Definitive Proxy Statement relating to the Annual Meeting of Shareholders, which will be filed with the Securities and Exchange Commission within 120 days after the end of the Registrant’s fiscal year ended December 31, 2018, are incorporated by reference into Part III of this Report</w:t>
      </w:r>
      <w:r>
        <w:rPr>
          <w:rFonts w:ascii="Arial" w:cs="Arial" w:eastAsia="Arial" w:hAnsi="Arial"/>
          <w:sz w:val="16"/>
          <w:szCs w:val="16"/>
          <w:color w:val="auto"/>
        </w:rPr>
        <w:t>.</w:t>
      </w:r>
    </w:p>
    <w:p>
      <w:pPr>
        <w:sectPr>
          <w:pgSz w:w="11900" w:h="16838" w:orient="portrait"/>
          <w:cols w:equalWidth="0" w:num="1">
            <w:col w:w="11420"/>
          </w:cols>
          <w:pgMar w:left="240" w:top="21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640" w:type="dxa"/>
            <w:vAlign w:val="bottom"/>
            <w:gridSpan w:val="3"/>
          </w:tcPr>
          <w:p>
            <w:pPr>
              <w:spacing w:after="0"/>
              <w:rPr>
                <w:sz w:val="19"/>
                <w:szCs w:val="19"/>
                <w:color w:val="auto"/>
              </w:rPr>
            </w:pPr>
          </w:p>
        </w:tc>
        <w:tc>
          <w:tcPr>
            <w:tcW w:w="97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6"/>
              </w:rPr>
            </w:pPr>
            <w:hyperlink w:anchor="page37">
              <w:r>
                <w:rPr>
                  <w:rFonts w:ascii="Arial" w:cs="Arial" w:eastAsia="Arial" w:hAnsi="Arial"/>
                  <w:sz w:val="18"/>
                  <w:szCs w:val="18"/>
                  <w:color w:val="0000EE"/>
                  <w:w w:val="86"/>
                </w:rPr>
                <w:t>Item 1A</w:t>
              </w:r>
            </w:hyperlink>
          </w:p>
        </w:tc>
        <w:tc>
          <w:tcPr>
            <w:tcW w:w="52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8820" w:type="dxa"/>
            <w:vAlign w:val="bottom"/>
            <w:gridSpan w:val="17"/>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6"/>
              </w:rPr>
            </w:pPr>
            <w:hyperlink w:anchor="page71">
              <w:r>
                <w:rPr>
                  <w:rFonts w:ascii="Arial" w:cs="Arial" w:eastAsia="Arial" w:hAnsi="Arial"/>
                  <w:sz w:val="18"/>
                  <w:szCs w:val="18"/>
                  <w:color w:val="0000EE"/>
                  <w:w w:val="86"/>
                </w:rPr>
                <w:t>Item 1B</w:t>
              </w:r>
            </w:hyperlink>
          </w:p>
        </w:tc>
        <w:tc>
          <w:tcPr>
            <w:tcW w:w="520" w:type="dxa"/>
            <w:vAlign w:val="bottom"/>
          </w:tcPr>
          <w:p>
            <w:pPr>
              <w:spacing w:after="0"/>
              <w:rPr>
                <w:sz w:val="21"/>
                <w:szCs w:val="21"/>
                <w:color w:val="auto"/>
              </w:rPr>
            </w:pPr>
          </w:p>
        </w:tc>
        <w:tc>
          <w:tcPr>
            <w:tcW w:w="2040" w:type="dxa"/>
            <w:vAlign w:val="bottom"/>
            <w:gridSpan w:val="9"/>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Unresolved Staff Comments</w:t>
              </w:r>
            </w:hyperlink>
          </w:p>
        </w:tc>
        <w:tc>
          <w:tcPr>
            <w:tcW w:w="7680" w:type="dxa"/>
            <w:vAlign w:val="bottom"/>
            <w:gridSpan w:val="11"/>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Item 2</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gridSpan w:val="2"/>
          </w:tcPr>
          <w:p>
            <w:pPr>
              <w:spacing w:after="0"/>
              <w:rPr>
                <w:rFonts w:ascii="Arial" w:cs="Arial" w:eastAsia="Arial" w:hAnsi="Arial"/>
                <w:sz w:val="18"/>
                <w:szCs w:val="18"/>
                <w:color w:val="0000EE"/>
                <w:w w:val="85"/>
              </w:rPr>
            </w:pPr>
            <w:hyperlink w:anchor="page71">
              <w:r>
                <w:rPr>
                  <w:rFonts w:ascii="Arial" w:cs="Arial" w:eastAsia="Arial" w:hAnsi="Arial"/>
                  <w:sz w:val="18"/>
                  <w:szCs w:val="18"/>
                  <w:color w:val="0000EE"/>
                  <w:w w:val="85"/>
                </w:rPr>
                <w:t>Properties</w:t>
              </w:r>
            </w:hyperlink>
          </w:p>
        </w:tc>
        <w:tc>
          <w:tcPr>
            <w:tcW w:w="1320" w:type="dxa"/>
            <w:vAlign w:val="bottom"/>
            <w:gridSpan w:val="7"/>
          </w:tcPr>
          <w:p>
            <w:pPr>
              <w:spacing w:after="0"/>
              <w:rPr>
                <w:sz w:val="21"/>
                <w:szCs w:val="21"/>
                <w:color w:val="auto"/>
              </w:rPr>
            </w:pPr>
          </w:p>
        </w:tc>
        <w:tc>
          <w:tcPr>
            <w:tcW w:w="7680" w:type="dxa"/>
            <w:vAlign w:val="bottom"/>
            <w:gridSpan w:val="11"/>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Item 3</w:t>
              </w:r>
            </w:hyperlink>
          </w:p>
        </w:tc>
        <w:tc>
          <w:tcPr>
            <w:tcW w:w="640" w:type="dxa"/>
            <w:vAlign w:val="bottom"/>
            <w:gridSpan w:val="3"/>
          </w:tcPr>
          <w:p>
            <w:pPr>
              <w:spacing w:after="0"/>
              <w:rPr>
                <w:sz w:val="21"/>
                <w:szCs w:val="21"/>
                <w:color w:val="auto"/>
              </w:rPr>
            </w:pPr>
          </w:p>
        </w:tc>
        <w:tc>
          <w:tcPr>
            <w:tcW w:w="972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Legal Proceedings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Item 4</w:t>
              </w:r>
            </w:hyperlink>
          </w:p>
        </w:tc>
        <w:tc>
          <w:tcPr>
            <w:tcW w:w="640" w:type="dxa"/>
            <w:vAlign w:val="bottom"/>
            <w:gridSpan w:val="3"/>
          </w:tcPr>
          <w:p>
            <w:pPr>
              <w:spacing w:after="0"/>
              <w:rPr>
                <w:sz w:val="21"/>
                <w:szCs w:val="21"/>
                <w:color w:val="auto"/>
              </w:rPr>
            </w:pPr>
          </w:p>
        </w:tc>
        <w:tc>
          <w:tcPr>
            <w:tcW w:w="9720" w:type="dxa"/>
            <w:vAlign w:val="bottom"/>
            <w:gridSpan w:val="20"/>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70</w:t>
              </w:r>
            </w:hyperlink>
          </w:p>
        </w:tc>
        <w:tc>
          <w:tcPr>
            <w:tcW w:w="0" w:type="dxa"/>
            <w:vAlign w:val="bottom"/>
          </w:tcPr>
          <w:p>
            <w:pPr>
              <w:spacing w:after="0"/>
              <w:rPr>
                <w:sz w:val="1"/>
                <w:szCs w:val="1"/>
                <w:color w:val="auto"/>
              </w:rPr>
            </w:pPr>
          </w:p>
        </w:tc>
      </w:tr>
      <w:tr>
        <w:trPr>
          <w:trHeight w:val="291"/>
        </w:trPr>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vMerge w:val="restart"/>
          </w:tcPr>
          <w:p>
            <w:pPr>
              <w:spacing w:after="0"/>
              <w:rPr>
                <w:rFonts w:ascii="Arial" w:cs="Arial" w:eastAsia="Arial" w:hAnsi="Arial"/>
                <w:sz w:val="18"/>
                <w:szCs w:val="18"/>
                <w:color w:val="0000EE"/>
                <w:w w:val="87"/>
              </w:rPr>
            </w:pPr>
            <w:hyperlink w:anchor="page73">
              <w:r>
                <w:rPr>
                  <w:rFonts w:ascii="Arial" w:cs="Arial" w:eastAsia="Arial" w:hAnsi="Arial"/>
                  <w:sz w:val="18"/>
                  <w:szCs w:val="18"/>
                  <w:color w:val="0000EE"/>
                  <w:w w:val="87"/>
                </w:rPr>
                <w:t>Item 5</w:t>
              </w:r>
            </w:hyperlink>
          </w:p>
        </w:tc>
        <w:tc>
          <w:tcPr>
            <w:tcW w:w="640" w:type="dxa"/>
            <w:vAlign w:val="bottom"/>
            <w:gridSpan w:val="3"/>
            <w:vMerge w:val="restart"/>
          </w:tcPr>
          <w:p>
            <w:pPr>
              <w:spacing w:after="0"/>
              <w:rPr>
                <w:sz w:val="19"/>
                <w:szCs w:val="19"/>
                <w:color w:val="auto"/>
              </w:rPr>
            </w:pPr>
          </w:p>
        </w:tc>
        <w:tc>
          <w:tcPr>
            <w:tcW w:w="9720" w:type="dxa"/>
            <w:vAlign w:val="bottom"/>
            <w:gridSpan w:val="20"/>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5"/>
            <w:vMerge w:val="restart"/>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196"/>
        </w:trPr>
        <w:tc>
          <w:tcPr>
            <w:tcW w:w="460" w:type="dxa"/>
            <w:vAlign w:val="bottom"/>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720" w:type="dxa"/>
            <w:vAlign w:val="bottom"/>
            <w:gridSpan w:val="20"/>
            <w:vMerge w:val="restart"/>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Selected Financial Data</w:t>
              </w:r>
            </w:hyperlink>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vMerge w:val="restart"/>
          </w:tcPr>
          <w:p>
            <w:pPr>
              <w:spacing w:after="0"/>
              <w:rPr>
                <w:rFonts w:ascii="Arial" w:cs="Arial" w:eastAsia="Arial" w:hAnsi="Arial"/>
                <w:sz w:val="18"/>
                <w:szCs w:val="18"/>
                <w:color w:val="0000EE"/>
                <w:w w:val="87"/>
              </w:rPr>
            </w:pPr>
            <w:hyperlink w:anchor="page73">
              <w:r>
                <w:rPr>
                  <w:rFonts w:ascii="Arial" w:cs="Arial" w:eastAsia="Arial" w:hAnsi="Arial"/>
                  <w:sz w:val="18"/>
                  <w:szCs w:val="18"/>
                  <w:color w:val="0000EE"/>
                  <w:w w:val="87"/>
                </w:rPr>
                <w:t>Item 6</w:t>
              </w:r>
            </w:hyperlink>
          </w:p>
        </w:tc>
        <w:tc>
          <w:tcPr>
            <w:tcW w:w="640" w:type="dxa"/>
            <w:vAlign w:val="bottom"/>
            <w:gridSpan w:val="3"/>
            <w:vMerge w:val="restart"/>
          </w:tcPr>
          <w:p>
            <w:pPr>
              <w:spacing w:after="0"/>
              <w:rPr>
                <w:sz w:val="21"/>
                <w:szCs w:val="21"/>
                <w:color w:val="auto"/>
              </w:rPr>
            </w:pPr>
          </w:p>
        </w:tc>
        <w:tc>
          <w:tcPr>
            <w:tcW w:w="9720" w:type="dxa"/>
            <w:vAlign w:val="bottom"/>
            <w:gridSpan w:val="20"/>
            <w:vMerge w:val="continue"/>
          </w:tcPr>
          <w:p>
            <w:pPr>
              <w:spacing w:after="0"/>
              <w:rPr>
                <w:sz w:val="21"/>
                <w:szCs w:val="21"/>
                <w:color w:val="auto"/>
              </w:rPr>
            </w:pPr>
          </w:p>
        </w:tc>
        <w:tc>
          <w:tcPr>
            <w:tcW w:w="560" w:type="dxa"/>
            <w:vAlign w:val="bottom"/>
            <w:gridSpan w:val="5"/>
            <w:vMerge w:val="restart"/>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72</w:t>
              </w:r>
            </w:hyperlink>
          </w:p>
        </w:tc>
        <w:tc>
          <w:tcPr>
            <w:tcW w:w="0" w:type="dxa"/>
            <w:vAlign w:val="bottom"/>
          </w:tcPr>
          <w:p>
            <w:pPr>
              <w:spacing w:after="0"/>
              <w:rPr>
                <w:sz w:val="1"/>
                <w:szCs w:val="1"/>
                <w:color w:val="auto"/>
              </w:rPr>
            </w:pPr>
          </w:p>
        </w:tc>
      </w:tr>
      <w:tr>
        <w:trPr>
          <w:trHeight w:val="196"/>
        </w:trPr>
        <w:tc>
          <w:tcPr>
            <w:tcW w:w="460" w:type="dxa"/>
            <w:vAlign w:val="bottom"/>
            <w:vMerge w:val="continue"/>
          </w:tcPr>
          <w:p>
            <w:pPr>
              <w:spacing w:after="0"/>
              <w:rPr>
                <w:sz w:val="17"/>
                <w:szCs w:val="17"/>
                <w:color w:val="auto"/>
              </w:rPr>
            </w:pPr>
          </w:p>
        </w:tc>
        <w:tc>
          <w:tcPr>
            <w:tcW w:w="640" w:type="dxa"/>
            <w:vAlign w:val="bottom"/>
            <w:gridSpan w:val="3"/>
            <w:vMerge w:val="continue"/>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74">
              <w:r>
                <w:rPr>
                  <w:rFonts w:ascii="Arial" w:cs="Arial" w:eastAsia="Arial" w:hAnsi="Arial"/>
                  <w:sz w:val="18"/>
                  <w:szCs w:val="18"/>
                  <w:color w:val="0000EE"/>
                  <w:w w:val="87"/>
                </w:rPr>
                <w:t>Item 7</w:t>
              </w:r>
            </w:hyperlink>
          </w:p>
        </w:tc>
        <w:tc>
          <w:tcPr>
            <w:tcW w:w="640" w:type="dxa"/>
            <w:vAlign w:val="bottom"/>
            <w:gridSpan w:val="3"/>
          </w:tcPr>
          <w:p>
            <w:pPr>
              <w:spacing w:after="0"/>
              <w:rPr>
                <w:sz w:val="21"/>
                <w:szCs w:val="21"/>
                <w:color w:val="auto"/>
              </w:rPr>
            </w:pPr>
          </w:p>
        </w:tc>
        <w:tc>
          <w:tcPr>
            <w:tcW w:w="9720" w:type="dxa"/>
            <w:vAlign w:val="bottom"/>
            <w:gridSpan w:val="2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73</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80" w:type="dxa"/>
            <w:vAlign w:val="bottom"/>
            <w:gridSpan w:val="3"/>
          </w:tcPr>
          <w:p>
            <w:pPr>
              <w:spacing w:after="0"/>
              <w:rPr>
                <w:rFonts w:ascii="Arial" w:cs="Arial" w:eastAsia="Arial" w:hAnsi="Arial"/>
                <w:sz w:val="18"/>
                <w:szCs w:val="18"/>
                <w:color w:val="0000EE"/>
                <w:w w:val="86"/>
              </w:rPr>
            </w:pPr>
            <w:hyperlink w:anchor="page88">
              <w:r>
                <w:rPr>
                  <w:rFonts w:ascii="Arial" w:cs="Arial" w:eastAsia="Arial" w:hAnsi="Arial"/>
                  <w:sz w:val="18"/>
                  <w:szCs w:val="18"/>
                  <w:color w:val="0000EE"/>
                  <w:w w:val="86"/>
                </w:rPr>
                <w:t>Item 7A</w:t>
              </w:r>
            </w:hyperlink>
          </w:p>
        </w:tc>
        <w:tc>
          <w:tcPr>
            <w:tcW w:w="520" w:type="dxa"/>
            <w:vAlign w:val="bottom"/>
          </w:tcPr>
          <w:p>
            <w:pPr>
              <w:spacing w:after="0"/>
              <w:rPr>
                <w:sz w:val="24"/>
                <w:szCs w:val="24"/>
                <w:color w:val="auto"/>
              </w:rPr>
            </w:pPr>
          </w:p>
        </w:tc>
        <w:tc>
          <w:tcPr>
            <w:tcW w:w="4300" w:type="dxa"/>
            <w:vAlign w:val="bottom"/>
            <w:gridSpan w:val="14"/>
          </w:tcPr>
          <w:p>
            <w:pPr>
              <w:spacing w:after="0"/>
              <w:rPr>
                <w:rFonts w:ascii="Arial" w:cs="Arial" w:eastAsia="Arial" w:hAnsi="Arial"/>
                <w:sz w:val="18"/>
                <w:szCs w:val="18"/>
                <w:color w:val="0000EE"/>
                <w:w w:val="91"/>
              </w:rPr>
            </w:pPr>
            <w:hyperlink w:anchor="page88">
              <w:r>
                <w:rPr>
                  <w:rFonts w:ascii="Arial" w:cs="Arial" w:eastAsia="Arial" w:hAnsi="Arial"/>
                  <w:sz w:val="18"/>
                  <w:szCs w:val="18"/>
                  <w:color w:val="0000EE"/>
                  <w:w w:val="91"/>
                </w:rPr>
                <w:t>Quantitative and Qualitative Disclosures about Market Risk</w:t>
              </w:r>
            </w:hyperlink>
          </w:p>
        </w:tc>
        <w:tc>
          <w:tcPr>
            <w:tcW w:w="5420" w:type="dxa"/>
            <w:vAlign w:val="bottom"/>
            <w:gridSpan w:val="6"/>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89">
              <w:r>
                <w:rPr>
                  <w:rFonts w:ascii="Arial" w:cs="Arial" w:eastAsia="Arial" w:hAnsi="Arial"/>
                  <w:sz w:val="18"/>
                  <w:szCs w:val="18"/>
                  <w:color w:val="0000EE"/>
                  <w:w w:val="87"/>
                </w:rPr>
                <w:t>Item 8</w:t>
              </w:r>
            </w:hyperlink>
          </w:p>
        </w:tc>
        <w:tc>
          <w:tcPr>
            <w:tcW w:w="12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3320" w:type="dxa"/>
            <w:vAlign w:val="bottom"/>
            <w:gridSpan w:val="12"/>
          </w:tcPr>
          <w:p>
            <w:pPr>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Financial Statements and Supplementary Data</w:t>
              </w:r>
            </w:hyperlink>
          </w:p>
        </w:tc>
        <w:tc>
          <w:tcPr>
            <w:tcW w:w="980" w:type="dxa"/>
            <w:vAlign w:val="bottom"/>
            <w:gridSpan w:val="2"/>
          </w:tcPr>
          <w:p>
            <w:pPr>
              <w:spacing w:after="0"/>
              <w:rPr>
                <w:sz w:val="21"/>
                <w:szCs w:val="21"/>
                <w:color w:val="auto"/>
              </w:rPr>
            </w:pPr>
          </w:p>
        </w:tc>
        <w:tc>
          <w:tcPr>
            <w:tcW w:w="5420" w:type="dxa"/>
            <w:vAlign w:val="bottom"/>
            <w:gridSpan w:val="6"/>
          </w:tcPr>
          <w:p>
            <w:pPr>
              <w:spacing w:after="0"/>
              <w:rPr>
                <w:sz w:val="21"/>
                <w:szCs w:val="21"/>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88</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0" w:type="dxa"/>
            <w:vAlign w:val="bottom"/>
          </w:tcPr>
          <w:p>
            <w:pPr>
              <w:spacing w:after="0"/>
              <w:rPr>
                <w:rFonts w:ascii="Arial" w:cs="Arial" w:eastAsia="Arial" w:hAnsi="Arial"/>
                <w:sz w:val="18"/>
                <w:szCs w:val="18"/>
                <w:color w:val="0000EE"/>
                <w:w w:val="87"/>
              </w:rPr>
            </w:pPr>
            <w:hyperlink w:anchor="page124">
              <w:r>
                <w:rPr>
                  <w:rFonts w:ascii="Arial" w:cs="Arial" w:eastAsia="Arial" w:hAnsi="Arial"/>
                  <w:sz w:val="18"/>
                  <w:szCs w:val="18"/>
                  <w:color w:val="0000EE"/>
                  <w:w w:val="87"/>
                </w:rPr>
                <w:t>Item 9</w:t>
              </w:r>
            </w:hyperlink>
          </w:p>
        </w:tc>
        <w:tc>
          <w:tcPr>
            <w:tcW w:w="640" w:type="dxa"/>
            <w:vAlign w:val="bottom"/>
            <w:gridSpan w:val="3"/>
          </w:tcPr>
          <w:p>
            <w:pPr>
              <w:spacing w:after="0"/>
              <w:rPr>
                <w:sz w:val="21"/>
                <w:szCs w:val="21"/>
                <w:color w:val="auto"/>
              </w:rPr>
            </w:pPr>
          </w:p>
        </w:tc>
        <w:tc>
          <w:tcPr>
            <w:tcW w:w="9720" w:type="dxa"/>
            <w:vAlign w:val="bottom"/>
            <w:gridSpan w:val="2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24">
              <w:r>
                <w:rPr>
                  <w:rFonts w:ascii="Arial" w:cs="Arial" w:eastAsia="Arial" w:hAnsi="Arial"/>
                  <w:sz w:val="18"/>
                  <w:szCs w:val="18"/>
                  <w:color w:val="0000EE"/>
                </w:rPr>
                <w:t>123</w:t>
              </w:r>
            </w:hyperlink>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Item 9A</w:t>
              </w:r>
            </w:hyperlink>
          </w:p>
        </w:tc>
        <w:tc>
          <w:tcPr>
            <w:tcW w:w="520" w:type="dxa"/>
            <w:vAlign w:val="bottom"/>
          </w:tcPr>
          <w:p>
            <w:pPr>
              <w:spacing w:after="0"/>
              <w:rPr>
                <w:sz w:val="21"/>
                <w:szCs w:val="21"/>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24">
              <w:r>
                <w:rPr>
                  <w:rFonts w:ascii="Arial" w:cs="Arial" w:eastAsia="Arial" w:hAnsi="Arial"/>
                  <w:sz w:val="18"/>
                  <w:szCs w:val="18"/>
                  <w:color w:val="0000EE"/>
                  <w:w w:val="87"/>
                </w:rPr>
                <w:t>Controls and Procedures</w:t>
              </w:r>
            </w:hyperlink>
          </w:p>
        </w:tc>
        <w:tc>
          <w:tcPr>
            <w:tcW w:w="7960" w:type="dxa"/>
            <w:vAlign w:val="bottom"/>
            <w:gridSpan w:val="13"/>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00" w:type="dxa"/>
            <w:vAlign w:val="bottom"/>
            <w:gridSpan w:val="4"/>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Item 9B</w:t>
              </w:r>
            </w:hyperlink>
          </w:p>
        </w:tc>
        <w:tc>
          <w:tcPr>
            <w:tcW w:w="9720" w:type="dxa"/>
            <w:vAlign w:val="bottom"/>
            <w:gridSpan w:val="20"/>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Other Information</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24">
              <w:r>
                <w:rPr>
                  <w:rFonts w:ascii="Arial" w:cs="Arial" w:eastAsia="Arial" w:hAnsi="Arial"/>
                  <w:sz w:val="18"/>
                  <w:szCs w:val="18"/>
                  <w:color w:val="0000EE"/>
                </w:rPr>
                <w:t>123</w:t>
              </w:r>
            </w:hyperlink>
          </w:p>
        </w:tc>
        <w:tc>
          <w:tcPr>
            <w:tcW w:w="0" w:type="dxa"/>
            <w:vAlign w:val="bottom"/>
          </w:tcPr>
          <w:p>
            <w:pPr>
              <w:spacing w:after="0"/>
              <w:rPr>
                <w:sz w:val="1"/>
                <w:szCs w:val="1"/>
                <w:color w:val="auto"/>
              </w:rPr>
            </w:pPr>
          </w:p>
        </w:tc>
      </w:tr>
      <w:tr>
        <w:trPr>
          <w:trHeight w:val="291"/>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III</w:t>
            </w: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Item 10</w:t>
              </w:r>
            </w:hyperlink>
          </w:p>
        </w:tc>
        <w:tc>
          <w:tcPr>
            <w:tcW w:w="520" w:type="dxa"/>
            <w:vAlign w:val="bottom"/>
          </w:tcPr>
          <w:p>
            <w:pPr>
              <w:spacing w:after="0"/>
              <w:rPr>
                <w:sz w:val="19"/>
                <w:szCs w:val="19"/>
                <w:color w:val="auto"/>
              </w:rPr>
            </w:pPr>
          </w:p>
        </w:tc>
        <w:tc>
          <w:tcPr>
            <w:tcW w:w="9720" w:type="dxa"/>
            <w:vAlign w:val="bottom"/>
            <w:gridSpan w:val="2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Directors, Executive Officers and Corporate Governance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25">
              <w:r>
                <w:rPr>
                  <w:rFonts w:ascii="Arial" w:cs="Arial" w:eastAsia="Arial" w:hAnsi="Arial"/>
                  <w:sz w:val="18"/>
                  <w:szCs w:val="18"/>
                  <w:color w:val="0000EE"/>
                </w:rPr>
                <w:t>124</w:t>
              </w:r>
            </w:hyperlink>
          </w:p>
        </w:tc>
        <w:tc>
          <w:tcPr>
            <w:tcW w:w="0" w:type="dxa"/>
            <w:vAlign w:val="bottom"/>
          </w:tcPr>
          <w:p>
            <w:pPr>
              <w:spacing w:after="0"/>
              <w:rPr>
                <w:sz w:val="1"/>
                <w:szCs w:val="1"/>
                <w:color w:val="auto"/>
              </w:rPr>
            </w:pPr>
          </w:p>
        </w:tc>
      </w:tr>
      <w:tr>
        <w:trPr>
          <w:trHeight w:val="250"/>
        </w:trPr>
        <w:tc>
          <w:tcPr>
            <w:tcW w:w="580" w:type="dxa"/>
            <w:vAlign w:val="bottom"/>
            <w:tcBorders>
              <w:top w:val="single" w:sz="8" w:color="0000EE"/>
            </w:tcBorders>
            <w:gridSpan w:val="3"/>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Item 11</w:t>
              </w:r>
            </w:hyperlink>
          </w:p>
        </w:tc>
        <w:tc>
          <w:tcPr>
            <w:tcW w:w="520" w:type="dxa"/>
            <w:vAlign w:val="bottom"/>
          </w:tcPr>
          <w:p>
            <w:pPr>
              <w:spacing w:after="0"/>
              <w:rPr>
                <w:sz w:val="21"/>
                <w:szCs w:val="21"/>
                <w:color w:val="auto"/>
              </w:rPr>
            </w:pPr>
          </w:p>
        </w:tc>
        <w:tc>
          <w:tcPr>
            <w:tcW w:w="4080" w:type="dxa"/>
            <w:vAlign w:val="bottom"/>
            <w:tcBorders>
              <w:top w:val="single" w:sz="8" w:color="0000EE"/>
            </w:tcBorders>
            <w:gridSpan w:val="1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Executive Compensation</w:t>
              </w:r>
            </w:hyperlink>
          </w:p>
        </w:tc>
        <w:tc>
          <w:tcPr>
            <w:tcW w:w="5640" w:type="dxa"/>
            <w:vAlign w:val="bottom"/>
            <w:gridSpan w:val="7"/>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Item 12</w:t>
              </w:r>
            </w:hyperlink>
          </w:p>
        </w:tc>
        <w:tc>
          <w:tcPr>
            <w:tcW w:w="520" w:type="dxa"/>
            <w:vAlign w:val="bottom"/>
          </w:tcPr>
          <w:p>
            <w:pPr>
              <w:spacing w:after="0"/>
              <w:rPr>
                <w:sz w:val="21"/>
                <w:szCs w:val="21"/>
                <w:color w:val="auto"/>
              </w:rPr>
            </w:pPr>
          </w:p>
        </w:tc>
        <w:tc>
          <w:tcPr>
            <w:tcW w:w="9720" w:type="dxa"/>
            <w:vAlign w:val="bottom"/>
            <w:gridSpan w:val="2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25">
              <w:r>
                <w:rPr>
                  <w:rFonts w:ascii="Arial" w:cs="Arial" w:eastAsia="Arial" w:hAnsi="Arial"/>
                  <w:sz w:val="18"/>
                  <w:szCs w:val="18"/>
                  <w:color w:val="0000EE"/>
                </w:rPr>
                <w:t>124</w:t>
              </w:r>
            </w:hyperlink>
          </w:p>
        </w:tc>
        <w:tc>
          <w:tcPr>
            <w:tcW w:w="0" w:type="dxa"/>
            <w:vAlign w:val="bottom"/>
          </w:tcPr>
          <w:p>
            <w:pPr>
              <w:spacing w:after="0"/>
              <w:rPr>
                <w:sz w:val="1"/>
                <w:szCs w:val="1"/>
                <w:color w:val="auto"/>
              </w:rPr>
            </w:pPr>
          </w:p>
        </w:tc>
      </w:tr>
      <w:tr>
        <w:trPr>
          <w:trHeight w:val="250"/>
        </w:trPr>
        <w:tc>
          <w:tcPr>
            <w:tcW w:w="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Item 13</w:t>
              </w:r>
            </w:hyperlink>
          </w:p>
        </w:tc>
        <w:tc>
          <w:tcPr>
            <w:tcW w:w="520" w:type="dxa"/>
            <w:vAlign w:val="bottom"/>
          </w:tcPr>
          <w:p>
            <w:pPr>
              <w:spacing w:after="0"/>
              <w:rPr>
                <w:sz w:val="21"/>
                <w:szCs w:val="21"/>
                <w:color w:val="auto"/>
              </w:rPr>
            </w:pPr>
          </w:p>
        </w:tc>
        <w:tc>
          <w:tcPr>
            <w:tcW w:w="540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125">
              <w:r>
                <w:rPr>
                  <w:rFonts w:ascii="Arial" w:cs="Arial" w:eastAsia="Arial" w:hAnsi="Arial"/>
                  <w:sz w:val="18"/>
                  <w:szCs w:val="18"/>
                  <w:color w:val="0000EE"/>
                  <w:w w:val="89"/>
                </w:rPr>
                <w:t>Certain Relationships and Related Transactions and Director Independence</w:t>
              </w:r>
            </w:hyperlink>
          </w:p>
        </w:tc>
        <w:tc>
          <w:tcPr>
            <w:tcW w:w="1880" w:type="dxa"/>
            <w:vAlign w:val="bottom"/>
            <w:tcBorders>
              <w:top w:val="single" w:sz="8" w:color="0000EE"/>
            </w:tcBorders>
            <w:gridSpan w:val="3"/>
          </w:tcPr>
          <w:p>
            <w:pPr>
              <w:spacing w:after="0"/>
              <w:rPr>
                <w:sz w:val="21"/>
                <w:szCs w:val="21"/>
                <w:color w:val="auto"/>
              </w:rPr>
            </w:pPr>
          </w:p>
        </w:tc>
        <w:tc>
          <w:tcPr>
            <w:tcW w:w="244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25">
              <w:r>
                <w:rPr>
                  <w:rFonts w:ascii="Arial" w:cs="Arial" w:eastAsia="Arial" w:hAnsi="Arial"/>
                  <w:sz w:val="18"/>
                  <w:szCs w:val="18"/>
                  <w:color w:val="0000EE"/>
                  <w:w w:val="86"/>
                </w:rPr>
                <w:t>124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00" w:type="dxa"/>
            <w:vAlign w:val="bottom"/>
            <w:gridSpan w:val="4"/>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14</w:t>
              </w:r>
            </w:hyperlink>
          </w:p>
        </w:tc>
        <w:tc>
          <w:tcPr>
            <w:tcW w:w="9720" w:type="dxa"/>
            <w:vAlign w:val="bottom"/>
            <w:gridSpan w:val="20"/>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Principal Accountant Fees and Services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25">
              <w:r>
                <w:rPr>
                  <w:rFonts w:ascii="Arial" w:cs="Arial" w:eastAsia="Arial" w:hAnsi="Arial"/>
                  <w:sz w:val="18"/>
                  <w:szCs w:val="18"/>
                  <w:color w:val="0000EE"/>
                </w:rPr>
                <w:t>124</w:t>
              </w:r>
            </w:hyperlink>
          </w:p>
        </w:tc>
        <w:tc>
          <w:tcPr>
            <w:tcW w:w="0" w:type="dxa"/>
            <w:vAlign w:val="bottom"/>
          </w:tcPr>
          <w:p>
            <w:pPr>
              <w:spacing w:after="0"/>
              <w:rPr>
                <w:sz w:val="1"/>
                <w:szCs w:val="1"/>
                <w:color w:val="auto"/>
              </w:rPr>
            </w:pPr>
          </w:p>
        </w:tc>
      </w:tr>
      <w:tr>
        <w:trPr>
          <w:trHeight w:val="291"/>
        </w:trPr>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20" w:type="dxa"/>
            <w:vAlign w:val="bottom"/>
            <w:gridSpan w:val="6"/>
          </w:tcPr>
          <w:p>
            <w:pPr>
              <w:jc w:val="center"/>
              <w:ind w:right="4340"/>
              <w:spacing w:after="0"/>
              <w:rPr>
                <w:sz w:val="20"/>
                <w:szCs w:val="20"/>
                <w:color w:val="auto"/>
              </w:rPr>
            </w:pPr>
            <w:r>
              <w:rPr>
                <w:rFonts w:ascii="Arial" w:cs="Arial" w:eastAsia="Arial" w:hAnsi="Arial"/>
                <w:sz w:val="18"/>
                <w:szCs w:val="18"/>
                <w:b w:val="1"/>
                <w:bCs w:val="1"/>
                <w:color w:val="auto"/>
              </w:rPr>
              <w:t>PART IV</w:t>
            </w:r>
          </w:p>
        </w:tc>
        <w:tc>
          <w:tcPr>
            <w:tcW w:w="2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gridSpan w:val="3"/>
          </w:tcPr>
          <w:p>
            <w:pPr>
              <w:spacing w:after="0"/>
              <w:rPr>
                <w:rFonts w:ascii="Arial" w:cs="Arial" w:eastAsia="Arial" w:hAnsi="Arial"/>
                <w:sz w:val="18"/>
                <w:szCs w:val="18"/>
                <w:color w:val="0000EE"/>
                <w:w w:val="89"/>
              </w:rPr>
            </w:pPr>
            <w:hyperlink w:anchor="page126">
              <w:r>
                <w:rPr>
                  <w:rFonts w:ascii="Arial" w:cs="Arial" w:eastAsia="Arial" w:hAnsi="Arial"/>
                  <w:sz w:val="18"/>
                  <w:szCs w:val="18"/>
                  <w:color w:val="0000EE"/>
                  <w:w w:val="89"/>
                </w:rPr>
                <w:t>Item 15</w:t>
              </w:r>
            </w:hyperlink>
          </w:p>
        </w:tc>
        <w:tc>
          <w:tcPr>
            <w:tcW w:w="520" w:type="dxa"/>
            <w:vAlign w:val="bottom"/>
          </w:tcPr>
          <w:p>
            <w:pPr>
              <w:spacing w:after="0"/>
              <w:rPr>
                <w:sz w:val="19"/>
                <w:szCs w:val="19"/>
                <w:color w:val="auto"/>
              </w:rPr>
            </w:pPr>
          </w:p>
        </w:tc>
        <w:tc>
          <w:tcPr>
            <w:tcW w:w="9720" w:type="dxa"/>
            <w:vAlign w:val="bottom"/>
            <w:gridSpan w:val="20"/>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Exhibits, Financial Statement Schedules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126">
              <w:r>
                <w:rPr>
                  <w:rFonts w:ascii="Arial" w:cs="Arial" w:eastAsia="Arial" w:hAnsi="Arial"/>
                  <w:sz w:val="18"/>
                  <w:szCs w:val="18"/>
                  <w:color w:val="0000EE"/>
                </w:rPr>
                <w:t>125</w:t>
              </w:r>
            </w:hyperlink>
          </w:p>
        </w:tc>
        <w:tc>
          <w:tcPr>
            <w:tcW w:w="0" w:type="dxa"/>
            <w:vAlign w:val="bottom"/>
          </w:tcPr>
          <w:p>
            <w:pPr>
              <w:spacing w:after="0"/>
              <w:rPr>
                <w:sz w:val="1"/>
                <w:szCs w:val="1"/>
                <w:color w:val="auto"/>
              </w:rPr>
            </w:pPr>
          </w:p>
        </w:tc>
      </w:tr>
      <w:tr>
        <w:trPr>
          <w:trHeight w:val="250"/>
        </w:trPr>
        <w:tc>
          <w:tcPr>
            <w:tcW w:w="5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29">
              <w:r>
                <w:rPr>
                  <w:rFonts w:ascii="Arial" w:cs="Arial" w:eastAsia="Arial" w:hAnsi="Arial"/>
                  <w:sz w:val="18"/>
                  <w:szCs w:val="18"/>
                  <w:color w:val="0000EE"/>
                  <w:w w:val="89"/>
                </w:rPr>
                <w:t>Item 16</w:t>
              </w:r>
            </w:hyperlink>
          </w:p>
        </w:tc>
        <w:tc>
          <w:tcPr>
            <w:tcW w:w="520" w:type="dxa"/>
            <w:vAlign w:val="bottom"/>
          </w:tcPr>
          <w:p>
            <w:pPr>
              <w:spacing w:after="0"/>
              <w:rPr>
                <w:sz w:val="21"/>
                <w:szCs w:val="21"/>
                <w:color w:val="auto"/>
              </w:rPr>
            </w:pPr>
          </w:p>
        </w:tc>
        <w:tc>
          <w:tcPr>
            <w:tcW w:w="15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29">
              <w:r>
                <w:rPr>
                  <w:rFonts w:ascii="Arial" w:cs="Arial" w:eastAsia="Arial" w:hAnsi="Arial"/>
                  <w:sz w:val="18"/>
                  <w:szCs w:val="18"/>
                  <w:color w:val="0000EE"/>
                  <w:w w:val="90"/>
                </w:rPr>
                <w:t>Form 10-K Summary</w:t>
              </w:r>
            </w:hyperlink>
          </w:p>
        </w:tc>
        <w:tc>
          <w:tcPr>
            <w:tcW w:w="1340" w:type="dxa"/>
            <w:vAlign w:val="bottom"/>
            <w:tcBorders>
              <w:top w:val="single" w:sz="8" w:color="0000EE"/>
            </w:tcBorders>
            <w:gridSpan w:val="6"/>
          </w:tcPr>
          <w:p>
            <w:pPr>
              <w:spacing w:after="0"/>
              <w:rPr>
                <w:sz w:val="21"/>
                <w:szCs w:val="21"/>
                <w:color w:val="auto"/>
              </w:rPr>
            </w:pPr>
          </w:p>
        </w:tc>
        <w:tc>
          <w:tcPr>
            <w:tcW w:w="6840" w:type="dxa"/>
            <w:vAlign w:val="bottom"/>
            <w:gridSpan w:val="9"/>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30">
              <w:r>
                <w:rPr>
                  <w:rFonts w:ascii="Arial" w:cs="Arial" w:eastAsia="Arial" w:hAnsi="Arial"/>
                  <w:sz w:val="18"/>
                  <w:szCs w:val="18"/>
                  <w:color w:val="0000EE"/>
                  <w:w w:val="90"/>
                </w:rPr>
                <w:t>SIGNATURES</w:t>
              </w:r>
            </w:hyperlink>
          </w:p>
        </w:tc>
        <w:tc>
          <w:tcPr>
            <w:tcW w:w="9720" w:type="dxa"/>
            <w:vAlign w:val="bottom"/>
            <w:gridSpan w:val="20"/>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this Annual Report on Form 10-K, “we,” “our,” “us,” “SI-BONE,” and “the Company” refer to SI-BONE, Inc.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9" w:lineRule="exact"/>
        <w:rPr>
          <w:sz w:val="20"/>
          <w:szCs w:val="20"/>
          <w:color w:val="auto"/>
        </w:rPr>
      </w:pPr>
    </w:p>
    <w:p>
      <w:pPr>
        <w:ind w:right="20" w:firstLine="392"/>
        <w:spacing w:after="0" w:line="230" w:lineRule="exact"/>
        <w:rPr>
          <w:sz w:val="20"/>
          <w:szCs w:val="20"/>
          <w:color w:val="auto"/>
        </w:rPr>
      </w:pPr>
      <w:r>
        <w:rPr>
          <w:rFonts w:ascii="Arial" w:cs="Arial" w:eastAsia="Arial" w:hAnsi="Arial"/>
          <w:sz w:val="17"/>
          <w:szCs w:val="17"/>
          <w:color w:val="auto"/>
        </w:rPr>
        <w:t>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“will,” “would,” and other similar expressions that are predictions of or indicate future events and future trends, or the negative of these terms or other comparable terminology, although not all forward-looking statements contain these words. These forward-looking statements include, but are not limited to, statements about:</w:t>
      </w:r>
    </w:p>
    <w:p>
      <w:pPr>
        <w:spacing w:after="0" w:line="107" w:lineRule="exact"/>
        <w:rPr>
          <w:sz w:val="20"/>
          <w:szCs w:val="20"/>
          <w:color w:val="auto"/>
        </w:rPr>
      </w:pPr>
    </w:p>
    <w:p>
      <w:pPr>
        <w:ind w:left="720" w:right="420" w:hanging="320"/>
        <w:spacing w:after="0" w:line="29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that, for the foreseeable future, a significant portion of our revenues will be derived from sales of the iFuse Implant System, or iFuse;</w:t>
      </w:r>
    </w:p>
    <w:p>
      <w:pPr>
        <w:spacing w:after="0" w:line="61" w:lineRule="exact"/>
        <w:rPr>
          <w:rFonts w:ascii="Arial" w:cs="Arial" w:eastAsia="Arial" w:hAnsi="Arial"/>
          <w:sz w:val="18"/>
          <w:szCs w:val="18"/>
          <w:color w:val="auto"/>
        </w:rPr>
      </w:pPr>
    </w:p>
    <w:p>
      <w:pPr>
        <w:ind w:left="720" w:right="180" w:hanging="320"/>
        <w:spacing w:after="0" w:line="29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61"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130" w:lineRule="exact"/>
        <w:rPr>
          <w:rFonts w:ascii="Arial" w:cs="Arial" w:eastAsia="Arial" w:hAnsi="Arial"/>
          <w:sz w:val="18"/>
          <w:szCs w:val="18"/>
          <w:color w:val="auto"/>
        </w:rPr>
      </w:pPr>
    </w:p>
    <w:p>
      <w:pPr>
        <w:ind w:left="720" w:right="280" w:hanging="320"/>
        <w:spacing w:after="0" w:line="29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61"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establish and maintain for intellectual property rights covering iFuse and any other device we may develop;</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recruit key personnel and expand our sales force;</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30" w:lineRule="exact"/>
        <w:rPr>
          <w:rFonts w:ascii="Arial" w:cs="Arial" w:eastAsia="Arial" w:hAnsi="Arial"/>
          <w:sz w:val="18"/>
          <w:szCs w:val="18"/>
          <w:color w:val="auto"/>
        </w:rPr>
      </w:pPr>
    </w:p>
    <w:p>
      <w:pPr>
        <w:ind w:left="720" w:hanging="320"/>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39" w:lineRule="exact"/>
        <w:rPr>
          <w:sz w:val="20"/>
          <w:szCs w:val="20"/>
          <w:color w:val="auto"/>
        </w:rPr>
      </w:pPr>
    </w:p>
    <w:p>
      <w:pPr>
        <w:ind w:firstLine="392"/>
        <w:spacing w:after="0" w:line="306" w:lineRule="auto"/>
        <w:rPr>
          <w:sz w:val="20"/>
          <w:szCs w:val="20"/>
          <w:color w:val="auto"/>
        </w:rPr>
      </w:pPr>
      <w:r>
        <w:rPr>
          <w:rFonts w:ascii="Arial" w:cs="Arial" w:eastAsia="Arial" w:hAnsi="Arial"/>
          <w:sz w:val="16"/>
          <w:szCs w:val="16"/>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37,000 procedures have been performed by over 1,800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200" w:lineRule="exact"/>
        <w:rPr>
          <w:sz w:val="20"/>
          <w:szCs w:val="20"/>
          <w:color w:val="auto"/>
        </w:rPr>
      </w:pPr>
    </w:p>
    <w:p>
      <w:pPr>
        <w:spacing w:after="0" w:line="20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200" w:lineRule="exact"/>
        <w:rPr>
          <w:sz w:val="20"/>
          <w:szCs w:val="20"/>
          <w:color w:val="auto"/>
        </w:rPr>
      </w:pPr>
    </w:p>
    <w:p>
      <w:pPr>
        <w:spacing w:after="0" w:line="204"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Our growth rate has recently increased, which we attribute in part to more widespread insurance coverage for sacroiliac fusion procedures, with many recent positive payor coverage policies exclusive to our iFuse system, as well as our efforts to educate the market regarding sacroiliac dysfunction. Since January 1, 2018, because of the strength of published clinical evidence on iFuse, 31 U.S. payors have published reimbursement policies exclusively covering the patented triangular design of our iFuse implants and excluding coverage of other products that are intended to fuse the sacroiliac joint. We believe that the full impact of each exclusive coverage decision grows over time as we continue to educate surgeons about the coverage and the medical criteria they need to follow, and train them on the diagnosis and how to perform the iFuse procedure.</w:t>
      </w:r>
    </w:p>
    <w:p>
      <w:pPr>
        <w:spacing w:after="0" w:line="39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In 2018 and 2017, we generated revenue of $55.4 million and $48.0 million, respectively, a growth rate of 15%, and incurred net losses of $17.5 million and $23.0 million, respectively. Our gross margins were 91% and 89% for 2018 and 2017, respectively. The number of iFuse procedures performed in 2018 and 2017 was 6,659 and 5,739 respectively.</w:t>
      </w:r>
    </w:p>
    <w:p>
      <w:pPr>
        <w:spacing w:after="0" w:line="397"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Our implants have a triangular cross section, which resists twisting of the implant within the bone in which it is implanted, helping stabilize the joint even before fixation of the bone onto the implant, or bony ingrowth, which results in fusion. Products from our competitors use screws to treat the sacroiliac joint, which do not resist twisting within the bone as well as our patented triangular implants. A study we performed showed that our iFuse implants have more than six times the rotation resistance of a screw designed for sacroiliac joint fusion. We hold issued patents on implants with cross-sections of many non-round shapes, including the triangular shape we use for iFuse. We also hold issued patents for the method of placing those implants across the sacroiliac joint, as well as other parts of the spine and pelvis. Each titanium iFuse implant is at least three times the strength of a typical eight-millimeter surgical screw and the larger porous surface area of our implants allows for bony ingrowth. Three of our implants are typically used in each procedure.</w:t>
      </w:r>
    </w:p>
    <w:p>
      <w:pPr>
        <w:spacing w:after="0" w:line="383"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safety, clinical effectiveness, durability of pain relief and reduction in disability, cost effectiveness, and reduction in opioid users that result from iFuse are supported by a large number of studies that have resulted in more than 60 published papers. Several of these papers publish results from three prospective multicenter studies (INSITE, SIFI, and iMIA), two of which were randomized controlled clinical trials. Additionally, there have been several studies showing longer-term follow-up of up to six years.</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880" w:hanging="345"/>
        <w:spacing w:after="0"/>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INSITE is a randomized controlled study conducted in the United States. Positive 24-month follow-up results were published in August</w:t>
      </w:r>
    </w:p>
    <w:p>
      <w:pPr>
        <w:spacing w:after="0" w:line="34" w:lineRule="exact"/>
        <w:rPr>
          <w:rFonts w:ascii="Arial" w:cs="Arial" w:eastAsia="Arial" w:hAnsi="Arial"/>
          <w:sz w:val="17"/>
          <w:szCs w:val="17"/>
          <w:color w:val="auto"/>
        </w:rPr>
      </w:pPr>
    </w:p>
    <w:p>
      <w:pPr>
        <w:ind w:left="880" w:right="400"/>
        <w:spacing w:after="0" w:line="254" w:lineRule="auto"/>
        <w:rPr>
          <w:rFonts w:ascii="Arial" w:cs="Arial" w:eastAsia="Arial" w:hAnsi="Arial"/>
          <w:sz w:val="17"/>
          <w:szCs w:val="17"/>
          <w:color w:val="auto"/>
        </w:rPr>
      </w:pPr>
      <w:r>
        <w:rPr>
          <w:rFonts w:ascii="Arial" w:cs="Arial" w:eastAsia="Arial" w:hAnsi="Arial"/>
          <w:sz w:val="18"/>
          <w:szCs w:val="18"/>
          <w:color w:val="auto"/>
        </w:rPr>
        <w:t xml:space="preserve">2016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showing statistically significant and clinically important reduction in pain and disability after sacroiliac joint fusion but very little response to maximal non-surgical treatment. In April 2015, INSITE was awarded the “Best Overall Paper” out of approximately 450 submitted clinical study papers at the International Society for Advancement of Spine Surgery, or ISASS, conference</w:t>
      </w:r>
    </w:p>
    <w:p>
      <w:pPr>
        <w:spacing w:after="0" w:line="243" w:lineRule="exact"/>
        <w:rPr>
          <w:rFonts w:ascii="Arial" w:cs="Arial" w:eastAsia="Arial" w:hAnsi="Arial"/>
          <w:sz w:val="17"/>
          <w:szCs w:val="17"/>
          <w:color w:val="auto"/>
        </w:rPr>
      </w:pPr>
    </w:p>
    <w:p>
      <w:pPr>
        <w:ind w:left="880" w:right="760" w:hanging="345"/>
        <w:spacing w:after="0" w:line="264"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iMIA is a randomized controlled study conducted in Europe. Positive 24-month results were published in March 2019 in </w:t>
      </w:r>
      <w:r>
        <w:rPr>
          <w:rFonts w:ascii="Arial" w:cs="Arial" w:eastAsia="Arial" w:hAnsi="Arial"/>
          <w:sz w:val="18"/>
          <w:szCs w:val="18"/>
          <w:i w:val="1"/>
          <w:iCs w:val="1"/>
          <w:color w:val="auto"/>
        </w:rPr>
        <w:t>The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Bone and Joint Surgery</w:t>
      </w:r>
      <w:r>
        <w:rPr>
          <w:rFonts w:ascii="Arial" w:cs="Arial" w:eastAsia="Arial" w:hAnsi="Arial"/>
          <w:sz w:val="18"/>
          <w:szCs w:val="18"/>
          <w:color w:val="auto"/>
        </w:rPr>
        <w:t>. Like INSITE, results from iMIA show statistically significant and clinically profound reduction in pain and</w:t>
      </w:r>
      <w:r>
        <w:rPr>
          <w:rFonts w:ascii="Arial" w:cs="Arial" w:eastAsia="Arial" w:hAnsi="Arial"/>
          <w:sz w:val="18"/>
          <w:szCs w:val="18"/>
          <w:i w:val="1"/>
          <w:iCs w:val="1"/>
          <w:color w:val="auto"/>
        </w:rPr>
        <w:t xml:space="preserve"> </w:t>
      </w:r>
      <w:r>
        <w:rPr>
          <w:rFonts w:ascii="Arial" w:cs="Arial" w:eastAsia="Arial" w:hAnsi="Arial"/>
          <w:sz w:val="18"/>
          <w:szCs w:val="18"/>
          <w:color w:val="auto"/>
        </w:rPr>
        <w:t>disability after SI joint fusion but little improvement after non-surgical treatment.</w:t>
      </w:r>
    </w:p>
    <w:p>
      <w:pPr>
        <w:spacing w:after="0" w:line="235" w:lineRule="exact"/>
        <w:rPr>
          <w:rFonts w:ascii="Arial" w:cs="Arial" w:eastAsia="Arial" w:hAnsi="Arial"/>
          <w:sz w:val="18"/>
          <w:szCs w:val="18"/>
          <w:color w:val="auto"/>
        </w:rPr>
      </w:pPr>
    </w:p>
    <w:p>
      <w:pPr>
        <w:ind w:left="880" w:right="380" w:hanging="345"/>
        <w:spacing w:after="0" w:line="277"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SIFI is a single-arm study conducted in the United States. Positive 24-month follow-up results were published in the </w:t>
      </w:r>
      <w:r>
        <w:rPr>
          <w:rFonts w:ascii="Arial" w:cs="Arial" w:eastAsia="Arial" w:hAnsi="Arial"/>
          <w:sz w:val="18"/>
          <w:szCs w:val="18"/>
          <w:i w:val="1"/>
          <w:iCs w:val="1"/>
          <w:color w:val="auto"/>
        </w:rPr>
        <w:t>International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Spine Surgery </w:t>
      </w:r>
      <w:r>
        <w:rPr>
          <w:rFonts w:ascii="Arial" w:cs="Arial" w:eastAsia="Arial" w:hAnsi="Arial"/>
          <w:sz w:val="18"/>
          <w:szCs w:val="18"/>
          <w:color w:val="auto"/>
        </w:rPr>
        <w:t>in April 2016, showing substantial and sustained reduction in pain and disability.</w:t>
      </w:r>
    </w:p>
    <w:p>
      <w:pPr>
        <w:spacing w:after="0" w:line="224" w:lineRule="exact"/>
        <w:rPr>
          <w:rFonts w:ascii="Arial" w:cs="Arial" w:eastAsia="Arial" w:hAnsi="Arial"/>
          <w:sz w:val="18"/>
          <w:szCs w:val="18"/>
          <w:color w:val="auto"/>
        </w:rPr>
      </w:pPr>
    </w:p>
    <w:p>
      <w:pPr>
        <w:ind w:left="880" w:right="560" w:hanging="345"/>
        <w:spacing w:after="0" w:line="286" w:lineRule="auto"/>
        <w:tabs>
          <w:tab w:leader="none" w:pos="880" w:val="left"/>
        </w:tabs>
        <w:numPr>
          <w:ilvl w:val="0"/>
          <w:numId w:val="4"/>
        </w:numPr>
        <w:rPr>
          <w:rFonts w:ascii="Arial" w:cs="Arial" w:eastAsia="Arial" w:hAnsi="Arial"/>
          <w:sz w:val="17"/>
          <w:szCs w:val="17"/>
          <w:color w:val="auto"/>
        </w:rPr>
      </w:pPr>
      <w:r>
        <w:rPr>
          <w:rFonts w:ascii="Arial" w:cs="Arial" w:eastAsia="Arial" w:hAnsi="Arial"/>
          <w:sz w:val="17"/>
          <w:szCs w:val="17"/>
          <w:color w:val="auto"/>
        </w:rPr>
        <w:t>LOIS is a prospective follow-on study, enrolling subjects at a subset of INSITE and SIFI sites treated with iFuse. Study outcomes at four years were published in July 2018 in Medical Devices: Evidence and Research. Among 103 enrolled subjects, mean sacroiliac joint pain at three years decreased from 82 preoperatively to 28 (a 54-point improvement from baseline, p&lt;.0001).</w:t>
      </w:r>
    </w:p>
    <w:p>
      <w:pPr>
        <w:spacing w:after="0" w:line="219" w:lineRule="exact"/>
        <w:rPr>
          <w:rFonts w:ascii="Arial" w:cs="Arial" w:eastAsia="Arial" w:hAnsi="Arial"/>
          <w:sz w:val="17"/>
          <w:szCs w:val="17"/>
          <w:color w:val="auto"/>
        </w:rPr>
      </w:pPr>
    </w:p>
    <w:p>
      <w:pPr>
        <w:ind w:left="880" w:right="360" w:hanging="345"/>
        <w:spacing w:after="0" w:line="259"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study in </w:t>
      </w:r>
      <w:r>
        <w:rPr>
          <w:rFonts w:ascii="Arial" w:cs="Arial" w:eastAsia="Arial" w:hAnsi="Arial"/>
          <w:sz w:val="18"/>
          <w:szCs w:val="18"/>
          <w:i w:val="1"/>
          <w:iCs w:val="1"/>
          <w:color w:val="auto"/>
        </w:rPr>
        <w:t>Neurosurgery</w:t>
      </w:r>
      <w:r>
        <w:rPr>
          <w:rFonts w:ascii="Arial" w:cs="Arial" w:eastAsia="Arial" w:hAnsi="Arial"/>
          <w:sz w:val="18"/>
          <w:szCs w:val="18"/>
          <w:color w:val="auto"/>
        </w:rPr>
        <w:t xml:space="preserve"> published in April 2017 showed similar improvements in pain and disability in patients followed for up to six years. The study also showed a substantial reduction in the number of subjects using opioids in patients treated with iFuse at their last follow-up visit. At the last follow-up visit, 84% of patients who received non-surgical management were using opioids, while only 7% of patients treated with iFuse were using opioids.</w:t>
      </w:r>
    </w:p>
    <w:p>
      <w:pPr>
        <w:spacing w:after="0" w:line="200" w:lineRule="exact"/>
        <w:rPr>
          <w:sz w:val="20"/>
          <w:szCs w:val="20"/>
          <w:color w:val="auto"/>
        </w:rPr>
      </w:pPr>
    </w:p>
    <w:p>
      <w:pPr>
        <w:spacing w:after="0" w:line="23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INSITE clinical trial included 148 subjects treated at 19 centers in the United States, with subjects randomized in a two-to-one ratio to either immediate sacroiliac joint fusion with iFuse or non-surgical management. The study design allowed subjects in the non-surgical management group to cross over and have surgery after six months. By 24 months after the start of the clinical trial, 89% of the non-surgical management group subjects still participating in the trial had elected to cross over to have the iFuse procedure, primarily because they derived little clinical benefit from non-surgical treatments. The study’s results can be summarized as follows:</w:t>
      </w:r>
    </w:p>
    <w:p>
      <w:pPr>
        <w:spacing w:after="0" w:line="346" w:lineRule="exact"/>
        <w:rPr>
          <w:sz w:val="20"/>
          <w:szCs w:val="20"/>
          <w:color w:val="auto"/>
        </w:rPr>
      </w:pPr>
    </w:p>
    <w:p>
      <w:pPr>
        <w:ind w:left="860" w:right="420" w:hanging="325"/>
        <w:spacing w:after="0" w:line="272"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a statistically significant and clinically important pain reduction in subjects treated with iFuse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very small responses in those treated with non-surgical management. Subjects surgically treated with iFuse had mean 52- 54- and 55-point reductions in sacroiliac joint pain at 6, 12 and 24 months, respectively, as measured by the VAS. By contrast, subjects in the non-surgical management group had only a mean 12-point reduction (p&lt;0.0001) at six months. 12 points is below the commonly accepted 20-point threshold for clinically important improvement.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due to the assigned treatment only was 83% in the iFuse group and 10% in the non-surgical management group.</w:t>
      </w:r>
    </w:p>
    <w:p>
      <w:pPr>
        <w:spacing w:after="0" w:line="226" w:lineRule="exact"/>
        <w:rPr>
          <w:rFonts w:ascii="Arial" w:cs="Arial" w:eastAsia="Arial" w:hAnsi="Arial"/>
          <w:sz w:val="17"/>
          <w:szCs w:val="17"/>
          <w:color w:val="auto"/>
        </w:rPr>
      </w:pPr>
    </w:p>
    <w:p>
      <w:pPr>
        <w:ind w:left="860" w:right="440" w:hanging="325"/>
        <w:spacing w:after="0" w:line="289"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Reduction in Disability</w:t>
      </w:r>
      <w:r>
        <w:rPr>
          <w:rFonts w:ascii="Arial" w:cs="Arial" w:eastAsia="Arial" w:hAnsi="Arial"/>
          <w:sz w:val="16"/>
          <w:szCs w:val="16"/>
          <w:color w:val="auto"/>
        </w:rPr>
        <w:t>. There was a statistically significant and clinically important reduction in disability in subjects treated with iFuse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very little response in those treated with non-surgical management. Subjects surgically treated with iFuse had a mean 27-point reduction in disability at six months, on the 0–100 Oswestry Disability Index, or ODI, while subjects in the non-surgical management group had only a mean five-point reduction (p&lt;0.0001). Five points is less than the commonly accepted 15-point threshold to denote a clinically important response. At 24 months, the iFuse group had a mean 28-point reduction in ODI. At six months, the proportion of subjects with ODI improvements of at least 15 points was 72.5% with iFuse treatment and only 13.0% in those undergoing non-surgical management (p&lt;0.0001 for difference in response rate). In addition, the subjects who elected after six months to cross over to have the iFuse procedure had similar reduction in disability as the subjects originally assigned to sacroiliac joint fusion with iFuse. At 24 months, the proportion of subjects with an ODI improvement of at least 15 points with the assigned treatment only was 68.2% and 7.5% in the iFuse and non-surgical management groups, respectively (p&lt;0.0001 for difference in response rate). These are very large differences.</w:t>
      </w:r>
    </w:p>
    <w:p>
      <w:pPr>
        <w:spacing w:after="0" w:line="200" w:lineRule="exact"/>
        <w:rPr>
          <w:sz w:val="20"/>
          <w:szCs w:val="20"/>
          <w:color w:val="auto"/>
        </w:rPr>
      </w:pPr>
    </w:p>
    <w:p>
      <w:pPr>
        <w:spacing w:after="0" w:line="2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Patients from certain sites participating in the INSITE study will be followed for up to five years as part of LOIS, a separate long-term study.</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 xml:space="preserve">Surgical revision rate is an important measurement of a treatment’s effectiveness for patients. Studies on lumbar, or lower back, fusion, a different type of spine procedure from iFuse, have shown revision rates as approximately 12%. A study published in </w:t>
      </w:r>
      <w:r>
        <w:rPr>
          <w:rFonts w:ascii="Arial" w:cs="Arial" w:eastAsia="Arial" w:hAnsi="Arial"/>
          <w:sz w:val="18"/>
          <w:szCs w:val="18"/>
          <w:i w:val="1"/>
          <w:iCs w:val="1"/>
          <w:color w:val="auto"/>
        </w:rPr>
        <w:t>Medical Devices: Evidence and Research</w:t>
      </w:r>
      <w:r>
        <w:rPr>
          <w:rFonts w:ascii="Arial" w:cs="Arial" w:eastAsia="Arial" w:hAnsi="Arial"/>
          <w:sz w:val="18"/>
          <w:szCs w:val="18"/>
          <w:color w:val="auto"/>
        </w:rPr>
        <w:t xml:space="preserve"> in November 2015 showed that the cumulative four-year revision rate with iFuse was 3.5%. A single surgeon retrospective study published in the </w:t>
      </w:r>
      <w:r>
        <w:rPr>
          <w:rFonts w:ascii="Arial" w:cs="Arial" w:eastAsia="Arial" w:hAnsi="Arial"/>
          <w:sz w:val="18"/>
          <w:szCs w:val="18"/>
          <w:i w:val="1"/>
          <w:iCs w:val="1"/>
          <w:color w:val="auto"/>
        </w:rPr>
        <w:t>International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Spine Surgery </w:t>
      </w:r>
      <w:r>
        <w:rPr>
          <w:rFonts w:ascii="Arial" w:cs="Arial" w:eastAsia="Arial" w:hAnsi="Arial"/>
          <w:sz w:val="18"/>
          <w:szCs w:val="18"/>
          <w:color w:val="auto"/>
        </w:rPr>
        <w:t>in January 2017 showed that the cumulative four-year revision rate for screw-based treatment of the sacroiliac joint was five times higher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the cumulative four-year revision rate for iFuse.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337"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estimate that over 30 million American adults have chronic lower back pain</w:t>
      </w:r>
      <w:r>
        <w:rPr>
          <w:rFonts w:ascii="Arial" w:cs="Arial" w:eastAsia="Arial" w:hAnsi="Arial"/>
          <w:sz w:val="17"/>
          <w:szCs w:val="17"/>
          <w:i w:val="1"/>
          <w:iCs w:val="1"/>
          <w:color w:val="auto"/>
        </w:rPr>
        <w:t>.</w:t>
      </w:r>
      <w:r>
        <w:rPr>
          <w:rFonts w:ascii="Arial" w:cs="Arial" w:eastAsia="Arial" w:hAnsi="Arial"/>
          <w:sz w:val="17"/>
          <w:szCs w:val="17"/>
          <w:color w:val="auto"/>
        </w:rPr>
        <w:t xml:space="preserve"> For patients whose chronic lower back pain stems from the sacroiliac joint, our experience in both clinical trials and commercial settings indicates that iFuse could be beneficial for at least 30% of patients who are properly diagnosed and screened for surgery by trained healthcare providers. Approximately 282,000 patients in the United States were estimated to have received multiple non-surgical steroid injections for sacroiliac joint pain in 2018. Based on our market experience and internal estimates, and the assumption that the average person suffering from sacroiliac joint dysfunction has been in pain for five years, we estimate that the potential market for iFuse in the United States could be 279,000 patients annually, for a potential annual market in the United States of approximately $2.7 billion. While we have made significant inroads at penetrating this market, U.S. patients received only 5,094 iFuse procedures in 2018.</w:t>
      </w:r>
    </w:p>
    <w:p>
      <w:pPr>
        <w:spacing w:after="0" w:line="3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Patients with sacroiliac joint dysfunction may experience debilitating pain. We believe that the sacroiliac joint is the last major joint to be addressed by the orthopedic implant industry. Studies have shown that the disability that results from disease of the sacroiliac joint is comparable to the disability associated with a number of other serious orthopedic conditions, such as knee and hip arthritis and degenerative disc disease, each of which has surgical solutions where an implant is used and a multi-billion dollar market exists.</w:t>
      </w:r>
    </w:p>
    <w:p>
      <w:pPr>
        <w:spacing w:after="0" w:line="200" w:lineRule="exact"/>
        <w:rPr>
          <w:sz w:val="20"/>
          <w:szCs w:val="20"/>
          <w:color w:val="auto"/>
        </w:rPr>
      </w:pPr>
    </w:p>
    <w:p>
      <w:pPr>
        <w:spacing w:after="0" w:line="203"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Frequently, sacroiliac joint patients are aging and/or may have experienced one or more of the following events that have contributed to disruption or degeneration of the sacroiliac joint: falls, previous lumbar surgery, automobile accidents, and/or pregnancies. We believe that Americans spend approximately $85.9 billion per year on spine problems and that approximately 65% of people who suffer from sacroiliac pain are women.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In all other countries where iFuse is available commercially, the system is indicated for sacroiliac joint fusion.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Diagnosis</w:t>
      </w:r>
    </w:p>
    <w:p>
      <w:pPr>
        <w:spacing w:after="0" w:line="337"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It is often difficult to identify the source of lower back pain. As a result, some surgical procedures performed on the spine have a sub-optimal success rate. For example, published studies of lumbar fusion have shown success rates of only approximately 60%. Unsuccessful spine surgery may result in failed back surgery syndrome, which has been shown to result in high healthcare costs with poor overall relief of pain. Published studies have shown that the sacroiliac joint is a cause of the pain in 32% to 43% of patients who have previously had lumbar fusion surgery and are experiencing recurrent low back pain. We believe low success rates of lumbar fusion are likely related, in many cases, to failure to diagnose the sacroiliac joint as the correct cause of pain.</w:t>
      </w:r>
    </w:p>
    <w:p>
      <w:pPr>
        <w:spacing w:after="0" w:line="37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Since we launched iFuse, we have made considerable investments in teaching healthcare professionals to accurately diagnose sacroiliac joint disorders. We provide instruction and training on how to perform the provocative maneuvers in a physician’s office that can help establish the sacroiliac joint as the source of pain. If provocative tests are positive, surgeons confirm the diagnosis by injecting a small amount of local anesthetic into the joint under fluoroscopic guidance. The sacroiliac joint is confirmed as a pain source if the local anesthetic produces immediate and significant pain reduction. In addition to the differentiated characteristics of our iFuse procedure and triangular iFuse implants, we believe that more accurate diagnosis is part of the reason for the high success and patient satisfaction rates of the iFuse procedure.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Patients with sacroiliac joint dysfunction or sacroiliac joint arthritis frequently experience significant pain simply from sitting, standing, or rolling over in bed. These activities result in small movements of the sacroiliac joints and pressure transferred across the joints. The pain can be exacerbated with activity—when a patient walks or runs, for example, the shock from each step is transmitted up the leg, through the iliac bones of the pelvis to the sacroiliac joint. The initial goal in fusion of the sacroiliac joint is to immediately stabilize the joint which very quickly decreases the pain. Following initial stabilization of the sacroiliac joint, the goal is to permanently fuse the joint. We believe our proprietary triangular implants stabilize the joint better and more quickly than competing technologies such as screws.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with further reports in the 1920s. The open procedure uses plates and screws, requires a 6- to 12-inch incision and is extremely invasive. The iFuse procedure involves a 1- to 2-inch incision and is much less invasive. For these reasons, we believe that open surgery for elective sacroiliac joint fusion has become less common in the United States since we introduced iFuse.</w:t>
      </w:r>
    </w:p>
    <w:p>
      <w:pPr>
        <w:spacing w:after="0" w:line="18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Due to its invasiveness, pain, long recovery time, and infrequent use, the open sacroiliac joint fusion procedure was rarely taught in medical school or residency programs. Prior to our launch of iFuse, most spine surgeons were unfamiliar with the sacroiliac joint and had never performed a sacroiliac joint fusion. As a result, when patients presented with lower back pain, spine surgeons often did not include evaluation of the sacroiliac joint in their diagnostic work-up. Surgeons who did recognize the condition typically told their patients they had nothing to offer surgically.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the INSITE study. Non-surgical treatments include:</w:t>
      </w:r>
    </w:p>
    <w:p>
      <w:pPr>
        <w:spacing w:after="0" w:line="116" w:lineRule="exact"/>
        <w:rPr>
          <w:sz w:val="20"/>
          <w:szCs w:val="20"/>
          <w:color w:val="auto"/>
        </w:rPr>
      </w:pPr>
    </w:p>
    <w:p>
      <w:pPr>
        <w:ind w:left="1120" w:hanging="761"/>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Medical therapy, including opiates and non-steroidal anti-inflammatory medications.</w:t>
      </w:r>
    </w:p>
    <w:p>
      <w:pPr>
        <w:spacing w:after="0" w:line="279" w:lineRule="exact"/>
        <w:rPr>
          <w:rFonts w:ascii="Arial" w:cs="Arial" w:eastAsia="Arial" w:hAnsi="Arial"/>
          <w:sz w:val="18"/>
          <w:szCs w:val="18"/>
          <w:color w:val="auto"/>
        </w:rPr>
      </w:pPr>
    </w:p>
    <w:p>
      <w:pPr>
        <w:ind w:left="1120" w:hanging="761"/>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Physical therapy, which can involve exercises as well as massage.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120" w:right="1060" w:hanging="761"/>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Intra-articular injections of steroid medications, which are typically performed by physicians who specialize in pain treatment or anesthesia.</w:t>
      </w:r>
    </w:p>
    <w:p>
      <w:pPr>
        <w:spacing w:after="0" w:line="224" w:lineRule="exact"/>
        <w:rPr>
          <w:rFonts w:ascii="Arial" w:cs="Arial" w:eastAsia="Arial" w:hAnsi="Arial"/>
          <w:sz w:val="18"/>
          <w:szCs w:val="18"/>
          <w:color w:val="auto"/>
        </w:rPr>
      </w:pPr>
    </w:p>
    <w:p>
      <w:pPr>
        <w:ind w:left="1120" w:hanging="761"/>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Radiofrequency ablation, or the cauterizing, of the lateral branches of the sacral nerve roots.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Solution—The iFuse Implant System</w:t>
      </w:r>
    </w:p>
    <w:p>
      <w:pPr>
        <w:spacing w:after="0" w:line="33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Our iFuse system, which includes our implants and instruments, is designed to address the shortcomings of alternative treatments, including open surgery, non-surgical management, and screw-based fusion procedures. As shown in the graphic below, our iFuse implants are triangular, and three implants are typically used in each procedure. Our implants are made of titanium and have a porous surface. Each iFuse implant is at least three times the strength of a typical eight-millimeter surgical screw and the large porous surface area allows fixation of the bone to the implants. We introduced the original iFuse implants in 2009, and our second generation iFuse-3D implants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128905</wp:posOffset>
            </wp:positionV>
            <wp:extent cx="4064635" cy="13804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64635"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iFuse procedure is typically performed under general anesthesia. The surgeon uses a custom instrument set we provide to prepare a triangular channel for each implant through the ilium, across the sacroiliac joint, and into the sacrum. An iFuse implant is then pressed into the triangular channel, which is slightly smaller than the implant, creating what is known as an interference fit. The triangular cross section of our iFuse implants, as shown below, prevents them from rotating. Our triangular iFuse implants cross the sacroiliac joint and provide immediate joint stability, which is why we believe pain diminishes soon after the iFuse procedure. Over time, bone grows onto the implants and across the joint, permanently stabilizing or fusing the joint.</w:t>
      </w:r>
    </w:p>
    <w:p>
      <w:pPr>
        <w:spacing w:after="0" w:line="374"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By contrast, open fusion of the sacroiliac joint, as well as the minimally invasive solutions offered by other companies, typically use screws and/or plates for fixation. When placed across the sacroiliac joint, standard orthopedic screws, which lack features to encourage biologic fixation, have an exhibited propensity to rotate and loosen over time. Because of the triangular shape, porous surface, strength, and other differentiating factors of our iFuse implants, we believe that our published clinical data do not apply to other minimally invasive solutions. Little published evidence of safety, clinical effectiveness, durability, or economic utility currently exists for sacroiliac fusion devices other than iFuse.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 We believe that the differences between iFuse and other products, as well as the substantial published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clinical evidence showing the safety and effectiveness of iFuse, are the reason why a growing number of payors have recommended that iFuse be reimbursed for sacroiliac surgery to the exclusion of other technologies that are designed for the procedure.</w:t>
      </w:r>
    </w:p>
    <w:p>
      <w:pPr>
        <w:spacing w:after="0" w:line="38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implants cross the sacroiliac joint and provide immediate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that bony bridging across the sacroiliac joint is present in the majority of cases five years after the iFuse procedure.</w:t>
      </w:r>
    </w:p>
    <w:p>
      <w:pPr>
        <w:spacing w:after="0" w:line="200" w:lineRule="exact"/>
        <w:rPr>
          <w:sz w:val="20"/>
          <w:szCs w:val="20"/>
          <w:color w:val="auto"/>
        </w:rPr>
      </w:pPr>
    </w:p>
    <w:p>
      <w:pPr>
        <w:spacing w:after="0" w:line="20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Three implants are used in most iFuse procedures. Each implant bridges across the joint from the iliac bone to the sacrum. Placing each implant requires four basic steps:</w:t>
      </w:r>
    </w:p>
    <w:p>
      <w:pPr>
        <w:spacing w:after="0" w:line="329" w:lineRule="exact"/>
        <w:rPr>
          <w:sz w:val="20"/>
          <w:szCs w:val="20"/>
          <w:color w:val="auto"/>
        </w:rPr>
      </w:pPr>
    </w:p>
    <w:p>
      <w:pPr>
        <w:ind w:left="1120" w:hanging="599"/>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p>
    <w:p>
      <w:pPr>
        <w:spacing w:after="0" w:line="279" w:lineRule="exact"/>
        <w:rPr>
          <w:rFonts w:ascii="Arial" w:cs="Arial" w:eastAsia="Arial" w:hAnsi="Arial"/>
          <w:sz w:val="18"/>
          <w:szCs w:val="18"/>
          <w:color w:val="auto"/>
        </w:rPr>
      </w:pPr>
    </w:p>
    <w:p>
      <w:pPr>
        <w:ind w:left="1120" w:right="1200" w:hanging="599"/>
        <w:spacing w:after="0" w:line="282"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w:t>
      </w:r>
      <w:r>
        <w:rPr>
          <w:rFonts w:ascii="Arial" w:cs="Arial" w:eastAsia="Arial" w:hAnsi="Arial"/>
          <w:sz w:val="18"/>
          <w:szCs w:val="18"/>
          <w:b w:val="1"/>
          <w:bCs w:val="1"/>
          <w:color w:val="auto"/>
        </w:rPr>
        <w:t xml:space="preserve"> </w:t>
      </w:r>
      <w:r>
        <w:rPr>
          <w:rFonts w:ascii="Arial" w:cs="Arial" w:eastAsia="Arial" w:hAnsi="Arial"/>
          <w:sz w:val="18"/>
          <w:szCs w:val="18"/>
          <w:color w:val="auto"/>
        </w:rPr>
        <w:t>optional if using the sharp-tip broach.</w:t>
      </w:r>
    </w:p>
    <w:p>
      <w:pPr>
        <w:spacing w:after="0" w:line="215" w:lineRule="exact"/>
        <w:rPr>
          <w:rFonts w:ascii="Arial" w:cs="Arial" w:eastAsia="Arial" w:hAnsi="Arial"/>
          <w:sz w:val="18"/>
          <w:szCs w:val="18"/>
          <w:color w:val="auto"/>
        </w:rPr>
      </w:pPr>
    </w:p>
    <w:p>
      <w:pPr>
        <w:ind w:left="1120" w:right="1220" w:hanging="599"/>
        <w:spacing w:after="0" w:line="282"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The surgeon impacts a triangular broach over the pin which prepares a triangular channel that is slightly smaller than</w:t>
      </w:r>
      <w:r>
        <w:rPr>
          <w:rFonts w:ascii="Arial" w:cs="Arial" w:eastAsia="Arial" w:hAnsi="Arial"/>
          <w:sz w:val="18"/>
          <w:szCs w:val="18"/>
          <w:b w:val="1"/>
          <w:bCs w:val="1"/>
          <w:color w:val="auto"/>
        </w:rPr>
        <w:t xml:space="preserve"> </w:t>
      </w:r>
      <w:r>
        <w:rPr>
          <w:rFonts w:ascii="Arial" w:cs="Arial" w:eastAsia="Arial" w:hAnsi="Arial"/>
          <w:sz w:val="18"/>
          <w:szCs w:val="18"/>
          <w:color w:val="auto"/>
        </w:rPr>
        <w:t>the iFuse implant.</w:t>
      </w:r>
    </w:p>
    <w:p>
      <w:pPr>
        <w:spacing w:after="0" w:line="215" w:lineRule="exact"/>
        <w:rPr>
          <w:rFonts w:ascii="Arial" w:cs="Arial" w:eastAsia="Arial" w:hAnsi="Arial"/>
          <w:sz w:val="18"/>
          <w:szCs w:val="18"/>
          <w:color w:val="auto"/>
        </w:rPr>
      </w:pPr>
    </w:p>
    <w:p>
      <w:pPr>
        <w:ind w:left="1120" w:right="1420" w:hanging="599"/>
        <w:spacing w:after="0" w:line="313"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Implant</w:t>
      </w:r>
      <w:r>
        <w:rPr>
          <w:rFonts w:ascii="Arial" w:cs="Arial" w:eastAsia="Arial" w:hAnsi="Arial"/>
          <w:sz w:val="17"/>
          <w:szCs w:val="17"/>
          <w:color w:val="auto"/>
        </w:rPr>
        <w:t>. The surgeon impacts the implant into the triangular channel thereby spanning the sacroiliac joint and docking the</w:t>
      </w:r>
      <w:r>
        <w:rPr>
          <w:rFonts w:ascii="Arial" w:cs="Arial" w:eastAsia="Arial" w:hAnsi="Arial"/>
          <w:sz w:val="17"/>
          <w:szCs w:val="17"/>
          <w:b w:val="1"/>
          <w:bCs w:val="1"/>
          <w:color w:val="auto"/>
        </w:rPr>
        <w:t xml:space="preserve"> </w:t>
      </w:r>
      <w:r>
        <w:rPr>
          <w:rFonts w:ascii="Arial" w:cs="Arial" w:eastAsia="Arial" w:hAnsi="Arial"/>
          <w:sz w:val="17"/>
          <w:szCs w:val="17"/>
          <w:color w:val="auto"/>
        </w:rPr>
        <w:t>implant in the sacrum. The channel is slightly smaller than the implant, which produces an interference 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across the orthopedic implant industry, a member of our team is normally present in the operating suite during surgery to provide technical assistance for the use of iFuse.</w:t>
      </w:r>
    </w:p>
    <w:p>
      <w:pPr>
        <w:spacing w:after="0" w:line="39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currently offer three custom instrument sets for surgical placement of iFuse implants in the body. The standard set comprises largely stainless steel materials; the XL (Extra Long) set is the same as the standard set but most instruments are elongated by three inches for treatment of larger patients; and the radiolucent set comprises instruments made with more radiolucent materials, such as PEEK and aluminum to improve visualization under fluoroscopy during an iFuse procedure. We also have instrument sets which have been cleared for use with Medtronic’s surgical navigation system and with the Mazor surgical robot.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Published Studies</w:t>
      </w:r>
    </w:p>
    <w:p>
      <w:pPr>
        <w:spacing w:after="0" w:line="33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iFuse is the only minimally invasive product for sacroiliac joint fusion commercially available in the United States that, to our knowledge, is supported by substantial high-quality published evidence of safety, clinical effectiveness, durability, and economic utility.</w:t>
      </w:r>
    </w:p>
    <w:p>
      <w:pPr>
        <w:spacing w:after="0" w:line="38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 xml:space="preserve">These benefits are supported by more than 65 published papers (48 of which we financially supported), including two prospective, randomized controlled multi-center clinical trials referred to as “INSITE” and “iMIA” respectively, and a prospective multi-center clinical study referred to as “SIFI.” INSITE 24-month follow-up results were published in August 2016 in </w:t>
      </w:r>
      <w:r>
        <w:rPr>
          <w:rFonts w:ascii="Arial" w:cs="Arial" w:eastAsia="Arial" w:hAnsi="Arial"/>
          <w:sz w:val="16"/>
          <w:szCs w:val="16"/>
          <w:i w:val="1"/>
          <w:iCs w:val="1"/>
          <w:color w:val="auto"/>
        </w:rPr>
        <w:t>International Journal of Spine Surgery</w:t>
      </w:r>
      <w:r>
        <w:rPr>
          <w:rFonts w:ascii="Arial" w:cs="Arial" w:eastAsia="Arial" w:hAnsi="Arial"/>
          <w:sz w:val="16"/>
          <w:szCs w:val="16"/>
          <w:color w:val="auto"/>
        </w:rPr>
        <w:t xml:space="preserve">. Six-month and one-year summaries were also published in reputable journals. Twenty-four month results from iMIA were published in the March 2019 issue of </w:t>
      </w:r>
      <w:r>
        <w:rPr>
          <w:rFonts w:ascii="Arial" w:cs="Arial" w:eastAsia="Arial" w:hAnsi="Arial"/>
          <w:sz w:val="16"/>
          <w:szCs w:val="16"/>
          <w:i w:val="1"/>
          <w:iCs w:val="1"/>
          <w:color w:val="auto"/>
        </w:rPr>
        <w:t>The Journal of Bone and Joint Surgery</w:t>
      </w:r>
      <w:r>
        <w:rPr>
          <w:rFonts w:ascii="Arial" w:cs="Arial" w:eastAsia="Arial" w:hAnsi="Arial"/>
          <w:sz w:val="16"/>
          <w:szCs w:val="16"/>
          <w:color w:val="auto"/>
        </w:rPr>
        <w:t xml:space="preserve">, a general orthopedics journal. A prospective, follow-on study called “LOIS” tracks certain study participants from INSITE and SIFI for up to five years after their initial surgery. A four-year summary from LOIS was published in </w:t>
      </w:r>
      <w:r>
        <w:rPr>
          <w:rFonts w:ascii="Arial" w:cs="Arial" w:eastAsia="Arial" w:hAnsi="Arial"/>
          <w:sz w:val="16"/>
          <w:szCs w:val="16"/>
          <w:i w:val="1"/>
          <w:iCs w:val="1"/>
          <w:color w:val="auto"/>
        </w:rPr>
        <w:t>Medical Devices Evidence &amp; Research</w:t>
      </w:r>
      <w:r>
        <w:rPr>
          <w:rFonts w:ascii="Arial" w:cs="Arial" w:eastAsia="Arial" w:hAnsi="Arial"/>
          <w:sz w:val="16"/>
          <w:szCs w:val="16"/>
          <w:color w:val="auto"/>
        </w:rPr>
        <w:t xml:space="preserve"> in July 2018. Published results from each of these studies demonstrate clinically important and statistically significant improvement in sacroiliac joint pain, disability due to lower back pain, quality of life, and patient satisfaction. Moreover, the level of published evidence supporting the safety and effectiveness of sacroiliac joint fusion using iFuse is high.</w:t>
      </w:r>
    </w:p>
    <w:p>
      <w:pPr>
        <w:spacing w:after="0" w:line="382" w:lineRule="exact"/>
        <w:rPr>
          <w:sz w:val="20"/>
          <w:szCs w:val="20"/>
          <w:color w:val="auto"/>
        </w:rPr>
      </w:pPr>
    </w:p>
    <w:p>
      <w:pPr>
        <w:ind w:right="200" w:firstLine="405"/>
        <w:spacing w:after="0" w:line="245" w:lineRule="auto"/>
        <w:rPr>
          <w:sz w:val="20"/>
          <w:szCs w:val="20"/>
          <w:color w:val="auto"/>
        </w:rPr>
      </w:pPr>
      <w:r>
        <w:rPr>
          <w:rFonts w:ascii="Arial" w:cs="Arial" w:eastAsia="Arial" w:hAnsi="Arial"/>
          <w:sz w:val="17"/>
          <w:szCs w:val="17"/>
          <w:color w:val="auto"/>
        </w:rPr>
        <w:t>In the United States, the iFuse Implant System is FDA-cleared with the following indication statement: The iFuse Implant System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intended for sacroiliac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w:t>
      </w:r>
    </w:p>
    <w:p>
      <w:pPr>
        <w:spacing w:after="0" w:line="200" w:lineRule="exact"/>
        <w:rPr>
          <w:sz w:val="20"/>
          <w:szCs w:val="20"/>
          <w:color w:val="auto"/>
        </w:rPr>
      </w:pPr>
    </w:p>
    <w:p>
      <w:pPr>
        <w:spacing w:after="0" w:line="2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w:t>
      </w:r>
    </w:p>
    <w:p>
      <w:pPr>
        <w:sectPr>
          <w:pgSz w:w="11900" w:h="16838" w:orient="portrait"/>
          <w:cols w:equalWidth="0" w:num="1">
            <w:col w:w="11400"/>
          </w:cols>
          <w:pgMar w:left="240" w:top="125" w:right="259" w:bottom="422"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5" w:right="259" w:bottom="422"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3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INSITE is a prospective multicenter randomized controlled trial conducted in the US. This section describes INSITE in more detail.</w:t>
      </w:r>
    </w:p>
    <w:p>
      <w:pPr>
        <w:spacing w:after="0" w:line="200" w:lineRule="exact"/>
        <w:rPr>
          <w:sz w:val="20"/>
          <w:szCs w:val="20"/>
          <w:color w:val="auto"/>
        </w:rPr>
      </w:pPr>
    </w:p>
    <w:p>
      <w:pPr>
        <w:spacing w:after="0" w:line="24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INSITE enrollment took place between January 2013 and May 2014 at 19 sites in the United States. Adults between 21 and 70 years old were eligible to participate if they had a confirmed diagnosis of sacroiliac dysfunction due to degenerative sacroiliitis and/or sacroiliac joint disruption. Diagnosis was based on the subject’s history, provocative tests performed in the surgeon’s office, and at least a 50% decrease in sacroiliac joint pain 30 to 60 minutes after local anesthetic was injected into the joint under image guidance. Eligibility required a sacroiliac VAS pain score of at least 50, where zero represents no pain and 100 represents the worst pain imaginable, as well as a baseline ODI score of at least 30, which has a scale of 0-100, where zero represents no disability and scores greater than 60 represent very severe disability.</w:t>
      </w:r>
    </w:p>
    <w:p>
      <w:pPr>
        <w:spacing w:after="0" w:line="200" w:lineRule="exact"/>
        <w:rPr>
          <w:sz w:val="20"/>
          <w:szCs w:val="20"/>
          <w:color w:val="auto"/>
        </w:rPr>
      </w:pPr>
    </w:p>
    <w:p>
      <w:pPr>
        <w:spacing w:after="0" w:line="209"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Exclusion criteria included inability to diagnose pain related to the sacroiliac joint, sacroiliac joint pain due to inflammatory conditions, severe back pain deemed to be due primarily to other causes, history of recent major trauma to the pelvis, metabolic bone disease, or any condition that made treatment with the study devices infeasible or interfered with the ability to participate in physical therapy. Subjects involved in litigation, on disability leave, or receiving workers’ compensation related to their back or sacroiliac joint pain were also excluded.</w:t>
      </w:r>
    </w:p>
    <w:p>
      <w:pPr>
        <w:spacing w:after="0" w:line="200" w:lineRule="exact"/>
        <w:rPr>
          <w:sz w:val="20"/>
          <w:szCs w:val="20"/>
          <w:color w:val="auto"/>
        </w:rPr>
      </w:pPr>
    </w:p>
    <w:p>
      <w:pPr>
        <w:spacing w:after="0" w:line="203"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Subjects were randomly assigned to sacroiliac joint fusion or non-surgical management in a two to one ratio. After six months of follow-up, subjects could elect to receive sacroiliac joint fusion surgery using iFuse. All of the subjects who were randomized to non-surgical management completed at least six months of follow-up before electing to cross over to surgery. There was no early crossover. Baseline assessments included medical history and physical examination. Subjects were scheduled for follow-up at 1, 3, 6, 12, 18, and 24 months after enrollment. At each follow-up, the subjects evaluated their pain and disability by completing questionnaires to assess pain and disability.</w:t>
      </w:r>
    </w:p>
    <w:p>
      <w:pPr>
        <w:spacing w:after="0" w:line="200" w:lineRule="exact"/>
        <w:rPr>
          <w:sz w:val="20"/>
          <w:szCs w:val="20"/>
          <w:color w:val="auto"/>
        </w:rPr>
      </w:pPr>
    </w:p>
    <w:p>
      <w:pPr>
        <w:spacing w:after="0" w:line="204"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Subjects assigned to non-surgical management began immediately with treatment consisting of one or more of the following: 1) management of pain with medication, including narcotics; 2) physical therapy; 3) steroid injections in the sacroiliac joint; and 4) radiofrequency ablation of local nerves. Physical therapy followed American Physical Therapy Association, or APTA, guidelines. Not all non-surgical management interventions were provided to all non-surgical management subjects. Non-surgical management interventions were provided serially, typically in order of increasing invasiveness, according to individual needs.</w:t>
      </w:r>
    </w:p>
    <w:p>
      <w:pPr>
        <w:spacing w:after="0" w:line="188"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 high-resolution pelvic CT scan was performed at the 24-month follow-up for those subjects randomized to and treated with iFuse. The primary purpose of the CT scan is to judge the adherence of bone onto the implants on both the sacral and iliac sides of the sacroiliac joint and to determine whether there is bone bridging across the joint. Other radiographic endpoints were assessed as well.</w:t>
      </w:r>
    </w:p>
    <w:p>
      <w:pPr>
        <w:spacing w:after="0" w:line="397"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study required that subjects receive only the assigned treatment to month six. After six months, the study allowed subjects assigned to non-surgical treatment to cross over to surgery. Crossover was allowed because the anticipated success rate for non- surgical management was low, and many subjects would not have participated without the ability to cross over to surgical care within the study. One-hundred percent of subjects who crossed over to surgical treatment in the study did so shortly after their six-month visit was complete in compliance with the design of the study. Nearly 90% of non-surgical management subjects still participating at month six crossed over to surgical care. All subjects who crossed over had sacroiliac joint fusion using iFuse and were subsequently evaluated with follow-up visits. No early crossover occurred.</w:t>
      </w:r>
    </w:p>
    <w:p>
      <w:pPr>
        <w:spacing w:after="0" w:line="395"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In the study, 442 subjects at 19 centers were screened for participation, of which 148 were enrolled and treated. Mean subject age was 51 years and 18 (12%) were 65 years of age or older. Most subjects (94.6%) were Caucasian and approximately two-thirds were female. Follow-up was excellent with 96% of non-surgical subjects having 6-month follow-up and 87% of sacroiliac joint fusion patients having 24-month follow-up.</w:t>
      </w:r>
    </w:p>
    <w:p>
      <w:pPr>
        <w:spacing w:after="0" w:line="38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The primary endpoint was a composite success or failure endpoint. Success was defined as reduction from baseline VAS sacroiliac joint pain by at least 20 points, absence of device-related serious adverse events, absence of neurological worsening related to the sacral spine, and absence of surgical re-intervention (removal, revision, reoperation, or supplemental fixation) for sacroiliac joint pain. Secondary endpoints included improvement from baseline in VAS, ODI, as well as treatment satisfaction and other criteria. Other important measures included quality of life assessments.</w:t>
      </w:r>
    </w:p>
    <w:p>
      <w:pPr>
        <w:spacing w:after="0" w:line="388"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Enrolled subjects were highly debilitated by sacroiliac joint pain as indicated by high baseline VAS scores (mean 82.3) and ODI scores (mean 56.8). Nineteen percent were not working due to chronic pain. The duration of pain prior to enrollment averaged 6.4 years (range 0.5 to 40.7 years), and 87.2% had had pain for more than one year and 73.6% had pain for more than two years.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25" w:right="2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firstLine="405"/>
        <w:spacing w:after="0" w:line="264" w:lineRule="auto"/>
        <w:rPr>
          <w:sz w:val="20"/>
          <w:szCs w:val="20"/>
          <w:color w:val="auto"/>
        </w:rPr>
      </w:pPr>
      <w:r>
        <w:rPr>
          <w:rFonts w:ascii="Arial" w:cs="Arial" w:eastAsia="Arial" w:hAnsi="Arial"/>
          <w:sz w:val="18"/>
          <w:szCs w:val="18"/>
          <w:color w:val="auto"/>
        </w:rPr>
        <w:t>Trial subjects had previously undergone sacroiliac-specific physical therapy (72.3% of subjects), sacroiliac steroid injections (85.8%) and radiofrequency ablation of the sacroiliac joint (16.2%). Approximately two-thirds were taking opioid pain medications at baseline and all reported that multiple activities commonly caused or worsened their sacroiliac joint pain.</w:t>
      </w:r>
    </w:p>
    <w:p>
      <w:pPr>
        <w:spacing w:after="0" w:line="39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All subjects assigned to sacroiliac joint fusion underwent the procedure. Of the subjects assigned to surgery, 76 had the iFuse procedure on one sacroiliac joint, while 26 underwent the procedure on both sacroiliac joints. Mean procedure time was 45 minutes (range 14 to 140 minutes). Mean estimated blood loss was 33 ml (range 0.5 to 250 ml). Three implants were used in 91.2% of cases and most implants were seven millimeters in diameter. The hospital length of stay ranged from zero to seven days, and 97.1% were discharged in two days or less.</w:t>
      </w: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Of the 46 subjects assigned to non-surgical management:</w:t>
      </w:r>
    </w:p>
    <w:p>
      <w:pPr>
        <w:spacing w:after="0" w:line="387" w:lineRule="exact"/>
        <w:rPr>
          <w:sz w:val="20"/>
          <w:szCs w:val="20"/>
          <w:color w:val="auto"/>
        </w:rPr>
      </w:pPr>
    </w:p>
    <w:p>
      <w:pPr>
        <w:ind w:left="1020" w:hanging="51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but one received physical therapy during the six months after treatment assignment;</w:t>
      </w:r>
    </w:p>
    <w:p>
      <w:pPr>
        <w:spacing w:after="0" w:line="279" w:lineRule="exact"/>
        <w:rPr>
          <w:rFonts w:ascii="Arial" w:cs="Arial" w:eastAsia="Arial" w:hAnsi="Arial"/>
          <w:sz w:val="18"/>
          <w:szCs w:val="18"/>
          <w:color w:val="auto"/>
        </w:rPr>
      </w:pPr>
    </w:p>
    <w:p>
      <w:pPr>
        <w:ind w:left="1020" w:hanging="51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73.9% underwent at least one steroid injection;</w:t>
      </w:r>
    </w:p>
    <w:p>
      <w:pPr>
        <w:spacing w:after="0" w:line="279" w:lineRule="exact"/>
        <w:rPr>
          <w:rFonts w:ascii="Arial" w:cs="Arial" w:eastAsia="Arial" w:hAnsi="Arial"/>
          <w:sz w:val="18"/>
          <w:szCs w:val="18"/>
          <w:color w:val="auto"/>
        </w:rPr>
      </w:pPr>
    </w:p>
    <w:p>
      <w:pPr>
        <w:ind w:left="1020" w:hanging="51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45.7% underwent radiofrequency ablation of the sacroiliac joint;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20" w:hanging="512"/>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87.0% underwent at least two types of non-surgical management treatments in addition to pain medications.</w:t>
      </w:r>
    </w:p>
    <w:p>
      <w:pPr>
        <w:spacing w:after="0" w:line="200" w:lineRule="exact"/>
        <w:rPr>
          <w:sz w:val="20"/>
          <w:szCs w:val="20"/>
          <w:color w:val="auto"/>
        </w:rPr>
      </w:pPr>
    </w:p>
    <w:p>
      <w:pPr>
        <w:spacing w:after="0" w:line="268"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above data suggests that the intensity of non-surgical management interventions was high and representative of that provided in standard clinical practice.</w:t>
      </w:r>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INSITE clinical outcomes can be summarized as follows.</w:t>
      </w:r>
    </w:p>
    <w:p>
      <w:pPr>
        <w:spacing w:after="0" w:line="383" w:lineRule="exact"/>
        <w:rPr>
          <w:sz w:val="20"/>
          <w:szCs w:val="20"/>
          <w:color w:val="auto"/>
        </w:rPr>
      </w:pPr>
    </w:p>
    <w:p>
      <w:pPr>
        <w:ind w:left="800" w:right="1280" w:hanging="400"/>
        <w:spacing w:after="0" w:line="291"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Reduction in Pain</w:t>
      </w:r>
      <w:r>
        <w:rPr>
          <w:rFonts w:ascii="Arial" w:cs="Arial" w:eastAsia="Arial" w:hAnsi="Arial"/>
          <w:sz w:val="16"/>
          <w:szCs w:val="16"/>
          <w:color w:val="auto"/>
        </w:rPr>
        <w:t>. There was a statistically significant and clinically important reduction in pain among subjects treated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iFuse as compared to non-surgical management. As shown in the graph below, subjects surgically treated with iFuse had a mean 52-point VAS reduction in sacroiliac joint pain at six months. The reduction in pain was sustained with a mean 54- and 55-point reduction in sacroiliac joint pain observed at 12 and 24 months, respectively.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169545</wp:posOffset>
            </wp:positionV>
            <wp:extent cx="4982845" cy="3644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2845" cy="3644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0" w:firstLine="405"/>
        <w:spacing w:after="0" w:line="312" w:lineRule="auto"/>
        <w:rPr>
          <w:sz w:val="20"/>
          <w:szCs w:val="20"/>
          <w:color w:val="auto"/>
        </w:rPr>
      </w:pPr>
      <w:r>
        <w:rPr>
          <w:rFonts w:ascii="Arial" w:cs="Arial" w:eastAsia="Arial" w:hAnsi="Arial"/>
          <w:sz w:val="16"/>
          <w:szCs w:val="16"/>
          <w:color w:val="auto"/>
        </w:rPr>
        <w:t>Subjects who elected not to cross over to surgery had reduced pain at six months, but their pain worsened somewhat over time. In contrast, the non-surgical management group subjects who elected to cross over to have the iFuse procedure had pain reduction similar to that seen in subjects originally assigned to sacroiliac joint fusion with iFuse. These clinically important differences show the effectiveness of sacroiliac joint fusion with iFuse.</w:t>
      </w:r>
    </w:p>
    <w:p>
      <w:pPr>
        <w:spacing w:after="0" w:line="305" w:lineRule="exact"/>
        <w:rPr>
          <w:sz w:val="20"/>
          <w:szCs w:val="20"/>
          <w:color w:val="auto"/>
        </w:rPr>
      </w:pPr>
    </w:p>
    <w:p>
      <w:pPr>
        <w:ind w:left="800" w:right="1100" w:hanging="400"/>
        <w:spacing w:after="0" w:line="292"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Reduction in Disability</w:t>
      </w:r>
      <w:r>
        <w:rPr>
          <w:rFonts w:ascii="Arial" w:cs="Arial" w:eastAsia="Arial" w:hAnsi="Arial"/>
          <w:sz w:val="16"/>
          <w:szCs w:val="16"/>
          <w:color w:val="auto"/>
        </w:rPr>
        <w:t>. There was a statistically significant reduction in disability with iFuse as compared to non-surgical</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As shown in the graph below, subjects surgically treated with iFuse had a mean 27-point ODI reduction in disability at six months, while subjects in the non-surgical management group had only a mean 4.6-point decrease (p&lt;0.0001). At 12 and 24 months, the iFuse group had a mean 29- and 28-point reduction in disability, respectively. At six months, the proportion of subjects with ODI improvements of at least 15 points was 72.5% and 13.0% in the iFuse and non-surgical management groups, respectively. At 24 months, the proportion of subjects with an improvement of at least 15 points due to the assigned treatment was 68.2% and 7.5% in the iFuse and non-surgical management groups, respectively (p&lt;0.0001).</w:t>
      </w:r>
    </w:p>
    <w:p>
      <w:pPr>
        <w:spacing w:after="0" w:line="200" w:lineRule="exact"/>
        <w:rPr>
          <w:sz w:val="20"/>
          <w:szCs w:val="20"/>
          <w:color w:val="auto"/>
        </w:rPr>
      </w:pPr>
    </w:p>
    <w:p>
      <w:pPr>
        <w:spacing w:after="0" w:line="20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shown in the figure below, the subjects who elected after six months to cross over to have the iFuse procedure had similar reduction in disability as the subjects originally assigned to sacroiliac joint fusion with iFuse. These clinically important differences show the effectiveness of sacroiliac joint fusion with iFuse.</w:t>
      </w:r>
    </w:p>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125" w:right="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169545</wp:posOffset>
            </wp:positionV>
            <wp:extent cx="4982845" cy="3567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8284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Satisfaction</w:t>
      </w:r>
    </w:p>
    <w:p>
      <w:pPr>
        <w:spacing w:after="0" w:line="333"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Patient satisfaction was assessed by asking subjects whether they were very satisfied, somewhat satisfied, somewhat dissatisfied or very dissatisfied with the treatment received. At six months, 79.0% of subjects who had received the iFuse procedure were very satisfied, compared with 27.3% of subjects in the non-surgical management group. At six months, 81.0% of surgery subjects said they would definitely have the procedure again. At 24 months, satisfaction rates were high, with 73.3% reporting being very satisfied with surgical treatment of the sacroiliac joint, and 71.1% indicated they would have the procedure again. These results are consistent with the satisfaction results from other iFuse studies, covering approximately 500 subjects.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w:t>
      </w:r>
    </w:p>
    <w:p>
      <w:pPr>
        <w:spacing w:after="0" w:line="333"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During the first six months, the mean number of adverse events per subject was slightly but not statistically significantly higher in the surgery group (1.3 events) as compared to the non-surgical management group (1.1 events, p=0.3063). The most common adverse event related to our implant was leg pain resulting from misplacement of the implant, resulting in impingement of the implant on a lumbar spine nerve root. The most common adverse event for our implant procedure has been minor wound infections. None of these adverse events required surgical treatment. The following table shows the number and percentages of subjects who had adverse events related to the iFuse device and the iFuse procedure.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Non-Surgical</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Sacroiliac</w:t>
            </w:r>
          </w:p>
        </w:tc>
      </w:tr>
      <w:tr>
        <w:trPr>
          <w:trHeight w:val="149"/>
        </w:trPr>
        <w:tc>
          <w:tcPr>
            <w:tcW w:w="77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Management</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Joint Fusion</w:t>
            </w:r>
          </w:p>
        </w:tc>
      </w:tr>
      <w:tr>
        <w:trPr>
          <w:trHeight w:val="192"/>
        </w:trPr>
        <w:tc>
          <w:tcPr>
            <w:tcW w:w="776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(n=46)</w:t>
            </w:r>
          </w:p>
        </w:tc>
        <w:tc>
          <w:tcPr>
            <w:tcW w:w="320" w:type="dxa"/>
            <w:vAlign w:val="bottom"/>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(n=102)</w:t>
            </w:r>
          </w:p>
        </w:tc>
      </w:tr>
      <w:tr>
        <w:trPr>
          <w:trHeight w:val="244"/>
        </w:trPr>
        <w:tc>
          <w:tcPr>
            <w:tcW w:w="776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 (%*)</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 (%)</w:t>
            </w:r>
          </w:p>
        </w:tc>
      </w:tr>
      <w:tr>
        <w:trPr>
          <w:trHeight w:val="255"/>
        </w:trPr>
        <w:tc>
          <w:tcPr>
            <w:tcW w:w="7760" w:type="dxa"/>
            <w:vAlign w:val="bottom"/>
          </w:tcPr>
          <w:p>
            <w:pPr>
              <w:spacing w:after="0"/>
              <w:rPr>
                <w:sz w:val="20"/>
                <w:szCs w:val="20"/>
                <w:color w:val="auto"/>
              </w:rPr>
            </w:pPr>
            <w:r>
              <w:rPr>
                <w:rFonts w:ascii="Arial" w:cs="Arial" w:eastAsia="Arial" w:hAnsi="Arial"/>
                <w:sz w:val="18"/>
                <w:szCs w:val="18"/>
                <w:b w:val="1"/>
                <w:bCs w:val="1"/>
                <w:color w:val="auto"/>
              </w:rPr>
              <w:t>Category</w:t>
            </w: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Related to iFuse implant</w:t>
            </w: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7760" w:type="dxa"/>
            <w:vAlign w:val="bottom"/>
          </w:tcPr>
          <w:p>
            <w:pPr>
              <w:ind w:left="360"/>
              <w:spacing w:after="0"/>
              <w:rPr>
                <w:sz w:val="20"/>
                <w:szCs w:val="20"/>
                <w:color w:val="auto"/>
              </w:rPr>
            </w:pPr>
            <w:r>
              <w:rPr>
                <w:rFonts w:ascii="Arial" w:cs="Arial" w:eastAsia="Arial" w:hAnsi="Arial"/>
                <w:sz w:val="18"/>
                <w:szCs w:val="18"/>
                <w:color w:val="auto"/>
              </w:rPr>
              <w:t>Definitely related</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w:t>
            </w:r>
          </w:p>
        </w:tc>
      </w:tr>
      <w:tr>
        <w:trPr>
          <w:trHeight w:val="270"/>
        </w:trPr>
        <w:tc>
          <w:tcPr>
            <w:tcW w:w="7760" w:type="dxa"/>
            <w:vAlign w:val="bottom"/>
          </w:tcPr>
          <w:p>
            <w:pPr>
              <w:ind w:left="360"/>
              <w:spacing w:after="0"/>
              <w:rPr>
                <w:sz w:val="20"/>
                <w:szCs w:val="20"/>
                <w:color w:val="auto"/>
              </w:rPr>
            </w:pPr>
            <w:r>
              <w:rPr>
                <w:rFonts w:ascii="Arial" w:cs="Arial" w:eastAsia="Arial" w:hAnsi="Arial"/>
                <w:sz w:val="18"/>
                <w:szCs w:val="18"/>
                <w:color w:val="auto"/>
              </w:rPr>
              <w:t>Probably related</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w:t>
            </w:r>
          </w:p>
        </w:tc>
      </w:tr>
      <w:tr>
        <w:trPr>
          <w:trHeight w:val="270"/>
        </w:trPr>
        <w:tc>
          <w:tcPr>
            <w:tcW w:w="7760" w:type="dxa"/>
            <w:vAlign w:val="bottom"/>
          </w:tcPr>
          <w:p>
            <w:pPr>
              <w:ind w:left="360"/>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w:t>
            </w:r>
          </w:p>
        </w:tc>
      </w:tr>
      <w:tr>
        <w:trPr>
          <w:trHeight w:val="270"/>
        </w:trPr>
        <w:tc>
          <w:tcPr>
            <w:tcW w:w="7760" w:type="dxa"/>
            <w:vAlign w:val="bottom"/>
          </w:tcPr>
          <w:p>
            <w:pPr>
              <w:spacing w:after="0"/>
              <w:rPr>
                <w:sz w:val="20"/>
                <w:szCs w:val="20"/>
                <w:color w:val="auto"/>
              </w:rPr>
            </w:pPr>
            <w:r>
              <w:rPr>
                <w:rFonts w:ascii="Arial" w:cs="Arial" w:eastAsia="Arial" w:hAnsi="Arial"/>
                <w:sz w:val="18"/>
                <w:szCs w:val="18"/>
                <w:color w:val="auto"/>
              </w:rPr>
              <w:t>Related to non-surgical management or iFuse procedure**</w:t>
            </w: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270"/>
        </w:trPr>
        <w:tc>
          <w:tcPr>
            <w:tcW w:w="7760" w:type="dxa"/>
            <w:vAlign w:val="bottom"/>
          </w:tcPr>
          <w:p>
            <w:pPr>
              <w:ind w:left="360"/>
              <w:spacing w:after="0"/>
              <w:rPr>
                <w:sz w:val="20"/>
                <w:szCs w:val="20"/>
                <w:color w:val="auto"/>
              </w:rPr>
            </w:pPr>
            <w:r>
              <w:rPr>
                <w:rFonts w:ascii="Arial" w:cs="Arial" w:eastAsia="Arial" w:hAnsi="Arial"/>
                <w:sz w:val="18"/>
                <w:szCs w:val="18"/>
                <w:color w:val="auto"/>
              </w:rPr>
              <w:t>Definitely related</w:t>
            </w:r>
          </w:p>
        </w:tc>
        <w:tc>
          <w:tcPr>
            <w:tcW w:w="1060" w:type="dxa"/>
            <w:vAlign w:val="bottom"/>
          </w:tcPr>
          <w:p>
            <w:pPr>
              <w:jc w:val="right"/>
              <w:spacing w:after="0"/>
              <w:rPr>
                <w:sz w:val="20"/>
                <w:szCs w:val="20"/>
                <w:color w:val="auto"/>
              </w:rPr>
            </w:pPr>
            <w:r>
              <w:rPr>
                <w:rFonts w:ascii="Arial" w:cs="Arial" w:eastAsia="Arial" w:hAnsi="Arial"/>
                <w:sz w:val="18"/>
                <w:szCs w:val="18"/>
                <w:color w:val="auto"/>
              </w:rPr>
              <w:t>3 (6.5%)</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w:t>
            </w:r>
          </w:p>
        </w:tc>
      </w:tr>
      <w:tr>
        <w:trPr>
          <w:trHeight w:val="270"/>
        </w:trPr>
        <w:tc>
          <w:tcPr>
            <w:tcW w:w="7760" w:type="dxa"/>
            <w:vAlign w:val="bottom"/>
          </w:tcPr>
          <w:p>
            <w:pPr>
              <w:ind w:left="360"/>
              <w:spacing w:after="0"/>
              <w:rPr>
                <w:sz w:val="20"/>
                <w:szCs w:val="20"/>
                <w:color w:val="auto"/>
              </w:rPr>
            </w:pPr>
            <w:r>
              <w:rPr>
                <w:rFonts w:ascii="Arial" w:cs="Arial" w:eastAsia="Arial" w:hAnsi="Arial"/>
                <w:sz w:val="18"/>
                <w:szCs w:val="18"/>
                <w:color w:val="auto"/>
              </w:rPr>
              <w:t>Probably related</w:t>
            </w:r>
          </w:p>
        </w:tc>
        <w:tc>
          <w:tcPr>
            <w:tcW w:w="1060" w:type="dxa"/>
            <w:vAlign w:val="bottom"/>
          </w:tcPr>
          <w:p>
            <w:pPr>
              <w:jc w:val="right"/>
              <w:spacing w:after="0"/>
              <w:rPr>
                <w:sz w:val="20"/>
                <w:szCs w:val="20"/>
                <w:color w:val="auto"/>
              </w:rPr>
            </w:pPr>
            <w:r>
              <w:rPr>
                <w:rFonts w:ascii="Arial" w:cs="Arial" w:eastAsia="Arial" w:hAnsi="Arial"/>
                <w:sz w:val="18"/>
                <w:szCs w:val="18"/>
                <w:color w:val="auto"/>
              </w:rPr>
              <w:t>1 (2.2%)</w:t>
            </w: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(9.8%)</w:t>
            </w:r>
          </w:p>
        </w:tc>
      </w:tr>
      <w:tr>
        <w:trPr>
          <w:trHeight w:val="270"/>
        </w:trPr>
        <w:tc>
          <w:tcPr>
            <w:tcW w:w="7760" w:type="dxa"/>
            <w:vAlign w:val="bottom"/>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4 (8.7%)</w:t>
            </w:r>
          </w:p>
        </w:tc>
        <w:tc>
          <w:tcPr>
            <w:tcW w:w="32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 (15.7%)</w:t>
            </w:r>
          </w:p>
        </w:tc>
      </w:tr>
    </w:tbl>
    <w:p>
      <w:pPr>
        <w:spacing w:after="0" w:line="40" w:lineRule="exact"/>
        <w:rPr>
          <w:sz w:val="20"/>
          <w:szCs w:val="20"/>
          <w:color w:val="auto"/>
        </w:rPr>
      </w:pPr>
    </w:p>
    <w:p>
      <w:pPr>
        <w:ind w:left="420" w:right="4940" w:firstLine="7"/>
        <w:spacing w:after="0" w:line="340" w:lineRule="auto"/>
        <w:tabs>
          <w:tab w:leader="none" w:pos="7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reported as number of events divided by number assigned to treatment. ** Events from first 180 days shown.</w:t>
      </w:r>
    </w:p>
    <w:p>
      <w:pPr>
        <w:spacing w:after="0" w:line="143"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In summary, we believe the INSITE study, a prospective, randomized controlled multi-center clinical trial, provides substantial evidence of clinically important and statistically significant efficacy supporting the superiority of sacroiliac joint fusion using iFuse as compared to non-surgical management. Further, the fact that subjects who crossed over responded, as well as those who were originally assigned to the iFuse group, adds significantly to the trial’s validity and importance.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33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 xml:space="preserve">iMIA is a second prospective, randomized clinical trial of sacroiliac joint fusion using iFuse compared to non-surgical management with a design very similar to that of INSITE. iMIA enrolled and included treatment of 103 subjects at nine sites in four European countries. The trial’s six-month results were published in European Spine Journal in May 2016 and 12-month results were published in August 2017 in </w:t>
      </w:r>
      <w:r>
        <w:rPr>
          <w:rFonts w:ascii="Arial" w:cs="Arial" w:eastAsia="Arial" w:hAnsi="Arial"/>
          <w:sz w:val="18"/>
          <w:szCs w:val="18"/>
          <w:i w:val="1"/>
          <w:iCs w:val="1"/>
          <w:color w:val="auto"/>
        </w:rPr>
        <w:t>Pain Physician</w:t>
      </w:r>
      <w:r>
        <w:rPr>
          <w:rFonts w:ascii="Arial" w:cs="Arial" w:eastAsia="Arial" w:hAnsi="Arial"/>
          <w:sz w:val="18"/>
          <w:szCs w:val="18"/>
          <w:color w:val="auto"/>
        </w:rPr>
        <w:t xml:space="preserve">. Twenty-four month results were published in March 2019 in </w:t>
      </w:r>
      <w:r>
        <w:rPr>
          <w:rFonts w:ascii="Arial" w:cs="Arial" w:eastAsia="Arial" w:hAnsi="Arial"/>
          <w:sz w:val="18"/>
          <w:szCs w:val="18"/>
          <w:i w:val="1"/>
          <w:iCs w:val="1"/>
          <w:color w:val="auto"/>
        </w:rPr>
        <w:t>The Journal of Bone and Joint Surgery</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iMIA, 103 adults with chronic sacroiliac joint pain at nine sites in four European countries were randomly assigned in a one-to-one ratio to either immediate sacroiliac joint fusion with iFuse or conservative management. Conservative management was performed according to the European guidelines for the diagnosis and management of pelvic girdle pain and consisted of optimization of medical therapy, individualized physical therapy and adequate information and reassurance as part of a multifactorial treatment.</w:t>
      </w:r>
    </w:p>
    <w:p>
      <w:pPr>
        <w:spacing w:after="0" w:line="200" w:lineRule="exact"/>
        <w:rPr>
          <w:sz w:val="20"/>
          <w:szCs w:val="20"/>
          <w:color w:val="auto"/>
        </w:rPr>
      </w:pPr>
    </w:p>
    <w:p>
      <w:pPr>
        <w:spacing w:after="0" w:line="203"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At 24 months, low back pain in the surgically treated group improved by 45 points and ODI improved by 26 points (p&lt;.0001 from baseline). Adverse events occurred at a low rate and the frequency of adverse events did not differ meaningfully between groups. One case of postoperative nerve impingement occurred in the surgical group, which was resolved by repositioning the implant.</w:t>
      </w:r>
    </w:p>
    <w:p>
      <w:pPr>
        <w:spacing w:after="0" w:line="181"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The figure below shows low back pain scores at baseline and throughout follow-up, as well as several other endpoints. The results show clinically profound, rapid and sustained reduction in pain following treatment with iFuse, in contrast with conservative management. The results also show parallel improvements in disability and quality of life.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169545</wp:posOffset>
            </wp:positionV>
            <wp:extent cx="6174740" cy="4039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figure below shows mean ODI scores at baseline and throughout follow-up. The results show clinically profound, rapid and sustained reduction in disability following treatment with iFuse, in contrast with conservative management.</w:t>
      </w:r>
    </w:p>
    <w:p>
      <w:pPr>
        <w:spacing w:after="0" w:line="200" w:lineRule="exact"/>
        <w:rPr>
          <w:sz w:val="20"/>
          <w:szCs w:val="20"/>
          <w:color w:val="auto"/>
        </w:rPr>
      </w:pPr>
    </w:p>
    <w:p>
      <w:pPr>
        <w:spacing w:after="0" w:line="21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60"/>
          </w:cols>
          <w:pgMar w:left="240" w:top="125" w:right="7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169545</wp:posOffset>
            </wp:positionV>
            <wp:extent cx="6174740" cy="4039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333"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 xml:space="preserve">Sacroiliac Joint Fusion with iFuse Implant System, or SIFI, is a prospective, multicenter single-arm clinical trial. Eligibility criteria and endpoints were identical to INSITE. A manuscript summarizing 24-month results was published in </w:t>
      </w:r>
      <w:r>
        <w:rPr>
          <w:rFonts w:ascii="Arial" w:cs="Arial" w:eastAsia="Arial" w:hAnsi="Arial"/>
          <w:sz w:val="16"/>
          <w:szCs w:val="16"/>
          <w:i w:val="1"/>
          <w:iCs w:val="1"/>
          <w:color w:val="auto"/>
        </w:rPr>
        <w:t>International Journal of Spine Surgery</w:t>
      </w:r>
      <w:r>
        <w:rPr>
          <w:rFonts w:ascii="Arial" w:cs="Arial" w:eastAsia="Arial" w:hAnsi="Arial"/>
          <w:sz w:val="16"/>
          <w:szCs w:val="16"/>
          <w:color w:val="auto"/>
        </w:rPr>
        <w:t xml:space="preserve"> in April 2016. Each of the 172 enrolled subjects received the iFuse procedure at one of 26 participating sites between August 2012 and December 2013. Mean subject age was 51 years and 96.5% of subjects were Caucasian and approximately 70% were female. Follow-up rates at month 6, 12, and 24 were 97%, 91%, and 87%, respectively.</w:t>
      </w:r>
    </w:p>
    <w:p>
      <w:pPr>
        <w:spacing w:after="0" w:line="37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Baseline sacroiliac pain and disability scores were high. The mean baseline VAS score was 79.8, while the mean baseline ODI score was 55.2. The mean duration of pain prior to enrollment was five years (range 0.4 to 41 years), and 84.3% had had pain for more than one year and 64.5% had had pain for more than two years.</w:t>
      </w:r>
    </w:p>
    <w:p>
      <w:pPr>
        <w:spacing w:after="0" w:line="39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Seventy-six percent were taking opioid pain medications at baseline and all reported that multiple activities commonly caused their sacroiliac joint pain. Many subjects (44.2%) had a history of prior lumbar fusion, and concomitant spine disease was common. Sacroiliac joint pain persisted despite prior treatments with physical therapy (64.5% of subjects), sacroiliac joint steroid injections (94.2%), and prior radiofrequency ablation of the joint (15.7%).</w:t>
      </w:r>
    </w:p>
    <w:p>
      <w:pPr>
        <w:spacing w:after="0" w:line="36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Hospital length of stay ranged from zero to seven days, and 95.3% were discharged in two days or less. Prolonged hospital stays were related to subject comorbidities, not procedure-related adverse events.</w:t>
      </w:r>
    </w:p>
    <w:p>
      <w:pPr>
        <w:spacing w:after="0" w:line="170"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figure on the left below shows mean VAS pain scores at baseline and throughout follow-up. The figure on the right shows mean ODI scores at baseline and throughout follow-up. The results for both VAS pain and ODI scores each show clinically important and sustained reduction in disability across the subject population and follow-up period, consistent with the results observed in the surgical group in INSITE.</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169545</wp:posOffset>
            </wp:positionV>
            <wp:extent cx="6174740" cy="3456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Satisfaction rates were high, with 78.1% reporting being very satisfied with sacroiliac joint treatment by month 24 and 93.8% being very or somewhat satisfied. 74.7% indicated they would definitely have the procedure again; 88.4% indicated they would probably or definitely have the procedure again.</w:t>
      </w:r>
    </w:p>
    <w:p>
      <w:pPr>
        <w:spacing w:after="0" w:line="34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most common adverse events were wound infection, irritation or drainage, sacroiliac joint pain related to implant malposition, and recurrent sacroiliac joint pain related to inadequate device placement. One subject had a deep wound infection that required surgical debridement. Four adverse events (2.4% of all subjects) were rated by the investigator to be definitely device-related and three (1.8%) were probably device-related. Pain related to implant impingement on sacral nerve roots occurred in three cases (including one non-study-related side), all of which resolved with immediate repositioning of implants. In four cases, sacroiliac joint or hip pain was attributed to the presence of an implant or bone growth around the implant. Twenty-six events were rated as probably or definitely related to the placement procedure.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LOIS Clinical Trial</w:t>
      </w:r>
    </w:p>
    <w:p>
      <w:pPr>
        <w:spacing w:after="0" w:line="33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 xml:space="preserve">LOIS is a prospective follow-on study, enrolling subjects at a subset of INSITE and SIFI sites who underwent sacroiliac joint fusion. Enrolled subjects will be followed out to five years following surgery. Study outcomes at four years were published in </w:t>
      </w:r>
      <w:r>
        <w:rPr>
          <w:rFonts w:ascii="Arial" w:cs="Arial" w:eastAsia="Arial" w:hAnsi="Arial"/>
          <w:sz w:val="18"/>
          <w:szCs w:val="18"/>
          <w:i w:val="1"/>
          <w:iCs w:val="1"/>
          <w:color w:val="auto"/>
        </w:rPr>
        <w:t>Medical Devices: Evidence and Research</w:t>
      </w:r>
      <w:r>
        <w:rPr>
          <w:rFonts w:ascii="Arial" w:cs="Arial" w:eastAsia="Arial" w:hAnsi="Arial"/>
          <w:sz w:val="18"/>
          <w:szCs w:val="18"/>
          <w:color w:val="auto"/>
        </w:rPr>
        <w:t xml:space="preserve"> in August 2018. Among 103 enrolled subjects, mean sacroiliac joint pain at four years decreased from 82 preoperatively to 27 (a 54-point improvement from baseline, p&lt;.0001), as shown in the graph below.</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24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169545</wp:posOffset>
            </wp:positionV>
            <wp:extent cx="6174740" cy="3507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Subjects in the LOIS study experienced similar improvements in disability and quality of life. As shown in the graph above on the right, average disability prior to treatment as measured on the ODI scale was 56 and fell to an average of 30 by 48 months following treatment, a 26 point improvement compared to the commonly accepted 15-point threshold for meaningful change in this measure. Quality of life scores also improved markedly in this study. Average quality of life as measured by the EuroQol-5D prior to treatment was 0.45 and had improved to 0.75 by 48 months following treatment with iFuse.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Published Clinical Studies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have demonstrated the long-term durability of pain relief resulting from treatment with iFuse in several other published studies. A study published in the </w:t>
      </w:r>
      <w:r>
        <w:rPr>
          <w:rFonts w:ascii="Arial" w:cs="Arial" w:eastAsia="Arial" w:hAnsi="Arial"/>
          <w:sz w:val="18"/>
          <w:szCs w:val="18"/>
          <w:i w:val="1"/>
          <w:iCs w:val="1"/>
          <w:color w:val="auto"/>
        </w:rPr>
        <w:t>Open Orthopedics Journal</w:t>
      </w:r>
      <w:r>
        <w:rPr>
          <w:rFonts w:ascii="Arial" w:cs="Arial" w:eastAsia="Arial" w:hAnsi="Arial"/>
          <w:sz w:val="18"/>
          <w:szCs w:val="18"/>
          <w:color w:val="auto"/>
        </w:rPr>
        <w:t xml:space="preserve"> in 2014, which we financially supported, showed that significant clinical pain relief observed at 12 months was maintained for five years. Similar results with four and one-half year follow-up were published in the </w:t>
      </w:r>
      <w:r>
        <w:rPr>
          <w:rFonts w:ascii="Arial" w:cs="Arial" w:eastAsia="Arial" w:hAnsi="Arial"/>
          <w:sz w:val="18"/>
          <w:szCs w:val="18"/>
          <w:i w:val="1"/>
          <w:iCs w:val="1"/>
          <w:color w:val="auto"/>
        </w:rPr>
        <w:t>Journal of Spine</w:t>
      </w:r>
      <w:r>
        <w:rPr>
          <w:rFonts w:ascii="Arial" w:cs="Arial" w:eastAsia="Arial" w:hAnsi="Arial"/>
          <w:sz w:val="18"/>
          <w:szCs w:val="18"/>
          <w:color w:val="auto"/>
        </w:rPr>
        <w:t xml:space="preserve"> in 2014. A retrospective multicenter analysis of three-year outcomes after sacroiliac joint fusion with iFuse showed similar responses.</w:t>
      </w:r>
    </w:p>
    <w:p>
      <w:pPr>
        <w:spacing w:after="0" w:line="187"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Among eleven clinical studies including more than 500 patients in which satisfaction with the iFuse procedure was measured, an average of 92% of participants were satisfied or very satisfied with the results of the surgery. We financially supported nine of these 11 studies.</w:t>
      </w:r>
    </w:p>
    <w:p>
      <w:pPr>
        <w:spacing w:after="0" w:line="147" w:lineRule="exact"/>
        <w:rPr>
          <w:sz w:val="20"/>
          <w:szCs w:val="20"/>
          <w:color w:val="auto"/>
        </w:rPr>
      </w:pPr>
    </w:p>
    <w:p>
      <w:pPr>
        <w:jc w:val="both"/>
        <w:ind w:right="80" w:firstLine="405"/>
        <w:spacing w:after="0" w:line="257" w:lineRule="auto"/>
        <w:rPr>
          <w:sz w:val="20"/>
          <w:szCs w:val="20"/>
          <w:color w:val="auto"/>
        </w:rPr>
      </w:pPr>
      <w:r>
        <w:rPr>
          <w:rFonts w:ascii="Arial" w:cs="Arial" w:eastAsia="Arial" w:hAnsi="Arial"/>
          <w:sz w:val="18"/>
          <w:szCs w:val="18"/>
          <w:color w:val="auto"/>
        </w:rPr>
        <w:t>To date, several studies, some of which we did not sponsor, have been published on the safety and effectiveness of sacroiliac joint fusion using iFuse. These are prospective or retrospective, single site or multi-site, and U.S.- or Europe-based. These clinical studies demonstrate the iFuse procedure to be safe and effective. These studies demonstrate pain reduction and/or ODI improvement that is statistically significant and clinically important. The type and rate of reported adverse events were similar to those reported in INSITE, iMIA, and SIFI. These additional studies are consistent with the results of INSITE, iMIA, and SIFI.</w:t>
      </w:r>
    </w:p>
    <w:p>
      <w:pPr>
        <w:spacing w:after="0" w:line="188"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 xml:space="preserve">A study published in April 2017 in </w:t>
      </w:r>
      <w:r>
        <w:rPr>
          <w:rFonts w:ascii="Arial" w:cs="Arial" w:eastAsia="Arial" w:hAnsi="Arial"/>
          <w:sz w:val="17"/>
          <w:szCs w:val="17"/>
          <w:i w:val="1"/>
          <w:iCs w:val="1"/>
          <w:color w:val="auto"/>
        </w:rPr>
        <w:t>Neurosurgery</w:t>
      </w:r>
      <w:r>
        <w:rPr>
          <w:rFonts w:ascii="Arial" w:cs="Arial" w:eastAsia="Arial" w:hAnsi="Arial"/>
          <w:sz w:val="17"/>
          <w:szCs w:val="17"/>
          <w:color w:val="auto"/>
        </w:rPr>
        <w:t xml:space="preserve"> shows the impact of non-coverage of sacroiliac joint fusion by the healthcare system. In this study, a Spanish neurosurgeon reports the clinical experience of 423 patients seen in his clinic for sacroiliac joint pain. While many patients’ pain resolved without intervention, 152 of the patients (36%) had continued sacroiliac joint pain. Of these patients, 74 did not have access to the procedure due to their insurers’ denial of coverage and instead were only able to pursue continued non-surgical treatment. Of the remaining 78 patients, 51 underwent radiofrequency ablation of lateral branches of sacral nerve roots and 27 underwent sacroiliac joint fusion with iFuse.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group treated non-surgically had poor outcomes, including increased pain, disability, and opioid use, as well as worsened work status. By contrast, patients who were able to undergo the iFuse procedure had very large improvements in pain and disability, improved work status, and a decreased incidence of opioid use. The differences in all outcomes (pain, disability, work status, and opioid use) were both statistically significant and clinically profound. The graph below shows the pain scores of the three treatment cohorts followed in this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127635</wp:posOffset>
            </wp:positionV>
            <wp:extent cx="5196840" cy="3756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6840" cy="375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graph below shows the changes in the percentage of subjects using opioids among the iFuse and conservative care groups in the study. Forty-nine percent of subjects who were not able to access treatment with iFuse were using opioids at the beginning of the study, whereas 80% of them were using opioids at the time of their final follow-up. In contrast, 63% of the subjects who were able to obtain treatment with iFuse were using opioids prior to treatment, whereas only 7% were using opioids at their final follow-up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127635</wp:posOffset>
            </wp:positionV>
            <wp:extent cx="3515995" cy="2607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5995" cy="260731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80"/>
          </w:cols>
          <w:pgMar w:left="240" w:top="125" w:right="37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several important aspects to this study:</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both"/>
        <w:ind w:left="920" w:right="1600"/>
        <w:spacing w:after="0" w:line="307" w:lineRule="auto"/>
        <w:rPr>
          <w:sz w:val="20"/>
          <w:szCs w:val="20"/>
          <w:color w:val="auto"/>
        </w:rPr>
      </w:pPr>
      <w:r>
        <w:rPr>
          <w:rFonts w:ascii="Arial" w:cs="Arial" w:eastAsia="Arial" w:hAnsi="Arial"/>
          <w:sz w:val="16"/>
          <w:szCs w:val="16"/>
          <w:color w:val="auto"/>
        </w:rPr>
        <w:t>It can be considered a “pseudorandomized trial” in that insurance denials (which dictated which treatment the patient could receive) was not clearly related to any important predictor of clinical outcomes. This enhances the comparability of groups.</w:t>
      </w:r>
    </w:p>
    <w:p>
      <w:pPr>
        <w:spacing w:after="0" w:line="1" w:lineRule="exact"/>
        <w:rPr>
          <w:sz w:val="20"/>
          <w:szCs w:val="20"/>
          <w:color w:val="auto"/>
        </w:rPr>
      </w:pPr>
    </w:p>
    <w:p>
      <w:pPr>
        <w:ind w:left="920" w:hanging="520"/>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It is the longest reported cohort of non-surgical treatment of sacroiliac joint pain published to date.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right="1360" w:hanging="520"/>
        <w:spacing w:after="0" w:line="308"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Non-surgical treatment was clearly associated with poor outcomes, consistent with our experience in the US, in which patients receive repeated, and sometimes expensive, non-surgical treatments but do not derive significant benefit.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color w:val="auto"/>
        </w:rPr>
        <w:t>We recently finished enrollment in SALLY, a prospective single-arm multicenter trial of iFuse-3D for the treatment of sacroiliac joint dysfunction. The enrolled patient population was very similar to that of INSITE, SIFI and iMIA. Early results from SALLY show preoperative and six-month pain scores that are nearly identical to those of the three earlier prospective trials of iFuse. In addition, SALLY showed improvements in physical function tests and a larger reduction in opioid usage. A manuscript describing early SALLY results was submitted for publication in a peer-reviewed journal in February 2019.</w:t>
      </w:r>
    </w:p>
    <w:p>
      <w:pPr>
        <w:spacing w:after="0" w:line="3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 xml:space="preserve">In addition to clinical evidence, a number of economic publications we financially supported, including those in </w:t>
      </w:r>
      <w:r>
        <w:rPr>
          <w:rFonts w:ascii="Arial" w:cs="Arial" w:eastAsia="Arial" w:hAnsi="Arial"/>
          <w:sz w:val="16"/>
          <w:szCs w:val="16"/>
          <w:i w:val="1"/>
          <w:iCs w:val="1"/>
          <w:color w:val="auto"/>
        </w:rPr>
        <w:t>ClinicoEconomics and Outcomes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Research, </w:t>
      </w:r>
      <w:r>
        <w:rPr>
          <w:rFonts w:ascii="Arial" w:cs="Arial" w:eastAsia="Arial" w:hAnsi="Arial"/>
          <w:sz w:val="16"/>
          <w:szCs w:val="16"/>
          <w:color w:val="auto"/>
        </w:rPr>
        <w:t>demonstrate that the iFuse procedure provides a cost savings to the healthcare system when compared to non-surgical management over time. One</w:t>
      </w:r>
      <w:r>
        <w:rPr>
          <w:rFonts w:ascii="Arial" w:cs="Arial" w:eastAsia="Arial" w:hAnsi="Arial"/>
          <w:sz w:val="16"/>
          <w:szCs w:val="16"/>
          <w:i w:val="1"/>
          <w:iCs w:val="1"/>
          <w:color w:val="auto"/>
        </w:rPr>
        <w:t xml:space="preserve"> </w:t>
      </w:r>
      <w:r>
        <w:rPr>
          <w:rFonts w:ascii="Arial" w:cs="Arial" w:eastAsia="Arial" w:hAnsi="Arial"/>
          <w:sz w:val="16"/>
          <w:szCs w:val="16"/>
          <w:color w:val="auto"/>
        </w:rPr>
        <w:t>of these studies used data from INSITE to calculate the incremental cost-effectiveness of the iFuse procedure and found it to be similar to that of hip and knee arthroplasty, commonly known as total joint replacement. The two latter procedures are generally accepted as being safe, effective, and highly cost-effective. The incremental cost effectiveness ratio, or ICER, of a procedure or therapy is a common way of quantifying its cost-effectiveness and represents the incremental cost to the healthcare system of providing one additional quality adjusted life-year, obtained by dividing the average cost of the therapy by the average increase in quality-adjusted life years that it achieves. Therapies with ICERs below $50,000 are considered cost-effective and generally gain acceptance. For example, studies have shown that the ICER of total joint replacement surgery for knees is approximately $12,000 and that for hip replacements is approximately $10,000. One study showed the ICER of the iFuse procedure to be $13,000, nearly as cost-effective as knee and hip surgeries, which are both common and well-accepted procedures. The ICER of iFuse derived from data from the INSITE trial is significantly better than the published ICERs of other common spine surgeries derived from one of the few other randomized controlled clinical trials of spine surgeries. Published analyses of the data from this trial showed the ICER of discectomy to be approximately $21,000, the ICER of standard decompressive laminectomy to be approximately $64,000, and the ICER of posterior decompressive laminectomy to be approximately $59,000. Each of these is a commonly performed spine surgery.</w:t>
      </w:r>
    </w:p>
    <w:p>
      <w:pPr>
        <w:spacing w:after="0" w:line="175"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A second study detailed a health economics model examining the cost impact of failing to consider the sacroiliac joint in the diagnosis of patients with low back pain in patients seeking surgery. Taking into account both the prevalence of sacroiliac joint dysfunction and the costs of diagnostic workup and surgical treatment, if a surgeon evaluating a patient with chronic low back pain fails to consider the sacroiliac joint, on average $3,100 more healthcare expenditures will ensue. The study concluded that taking the sacroiliac joint into account can save healthcare systems substantial amounts due primarily to reduction in misdiagnosis and its attendant costs.</w:t>
      </w:r>
    </w:p>
    <w:p>
      <w:pPr>
        <w:spacing w:after="0" w:line="188"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 third study used data from our two prospective trials conducted in the United States to examine the impact of sacroiliac joint fusion on worker productivity. Results suggest that sacroiliac joint fusion can increase the productivity of affected workers by an average of $6,900 compared to continued non-surgical care.</w:t>
      </w:r>
    </w:p>
    <w:p>
      <w:pPr>
        <w:spacing w:after="0" w:line="181"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A fourth health economic study conducted by Optum, a division of UnitedHealth Group, and published in October 2018 examined healthcare costs for low back pain before and after sacroiliac joint fusion in patients in a commercial insurance database. Analysis showed reductions in median low back pain-related healthcare costs after sacroiliac joint fusion compared to before. A break-even analysis for health plan reimbursements for patients undergoing minimally invasive sacroiliac joint fusion on an outpatient basis showed similar cumulative claims for patients not undergoing the procedure within approximately 2.5 years. Following the procedure, per patient costs related to sacroiliac joint pain decrease to approximately $250 per quarter among the group who underwent sacroiliac joint fusion.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Second-Generation Implant</w:t>
      </w:r>
    </w:p>
    <w:p>
      <w:pPr>
        <w:spacing w:after="0" w:line="229"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 xml:space="preserve">Our second-generation iFuse implant, iFuse-3D, shown on the left below, was cleared for marketing by the U.S. Food and Drug Administration in March 2017 and the European Union in May 2017. This patented titanium implant combines the triangular cross-section of the iFuse implant with a proprietary 3D-printed porous surface and fenestrated design. This design also allows the surgeon to fill the implant with ground-up bone before implanting it, which some surgeons believe accelerates bone through-growth. iFuse-3D implants have shown positive bony ingrowth in cell culture and animal studies, whether or not ground-up bone is used, as shown in two peer reviewed studies published in June 2017 in the </w:t>
      </w:r>
      <w:r>
        <w:rPr>
          <w:rFonts w:ascii="Arial" w:cs="Arial" w:eastAsia="Arial" w:hAnsi="Arial"/>
          <w:sz w:val="16"/>
          <w:szCs w:val="16"/>
          <w:i w:val="1"/>
          <w:iCs w:val="1"/>
          <w:color w:val="auto"/>
        </w:rPr>
        <w:t>International Journal of Spine Surgery</w:t>
      </w:r>
      <w:r>
        <w:rPr>
          <w:rFonts w:ascii="Arial" w:cs="Arial" w:eastAsia="Arial" w:hAnsi="Arial"/>
          <w:sz w:val="16"/>
          <w:szCs w:val="16"/>
          <w:color w:val="auto"/>
        </w:rPr>
        <w:t>. The image on the right below shows the cross section cut from an iFuse-3D implant removed from an animal as part of the study and reveals robust growth of bone into and through the implant. We have completed enrollment of SALLY, described above, a clinical trial to evaluate the performance of iFuse-3D.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114935</wp:posOffset>
            </wp:positionV>
            <wp:extent cx="6174740" cy="2298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47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125" w:right="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 or ACOs,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w:t>
      </w:r>
    </w:p>
    <w:p>
      <w:pPr>
        <w:spacing w:after="0" w:line="173"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The Medicare program is commonly used as a model for how private payors and other governmental payors develop their coverage and reimbursement policies for healthcare items and services, including iFuse procedures. Unless a national coverage policy exists for a particular technology, each of the Medicare Administrative Contractors is permitted to make its own determination of whether that item or service is covered by Medicare.</w:t>
      </w:r>
    </w:p>
    <w:p>
      <w:pPr>
        <w:spacing w:after="0" w:line="14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Medicare’s reimbursement rates for the iFuse procedure vary due to geographic location, the nature of facility in which the procedure is performed (i.e., hospital inpatient department, hospital outpatient department, or ambulatory surgical center) and other factors. Medicare reviews and updates its payment rates and methodologies for these settings of care annually, and rates can change from year to year. In addition, Congress can alter reimbursement rates at any time by mandating changes to Medicare’s payment methodologies.</w:t>
      </w:r>
    </w:p>
    <w:p>
      <w:pPr>
        <w:spacing w:after="0" w:line="18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the United States, the American Medical Association, or AMA, generally creates specific billing codes for surgical procedures under a coding system known as Current Procedure Terminology, or CPT, which surgeons must use to bill and receive reimbursement for our iFuse procedure. Once the CPT code is established, the Centers for Medicare &amp; Medicaid Services, or CMS, establishes payment levels and coverage rules under Medicare while private payors establish rates and coverage rules independently.</w:t>
      </w:r>
    </w:p>
    <w:p>
      <w:pPr>
        <w:spacing w:after="0" w:line="18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8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This coding change was accompanied by the establishment of a Medicare hospital outpatient prospective payment rate for the new code.</w:t>
      </w:r>
    </w:p>
    <w:p>
      <w:pPr>
        <w:spacing w:after="0" w:line="18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Following the creation of the new Category III CPT code, a number of papers demonstrating the clinical success of the iFuse procedure were published. As a result of these studies, along with the support of several professional medical specialty societies and leading academic surgeons, the AMA CPT Editorial Panel established a new Category I CPT code specifically for sacroiliac joint fusion surgery using a minimally invasive or percutaneous approach. This new Category I CPT code became effective on January 1, 2015. However, the new code did not immediately lead to positive coverage decisions by payors. 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65"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March 2015, our INSITE prospective, randomized controlled multi-center clinical trial was published. In June 2015, the largest spine society in the world, the North American Spine Society, or NASS, published a positive coverage recommendation, based on the clinical evidence, advocating to insurance companies and Medicare Administrative Contractors that sacroiliac joint fusion using a minimally invasive surgical approach should be routinely reimbursed. In March 2015, the International Society for Advancement of Spine Surgery, or ISASS, also published a similar, updated positive advocacy document intended to encourage insurance companies in the United States to reimburse for the procedure.</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Coverage decisions for this code are made independently by each private insurance company and each of the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As of December 31, 2017, U.S. payors covering 162 million lives regularly reimbursed for the iFuse procedure. However, by December 31, 2018, U.S. payors covering 256.5 million lives regularly reimbursed for the iFuse procedures, a 58% increase over December 31, 2017. Of the 65 largest private payors that we track, 45 had positive coverage policies for the procedure, were consistently covering the procedure, or had announced coming future coverage.</w:t>
      </w:r>
    </w:p>
    <w:p>
      <w:pPr>
        <w:spacing w:after="0" w:line="178"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Third-party payors, whether governmental or commercial, are also developing increasingly sophisticated methods of controlling healthcare costs. In addition, in the United States,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65"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hospitals, and ambulatory surgical centers for procedures during which our products are used. An example of payment updates is the Medicare program’s updates to hospital and physician payments, which are done on an annual basis using a prescribed statutory formula.</w:t>
      </w:r>
    </w:p>
    <w:p>
      <w:pPr>
        <w:spacing w:after="0" w:line="15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Specialty benefit managers and companies which perform healthcare technology assessments have significant influence on coverage decisions. In May 2016, the ECRI Institute Health Technology Assessment Information Service published a positive review of the iFuse Implant System, citing our clinical evidence. In January 2018, the Blue Cross Blue Shield Association, the licensor to all 36 Blue Cross and Blue Shield insurers across the United States, wrote a favorable review of the clinical evidence conferring a positive coverage recommendation for minimally invasive sacroiliac fusion, but only when performed with iFuse. In February 2018, Milliman Care Guidelines, a Hearst Company publication, also recommended coverage and in May 2018, AIM Specialty Health, owned by Anthem, established coverage for only iFuse and none of our competitors. In October 2018, eviCore recommended our iFuse system exclusively for sacroiliac joint fusion or stabilization.</w:t>
      </w:r>
    </w:p>
    <w:p>
      <w:pPr>
        <w:spacing w:after="0" w:line="185" w:lineRule="exact"/>
        <w:rPr>
          <w:sz w:val="20"/>
          <w:szCs w:val="20"/>
          <w:color w:val="auto"/>
        </w:rPr>
      </w:pPr>
    </w:p>
    <w:p>
      <w:pPr>
        <w:ind w:right="160" w:firstLine="405"/>
        <w:spacing w:after="0" w:line="298" w:lineRule="auto"/>
        <w:rPr>
          <w:sz w:val="20"/>
          <w:szCs w:val="20"/>
          <w:color w:val="auto"/>
        </w:rPr>
      </w:pPr>
      <w:r>
        <w:rPr>
          <w:rFonts w:ascii="Arial" w:cs="Arial" w:eastAsia="Arial" w:hAnsi="Arial"/>
          <w:sz w:val="16"/>
          <w:szCs w:val="16"/>
          <w:b w:val="1"/>
          <w:bCs w:val="1"/>
          <w:color w:val="auto"/>
        </w:rPr>
        <w:t>Private Payors</w:t>
      </w:r>
      <w:r>
        <w:rPr>
          <w:rFonts w:ascii="Arial" w:cs="Arial" w:eastAsia="Arial" w:hAnsi="Arial"/>
          <w:sz w:val="16"/>
          <w:szCs w:val="16"/>
          <w:color w:val="auto"/>
        </w:rPr>
        <w:t>. Private payors also decide whether to cover and how much to pay on an individual basis. We target and track 65 of the largest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payors that cover 256.5 million lives in the United States as of December 31, 2018. Of the targeted and tracked payors, 45 were covering regularly, or had announced coverage for, the iFuse procedure, while the remaining private payors were reevaluating their coverage policies. Of the private payors who are covering regularly, 26 have issued positive coverage policies exclusive to iFuse for sacroiliac joint fusion because of the clinical evidence. Twenty of these exclusive coverage policies have published since January 1, 2018. The private payors covering iFuse exclusively are: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25"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SelectHealth</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BCBS-Health Care Service Corporation [IL]</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BCBS-Health Care Service Corporation [NM]</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BCBS-Health Care Service Corporation [OK]</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BCBS-Health Care Service Corporation [TX]</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BCBS-Health Care Service Corporation [MT]</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BCBS-NJ- Horizon Blue Cross Blue Shield of New Jersey</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BCBS-SC-Blue Cross Blue Shield of South Carolina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BCBS-WY-BlueCross BlueShield of Wyoming</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BCBS-MS-Blue Cross Blue Shield of Mississippi</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BCBS-KC-Blue Cross and Blue Shield of Kansas City</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BCBS-FL-BlueCross BlueShield of Florida (Florida Blue)</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Health Blue Cross (Florida)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BCBS-MN-Blue Cross Blue Shield of Minnesota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BCBS-LA-BlueCross BlueShield of Louisiana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BCBS-ID-Blue Cross of Idaho</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BCBS-TN-BlueCross BlueShield of Tennessee</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BCBS-PA-Capital Blue Cross (Central Pennsylvania)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BCBS-KS-BlueCross BlueShield of Kansas</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BCBS-PA-Independence Blue Cross (Philadelphia, Southeastern Pennsylvania)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BCBS-MA-Blue Cross Blue Shield of Massachusetts</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BCBS-Regence Blue Cross/Cambia Solutions</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BCBS-NY-HealthNow NY: BlueShield of Northeastern New York/BCBS - BCBS of Western NY</w:t>
      </w:r>
    </w:p>
    <w:p>
      <w:pPr>
        <w:spacing w:after="0" w:line="86" w:lineRule="exact"/>
        <w:rPr>
          <w:rFonts w:ascii="Arial" w:cs="Arial" w:eastAsia="Arial" w:hAnsi="Arial"/>
          <w:sz w:val="16"/>
          <w:szCs w:val="16"/>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BCBS-NC-Blue Cross Blue Shield of North Carolina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Neighborhood Health</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BCBS-AZ-BlueCross BlueShield of Arizona</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private payors covering iFuse and other sacroiliac joint fusion products are:</w:t>
      </w:r>
    </w:p>
    <w:p>
      <w:pPr>
        <w:spacing w:after="0" w:line="171" w:lineRule="exact"/>
        <w:rPr>
          <w:sz w:val="20"/>
          <w:szCs w:val="20"/>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Priority Health</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Kaiser California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Kaiser Northwest</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 New England</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Geisinger Health Plan</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BCBS-MI-Blue Cross Blue Shield of Michigan</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Harvard Pilgrim</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BCBS-NE-Blue Cross Blue Shield of Nebraska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Kern Health Systems</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Network Health</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BCBS-VT-BlueCross BlueShield of Vermont</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BCBS-Blue Cross of Northeastern Pennsylvania (Highmark)</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Utah Public Employee Health Plan</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BCBS-ND-Blue Cross Blue Shield of North Dakota</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Emblem Health</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United Healthcare</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Medical Mutual of Ohio</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HealthPartners</w:t>
      </w:r>
    </w:p>
    <w:p>
      <w:pPr>
        <w:spacing w:after="0" w:line="63" w:lineRule="exact"/>
        <w:rPr>
          <w:rFonts w:ascii="Arial" w:cs="Arial" w:eastAsia="Arial" w:hAnsi="Arial"/>
          <w:sz w:val="18"/>
          <w:szCs w:val="18"/>
          <w:color w:val="auto"/>
        </w:rPr>
      </w:pPr>
    </w:p>
    <w:p>
      <w:pPr>
        <w:ind w:left="1000" w:hanging="506"/>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Scott &amp; White</w:t>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219"/>
          </w:cols>
          <w:pgMar w:left="240" w:top="125" w:right="1440"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As of December 31, 2018, U.S. payors covering 256.5 million lives reimburse for iFuse, 121.7 million of which are covered by private payors. The chart below shows the overall coverage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391795</wp:posOffset>
            </wp:positionV>
            <wp:extent cx="6174740" cy="4742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4740" cy="474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Note that because many individuals are covered by more than one health insurance plan or may switch plans during the year, the total number of covered lives reported by the payors represented above may be larger than the number of individuals who have access to the iFuse procedure through their health insurance provider at any given time.</w:t>
      </w:r>
    </w:p>
    <w:p>
      <w:pPr>
        <w:spacing w:after="0" w:line="18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There are a number of large and small private payors, including Aetna, Cigna, Humana, and Anthem, that are not yet reimbursing for the procedure. Some of these non-covering payors are reevaluating coverage given the latest data, but there can be no assurance they will reach positive coverage decisions. In most cases, the payors who are not covering are reevaluating coverage. Many payors will only review their coverage policies for a procedure on a scheduled basis, which can be every few months or as infrequently as once per year.</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Prior to payor coverage, surgeons have been reluctant to get trained on a procedure for which they could not reliably be reimbursed. While we believe the increased coverage described above will have a positive effect on the number of iFuse procedures and our associated revenue in the future, the effect likely will happen with a lag time: after a positive coverage decision is made, a number of months may pass before it impacts the number of procedures and associated revenue, since the surgeons have to be made aware of the coverage decision, schedule re-examinations of patients who were candidates for surgery and subsequently schedule surgeries for the patients who are still candidates. We believe it takes between 6 and 24 months for surgeons to fully incorporate iFuse into their practices after payors initiate coverage. Further, the administrative burden on surgical practices can be substantial for patients where reimbursement coverage is new, and some surgeons do not believe that the current average surgeon reimbursement is yet adequate to compensate them. However, as reimbursement coverage has improved, surgeon interest in learning to diagnose the sacroiliac joint and perform iFuse procedures has been increasing.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Outside the United States</w:t>
      </w:r>
    </w:p>
    <w:p>
      <w:pPr>
        <w:spacing w:after="0" w:line="229"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w:t>
      </w:r>
    </w:p>
    <w:p>
      <w:pPr>
        <w:spacing w:after="0" w:line="166"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In April 2017, the UK’s National Institute for Health and Care Excellence, or NICE, published guidance on minimally invasive sacroiliac joint fusion, recommending that the procedure be available to properly diagnosed patients in the UK National Health System. NICE develops guidance and quality standards in health and social care and is a worldwide leader in technology evaluations. The recommendation states that the safety and efficacy of minimally invasive sacroiliac joint fusion surgery is adequate provided that standard arrangements are in place. Use with standard arrangements is the most positive recommendation that NICE can make for an interventional procedure such as MIS SI joint fusion. In October 2018, NICE published medical technology guidance specific to the iFuse Implant System, recommending that it be used in the National Health System because of the evidence demonstrating that treatment with iFuse improves pain, quality of life, and disability in properly selected patients. Additionally, in August 2018, the public hospital system in France announced it would initiate coverage for iFuse exclusively beginning September 6, 2018.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Affairs and Education</w:t>
      </w:r>
    </w:p>
    <w:p>
      <w:pPr>
        <w:spacing w:after="0" w:line="229"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have created a medical affairs team that focuses both internally and externally.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in performing the iFuse procedure. The medical affairs team is led by a board-certified fellowship trained orthopedic spine surgeon. As of December 31, 2018, our U.S. faculty consisted of 82 surgeons, 22 pain management physicians, 15 nurse practitioners/physician’s assistants, and 90 physical therapists. These third-party consultants educate surgeons, physician’s assistants, nurses, physical therapists, and other healthcare professionals regarding sacroiliac joint diagnosis and the iFuse procedure.</w:t>
      </w:r>
    </w:p>
    <w:p>
      <w:pPr>
        <w:spacing w:after="0" w:line="167"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Our surgeon training programs are for orthopedic spine surgeons, neurosurgeons, general orthopedic surgeons, and orthopedic trauma surgeons. Since its introduction, over 1,800 surgeons have treated patients with iFuse.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As of December 31, 2018, our medical affairs team and physical therapist consultants have educated over 4,600 physical therapists on sacroiliac joint dysfunction, its diagnosis and iFuse as a potential treatment. We also work to educate case managers, facilities where the iFuse procedure is performed such as hospitals, as well as payors and health plans. For example, as of December 31, 2018, we have trained over 1,200 case managers across the United States. Case managers help patients navigate the healthcare system so that they receive the appropriate treatment. In addition to the continuing education program for case managers, we have created continuing education programs for physical therapists and chiropractors. As of December 31, 2018, our physical therapy continuing education programs were approved in 47 states. These programs include instruction on the diagnosis and non-surgical 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5"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Our direct sales organization in the United States was comprised of seven sales regions as of December 31, 2018.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For large and/or high volume territories, we also employ territory associate representatives who cover cases. As of December 31, 2018, our territory sales managers were led by seven regional sales managers who reported to our Vice President of U.S. Sales. The Vice President of U.S. Sales reports to our Chief Commercial Officer. As of December 31, 2018, our U.S. sales force consisted of 45 sales representatives directly employed by us, and 30 third-party distributors.</w:t>
      </w:r>
    </w:p>
    <w:p>
      <w:pPr>
        <w:spacing w:after="0" w:line="16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As of December 31, 2018, we had 27 employees working in our European operations, and have established operations in Italy (2010), Germany (2014), and the United Kingdom (2015). As of December 31, 2018, our international sales force consisted of 14 sales representatives directly employed by us and 23 exclusive third-party distributors, which together had sales in 33 countries through December 31,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December 31, 2018, beyond Europe and the United States, surgeons had performed the first iFuse procedures in Australia, Cayman Islands, Hong Kong, Israel, Japan, Kuwait, New Zealand, Saudia Arabia, Taiwan and Turkey.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Since our initial launch of the iFuse system, we have introduced a number of new instrument enhancements, product enhancements and procedure enhancements. An example is the iFuse-3D implant, which we developed over several years and launched in 2017. The most notable instrument enhancement was the release of the revamped instruments set which included a number of radiolucent instruments.</w:t>
      </w:r>
    </w:p>
    <w:p>
      <w:pPr>
        <w:spacing w:after="0" w:line="18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2017, we introduced an instrument set which is cleared for use with Medtronic’s surgical navigation system, allowing the surgeon to visualize the positioning of certain instruments intra-operatively. In March 2018, we introduced surgical pins cleared for use with the Mazor surgical robot, allowing the surgeon to robotically place the guide pin according to a computer-generated surgical plan. We expect to continue developing enhancements to iFuse to meet our customers’ changing needs and improve the surgery’s effectiveness. For example, we know that some surgeons use iFuse to treat SI joint dysfunction in patients in whom the surgeon is also implanting other devices to treat other spine conditions. We are developing products and techniques to help surgeons improve the treatment of these patients, and we will seek any additional regulatory clearances which may be required. We also design and manufacture, Class I instruments for our surgeon customers based on special request under our “Non-Standard Product” program.</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We believe we were the first company to develop, manufacture, and market a minimally invasive implant cleared by the FDA expressly for sacroiliac joint fusion other than a modified screw. Over the past several years, other companies have subsequently recognized the opportunity and have entered the minimally invasive sacroiliac joint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increase the barrier to entry for us. For example, some of our competitors offer sacroiliac joint fusion products which integrate with their surgical navigation and robotics platforms, enabling navigation of their procedures or performance of aspects of these procedures by surgical robots. Many of these companies also have much larger sales forces than ours, which allow them to reach more surgeons. We also expect there to be a continued push for non-surgical alternatives.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In the United States, we believe that our primary competitors currently are Globus Medical, Inc., Medtronic plc, XTant Medical Holdings, Inc., and RTI Surgical, Inc. Our primary competitors in Europe are Globus Medical, SIGNUS Medizintechnik GmbH, and XTant Medical Holdings. However, they sell screw-based products, which we believe to be weaker and less able to resist rotation than our triangular iFuse implants. We also compete against non-hardware products, such as allograft bone implants. These allograft products comprise human cells or tissues and are regulated by the FDA differently from implantable medical devices made of metallic or other non-tissue based materials, unless they include specific claims about their intended use which exceed a homologous use, or use consistent with the original function of the donor tissue.</w:t>
      </w:r>
    </w:p>
    <w:p>
      <w:pPr>
        <w:spacing w:after="0" w:line="17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Based on our commercial experience and market research, we believe iFuse is currently used in the majority of minimally invasive surgical fusions of the sacroiliac joint in the United States. iFuse is the only minimally invasive product for sacroiliac joint fusion commercially available in the United States that, to our knowledge, is supported by published clinical evidence including randomized controlled studies that demonstrate the safety, clinical effectiveness, durability, and economic utility. These benefits are supported by more than 65 published papers.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the primary competitive factors on which companies compete in our industry:</w:t>
      </w:r>
    </w:p>
    <w:p>
      <w:pPr>
        <w:spacing w:after="0" w:line="171" w:lineRule="exact"/>
        <w:rPr>
          <w:sz w:val="20"/>
          <w:szCs w:val="20"/>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safety;</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63" w:lineRule="exact"/>
        <w:rPr>
          <w:rFonts w:ascii="Arial" w:cs="Arial" w:eastAsia="Arial" w:hAnsi="Arial"/>
          <w:sz w:val="18"/>
          <w:szCs w:val="18"/>
          <w:color w:val="auto"/>
        </w:rPr>
      </w:pPr>
    </w:p>
    <w:p>
      <w:pPr>
        <w:ind w:left="1280" w:hanging="975"/>
        <w:spacing w:after="0"/>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December 31, 2018, we had been issued 35 patents in the United States, five patents in Japan, three in Europe and one in China. Also, as of December 31, 2018, we have 14 pending patent applications in the United States and five pending patent applications outside of United States. We have focused the majority of our foreign patent efforts in China, Europe, and Japan. Generally, our current U.S. patents are expected to expire between August 2024 and September 2035, and our Japanese patents are expected to expire between August 2025 and October 2031.</w:t>
      </w:r>
    </w:p>
    <w:p>
      <w:pPr>
        <w:spacing w:after="0" w:line="188"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We have 12 registered trademarks in the United States and have filed for two more. In other countries, we have focused on registering three primary trademarks: “iFuse Implant System,” “SI-BONE,” and the SI-BONE logo. As of December 31, 2018, we have sought protection for at least two of these trademarks in 60 countries including the 28 European member countries of the Madrid Protocol.</w:t>
      </w:r>
    </w:p>
    <w:p>
      <w:pPr>
        <w:spacing w:after="0" w:line="18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and/or found to infringe.</w:t>
      </w:r>
    </w:p>
    <w:p>
      <w:pPr>
        <w:spacing w:after="0" w:line="179"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133" w:lineRule="exact"/>
        <w:rPr>
          <w:sz w:val="20"/>
          <w:szCs w:val="20"/>
          <w:color w:val="auto"/>
        </w:rPr>
      </w:pPr>
    </w:p>
    <w:p>
      <w:pPr>
        <w:ind w:left="1160" w:hanging="74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marketing, sales, distribution and export; and</w:t>
      </w:r>
    </w:p>
    <w:p>
      <w:pPr>
        <w:spacing w:after="0" w:line="63" w:lineRule="exact"/>
        <w:rPr>
          <w:rFonts w:ascii="Arial" w:cs="Arial" w:eastAsia="Arial" w:hAnsi="Arial"/>
          <w:sz w:val="18"/>
          <w:szCs w:val="18"/>
          <w:color w:val="auto"/>
        </w:rPr>
      </w:pPr>
    </w:p>
    <w:p>
      <w:pPr>
        <w:ind w:left="1160" w:right="1480" w:hanging="747"/>
        <w:spacing w:after="0" w:line="277" w:lineRule="auto"/>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are numerous FDA regulatory requirements governing the clearance or approval and marketing of our products. These include:</w:t>
      </w:r>
    </w:p>
    <w:p>
      <w:pPr>
        <w:spacing w:after="0" w:line="171" w:lineRule="exact"/>
        <w:rPr>
          <w:sz w:val="20"/>
          <w:szCs w:val="20"/>
          <w:color w:val="auto"/>
        </w:rPr>
      </w:pPr>
    </w:p>
    <w:p>
      <w:pPr>
        <w:ind w:left="1160" w:hanging="85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63" w:lineRule="exact"/>
        <w:rPr>
          <w:rFonts w:ascii="Arial" w:cs="Arial" w:eastAsia="Arial" w:hAnsi="Arial"/>
          <w:sz w:val="18"/>
          <w:szCs w:val="18"/>
          <w:color w:val="auto"/>
        </w:rPr>
      </w:pPr>
    </w:p>
    <w:p>
      <w:pPr>
        <w:ind w:left="1160" w:right="1060" w:hanging="855"/>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8" w:lineRule="exact"/>
        <w:rPr>
          <w:rFonts w:ascii="Arial" w:cs="Arial" w:eastAsia="Arial" w:hAnsi="Arial"/>
          <w:sz w:val="18"/>
          <w:szCs w:val="18"/>
          <w:color w:val="auto"/>
        </w:rPr>
      </w:pPr>
    </w:p>
    <w:p>
      <w:pPr>
        <w:ind w:left="1160" w:right="1820" w:hanging="855"/>
        <w:spacing w:after="0" w:line="317" w:lineRule="auto"/>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QSR, which requires manufacturers, including third-party manufacturers, to follow stringent design, testing, control, documentation and other quality assurance procedures during all aspects of the manufacturing process;</w:t>
      </w:r>
    </w:p>
    <w:p>
      <w:pPr>
        <w:ind w:left="1160" w:right="1400" w:hanging="855"/>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unapproved or off-label use or indication;</w:t>
      </w:r>
    </w:p>
    <w:p>
      <w:pPr>
        <w:spacing w:after="0" w:line="8" w:lineRule="exact"/>
        <w:rPr>
          <w:rFonts w:ascii="Arial" w:cs="Arial" w:eastAsia="Arial" w:hAnsi="Arial"/>
          <w:sz w:val="18"/>
          <w:szCs w:val="18"/>
          <w:color w:val="auto"/>
        </w:rPr>
      </w:pPr>
    </w:p>
    <w:p>
      <w:pPr>
        <w:ind w:left="1160" w:right="1000" w:hanging="855"/>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8" w:lineRule="exact"/>
        <w:rPr>
          <w:rFonts w:ascii="Arial" w:cs="Arial" w:eastAsia="Arial" w:hAnsi="Arial"/>
          <w:sz w:val="18"/>
          <w:szCs w:val="18"/>
          <w:color w:val="auto"/>
        </w:rPr>
      </w:pPr>
    </w:p>
    <w:p>
      <w:pPr>
        <w:ind w:left="1160" w:hanging="85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63" w:lineRule="exact"/>
        <w:rPr>
          <w:rFonts w:ascii="Arial" w:cs="Arial" w:eastAsia="Arial" w:hAnsi="Arial"/>
          <w:sz w:val="18"/>
          <w:szCs w:val="18"/>
          <w:color w:val="auto"/>
        </w:rPr>
      </w:pPr>
    </w:p>
    <w:p>
      <w:pPr>
        <w:ind w:left="1160" w:right="820" w:hanging="855"/>
        <w:spacing w:after="0" w:line="264"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9" w:lineRule="exact"/>
        <w:rPr>
          <w:rFonts w:ascii="Arial" w:cs="Arial" w:eastAsia="Arial" w:hAnsi="Arial"/>
          <w:sz w:val="18"/>
          <w:szCs w:val="18"/>
          <w:color w:val="auto"/>
        </w:rPr>
      </w:pPr>
    </w:p>
    <w:p>
      <w:pPr>
        <w:ind w:left="1160" w:hanging="855"/>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63" w:lineRule="exact"/>
        <w:rPr>
          <w:rFonts w:ascii="Arial" w:cs="Arial" w:eastAsia="Arial" w:hAnsi="Arial"/>
          <w:sz w:val="18"/>
          <w:szCs w:val="18"/>
          <w:color w:val="auto"/>
        </w:rPr>
      </w:pPr>
    </w:p>
    <w:p>
      <w:pPr>
        <w:ind w:left="1160" w:right="940" w:hanging="855"/>
        <w:spacing w:after="0" w:line="277" w:lineRule="auto"/>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60" w:right="880"/>
        <w:spacing w:after="0" w:line="261" w:lineRule="auto"/>
        <w:rPr>
          <w:sz w:val="20"/>
          <w:szCs w:val="20"/>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22" w:lineRule="exact"/>
        <w:rPr>
          <w:sz w:val="20"/>
          <w:szCs w:val="20"/>
          <w:color w:val="auto"/>
        </w:rPr>
      </w:pPr>
    </w:p>
    <w:p>
      <w:pPr>
        <w:ind w:left="1160" w:hanging="85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63" w:lineRule="exact"/>
        <w:rPr>
          <w:rFonts w:ascii="Arial" w:cs="Arial" w:eastAsia="Arial" w:hAnsi="Arial"/>
          <w:sz w:val="18"/>
          <w:szCs w:val="18"/>
          <w:color w:val="auto"/>
        </w:rPr>
      </w:pPr>
    </w:p>
    <w:p>
      <w:pPr>
        <w:ind w:left="1160" w:hanging="855"/>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52"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We have registered our facility with the FDA as a medical device manufacturer. The FDA has broad post-market and regulatory enforcement powers. We and our third-party manufacturers are subject to announced and unannounced inspections by the FDA to determine our compliance with the QSR and other regulations and these inspections may include the manufacturing facilities of our suppliers.</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225"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Unless an exemption applies, each medical device we wish to commercially distribute in the United States will require either premarket notification, or 510(k), clearance or approval of a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 All of our currently marketed products are Class II devices, subject to 510(k) clearance.</w:t>
      </w:r>
    </w:p>
    <w:p>
      <w:pPr>
        <w:spacing w:after="0" w:line="18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ind w:right="80" w:firstLine="405"/>
        <w:spacing w:after="0" w:line="269" w:lineRule="auto"/>
        <w:rPr>
          <w:sz w:val="20"/>
          <w:szCs w:val="20"/>
          <w:color w:val="auto"/>
        </w:rPr>
      </w:pPr>
      <w:r>
        <w:rPr>
          <w:rFonts w:ascii="Arial" w:cs="Arial" w:eastAsia="Arial" w:hAnsi="Arial"/>
          <w:sz w:val="17"/>
          <w:szCs w:val="17"/>
          <w:color w:val="auto"/>
        </w:rPr>
        <w:t>Clinical trials are generally required to support a PMA application and are sometimes required for 510(k) clearance. Such trials for implanted devices such as iFuse generally require an investigational device exemption application, or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or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institutional review board, or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25"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71" w:lineRule="exact"/>
        <w:rPr>
          <w:sz w:val="20"/>
          <w:szCs w:val="20"/>
          <w:color w:val="auto"/>
        </w:rPr>
      </w:pPr>
    </w:p>
    <w:p>
      <w:pPr>
        <w:ind w:left="1160" w:hanging="74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63" w:lineRule="exact"/>
        <w:rPr>
          <w:rFonts w:ascii="Arial" w:cs="Arial" w:eastAsia="Arial" w:hAnsi="Arial"/>
          <w:sz w:val="18"/>
          <w:szCs w:val="18"/>
          <w:color w:val="auto"/>
        </w:rPr>
      </w:pPr>
    </w:p>
    <w:p>
      <w:pPr>
        <w:ind w:left="1160" w:right="1880" w:hanging="747"/>
        <w:spacing w:after="0" w:line="317" w:lineRule="auto"/>
        <w:tabs>
          <w:tab w:leader="none" w:pos="1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QSR, which requires manufacturers, including third-party manufacturers, to follow stringent design, testing, control, documentation, and other quality assurance procedures during all aspects of the manufacturing process;</w:t>
      </w:r>
    </w:p>
    <w:p>
      <w:pPr>
        <w:ind w:left="1160" w:right="1460" w:hanging="747"/>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products for uncleared, unapproved or off-label use or indication;</w:t>
      </w:r>
    </w:p>
    <w:p>
      <w:pPr>
        <w:spacing w:after="0" w:line="8" w:lineRule="exact"/>
        <w:rPr>
          <w:rFonts w:ascii="Arial" w:cs="Arial" w:eastAsia="Arial" w:hAnsi="Arial"/>
          <w:sz w:val="18"/>
          <w:szCs w:val="18"/>
          <w:color w:val="auto"/>
        </w:rPr>
      </w:pPr>
    </w:p>
    <w:p>
      <w:pPr>
        <w:ind w:left="1160" w:right="1060" w:hanging="747"/>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8" w:lineRule="exact"/>
        <w:rPr>
          <w:rFonts w:ascii="Arial" w:cs="Arial" w:eastAsia="Arial" w:hAnsi="Arial"/>
          <w:sz w:val="18"/>
          <w:szCs w:val="18"/>
          <w:color w:val="auto"/>
        </w:rPr>
      </w:pPr>
    </w:p>
    <w:p>
      <w:pPr>
        <w:ind w:left="1160" w:hanging="74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63" w:lineRule="exact"/>
        <w:rPr>
          <w:rFonts w:ascii="Arial" w:cs="Arial" w:eastAsia="Arial" w:hAnsi="Arial"/>
          <w:sz w:val="18"/>
          <w:szCs w:val="18"/>
          <w:color w:val="auto"/>
        </w:rPr>
      </w:pPr>
    </w:p>
    <w:p>
      <w:pPr>
        <w:ind w:left="1160" w:right="880" w:hanging="747"/>
        <w:spacing w:after="0" w:line="264"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9" w:lineRule="exact"/>
        <w:rPr>
          <w:rFonts w:ascii="Arial" w:cs="Arial" w:eastAsia="Arial" w:hAnsi="Arial"/>
          <w:sz w:val="18"/>
          <w:szCs w:val="18"/>
          <w:color w:val="auto"/>
        </w:rPr>
      </w:pPr>
    </w:p>
    <w:p>
      <w:pPr>
        <w:ind w:left="1160" w:hanging="74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63" w:lineRule="exact"/>
        <w:rPr>
          <w:rFonts w:ascii="Arial" w:cs="Arial" w:eastAsia="Arial" w:hAnsi="Arial"/>
          <w:sz w:val="18"/>
          <w:szCs w:val="18"/>
          <w:color w:val="auto"/>
        </w:rPr>
      </w:pPr>
    </w:p>
    <w:p>
      <w:pPr>
        <w:ind w:left="1160" w:right="1000" w:hanging="747"/>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8" w:lineRule="exact"/>
        <w:rPr>
          <w:rFonts w:ascii="Arial" w:cs="Arial" w:eastAsia="Arial" w:hAnsi="Arial"/>
          <w:sz w:val="18"/>
          <w:szCs w:val="18"/>
          <w:color w:val="auto"/>
        </w:rPr>
      </w:pPr>
    </w:p>
    <w:p>
      <w:pPr>
        <w:ind w:left="1160" w:right="940" w:hanging="747"/>
        <w:spacing w:after="0" w:line="277"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8" w:lineRule="exact"/>
        <w:rPr>
          <w:rFonts w:ascii="Arial" w:cs="Arial" w:eastAsia="Arial" w:hAnsi="Arial"/>
          <w:sz w:val="18"/>
          <w:szCs w:val="18"/>
          <w:color w:val="auto"/>
        </w:rPr>
      </w:pPr>
    </w:p>
    <w:p>
      <w:pPr>
        <w:ind w:left="1160" w:hanging="74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5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FDA has broad post-market and regulatory enforcement powers. We are subject to unannounced inspections by the FDA to determine our compliance with the QSR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w:t>
      </w:r>
    </w:p>
    <w:p>
      <w:pPr>
        <w:spacing w:after="0" w:line="133" w:lineRule="exact"/>
        <w:rPr>
          <w:sz w:val="20"/>
          <w:szCs w:val="20"/>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63" w:lineRule="exact"/>
        <w:rPr>
          <w:rFonts w:ascii="Arial" w:cs="Arial" w:eastAsia="Arial" w:hAnsi="Arial"/>
          <w:sz w:val="18"/>
          <w:szCs w:val="18"/>
          <w:color w:val="auto"/>
        </w:rPr>
      </w:pPr>
    </w:p>
    <w:p>
      <w:pPr>
        <w:ind w:left="1160" w:hanging="74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52"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 The FDA inspected our facilities again in December 2016. As a result, no findings were noted.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Promotional Materials—“Off-Label” Promotion</w:t>
      </w:r>
    </w:p>
    <w:p>
      <w:pPr>
        <w:spacing w:after="0" w:line="22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under the federal Lanham Act and similar state laws, competitors, and others can initiate litigation relating to advertising claims.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22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Our research, development and clinical programs, as well as our manufacturing and marketing operations, are subject to extensive regulation in other countries. For example, in the EEA our devices are required to comply with the Essential Requirements concerning medical devices. Compliance with these requirements entitles us to affix the CE mark to our medical devices, without which they cannot be commercialized in the EEA.</w:t>
      </w:r>
    </w:p>
    <w:p>
      <w:pPr>
        <w:spacing w:after="0" w:line="166"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 to:</w:t>
      </w:r>
    </w:p>
    <w:p>
      <w:pPr>
        <w:spacing w:after="0" w:line="194" w:lineRule="exact"/>
        <w:rPr>
          <w:sz w:val="20"/>
          <w:szCs w:val="20"/>
          <w:color w:val="auto"/>
        </w:rPr>
      </w:pPr>
    </w:p>
    <w:p>
      <w:pPr>
        <w:ind w:left="1120" w:hanging="612"/>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63" w:lineRule="exact"/>
        <w:rPr>
          <w:rFonts w:ascii="Arial" w:cs="Arial" w:eastAsia="Arial" w:hAnsi="Arial"/>
          <w:sz w:val="18"/>
          <w:szCs w:val="18"/>
          <w:color w:val="auto"/>
        </w:rPr>
      </w:pPr>
    </w:p>
    <w:p>
      <w:pPr>
        <w:ind w:left="1120" w:hanging="612"/>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63" w:lineRule="exact"/>
        <w:rPr>
          <w:rFonts w:ascii="Arial" w:cs="Arial" w:eastAsia="Arial" w:hAnsi="Arial"/>
          <w:sz w:val="18"/>
          <w:szCs w:val="18"/>
          <w:color w:val="auto"/>
        </w:rPr>
      </w:pPr>
    </w:p>
    <w:p>
      <w:pPr>
        <w:ind w:left="1120" w:hanging="612"/>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63" w:lineRule="exact"/>
        <w:rPr>
          <w:rFonts w:ascii="Arial" w:cs="Arial" w:eastAsia="Arial" w:hAnsi="Arial"/>
          <w:sz w:val="18"/>
          <w:szCs w:val="18"/>
          <w:color w:val="auto"/>
        </w:rPr>
      </w:pPr>
    </w:p>
    <w:p>
      <w:pPr>
        <w:ind w:left="1120" w:hanging="612"/>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63" w:lineRule="exact"/>
        <w:rPr>
          <w:rFonts w:ascii="Arial" w:cs="Arial" w:eastAsia="Arial" w:hAnsi="Arial"/>
          <w:sz w:val="18"/>
          <w:szCs w:val="18"/>
          <w:color w:val="auto"/>
        </w:rPr>
      </w:pPr>
    </w:p>
    <w:p>
      <w:pPr>
        <w:ind w:left="1120" w:hanging="612"/>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252" w:lineRule="exact"/>
        <w:rPr>
          <w:sz w:val="20"/>
          <w:szCs w:val="20"/>
          <w:color w:val="auto"/>
        </w:rPr>
      </w:pPr>
    </w:p>
    <w:p>
      <w:pPr>
        <w:jc w:val="both"/>
        <w:ind w:right="600" w:firstLine="405"/>
        <w:spacing w:after="0" w:line="312" w:lineRule="auto"/>
        <w:rPr>
          <w:sz w:val="20"/>
          <w:szCs w:val="20"/>
          <w:color w:val="auto"/>
        </w:rPr>
      </w:pPr>
      <w:r>
        <w:rPr>
          <w:rFonts w:ascii="Arial" w:cs="Arial" w:eastAsia="Arial" w:hAnsi="Arial"/>
          <w:sz w:val="16"/>
          <w:szCs w:val="16"/>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14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Further, the advertising and promotion of our products in the EEA is subject to the provisions of the Medical Devices Directive, Directive 2006/114/EC concerning misleading and comparative advertising, and Directive 2005/29/EC on unfair commercial practices,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22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In November 2008, we received 510(k) clearance to market our first generation iFuse implant from the FDA. Since 2008, we have received additional FDA 510(k) clearances for new instruments, additional implant sizes and labeling changes. In the United States, the iFuse Implant System is intended for sacroiliac fusion for conditions, including sacroiliac joint dysfunction that is a direct result of sacroiliac joint disruptions and degenerative sacroiliitis. This includes conditions where symptoms began during pregnancy or in the peripartum period and have persisted postpartum for more than six months. Clinical Studies have demonstrated that treatment with the iFuse Implant System improved pain, patient function, and quality of life. In the future, we plan to pursue additional 510(k) clearances for new products and changes to the current indication for iFuse.</w:t>
      </w:r>
    </w:p>
    <w:p>
      <w:pPr>
        <w:spacing w:after="0" w:line="165"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In November 2010, we obtained a CE Certificate of Conformity and affixed a CE mark to our iFuse Implant System to allow commercialization of iFuse in the EEA. In the EEA and Switzerland, iFuse is intended for sacroiliac joint fusion. Since 2010, we have added additional instruments, implant sizes and labeling updates and iFuse-3D, our second generation iFuse implant, to our product offerings in Europe. We plan to continue to work with our Notified Body to incorporate new products and labeling updates in our Technical Files for CE marking in European.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Since July 2013, we have obtained approval for iFuse in regions beyond the United States and the EEA, including Australia, Canada, Hong Kong, Israel, Malaysia, New Zealand, Saudi Arabia, Singapore and Taiwan. We are currently collecting information to determine our regulatory strategy in Japan.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Fraud and Abuse</w:t>
      </w:r>
    </w:p>
    <w:p>
      <w:pPr>
        <w:spacing w:after="0" w:line="229"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purchases of our products. Federal healthcare fraud and abuse laws apply to our business when a customer submits a claim for an item or service that is reimbursed under Medicare, Medicaid, or other federally funded healthcare programs. Descriptions of some of the laws and regulations that may affect our ability to operate follows.</w:t>
      </w:r>
    </w:p>
    <w:p>
      <w:pPr>
        <w:spacing w:after="0" w:line="158"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A number of states also have anti-kickback laws that establish similar prohibitions that may apply to items or services reimbursed by government programs, as well as by any third-party payors, including commercial payors.</w:t>
      </w:r>
    </w:p>
    <w:p>
      <w:pPr>
        <w:spacing w:after="0" w:line="173"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 xml:space="preserve">The civil False Claims Act prohibits, among other things, knowingly presenting or causing the presentation of a false or fraudulent claim for payment of federal funds, or knowingly making, or causing to be made, a false record or statement material to a false or fraudulent claim to avoid, decrease or conceal an obligation to pay money to the federal government. A claim including items or services resulting from a violation of the Anti- Kickback Statute constitutes a false or fraudulent claim for purposes of the False Claims Act. Actions under the False Claims Act may be brought by the government or as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by a private individual in the name of the government.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are filed under seal and impose a mandatory duty on the U.S. Department of Justice to investigate such allegations. Most private citizen actions are declined by the Department of Justice or dismissed by federal courts. However, the investigation costs for a company can be significant and material even if the allegations are without merit. There are also criminal penalties, including imprisonment and criminal fines, for making or presenting a false or fictitious or fraudulent claim to the federal government.</w:t>
      </w:r>
    </w:p>
    <w:p>
      <w:pPr>
        <w:spacing w:after="0" w:line="16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False Claims Act liability is potentially significant in the healthcare industry because the statute provides for treble damages and mandatory penalties of $11,181 to $22,363 per claim (adjusted annually for inflation). Because of the potential for large monetary exposure, healthcare companies often resolve allegations without admissions of liability for significant and sometimes material amounts to avoid the uncertainty of treble damages and per claim penalties that may awarded in litigation proceedings. Moreover, to avoid the risk of exclusion from federal healthcare programs as a result of a False Claims Act settlement, companies may enter into corporate integrity agreements with the government, which may impose substantial costs on companies to ensure compliance.</w:t>
      </w:r>
    </w:p>
    <w:p>
      <w:pPr>
        <w:spacing w:after="0" w:line="19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In addition, 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federal Physician Payment Sunshine Act, implemented by CMS as the Open Payments program, requires manufacturers of drugs, devices, biologics and medical supplies for which payment is available under Medicare, Medicaid, or the Children’s Health Insurance Program to report annually to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w:t>
      </w:r>
    </w:p>
    <w:p>
      <w:pPr>
        <w:spacing w:after="0" w:line="18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Certain states also mandate implementation of corporate compliance programs, impose restrictions on device manufacturer marketing practices, and/or require tracking and reporting of gifts, compensation, and other remuneration to healthcare professionals and entities.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The FCPA and similar anti-bribery laws in other countries, such as the UKBA,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1" w:lineRule="exact"/>
        <w:rPr>
          <w:sz w:val="20"/>
          <w:szCs w:val="20"/>
          <w:color w:val="auto"/>
        </w:rPr>
      </w:pPr>
    </w:p>
    <w:p>
      <w:pPr>
        <w:ind w:right="600" w:firstLine="405"/>
        <w:spacing w:after="0" w:line="342" w:lineRule="auto"/>
        <w:rPr>
          <w:sz w:val="20"/>
          <w:szCs w:val="20"/>
          <w:color w:val="auto"/>
        </w:rPr>
      </w:pPr>
      <w:r>
        <w:rPr>
          <w:rFonts w:ascii="Arial" w:cs="Arial" w:eastAsia="Arial" w:hAnsi="Arial"/>
          <w:sz w:val="16"/>
          <w:szCs w:val="16"/>
          <w:color w:val="auto"/>
        </w:rPr>
        <w:t>Violations of these federal and state fraud and abuse laws can subject us to administrative, civil, and criminal penalties, including imprisonment, substantial fines, penalties, damages, and exclusion from participation in federal healthcare programs, including Medicare and Medicaid.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29" w:lineRule="exact"/>
        <w:rPr>
          <w:sz w:val="20"/>
          <w:szCs w:val="20"/>
          <w:color w:val="auto"/>
        </w:rPr>
      </w:pPr>
    </w:p>
    <w:p>
      <w:pPr>
        <w:ind w:right="320" w:firstLine="405"/>
        <w:spacing w:after="0" w:line="264" w:lineRule="auto"/>
        <w:rPr>
          <w:sz w:val="20"/>
          <w:szCs w:val="20"/>
          <w:color w:val="auto"/>
        </w:rPr>
      </w:pPr>
      <w:r>
        <w:rPr>
          <w:rFonts w:ascii="Arial" w:cs="Arial" w:eastAsia="Arial" w:hAnsi="Arial"/>
          <w:sz w:val="18"/>
          <w:szCs w:val="18"/>
          <w:color w:val="auto"/>
        </w:rPr>
        <w:t>We are also subject to various federal, state and foreign laws that protect the confidentiality of certain patient health information, including patient medical records, and restrict the use and disclosure of patient health information by healthcare providers, such as HIPAA, as amended by HITECH, in the United States.</w:t>
      </w:r>
    </w:p>
    <w:p>
      <w:pPr>
        <w:spacing w:after="0" w:line="181"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HIPAA requires the notification of patients, and other compliance actions, in the event of a breach of unsecured PHI. If notification to patients of a breach is required, such notification must be provided without unreasonable delay and in no event later than 60 calendar days after discovery of the breach. In addition, if the PHI of 500 or more individuals is improperly used or disclosed, we could be required to report the improper use or disclosure to the U.S. Department of Health and Human Services, or HHS, which would post the violation on its website, and to the media. Failure to comply with the HIPAA privacy and security standards can result in civil monetary penalties up to $55,910 per violation, not to exceed $1.68 million per calendar year for non-compliance of an identical provision, and, in certain circumstances, criminal penalties with fines up to $250,000 per violation and/or imprisonment.</w:t>
      </w:r>
    </w:p>
    <w:p>
      <w:pPr>
        <w:spacing w:after="0" w:line="165"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5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the European Union, we may be subject to laws relating to our collection, control, processing and other use of personal data (i.e. data relating to an identifiable living individual). We process personal data in relation to our operations. We process data of our employees, consultants and certain individuals who may be affiliated with our customers, including physician users of our products. The personal data may include sensitive personal data including health information. The data privacy regime in the EU includes the EU General Data Protection Regulation, or the GDPR, effective on May 25, 2018 and the E-Privacy Directive 2002/58/EC and national laws implementing each of them. Each EU Member State may adopt additional legislation implementing these regulations into its own national data privacy regime and therefore the laws may differ by jurisdiction, sometimes significantly. We need to ensure compliance with the rules in each jurisdiction where we are established or are otherwise subject to local privacy laws.</w:t>
      </w:r>
    </w:p>
    <w:p>
      <w:pPr>
        <w:spacing w:after="0" w:line="178"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 new EU-wide GDPR became applicable on May 25, 2018, replacing the data protection laws previously issued by each EU member state based on the Directive 95/46/EC. Unlike the Directive (which needed to be transposed at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be transparent and disclose to data subjects (in a concise, intelligible and easily accessible form) how their personal information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EUR 20 million or 4% of global turnover. The GDPR provides that EU member states may introduce further conditions, including limitations, to the processing of genetic, biometric, or health data, which could limit our ability to collect, use and share personal data, or could cause our compliance costs to increase, ultimately having an adverse impact on our business.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subject to the supervision of local data protection authorities in those jurisdictions where we are established or otherwise subject to applicable law. We depend on a number of third parties in relation to our provision of our services, a number of which process personal data on our behalf. With each such provider we enter into contractual arrangements to ensure that they only process personal data according to our instructions, and that they have sufficient technical and organizational security measures in place. Where we transfer personal data outside the EEA, we do so in compliance with the relevant data export requirements. We take our data protection obligations seriously, as any improper disclosure, particularly with regard to our customers’ sensitive personal data, could negatively impact our business and/or our reputation.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229"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use third-party manufacturers to produce our instruments and implants. The majority of our instruments have secondary manufacturing suppliers and we continually work with additional manufacturers to establish secondary suppliers. Our iFuse implants are currently provided by a single source, Orchid Bio-Coat, a division of Orchid Orthopedic Solutions LLC. In April 2016, we entered into a Quality and Manufacturing Agreement with Orchid MPS Holdings, LLC, or Orchid, which agreement was amended in March 2017, pursuant to which Orchid manufactures certain of our implants in accordance with our specifications. We purchase product under the agreement pursuant to purchase orders we are required to deliver against a blanket purchase order we provide based on our product forecast. However, while we are required to purchase the amounts forecast in the blanket purchase order, we are not required to purchase product in excess of a specified amount of inventory based on our original forecast. During the first year of the agreement, the prices we pay for products are fixed under the agreement; provided that on an annual basis thereafter we will meet with Orchid to review changes in direct costs beyond certain thresholds and may negotiate changes to prices based on such changes in costs. In addition, the prices we pay for product may be increased with our consent to the extent such products are ordered with delivery timelines shorter than agreed upon order timelines. The initial term of the agreement is three years; provided, however, the agreement may be terminated immediately by (a)(i) either party as the result of the other party’s bankruptcy or insolvency, (ii) in the case of Orchid, our failure to make payments for products purchased under the agreement if such failure continues for a specified period after notice from Orchid, or (iii) either party as the result of a material breach of the agreement and such breaching party fails to cure such breach within a specified period after notice from the non-breaching party, (b) us in the event Orchid fails to remedy any deficiencies we may identify pursuant to our right to inspect Orchid’s facilities under the agreement, and (c) either party with prior written notice as provided under the agreement. To mitigate supply risk, we carry a minimum of two months of reserve stock based on current sales estimates and typically place implant orders with Orchid prior to estimated demand.</w:t>
      </w:r>
    </w:p>
    <w:p>
      <w:pPr>
        <w:spacing w:after="0" w:line="17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have also added a second source supplier for machine parts. On February 1, 2017, we entered into a non-exclusive Manufacturing, Quality and Supply Agreement with rms Company, or RMS, pursuant to which RMS manufactures certain of our implants in accordance with our specifications, including both purchased and sterilized iFuse-3D implants, as well as uncoated machined implants which are subsequently coated to become our finished first generation iFuse implants. We amended this agreement on July 7, 2017 to provide for our purchase of product pursuant to purchase orders we must deliver against a blanket purchase order we provide based on our product forecast. While we are required to purchase the amounts forecast in the blanket purchase order, we are not required to purchase product in excess of a specified amount of inventory based on our original forecast. During the initial three-year term of the agreement, the prices we pay for products are fixed under the agreement provided that if order volumes deviate from forecasted amounts beyond certain thresholds we or RMS may request to negotiate further price changes. After the initial term, the agreement automatically renews for successive one-year periods; provided, however, the agreement may be terminated early by either party in the event of a material breach of the agreement by the other party or by the insolvency of the other party. We may terminate the agreement at any time in the event (i) RMS fails to ship conforming product and such failure results in delays as specified in the agreement, (ii) RMS changes its manufacturing site without our prior approval, (iii) of a change of control of RMS, or (iv) RMS breaches a non-solicit covenant with respect to our employees or consultants. With respect to our first generation iFuse implant, the parts manufactured by RMS need to be coated by Orchid to finish the goods. RMS is currently our only supplier of iFuse-3D implants.</w:t>
      </w:r>
    </w:p>
    <w:p>
      <w:pPr>
        <w:spacing w:after="0" w:line="175"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Aside from quality agreements, we do not currently have manufacturing agreements with any of our other manufacturers and orders are controlled through purchase orders.</w:t>
      </w:r>
    </w:p>
    <w:p>
      <w:pPr>
        <w:spacing w:after="0" w:line="170" w:lineRule="exact"/>
        <w:rPr>
          <w:sz w:val="20"/>
          <w:szCs w:val="20"/>
          <w:color w:val="auto"/>
        </w:rPr>
      </w:pPr>
    </w:p>
    <w:p>
      <w:pPr>
        <w:jc w:val="both"/>
        <w:ind w:right="160" w:firstLine="405"/>
        <w:spacing w:after="0" w:line="312" w:lineRule="auto"/>
        <w:rPr>
          <w:sz w:val="20"/>
          <w:szCs w:val="20"/>
          <w:color w:val="auto"/>
        </w:rPr>
      </w:pPr>
      <w:r>
        <w:rPr>
          <w:rFonts w:ascii="Arial" w:cs="Arial" w:eastAsia="Arial" w:hAnsi="Arial"/>
          <w:sz w:val="16"/>
          <w:szCs w:val="16"/>
          <w:color w:val="auto"/>
        </w:rPr>
        <w:t>We believe that our manufacturing operations, and those of our suppliers, comply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47" w:lineRule="exact"/>
        <w:rPr>
          <w:sz w:val="20"/>
          <w:szCs w:val="20"/>
          <w:color w:val="auto"/>
        </w:rPr>
      </w:pPr>
    </w:p>
    <w:p>
      <w:pPr>
        <w:jc w:val="both"/>
        <w:ind w:right="120" w:firstLine="405"/>
        <w:spacing w:after="0" w:line="257"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QSR,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We have obtained the following international certifications: Quality Management System ISO13485, Full Quality Assurance Certification for the design and manufacture of iFuse, and a Design Examination certificate for iFuse.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229"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6"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of December 31, 2018, we had 183 employees, including sales and marketing, product development, general administrative and accounting, both domestically and internationally. As of December 31, 2018, we had a direct field sales organization of 83 in the United States and 19 in Europe. In the United States, we sell primarily through our direct field organization, and we have 30 third-party distributors. None of our employees is subject to a collective bargaining agreement, and we consider our relationship with our employees to be good.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29"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SI-BONE was founded in 2008 by the main inventor of iFuse and member of our board of directors, orthopedist Mark A. Reiley, M.D., our President, Chief Executive Officer, and Chairman,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43" w:lineRule="exact"/>
        <w:rPr>
          <w:sz w:val="20"/>
          <w:szCs w:val="20"/>
          <w:color w:val="auto"/>
        </w:rPr>
      </w:pPr>
    </w:p>
    <w:p>
      <w:pPr>
        <w:ind w:right="60" w:firstLine="392"/>
        <w:spacing w:after="0" w:line="303" w:lineRule="auto"/>
        <w:rPr>
          <w:sz w:val="20"/>
          <w:szCs w:val="20"/>
          <w:color w:val="auto"/>
        </w:rPr>
      </w:pPr>
      <w:r>
        <w:rPr>
          <w:rFonts w:ascii="Arial" w:cs="Arial" w:eastAsia="Arial" w:hAnsi="Arial"/>
          <w:sz w:val="17"/>
          <w:szCs w:val="17"/>
          <w:color w:val="auto"/>
        </w:rPr>
        <w:t>We were incorporated in March 2008 in Delaware. Our principal executive offices are located at 471 El Camino Real, Suite 101, Santa Clara, California 95050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164" w:lineRule="exact"/>
        <w:rPr>
          <w:sz w:val="20"/>
          <w:szCs w:val="20"/>
          <w:color w:val="auto"/>
        </w:rPr>
      </w:pPr>
    </w:p>
    <w:p>
      <w:pPr>
        <w:ind w:right="280" w:firstLine="392"/>
        <w:spacing w:after="0" w:line="329" w:lineRule="auto"/>
        <w:rPr>
          <w:sz w:val="20"/>
          <w:szCs w:val="20"/>
          <w:color w:val="auto"/>
        </w:rPr>
      </w:pPr>
      <w:r>
        <w:rPr>
          <w:rFonts w:ascii="Arial" w:cs="Arial" w:eastAsia="Arial" w:hAnsi="Arial"/>
          <w:sz w:val="16"/>
          <w:szCs w:val="16"/>
          <w:color w:val="auto"/>
        </w:rPr>
        <w:t>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We have incurred net losses since our inception in 2008. For 2018 and 2017, we had net losses of $17.5 million and $23.0 million, respectively. As of December 31, 2018, we had an accumulated deficit of $157.2 million. To date, we have financed our operations primarily through the proceeds of our initial public offering of our common stock, or IPO,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83" w:lineRule="exact"/>
        <w:rPr>
          <w:sz w:val="20"/>
          <w:szCs w:val="20"/>
          <w:color w:val="auto"/>
        </w:rPr>
      </w:pPr>
    </w:p>
    <w:p>
      <w:pPr>
        <w:jc w:val="both"/>
        <w:ind w:firstLine="446"/>
        <w:spacing w:after="0" w:line="267" w:lineRule="auto"/>
        <w:rPr>
          <w:sz w:val="20"/>
          <w:szCs w:val="20"/>
          <w:color w:val="auto"/>
        </w:rPr>
      </w:pPr>
      <w:r>
        <w:rPr>
          <w:rFonts w:ascii="Arial" w:cs="Arial" w:eastAsia="Arial" w:hAnsi="Arial"/>
          <w:sz w:val="17"/>
          <w:szCs w:val="17"/>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w:t>
      </w:r>
    </w:p>
    <w:p>
      <w:pPr>
        <w:spacing w:after="0" w:line="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3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17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Many private payors refer to coverage decisions and payment amounts determined by the Centers for Medicare and Medicaid Services, or CMS, which administers the Medicare program, as guidelines for setting their coverage and reimbursement policies. By December 31, 2016, all Medicare Administrative Contractors were regularly reimbursing for minimally invasive sacroiliac joint fusion.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8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recently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8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9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national average Medicare payment per procedure to hospital outpatient departments increased from $10,538 to $14,704 effective January 1, 2017. Effective January 1, 2019, the national average Medicare payment to hospital outpatient departments is $15,402. Effective January 1, 2019, the Medicare payment to an ambulatory surgical center for a sacroiliac joint fusion is $12,481.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93"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In 2015, the national average physician payment for the new Category I CPT Code for minimally invasive sacroiliac fusion was $574, and we believe that this payment caused adoption of the procedure to slow. Effective January 1, 2016, the national average Medicare payment for the Category I CPT code increased to $718, and the national average payment effective January 1, 2019, is $720.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182"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We believe that some surgeons view the current Medicare reimbursement amount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38"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As of December 31, 2018, 48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7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17"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The products we currently market in the United States have either received premarket clearance under Section 510(k) of the U.S. Federal Food, Drug, and Cosmetic Act, or FDCA, or are exempt from premarket review. Those marketed in the European Union, or EU,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United States and the EU as well.</w:t>
      </w:r>
    </w:p>
    <w:p>
      <w:pPr>
        <w:spacing w:after="0" w:line="2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73"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6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pricing pressure and a reduction in the number of iFuse procedures performed.</w:t>
      </w:r>
    </w:p>
    <w:p>
      <w:pPr>
        <w:spacing w:after="0" w:line="188"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8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8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The number of competitors that we are aware of marketing sacroiliac joint fusion products in the United States has grown from zero to 22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as at a disadvantage.</w:t>
      </w:r>
    </w:p>
    <w:p>
      <w:pPr>
        <w:spacing w:after="0" w:line="178"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the United States, we believe that our primary competitors currently are Globus Medical, Inc., Medtronic plc, XTant Medical Holdings and RTI Surgical, Inc. Our primary competitors in Europe are Globus Medical, SIGNUS Medizintechnik GmbH, and XTant Medical Holdings.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3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62"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manufacture and sell products used in a single procedure, which could negatively affect our operations and financial condition.</w:t>
      </w:r>
    </w:p>
    <w:p>
      <w:pPr>
        <w:spacing w:after="0" w:line="129" w:lineRule="exact"/>
        <w:rPr>
          <w:sz w:val="20"/>
          <w:szCs w:val="20"/>
          <w:color w:val="auto"/>
        </w:rPr>
      </w:pPr>
    </w:p>
    <w:p>
      <w:pPr>
        <w:jc w:val="both"/>
        <w:ind w:firstLine="446"/>
        <w:spacing w:after="0" w:line="302" w:lineRule="auto"/>
        <w:rPr>
          <w:sz w:val="20"/>
          <w:szCs w:val="20"/>
          <w:color w:val="auto"/>
        </w:rPr>
      </w:pPr>
      <w:r>
        <w:rPr>
          <w:rFonts w:ascii="Arial" w:cs="Arial" w:eastAsia="Arial" w:hAnsi="Arial"/>
          <w:sz w:val="16"/>
          <w:szCs w:val="16"/>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As of December 31, 2018, our U.S. sales force consisted of 45 sales representatives directly employed by us and 30 third-party distributors. As of December 31, 2018, our international sales force consisted of 14 sales representatives and 23 exclusive third-party distributors, which together have had sales in 33 countries through December 31, 2018. Our operating results are directly dependent upon the sales and marketing efforts of both our direct sales force and of our third-party distributors.</w:t>
      </w:r>
    </w:p>
    <w:p>
      <w:pPr>
        <w:spacing w:after="0" w:line="187"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6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82"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addition, distribution arrangements are complex and time 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78"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may face difficulties encountered by early stage companies in new and rapidly evolving markets.</w:t>
      </w:r>
    </w:p>
    <w:p>
      <w:pPr>
        <w:spacing w:after="0" w:line="129"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We were formed in 2008. Accordingly, we have a limited operating history upon which to base an evaluation of our business and prospects. In assessing our prospects, investors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57"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conformity to commercialize new products and enhance our existing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48"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right="20" w:firstLine="446"/>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62" w:lineRule="exact"/>
        <w:rPr>
          <w:sz w:val="20"/>
          <w:szCs w:val="20"/>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products sold in the quarter and our ability to drive increased sales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87"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and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89"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Although currently subject to lock-up agreements and other restrictions on trading, a portion of the equity of our management team will not contain other contractual transfer restrictions and may become tradable in April 2019 after the expiration of the lock-up agreements entered into with the underwriters in our IPO. This liquidity may represent material wealth to such individuals and impact retention and focus of existing key members of management.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17" w:lineRule="exact"/>
        <w:rPr>
          <w:sz w:val="20"/>
          <w:szCs w:val="20"/>
          <w:color w:val="auto"/>
        </w:rPr>
      </w:pPr>
    </w:p>
    <w:p>
      <w:pPr>
        <w:ind w:left="880" w:hanging="440"/>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73"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73"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8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6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generally use a small number of suppliers for our instruments and rely on one supplier, Orchid Bio-Coat, a division of Orchid Orthopedic Solutions LLC, for our iFuse implants and one supplier, rms Company, for our second-generation iFuse-3D implants. Our dependence on such a limited number of suppliers exposes us to risks, including, among other things:</w:t>
      </w:r>
    </w:p>
    <w:p>
      <w:pPr>
        <w:spacing w:after="0" w:line="73" w:lineRule="exact"/>
        <w:rPr>
          <w:sz w:val="20"/>
          <w:szCs w:val="20"/>
          <w:color w:val="auto"/>
        </w:rPr>
      </w:pPr>
    </w:p>
    <w:p>
      <w:pPr>
        <w:ind w:left="880" w:right="2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880" w:right="2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may experience delays in delivery by our third-party manufacturers and suppliers due to changes in demand from us or their other customers;</w:t>
      </w:r>
    </w:p>
    <w:p>
      <w:pPr>
        <w:spacing w:after="0" w:line="140" w:lineRule="exact"/>
        <w:rPr>
          <w:rFonts w:ascii="Arial" w:cs="Arial" w:eastAsia="Arial" w:hAnsi="Arial"/>
          <w:sz w:val="16"/>
          <w:szCs w:val="16"/>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third-party manufacturers and suppliers may wish to discontinue supplying components or services to us for risk management reasons;</w:t>
      </w:r>
    </w:p>
    <w:p>
      <w:pPr>
        <w:spacing w:after="0" w:line="12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62"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46"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83"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7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We may also have difficulty obtaining similar components from other suppliers that are acceptable to the FDA our Notified Body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78"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73" w:lineRule="exact"/>
        <w:rPr>
          <w:sz w:val="20"/>
          <w:szCs w:val="20"/>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enhance our product offerings through our research and development efforts, we may be unable to compete effectively.</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64" w:lineRule="exact"/>
        <w:rPr>
          <w:sz w:val="20"/>
          <w:szCs w:val="20"/>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79"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17" w:lineRule="exact"/>
        <w:rPr>
          <w:sz w:val="20"/>
          <w:szCs w:val="20"/>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22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62" w:lineRule="exact"/>
        <w:rPr>
          <w:sz w:val="20"/>
          <w:szCs w:val="20"/>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17" w:lineRule="exact"/>
        <w:rPr>
          <w:sz w:val="20"/>
          <w:szCs w:val="20"/>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18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81"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8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73" w:lineRule="exact"/>
        <w:rPr>
          <w:sz w:val="20"/>
          <w:szCs w:val="20"/>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6"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7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firstLine="446"/>
        <w:spacing w:after="0" w:line="308" w:lineRule="auto"/>
        <w:rPr>
          <w:sz w:val="20"/>
          <w:szCs w:val="20"/>
          <w:color w:val="auto"/>
        </w:rPr>
      </w:pPr>
      <w:r>
        <w:rPr>
          <w:rFonts w:ascii="Arial" w:cs="Arial" w:eastAsia="Arial" w:hAnsi="Arial"/>
          <w:sz w:val="17"/>
          <w:szCs w:val="17"/>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38" w:lineRule="exact"/>
        <w:rPr>
          <w:sz w:val="20"/>
          <w:szCs w:val="20"/>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85"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17"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8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82"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80"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17" w:lineRule="exact"/>
        <w:rPr>
          <w:sz w:val="20"/>
          <w:szCs w:val="20"/>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refusal of the FDA or our Notified Body or other regulator to grant future clearances or approvals or to issue CE Certificates of Conformity;</w:t>
      </w:r>
    </w:p>
    <w:p>
      <w:pPr>
        <w:spacing w:after="0" w:line="12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62"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73" w:lineRule="exact"/>
        <w:rPr>
          <w:sz w:val="20"/>
          <w:szCs w:val="20"/>
          <w:color w:val="auto"/>
        </w:rPr>
      </w:pPr>
    </w:p>
    <w:p>
      <w:pPr>
        <w:jc w:val="both"/>
        <w:ind w:right="20" w:firstLine="446"/>
        <w:spacing w:after="0" w:line="308" w:lineRule="auto"/>
        <w:rPr>
          <w:sz w:val="20"/>
          <w:szCs w:val="20"/>
          <w:color w:val="auto"/>
        </w:rPr>
      </w:pPr>
      <w:r>
        <w:rPr>
          <w:rFonts w:ascii="Arial" w:cs="Arial" w:eastAsia="Arial" w:hAnsi="Arial"/>
          <w:sz w:val="17"/>
          <w:szCs w:val="17"/>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14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62" w:lineRule="exact"/>
        <w:rPr>
          <w:sz w:val="20"/>
          <w:szCs w:val="20"/>
          <w:color w:val="auto"/>
        </w:rPr>
      </w:pPr>
    </w:p>
    <w:p>
      <w:pPr>
        <w:jc w:val="both"/>
        <w:ind w:left="880" w:hanging="440"/>
        <w:spacing w:after="0" w:line="259"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78" w:lineRule="exact"/>
        <w:rPr>
          <w:rFonts w:ascii="Arial" w:cs="Arial" w:eastAsia="Arial" w:hAnsi="Arial"/>
          <w:sz w:val="18"/>
          <w:szCs w:val="18"/>
          <w:color w:val="auto"/>
        </w:rPr>
      </w:pPr>
    </w:p>
    <w:p>
      <w:pPr>
        <w:jc w:val="both"/>
        <w:ind w:left="880" w:hanging="440"/>
        <w:spacing w:after="0" w:line="297" w:lineRule="auto"/>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federal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There are also criminal penalties for making or presenting a false or fictitious or fraudulent claim to the federal government;</w:t>
      </w:r>
    </w:p>
    <w:p>
      <w:pPr>
        <w:spacing w:after="0" w:line="50" w:lineRule="exact"/>
        <w:rPr>
          <w:rFonts w:ascii="Arial" w:cs="Arial" w:eastAsia="Arial" w:hAnsi="Arial"/>
          <w:sz w:val="16"/>
          <w:szCs w:val="16"/>
          <w:color w:val="auto"/>
        </w:rPr>
      </w:pPr>
    </w:p>
    <w:p>
      <w:pPr>
        <w:jc w:val="both"/>
        <w:ind w:left="880" w:hanging="440"/>
        <w:spacing w:after="0" w:line="276"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880" w:hanging="440"/>
        <w:spacing w:after="0" w:line="257"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to report annually to the Centers for Medicare &amp; Medicaid Services, or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 and</w:t>
      </w:r>
    </w:p>
    <w:p>
      <w:pPr>
        <w:spacing w:after="0" w:line="80" w:lineRule="exact"/>
        <w:rPr>
          <w:rFonts w:ascii="Arial" w:cs="Arial" w:eastAsia="Arial" w:hAnsi="Arial"/>
          <w:sz w:val="18"/>
          <w:szCs w:val="18"/>
          <w:color w:val="auto"/>
        </w:rPr>
      </w:pPr>
    </w:p>
    <w:p>
      <w:pPr>
        <w:jc w:val="both"/>
        <w:ind w:left="880" w:hanging="440"/>
        <w:spacing w:after="0" w:line="255"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4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penalties and damages, and damage to our reputation.</w:t>
      </w:r>
    </w:p>
    <w:p>
      <w:pPr>
        <w:spacing w:after="0" w:line="181"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97"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 xml:space="preserve">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provisions.</w:t>
      </w:r>
    </w:p>
    <w:p>
      <w:pPr>
        <w:spacing w:after="0" w:line="182"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79"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in compliance with evolving legal requirements could harm our business.</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w:t>
      </w:r>
    </w:p>
    <w:p>
      <w:pPr>
        <w:spacing w:after="0" w:line="181"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These data protection and privacy-related laws and regulations are evolving and may result in ever-increasing regulatory and public scrutiny of companies’ data practices and escalating levels of enforcement and sanctions. As part of the American Recovery and Reinvestment Act 2009, or ARRA, Congress amended the privacy and security provisions of the Health Insurance Portability and Accountability Act, or HIPAA. HIPAA imposes certain requirements regarding the privacy, security, use, and disclosure of an individual’s protected health information, or PHI, by certain health care providers, health care clearinghouses, and health insurance plans, collectively referred to as “covered entities,” and their “business associates,” or subcontractors who provide services to covered entities that involve the creation, use, maintenance, or disclosure of PHI. ARRA included significant increases in the penalties for improper use or disclosure of an individual’s PHI under HIPAA and extended enforcement authority to state attorneys general. The amendments also created notification requirements applicable to covered entities and business associates in certain cases when PHI in their control has been inappropriately accessed or disclosed. In the case of a breach of unsecured PHI, covered entities may be required to provide notification to individuals affected by the breach, federal regulators, and, in some cases, local and national media. In addition to HIPAA, most states have laws requiring notification of affected individuals and state regulators in the event of a breach of “personal information,” which is a broader class of information than the PHI protected by HIPAA. Certain states also have data privacy requirements applicable to individually identifiable health information. Privacy laws in different states may contain different requirements, and such laws may not be pre-empted by HIPAA, which could complicate our efforts to comply.</w:t>
      </w:r>
    </w:p>
    <w:p>
      <w:pPr>
        <w:spacing w:after="0" w:line="185"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58"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Many foreign countries and governmental bodies, including the EU, Australia, and other relevant jurisdictions, have laws and regulations concerning the collection and use of personal or sensitive data obtained from their residents or by businesses operating within their jurisdiction. For example, the European Commission recently adopted the General Data Protection Regulation, or the GDPR, effective on May 25, 2018, that superseded current EU data protection legislation, imposed more stringent EU data protection requirements and provides for greater penalties for noncompliance. The GDPR applies to any company established in the EU as well as to those outside the EU if they collect and use “personal data,” or any information relating to an identified or identifiable natural person,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substantial new obligations on services providers. Non-compliance with the GDPR can trigger steep fines of up to €20 million or 4% of total worldwide annual revenues, whichever is higher. Given the breadth and depth of changes in data protection obligations, achieving and maintaining GDPR compliance will require considerable time and resources.</w:t>
      </w:r>
    </w:p>
    <w:p>
      <w:pPr>
        <w:spacing w:after="0" w:line="129"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are at risk of enforcement actions taken by certain EU data protection authorities until such point in time that we may be able to ensure that all transfers of personal data to us from the European Economic Area are conducted in compliance with all applicable regulatory obligations, the guidance of data protection authorities and evolving best practices. We may find it necessary to establish systems to maintain personal data originating from the EU in the European Economic Area, which may involve substantial expense and may cause us to need to divert resources from other aspects of our business, all of which may adversely affect our business.</w:t>
      </w:r>
    </w:p>
    <w:p>
      <w:pPr>
        <w:spacing w:after="0" w:line="18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8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3"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78"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38" w:lineRule="exact"/>
        <w:rPr>
          <w:sz w:val="20"/>
          <w:szCs w:val="20"/>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refusing or delaying our requests for 510(k) clearance or premarket approval and conformity assessments of new products or modified products;</w:t>
      </w:r>
    </w:p>
    <w:p>
      <w:pPr>
        <w:spacing w:after="0" w:line="140" w:lineRule="exact"/>
        <w:rPr>
          <w:rFonts w:ascii="Arial" w:cs="Arial" w:eastAsia="Arial" w:hAnsi="Arial"/>
          <w:sz w:val="16"/>
          <w:szCs w:val="16"/>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9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48"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6"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Moreover, iFuse is one of the few devices regulated through the class II pathway that has claims for clinical improvements. 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98"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62"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78"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7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Any adverse event involving our products, whether in the United States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1"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7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6"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82"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4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7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3"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73"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3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5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1"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our clinical trials may not support our product candidate claims or may result in the discovery of adverse side effects.</w:t>
      </w:r>
    </w:p>
    <w:p>
      <w:pPr>
        <w:spacing w:after="0" w:line="117"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6"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7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78"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Moreover, the policies of the Trump Administration and their impact on the regulation of our products in the United States remain uncertain. The outcome of the 2016 election and the forthcoming 2018 mid-term elections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93"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April 5, 2017, the final text of the Medical Devices Regulation (MDR) and In Vitro Diagnostic Medical Devices Regulation (IVDR) were adopted by the Parliament and the Council. These regulations, which will substantially impact medical devices manufacturers, will be applicable from May 2020 for the MDR and May 2022 for the IVDR. Examples of the changes which will be introduced by these regulations include the following:</w:t>
      </w:r>
    </w:p>
    <w:p>
      <w:pPr>
        <w:spacing w:after="0" w:line="64" w:lineRule="exact"/>
        <w:rPr>
          <w:sz w:val="20"/>
          <w:szCs w:val="20"/>
          <w:color w:val="auto"/>
        </w:rPr>
      </w:pPr>
    </w:p>
    <w:p>
      <w:pPr>
        <w:ind w:left="880" w:hanging="440"/>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48" w:lineRule="exact"/>
        <w:rPr>
          <w:rFonts w:ascii="Arial" w:cs="Arial" w:eastAsia="Arial" w:hAnsi="Arial"/>
          <w:sz w:val="18"/>
          <w:szCs w:val="18"/>
          <w:color w:val="auto"/>
        </w:rPr>
      </w:pPr>
    </w:p>
    <w:p>
      <w:pPr>
        <w:ind w:left="880" w:hanging="440"/>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880" w:hanging="440"/>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or UDI, system;</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17"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in the 115th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2019. After that time, the tax may be repealed or modified, or the moratorium may be lifted, in which case sales of our iFuse would be subject to this excise tax.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7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adopted in 2017 could adversely affect our business and financial condition.</w:t>
      </w:r>
    </w:p>
    <w:p>
      <w:pPr>
        <w:spacing w:after="0" w:line="117"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00" w:lineRule="exact"/>
        <w:rPr>
          <w:sz w:val="20"/>
          <w:szCs w:val="20"/>
          <w:color w:val="auto"/>
        </w:rPr>
      </w:pPr>
    </w:p>
    <w:p>
      <w:pPr>
        <w:spacing w:after="0" w:line="245"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rely primarily on patent, copyright, trademark and trade secret laws, as well as confidentiality and non- disclosure agreements and other methods, to protect our proprietary technologies and know-how. As of December 31, 2018, we owned 35 issued U.S. patents and had 14 pending U.S. patent applications, and we owned nine issued foreign patents and had five pending foreign patent applications. As of December 31, 2018, we have 12 registered trademarks in the United States and have filed for two more. We have sought protection for at least two of these trademarks in 60 countries including the 28 European member countries of the Madrid Protocol.</w:t>
      </w:r>
    </w:p>
    <w:p>
      <w:pPr>
        <w:spacing w:after="0" w:line="188"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8"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71" w:lineRule="auto"/>
        <w:rPr>
          <w:sz w:val="20"/>
          <w:szCs w:val="20"/>
          <w:color w:val="auto"/>
        </w:rPr>
      </w:pPr>
      <w:r>
        <w:rPr>
          <w:rFonts w:ascii="Arial" w:cs="Arial" w:eastAsia="Arial" w:hAnsi="Arial"/>
          <w:sz w:val="17"/>
          <w:szCs w:val="17"/>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 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79"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6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30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38"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6" w:lineRule="exact"/>
        <w:rPr>
          <w:sz w:val="20"/>
          <w:szCs w:val="20"/>
          <w:color w:val="auto"/>
        </w:rPr>
      </w:pPr>
    </w:p>
    <w:p>
      <w:pPr>
        <w:jc w:val="both"/>
        <w:ind w:firstLine="446"/>
        <w:spacing w:after="0" w:line="267"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19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an investment in our common stock could decline.</w:t>
      </w:r>
    </w:p>
    <w:p>
      <w:pPr>
        <w:spacing w:after="0" w:line="11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Prior to October 17, 2018, there was no public market for our common stock. 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57" w:lineRule="exact"/>
        <w:rPr>
          <w:sz w:val="20"/>
          <w:szCs w:val="20"/>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03" w:lineRule="exact"/>
        <w:rPr>
          <w:rFonts w:ascii="Arial" w:cs="Arial" w:eastAsia="Arial" w:hAnsi="Arial"/>
          <w:sz w:val="18"/>
          <w:szCs w:val="18"/>
          <w:color w:val="auto"/>
        </w:rPr>
      </w:pPr>
    </w:p>
    <w:p>
      <w:pPr>
        <w:ind w:left="880" w:hanging="440"/>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880" w:hanging="440"/>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25"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Sales of substantial amounts of our common stock in the public markets, including when the “lock-up” or “market standoff” period from our IPO ends, or the perception that sales might occur, could reduce the price of our common stock and may dilute our stockholders' voting power and ownership interest in us.</w:t>
      </w:r>
    </w:p>
    <w:p>
      <w:pPr>
        <w:spacing w:after="0" w:line="73"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could occur, could adversely affect the market price of our common stock, and may make it more difficult for our stockholders to sell our common stock at a time and price that they deem appropriate. All of the shares of common stock sold in our IPO are freely tradable without restrictions or further registration under the Securities Act of 1933, as amended, or the Securities Act, except for any shares held by our “affiliates” as defined in Rule 144 under the Securities Act. However, subject to certain exceptions, we, our directors and officers and the holders of substantially all of our capital stock, warrants and stock options prior to the IPO have agreed not to offer, sell or agree to sell, directly or indirectly, any shares of common stock without the permission of Morgan Stanley &amp; Co. LLC and Merrill Lynch, Pierce, Fenner &amp; Smith Incorporated until April 14, 2019. When the lock-up period expires,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Sales of a substantial number of such shares upon expiration or early release of the lock-up, or the perception that such sales may occur, could cause our share price to fall, or make it more difficult for our stockholders to sell our common stock at a time and price that they deem appropriate.</w:t>
      </w:r>
    </w:p>
    <w:p>
      <w:pPr>
        <w:spacing w:after="0" w:line="75"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holders of approximately 12 million shares, or approximately 55.4%, of our common stock, have rights, subject to some conditions, to require us to file registration statements covering the sale of their shares or to include their shares in registration statements that we may file for ourselves or other stockholders. We have also registered the offer and sale of all shares of common stock that we may issue under our equity compensation plans.</w:t>
      </w:r>
    </w:p>
    <w:p>
      <w:pPr>
        <w:spacing w:after="0" w:line="166"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2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could limit our other stockholders' ability to influence the outcome of key transactions, including a change of control.</w:t>
      </w:r>
    </w:p>
    <w:p>
      <w:pPr>
        <w:spacing w:after="0" w:line="62"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directors, executive officers, and each of our stockholders that own greater than 5% of our outstanding common stock, in the aggregate, beneficially own approximately 52.0% of the outstanding shares of our common stock. As a result, these stockholders will be able to influence or control matters requiring approval by our stockholders, including the election of directors and the approval of mergers, acquisitions or other extraordinary transactions. They may also have interests that differ from our other stockholders' interests and may vote in a manner that is adverse to our other stockholders'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As of December 31, 2018, we had net operating loss, or NOL, carryforwards of $135.5 million and $109.9 million available to reduce future taxable income, if any, for U.S. federal income tax and state income tax purposes, respectively. If not utilized, our federal and state NOL carryforwards begin to expire in 2029 and 2019,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In addition, we are still analyzing the effect that our IPO may have had on our NOLs, and we may experience ownership changes in the future as a result of subsequent shifts in our stock ownership, some of which may be outside of our control. As a result of our IPO, or if a future ownership change occurs, our ability to use our NOL tax credit carryforwards may be materially limited, which would harm our future operating results by effectively increasing our future tax obligations.</w:t>
      </w:r>
    </w:p>
    <w:p>
      <w:pPr>
        <w:spacing w:after="0" w:line="2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or the Exchange Act, and are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 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7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a public company, these new rules and regulations have made it more expensive for us to obtain director and officer liability insurance. In the future, we may be required to accept reduced coverage. These factors could make it more difficult for us to attract and retain qualified members of our board of directors, particularly to serve on our audit committee and compensation committee, and qualified executive officers.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3"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We are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the year ending December 31, 2019,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As a result, we may experience difficulty in producing accurate financial statements in a timely manner.</w:t>
      </w:r>
    </w:p>
    <w:p>
      <w:pPr>
        <w:spacing w:after="0" w:line="178"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62" w:lineRule="exact"/>
        <w:rPr>
          <w:sz w:val="20"/>
          <w:szCs w:val="20"/>
          <w:color w:val="auto"/>
        </w:rPr>
      </w:pPr>
    </w:p>
    <w:p>
      <w:pPr>
        <w:ind w:left="880" w:hanging="440"/>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Sarbanes-Oxley Act of 2002;</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 in our periodic reports, proxy statements, and registration statements;</w:t>
      </w:r>
    </w:p>
    <w:p>
      <w:pPr>
        <w:spacing w:after="0" w:line="128" w:lineRule="exact"/>
        <w:rPr>
          <w:rFonts w:ascii="Arial" w:cs="Arial" w:eastAsia="Arial" w:hAnsi="Arial"/>
          <w:sz w:val="17"/>
          <w:szCs w:val="17"/>
          <w:color w:val="auto"/>
        </w:rPr>
      </w:pPr>
    </w:p>
    <w:p>
      <w:pPr>
        <w:ind w:left="880" w:hanging="440"/>
        <w:spacing w:after="0"/>
        <w:tabs>
          <w:tab w:leader="none" w:pos="8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40" w:lineRule="exact"/>
        <w:rPr>
          <w:rFonts w:ascii="Arial" w:cs="Arial" w:eastAsia="Arial" w:hAnsi="Arial"/>
          <w:sz w:val="16"/>
          <w:szCs w:val="16"/>
          <w:color w:val="auto"/>
        </w:rPr>
      </w:pPr>
    </w:p>
    <w:p>
      <w:pPr>
        <w:ind w:left="880" w:right="20" w:hanging="440"/>
        <w:spacing w:after="0" w:line="277"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exemption from complying with new or revised financial accounting standards until such time as such standards are applicable to private companies.</w:t>
      </w:r>
    </w:p>
    <w:p>
      <w:pPr>
        <w:spacing w:after="0" w:line="17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If some investors find our common stock less attractive because we will rely on these exemptions,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in 2023, (b) in which we have total annual gross revenue of at least $1.07 billion, or (c) in which we are deemed to be a large accelerated filer, which means the market value of our common stock that is held by non- affiliates exceeds $700 million as of the prior June 30, and (2) the date on which we have issued more than $1.0 billion in non-convertible debt during the prior three-year period.</w:t>
      </w:r>
    </w:p>
    <w:p>
      <w:pPr>
        <w:spacing w:after="0" w:line="3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trading market for our common stock depends, to some extent,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2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our stockholders' ability to achieve a return on investment in our common stock will depend on appreciation in the price of our common stock.</w:t>
      </w:r>
    </w:p>
    <w:p>
      <w:pPr>
        <w:spacing w:after="0" w:line="6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our stockholders may only receive a return on an investment in our common stock if the market price of our common stock increases. In addition, our loan and security agreements contain restrictions on our ability to pay dividends.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contains covenants that may restrict our business and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under our credit facility are secured by substantially all of our assets. Our credit facility also restricts our ability to, among other things:</w:t>
      </w:r>
    </w:p>
    <w:p>
      <w:pPr>
        <w:spacing w:after="0" w:line="129" w:lineRule="exact"/>
        <w:rPr>
          <w:sz w:val="20"/>
          <w:szCs w:val="20"/>
          <w:color w:val="auto"/>
        </w:rPr>
      </w:pPr>
    </w:p>
    <w:p>
      <w:pPr>
        <w:ind w:left="880" w:hanging="440"/>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880" w:hanging="440"/>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waive or amend any of our current intellectual property agreements or material contracts.</w:t>
      </w:r>
    </w:p>
    <w:p>
      <w:pPr>
        <w:spacing w:after="0" w:line="185" w:lineRule="exact"/>
        <w:rPr>
          <w:sz w:val="20"/>
          <w:szCs w:val="20"/>
          <w:color w:val="auto"/>
        </w:rPr>
      </w:pPr>
    </w:p>
    <w:p>
      <w:pPr>
        <w:jc w:val="both"/>
        <w:ind w:right="20" w:firstLine="446"/>
        <w:spacing w:after="0" w:line="308" w:lineRule="auto"/>
        <w:rPr>
          <w:sz w:val="20"/>
          <w:szCs w:val="20"/>
          <w:color w:val="auto"/>
        </w:rPr>
      </w:pPr>
      <w:r>
        <w:rPr>
          <w:rFonts w:ascii="Arial" w:cs="Arial" w:eastAsia="Arial" w:hAnsi="Arial"/>
          <w:sz w:val="17"/>
          <w:szCs w:val="17"/>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4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18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57" w:lineRule="exact"/>
        <w:rPr>
          <w:sz w:val="20"/>
          <w:szCs w:val="20"/>
          <w:color w:val="auto"/>
        </w:rPr>
      </w:pPr>
    </w:p>
    <w:p>
      <w:pPr>
        <w:ind w:left="880" w:right="20" w:hanging="440"/>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62" w:lineRule="exact"/>
        <w:rPr>
          <w:rFonts w:ascii="Arial" w:cs="Arial" w:eastAsia="Arial" w:hAnsi="Arial"/>
          <w:sz w:val="18"/>
          <w:szCs w:val="18"/>
          <w:color w:val="auto"/>
        </w:rPr>
      </w:pPr>
    </w:p>
    <w:p>
      <w:pPr>
        <w:ind w:left="880" w:hanging="440"/>
        <w:spacing w:after="0" w:line="308"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38" w:lineRule="exact"/>
        <w:rPr>
          <w:rFonts w:ascii="Arial" w:cs="Arial" w:eastAsia="Arial" w:hAnsi="Arial"/>
          <w:sz w:val="17"/>
          <w:szCs w:val="17"/>
          <w:color w:val="auto"/>
        </w:rPr>
      </w:pPr>
    </w:p>
    <w:p>
      <w:pPr>
        <w:ind w:left="880" w:right="20" w:hanging="440"/>
        <w:spacing w:after="0" w:line="308" w:lineRule="auto"/>
        <w:tabs>
          <w:tab w:leader="none" w:pos="8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38" w:lineRule="exact"/>
        <w:rPr>
          <w:rFonts w:ascii="Arial" w:cs="Arial" w:eastAsia="Arial" w:hAnsi="Arial"/>
          <w:sz w:val="17"/>
          <w:szCs w:val="17"/>
          <w:color w:val="auto"/>
        </w:rPr>
      </w:pPr>
    </w:p>
    <w:p>
      <w:pPr>
        <w:ind w:left="880" w:hanging="440"/>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73"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78"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41" w:lineRule="exact"/>
        <w:rPr>
          <w:sz w:val="20"/>
          <w:szCs w:val="20"/>
          <w:color w:val="auto"/>
        </w:rPr>
      </w:pPr>
    </w:p>
    <w:p>
      <w:pPr>
        <w:ind w:right="20" w:firstLine="446"/>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24"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280"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23"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Our amended and restated certificate of incorporation further provides that the federal district courts of the United States of America are the exclusive forum for resolving any complaint asserting a cause of action arising under the Securities Act. These choice of forum provisions may limit a stockholder’s ability to bring a claim in a judicial forum that it finds favorable for disputes with us or our directors, officers, or other employees. Some companies that adopted a similar federal district court forum selection provision are currently subject to a suit in the Chancery Court of Delaware by stockholders who assert that the provision is not enforceable. If a court were to find either choice of forum provisions contained in our amended and restated certificate of incorporation to be inapplicable or unenforceable in an action, we may incur additional costs associated with resolving such action in other jurisdictions, which could harm our business.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3" w:lineRule="exact"/>
        <w:rPr>
          <w:sz w:val="20"/>
          <w:szCs w:val="20"/>
          <w:color w:val="auto"/>
        </w:rPr>
      </w:pPr>
    </w:p>
    <w:p>
      <w:pPr>
        <w:ind w:right="140" w:firstLine="486"/>
        <w:spacing w:after="0" w:line="275" w:lineRule="auto"/>
        <w:rPr>
          <w:sz w:val="20"/>
          <w:szCs w:val="20"/>
          <w:color w:val="auto"/>
        </w:rPr>
      </w:pPr>
      <w:r>
        <w:rPr>
          <w:rFonts w:ascii="Arial" w:cs="Arial" w:eastAsia="Arial" w:hAnsi="Arial"/>
          <w:sz w:val="18"/>
          <w:szCs w:val="18"/>
          <w:color w:val="auto"/>
        </w:rPr>
        <w:t>Our leased headquarters in Santa Clara, California, comprises approximately 21,848 square feet. Our headquarters houses our research, product development, marketing, finance, education, and administration functions. We believe our facilities are adequate and suitable for our current needs but in the future we may need additional space. We also lease office spaces in Gallarate, Italy, Mannheim, Germany and Knaresborough, United Kingdom to accommodate mainly our European sales and marketing team.</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 or financial position. We are not presently party to any legal proceedings that in the opinion of management would, individually or taken together, likely have a material adverse effect on our business, operating results, financial condition, or cash flow.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125" w:right="1440"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Common Stock</w:t>
      </w:r>
    </w:p>
    <w:p>
      <w:pPr>
        <w:spacing w:after="0" w:line="243" w:lineRule="exact"/>
        <w:rPr>
          <w:sz w:val="20"/>
          <w:szCs w:val="20"/>
          <w:color w:val="auto"/>
        </w:rPr>
      </w:pPr>
    </w:p>
    <w:p>
      <w:pPr>
        <w:ind w:right="400" w:firstLine="392"/>
        <w:spacing w:after="0" w:line="293" w:lineRule="auto"/>
        <w:rPr>
          <w:sz w:val="20"/>
          <w:szCs w:val="20"/>
          <w:color w:val="auto"/>
        </w:rPr>
      </w:pPr>
      <w:r>
        <w:rPr>
          <w:rFonts w:ascii="Arial" w:cs="Arial" w:eastAsia="Arial" w:hAnsi="Arial"/>
          <w:sz w:val="18"/>
          <w:szCs w:val="18"/>
          <w:color w:val="auto"/>
        </w:rPr>
        <w:t>Our common stock has been listed on the Nasdaq Global Market under the symbol “SIBN” since October 17, 2018. Prior to that date, there was no public trading market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43" w:lineRule="exact"/>
        <w:rPr>
          <w:sz w:val="20"/>
          <w:szCs w:val="20"/>
          <w:color w:val="auto"/>
        </w:rPr>
      </w:pPr>
    </w:p>
    <w:p>
      <w:pPr>
        <w:ind w:right="360" w:firstLine="392"/>
        <w:spacing w:after="0" w:line="279" w:lineRule="auto"/>
        <w:rPr>
          <w:sz w:val="20"/>
          <w:szCs w:val="20"/>
          <w:color w:val="auto"/>
        </w:rPr>
      </w:pPr>
      <w:r>
        <w:rPr>
          <w:rFonts w:ascii="Arial" w:cs="Arial" w:eastAsia="Arial" w:hAnsi="Arial"/>
          <w:sz w:val="18"/>
          <w:szCs w:val="18"/>
          <w:color w:val="auto"/>
        </w:rPr>
        <w:t>As of March 13, 2019, we had 441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3" w:lineRule="exact"/>
        <w:rPr>
          <w:sz w:val="20"/>
          <w:szCs w:val="20"/>
          <w:color w:val="auto"/>
        </w:rPr>
      </w:pPr>
    </w:p>
    <w:p>
      <w:pPr>
        <w:ind w:firstLine="392"/>
        <w:spacing w:after="0" w:line="311"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on our capital stock in the foreseeable future. In addition, our credit facility with Biopharma Credit Investments IV Sub LP, or Pharmakon, restricts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our Public Offering of Common Stock</w:t>
      </w:r>
    </w:p>
    <w:p>
      <w:pPr>
        <w:spacing w:after="0" w:line="229"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On October 16, 2018, our registration statement on Form S-1 (File No. 333-227445) relating to our IPO of common stock became effective. The IPO closed on October 16, 2018 at which time we issued 8,280,000 shares of our common stock at an initial offering price of $15.00 per share for gross proceeds of $124.2 million. We received net proceeds from the IPO of approximately $113.6 million, after deducting the underwriting discount of $8.7 million and other estimated offering-related expenses paid or payable by us of approximately $1.9 million. None of the expenses associated with the IPO or private placement were paid to directors, officers, persons owning 10% or more of any class of equity securities, or to their associates, or to our affiliates. Morgan Stanley &amp; Co. LLC, Merrill Lynch, Pierce, Fenner &amp; Smith Incorporated, Canaccord Genuity Inc. and JMP Securities LLC acted as underwriters for the offering.</w:t>
      </w:r>
    </w:p>
    <w:p>
      <w:pPr>
        <w:spacing w:after="0" w:line="18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Shares of our common stock began trading on the Nasdaq Global Market on October 17, 2018. The shares were registered under the Securities Act on registration statement on Form S-1 (Registration No. 333-227445).</w:t>
      </w:r>
    </w:p>
    <w:p>
      <w:pPr>
        <w:spacing w:after="0" w:line="17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October 16,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Shares or of Company Equity Securities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 to a smaller reporting company.</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125"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31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"Risk Factors" section of this Annual Report on Form 10-K, our actual results could differ materially from the results described in, or implied, by these forward-looking statements.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37,000 procedures have been performed by over 1,800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200" w:lineRule="exact"/>
        <w:rPr>
          <w:sz w:val="20"/>
          <w:szCs w:val="20"/>
          <w:color w:val="auto"/>
        </w:rPr>
      </w:pPr>
    </w:p>
    <w:p>
      <w:pPr>
        <w:spacing w:after="0" w:line="20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200" w:lineRule="exact"/>
        <w:rPr>
          <w:sz w:val="20"/>
          <w:szCs w:val="20"/>
          <w:color w:val="auto"/>
        </w:rPr>
      </w:pPr>
    </w:p>
    <w:p>
      <w:pPr>
        <w:spacing w:after="0" w:line="204"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have incurred net losses since our inception in 2008. We had net losses of $17.5 million and $23.0 million for the years ended December 31, 2018 and 2017, respectively. As of December 31, 2018, we had an accumulated deficit of $157.2 million. To date, we have financed our operations primarily through private placements of equity securities, certain debt-related financing arrangements, and sales of our products. We have devoted substantially all of our resources to research and development of our products, reimbursement-related initiatives, sales and marketing activities, and clinical, quality assurance, and regulatory matters for our products.</w:t>
      </w:r>
    </w:p>
    <w:p>
      <w:pPr>
        <w:spacing w:after="0" w:line="188"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October 2018, we completed our IPO by issuing 8.28 million shares of common stock, at an offering price of $15.00 per share, for net proceeds of $113.6 million after deducting underwriting discounts and commissions and offering expenses payable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Prior to our launch of iFuse in 2009, Medicare and most private insurance companies reimbursed surgeons routinely for sacroiliac joint fusions, which were primarily invasive. However, effective July 1, 2013, the AMA’s Editorial Panel effectively restricted reimbursement for minimally invasive sacroiliac joint fusion because they considered the published clinical evidence at the time to be inadequate.</w:t>
      </w:r>
    </w:p>
    <w:p>
      <w:pPr>
        <w:spacing w:after="0" w:line="18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Subsequently, as a result of the growing number of published clinical studies demonstrating the effectiveness and safety of iFuse, along with the support of several professional medical specialty societies and 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93"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 By December 31, 2017, U.S. payors covering 162 million lives regularly reimbursed for the iFuse procedure, and as of December 31, 2018, U.S. payors covering 256.5 million lives regularly reimbursed for the iFuse procedures, 121.7 million of which are covered by private payors. Forty-five of the largest 65 private payors that we track had positive coverage policies for the procedure, were consistently covering the procedure, or had announced coming future coverage. Of these 45 private payors, 26 of them have issued positive coverage policies exclusive to iFuse for sacroiliac joint fusion because of the clinical evidence. Twenty of these exclusive coverage policies have published since January 1, 2018, which we believe has contributed to our accelerating sales growth in our fiscal year 2018.</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a number of large and small private payors, including Aetna, Cigna, Humana, and Anthem that are not yet reimbursing for the procedure.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Some of these non-covering payors are reevaluating coverage given the latest data, but there can be no assurance they will reach positive coverage decisions.</w:t>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Sales Force</w:t>
      </w:r>
    </w:p>
    <w:p>
      <w:pPr>
        <w:spacing w:after="0" w:line="225"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1"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Our direct sales organization in the United States was comprised of seven sales regions as of December 31, 2018.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For large and/or high volume territories, we also employ territory associate representatives who cover cases. As of December 31, 2018, our territory sales managers were led by seven regional sales directors who reported to our Vice President of U.S. Sales. The Vice President of U.S. Sales reports to our Chief Commercial Officer. As of December 31, 2018, our U.S. sales force consisted of 45 sales representatives directly employed by us, and 30 third-party distributors.</w:t>
      </w:r>
    </w:p>
    <w:p>
      <w:pPr>
        <w:spacing w:after="0" w:line="165"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As of December 31, 2018, we had 28 employees working in our European operations, and have established operations in Italy (2010), Germany (2014), and the United Kingdom (2015). As of December 31, 2018, our international sales force consisted of 14 sales representatives directly employed by us and 23 exclusive third-party distributors, which together had sales in 33 countries through December 31, 2018.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December 31, 2018, beyond Europe and the United States, surgeons had performed the first iFuse procedures in Australia, Cayman Islands, Hong Kong, Israel, Japan, Kuwait, New Zealand, Saudi Arabia, Taiwan and Turkey.</w:t>
      </w:r>
    </w:p>
    <w:p>
      <w:pPr>
        <w:spacing w:after="0" w:line="13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We have in the past and expect in the future to enter into different compensation arrangements with our sales professionals, which may include minimum guaranteed commissions. This has impacted our compensation expenses in the past and we expect it will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revenue can also fluctuate from quarter to quarter due to a variety of factors, including reimbursement, sales force changes, physician activities, and seasonality. Our revenue from international sales may also be significantly impacted by fluctuations in foreign currency exchange rates between the U.S. dollar (our reporting currency) and the local currency.</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utilize third-party manufacturers for production of the iFuse implants and instrument sets.</w:t>
      </w:r>
    </w:p>
    <w:p>
      <w:pPr>
        <w:spacing w:after="0" w:line="117"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Cost of goods sold consists primarily of costs of the components of iFuse implants and instruments, scrap and inventory obsolescence, and distribution-related expenses such as logistics and shipping costs. We anticipate that our cost of goods sold will increase in absolute dollars as case levels increase.</w:t>
      </w:r>
    </w:p>
    <w:p>
      <w:pPr>
        <w:spacing w:after="0" w:line="124"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Our gross profit has been and will continue to be affected by a variety of factors, including the cost to have our products manufactured, pricing pressure from increasing competition, and the factors described above impacting our revenue.</w:t>
      </w:r>
    </w:p>
    <w:p>
      <w:pPr>
        <w:spacing w:after="0" w:line="17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Our gross margins are typically higher on products we sell directly as compared to products we sell through third-party distributors. As a result, changes in the mix of direct versus distributor sales can directly influence our gross margins.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accordance with the Patient Protection and Affordable Care Act, effective January 1, 2013, we began to incur an excise tax on sales of medical devices in the United States. Effective December 2015, the Act was amended to include a provision to suspend the tax on medical devices through 2017. In January 2018, the suspension on the tax on medical devices was further extended through 2019.</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we anticipate that it will decrease as a percentage of revenue over time. In September 2017, we implemented cost-saving measures, which reduced our operational expenses though headcount reductions, reduced project spending, and more targeted marketing and surgeon training activities.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Sales and marketing expenses primarily consist of salaries, stock-based compensation expense, and other compensation related costs, for personnel employed in sales, marketing, medical affairs, and professional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increase in absolute dollars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in absolute dollars as we develop new products, add research and development personnel, and undergo clinical activities, including more clinical studies to gain additional regulatory clearances and wider surgeon adoption.</w:t>
      </w:r>
    </w:p>
    <w:p>
      <w:pPr>
        <w:spacing w:after="0" w:line="30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General and administrative expenses primarily consist of compensation, stock-based compensation expense, and other costs for finance, accounting, legal, compliance, reimbursement, and administrative matters. We expect our general and administrative expenses to increase in absolute dollars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 While we expect the general and administrative expenses to increase in absolute dollars, we anticipate that it will decrease as a percentage of revenue over time.</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Other income (expense), net consists primarily of the changes in fair value of our preferred stock warrant liability and net gain (loss) on foreign currency transactions. In connection with our initial public offering, or IPO, our preferred stock warrant liability was reclassed to equity as a result of the preferred stock warrants being converted to common stock warrants.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results of operations for the period presented (in thousands):</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60" w:type="dxa"/>
            <w:vAlign w:val="bottom"/>
            <w:gridSpan w:val="6"/>
          </w:tcPr>
          <w:p>
            <w:pPr>
              <w:jc w:val="right"/>
              <w:ind w:right="390"/>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55,380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47,983</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50,547</w:t>
            </w: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42,871</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44,497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41,646</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12,639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62,512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60,221</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(11,965)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(17,350)</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(5,108)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 w:type="dxa"/>
            <w:vAlign w:val="bottom"/>
          </w:tcPr>
          <w:p>
            <w:pPr>
              <w:spacing w:after="0"/>
              <w:rPr>
                <w:sz w:val="22"/>
                <w:szCs w:val="22"/>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(17,453)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(23,039)</w:t>
            </w:r>
          </w:p>
        </w:tc>
        <w:tc>
          <w:tcPr>
            <w:tcW w:w="0" w:type="dxa"/>
            <w:vAlign w:val="bottom"/>
          </w:tcPr>
          <w:p>
            <w:pPr>
              <w:spacing w:after="0"/>
              <w:rPr>
                <w:sz w:val="1"/>
                <w:szCs w:val="1"/>
                <w:color w:val="auto"/>
              </w:rPr>
            </w:pPr>
          </w:p>
        </w:tc>
      </w:tr>
      <w:tr>
        <w:trPr>
          <w:trHeight w:val="20"/>
        </w:trPr>
        <w:tc>
          <w:tcPr>
            <w:tcW w:w="6400" w:type="dxa"/>
            <w:vAlign w:val="bottom"/>
            <w:gridSpan w:val="3"/>
            <w:vMerge w:val="restart"/>
          </w:tcPr>
          <w:p>
            <w:pPr>
              <w:spacing w:after="0"/>
              <w:rPr>
                <w:sz w:val="20"/>
                <w:szCs w:val="20"/>
                <w:color w:val="auto"/>
              </w:rPr>
            </w:pPr>
            <w:r>
              <w:rPr>
                <w:rFonts w:ascii="Arial" w:cs="Arial" w:eastAsia="Arial" w:hAnsi="Arial"/>
                <w:sz w:val="18"/>
                <w:szCs w:val="18"/>
                <w:color w:val="auto"/>
                <w:w w:val="97"/>
              </w:rPr>
              <w:t>The following table sets forth our results of operations as a percentage of revenue:</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4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97"/>
        </w:trPr>
        <w:tc>
          <w:tcPr>
            <w:tcW w:w="8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23 %</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800" w:type="dxa"/>
            <w:vAlign w:val="bottom"/>
          </w:tcPr>
          <w:p>
            <w:pPr>
              <w:spacing w:after="0"/>
              <w:rPr>
                <w:sz w:val="21"/>
                <w:szCs w:val="21"/>
                <w:color w:val="auto"/>
              </w:rPr>
            </w:pPr>
          </w:p>
        </w:tc>
        <w:tc>
          <w:tcPr>
            <w:tcW w:w="560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 w:type="dxa"/>
            <w:vAlign w:val="bottom"/>
          </w:tcPr>
          <w:p>
            <w:pPr>
              <w:spacing w:after="0"/>
              <w:rPr>
                <w:sz w:val="23"/>
                <w:szCs w:val="23"/>
                <w:color w:val="auto"/>
              </w:rPr>
            </w:pPr>
          </w:p>
        </w:tc>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91"/>
        </w:trPr>
        <w:tc>
          <w:tcPr>
            <w:tcW w:w="8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jc w:val="right"/>
              <w:ind w:right="1030"/>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6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5" w:right="1440"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United States and international revenue (in thousands):</w:t>
      </w:r>
    </w:p>
    <w:p>
      <w:pPr>
        <w:spacing w:after="0" w:line="167"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34290</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57"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43,351</w:t>
            </w:r>
          </w:p>
        </w:tc>
      </w:tr>
      <w:tr>
        <w:trPr>
          <w:trHeight w:val="243"/>
        </w:trPr>
        <w:tc>
          <w:tcPr>
            <w:tcW w:w="6420" w:type="dxa"/>
            <w:vAlign w:val="bottom"/>
            <w:gridSpan w:val="2"/>
          </w:tcPr>
          <w:p>
            <w:pPr>
              <w:ind w:left="40"/>
              <w:spacing w:after="0"/>
              <w:rPr>
                <w:sz w:val="20"/>
                <w:szCs w:val="20"/>
                <w:color w:val="auto"/>
              </w:rPr>
            </w:pPr>
            <w:r>
              <w:rPr>
                <w:rFonts w:ascii="Arial" w:cs="Arial" w:eastAsia="Arial" w:hAnsi="Arial"/>
                <w:sz w:val="18"/>
                <w:szCs w:val="18"/>
                <w:color w:val="auto"/>
              </w:rPr>
              <w:t>International</w:t>
            </w:r>
          </w:p>
        </w:tc>
        <w:tc>
          <w:tcPr>
            <w:tcW w:w="980" w:type="dxa"/>
            <w:vAlign w:val="bottom"/>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4,632</w:t>
            </w: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47,983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United States and international revenue as a percentage of our total revenue:</w:t>
      </w:r>
    </w:p>
    <w:p>
      <w:pPr>
        <w:spacing w:after="0" w:line="167"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7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60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60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0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2018 and 2017</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Cost of Goods Sold, Gross Profit, and Gross Margin</w:t>
      </w:r>
    </w:p>
    <w:p>
      <w:pPr>
        <w:spacing w:after="0" w:line="167"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1886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7780" w:val="left"/>
          <w:tab w:leader="none" w:pos="8940" w:val="left"/>
          <w:tab w:leader="none" w:pos="1026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 Change</w:t>
      </w:r>
      <w:r>
        <w:rPr>
          <w:sz w:val="20"/>
          <w:szCs w:val="20"/>
          <w:color w:val="auto"/>
        </w:rPr>
        <w:tab/>
      </w:r>
      <w:r>
        <w:rPr>
          <w:rFonts w:ascii="Arial" w:cs="Arial" w:eastAsia="Arial" w:hAnsi="Arial"/>
          <w:sz w:val="16"/>
          <w:szCs w:val="16"/>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(in thousands except for percentages)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55,380</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47,983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7,397</w:t>
            </w:r>
          </w:p>
        </w:tc>
        <w:tc>
          <w:tcPr>
            <w:tcW w:w="15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5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4,833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97"/>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50,547</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42,871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7,676</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5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$7.4 million, or 15%, for the year ended December 31, 2018 compared to the year ended December 31, 2017. This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of $6.8 million from growth of domestic revenue from higher sales force productivity and more active surgeons from improved U.S. reimbursement coverage. In addition, revenue increased $0.6 million from growth of international revenue from increased case volume in the United Kingdom, increased sales force productivity in Germany, and new business in Australia and Taiwan.</w:t>
      </w:r>
    </w:p>
    <w:p>
      <w:pPr>
        <w:spacing w:after="0" w:line="187"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i w:val="1"/>
          <w:iCs w:val="1"/>
          <w:color w:val="auto"/>
        </w:rPr>
        <w:t xml:space="preserve">Cost of Goods Sold, Gross Profit, and Gross Margin. </w:t>
      </w:r>
      <w:r>
        <w:rPr>
          <w:rFonts w:ascii="Arial" w:cs="Arial" w:eastAsia="Arial" w:hAnsi="Arial"/>
          <w:sz w:val="17"/>
          <w:szCs w:val="17"/>
          <w:color w:val="auto"/>
        </w:rPr>
        <w:t>Total cost of goods sold decreased $0.3 million, or 5%, for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2017. This is primarily due to a decrease of $0.3 million in depreciation expense for fully depreciated instrument sets, employee related costs of $0.1 million due to lower headcount, and $0.1 million in lower consulting and other professional fees. These decreases were partially offset by increases in direct product costs from higher case volumes. Gross profit increased $7.7 million, or 18%, to $50.5 million for the year ended December 31, 2018 compared to the year ended December 31, 2017 due to higher revenue and lower cost of goods sold, resulting in an increase in gross margin to 91% compared to 89% for the respective periods.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Operating Expenses</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gridSpan w:val="5"/>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7"/>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8"/>
                <w:szCs w:val="18"/>
                <w:b w:val="1"/>
                <w:bCs w:val="1"/>
                <w:color w:val="auto"/>
                <w:w w:val="90"/>
              </w:rPr>
              <w:t>(in thousands except for percentages)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44,497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41,646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2,851</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12,639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13,062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62,512</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60,221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$2.9 million, or 7%, for the year ended December 31, 2018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December 31, 2017. The increase was primarily due to an increase of $1.2 million in salaries and other employee incentive expense and related costs as a result of improved company performance during the period, $0.7 million in additional general operational costs, $0.5 million in travel expense as a result of an increase in field sales personnel, $0.6 million in increased commissions (net of lower minimum guaranteed commissions), and $0.2 million in distributor commissions due to higher revenues. These increases were partially offset by a decrease of $0.4 million in general marketing expenses.</w:t>
      </w:r>
    </w:p>
    <w:p>
      <w:pPr>
        <w:spacing w:after="0" w:line="15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$0.1 million, or 2%, for the year ended December 31, 2018</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year ended December 31, 2017. The decrease was primarily due to a reduction of $0.3 million in salaries and related expenditures from lower headcount and $0.2 million in clinical trial expense as the INSITE and SIFI studies mature. These reductions were partially offset by an increase in prototype materials and supplies for new product development of $0.4 million.</w:t>
      </w:r>
    </w:p>
    <w:p>
      <w:pPr>
        <w:spacing w:after="0" w:line="187"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decreased $0.4 million, or 3%, for the year ended December 31, 2018</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year ended December 31, 2017. The decrease was primarily due to $1.3 million of offering costs written off in September 2017 from delays in the public offering process and a decrease of $0.5 million from the forgiveness of a loan to the Chief Executive Officer in 2017. These decreases were partially offset by an increase in compensation expense and stock-based compensation of $0.8 million, an increase in insurance costs of $0.3 million and an increase in consulting and professional services of $0.3 million, all in conjunction of becoming a publicly traded company.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Interest and Other Income (Expense), Net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5"/>
              </w:rPr>
              <w:t>Year ended December 31,</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5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w w:val="88"/>
              </w:rPr>
              <w:t>$ Change</w:t>
            </w: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7"/>
              </w:rPr>
              <w:t>(in thousands except for percentages)</w:t>
            </w:r>
          </w:p>
        </w:tc>
        <w:tc>
          <w:tcPr>
            <w:tcW w:w="1240" w:type="dxa"/>
            <w:vAlign w:val="bottom"/>
          </w:tcPr>
          <w:p>
            <w:pPr>
              <w:spacing w:after="0"/>
              <w:rPr>
                <w:sz w:val="20"/>
                <w:szCs w:val="20"/>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70"/>
              <w:spacing w:after="0"/>
              <w:rPr>
                <w:sz w:val="20"/>
                <w:szCs w:val="20"/>
                <w:color w:val="auto"/>
              </w:rPr>
            </w:pPr>
            <w:r>
              <w:rPr>
                <w:rFonts w:ascii="Arial" w:cs="Arial" w:eastAsia="Arial" w:hAnsi="Arial"/>
                <w:sz w:val="18"/>
                <w:szCs w:val="18"/>
                <w:color w:val="auto"/>
              </w:rPr>
              <w:t>594</w:t>
            </w:r>
          </w:p>
        </w:tc>
        <w:tc>
          <w:tcPr>
            <w:tcW w:w="1240" w:type="dxa"/>
            <w:vAlign w:val="bottom"/>
          </w:tcPr>
          <w:p>
            <w:pPr>
              <w:jc w:val="right"/>
              <w:spacing w:after="0"/>
              <w:rPr>
                <w:sz w:val="20"/>
                <w:szCs w:val="20"/>
                <w:color w:val="auto"/>
              </w:rPr>
            </w:pPr>
            <w:r>
              <w:rPr>
                <w:rFonts w:ascii="Arial" w:cs="Arial" w:eastAsia="Arial" w:hAnsi="Arial"/>
                <w:sz w:val="18"/>
                <w:szCs w:val="18"/>
                <w:color w:val="auto"/>
              </w:rPr>
              <w:t>339 %</w:t>
            </w:r>
          </w:p>
        </w:tc>
      </w:tr>
      <w:tr>
        <w:trPr>
          <w:trHeight w:val="27"/>
        </w:trPr>
        <w:tc>
          <w:tcPr>
            <w:tcW w:w="5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1,096</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(1,149)</w:t>
            </w:r>
          </w:p>
        </w:tc>
        <w:tc>
          <w:tcPr>
            <w:tcW w:w="4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(1,489)</w:t>
            </w:r>
          </w:p>
        </w:tc>
        <w:tc>
          <w:tcPr>
            <w:tcW w:w="1240" w:type="dxa"/>
            <w:vAlign w:val="bottom"/>
          </w:tcPr>
          <w:p>
            <w:pPr>
              <w:jc w:val="right"/>
              <w:spacing w:after="0"/>
              <w:rPr>
                <w:sz w:val="20"/>
                <w:szCs w:val="20"/>
                <w:color w:val="auto"/>
              </w:rPr>
            </w:pPr>
            <w:r>
              <w:rPr>
                <w:rFonts w:ascii="Arial" w:cs="Arial" w:eastAsia="Arial" w:hAnsi="Arial"/>
                <w:sz w:val="18"/>
                <w:szCs w:val="18"/>
                <w:color w:val="auto"/>
              </w:rPr>
              <w:t>(438)%</w:t>
            </w:r>
          </w:p>
        </w:tc>
      </w:tr>
    </w:tbl>
    <w:p>
      <w:pPr>
        <w:spacing w:after="0" w:line="229"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$0.6 million, or 339%, for the year ended December 31, 2018 compared to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due to an increase of investments of excess cash in money market funds and marketable securities.</w:t>
      </w:r>
    </w:p>
    <w:p>
      <w:pPr>
        <w:spacing w:after="0" w:line="170"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decreased $1.1 million, or 18%, for the year ended December 31, 2018 compared to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2017, primarily due to the extinguishment of a credit facility with Silicon Valley Bank, or SVB, and Oxford Finance LLC, or Oxford, in October 2017. In conjunction with the extinguishment, we entered into a new term loan with Pharmakon, or the New Term Loan, with an increased principal balance from $30.6 million to $40 million. The extinguishment resulted in $1.5 million in early termination fees and we expensed an additional $0.7 million of unamortized debt discounts during 2017. The decrease was partially offset by $1.1 million of additional interest expense in 2018 on the increase in borrowings.</w:t>
      </w:r>
    </w:p>
    <w:p>
      <w:pPr>
        <w:spacing w:after="0" w:line="158"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decreased $1.5 million or 438%, for the year ended December 31, 2018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2017, due to losses from the change in the fair value of outstanding preferred stock warrants, which are accounted for as a liability and revalued at each reporting period. In connection with our initial public offering, or IPO, our preferred stock warrant liability was reclassed to equity as a result of the preferred stock warrants being converted to common stock warrants.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As of December 31, 2018, we had cash and cash equivalents of $25.1 million and short-term investments of $97.1 million. Since inception, we have financed our operations through our initial public offering, private placements of preferred stock, debt financing arrangements, and the sale of our products. As of December 31, 2018, we had $39.0 million principal amount of outstanding debt, net of debt discounts.</w:t>
      </w:r>
    </w:p>
    <w:p>
      <w:pPr>
        <w:spacing w:after="0" w:line="166"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As of December 31, 2018, we had an accumulated deficit of $157.2 million. During the years ended December 31, 2018 and 2017, we incurred a net loss of $17.5 million and $23.0 million, respectively, and expect to incur additional losses in the future. We have not achieved positive cash flow from operations to date. The debt covenants associated with our current debt agreement required us to maintain a minimum cash balance of $5.0 million and achieve certain revenue targets, which we were in compliance with as of December 31, 2018. Beginning with the three months ended March 31, 2019, we are required to meet either revenue or earnings targets. If we do not comply with these covenants, the debt will immediately become due.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Based upon our current operating plan, we believe that our existing cash, cash equivalents and short-term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38"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October 2017, we extinguished a term loan and revolving line of credit facility with Silicon Valley Bank and Oxford Finance, LLC and concurrently, entered into the New Term Loan with Pharmakon Advisors for $40.0 million. The New Term Loan includes an interest-only period for 35 months through September 2020 and is then repaid for 25 months of equal principal payments plus interest through December 2022. The New Term Loan carries a fixed interest rate of 11.5% and a closing fee of 1.5% of the funded amount, or $0.6 million. The New Term Loan includes a pre-payment fee of the remaining interest payable for the first 30 months of the agreement if it is prepaid within the first 30 months, a 2% prepayment penalty for months 31-48, and a 1% penalty for months 49-60. The New Term Loan required us to maintain a minimum cash balance of $5.0 million and achieve certain minimum net sales, which we were in compliance with through December 31, 2018.</w:t>
      </w:r>
    </w:p>
    <w:p>
      <w:pPr>
        <w:spacing w:after="0" w:line="189"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Beginning with the three months ended March 31, 2019, we are required to meet either minimum net sales or trailing 12-month consolidated EBITDA targets. We need to meet one or the other, but not both. If we do not meet either the minimum net sales or trailing 12-month consolidated EBITDA targets, the debt will immediately become due. The minimum net sales and trailing 12-month consolidated EBITDA targets are as follows (in thousands):</w:t>
      </w:r>
    </w:p>
    <w:p>
      <w:pPr>
        <w:spacing w:after="0" w:line="305"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Trailing 12-Month</w:t>
            </w:r>
          </w:p>
        </w:tc>
        <w:tc>
          <w:tcPr>
            <w:tcW w:w="680" w:type="dxa"/>
            <w:vAlign w:val="bottom"/>
          </w:tcPr>
          <w:p>
            <w:pPr>
              <w:spacing w:after="0"/>
              <w:rPr>
                <w:sz w:val="18"/>
                <w:szCs w:val="18"/>
                <w:color w:val="auto"/>
              </w:rPr>
            </w:pPr>
          </w:p>
        </w:tc>
      </w:tr>
      <w:tr>
        <w:trPr>
          <w:trHeight w:val="234"/>
        </w:trPr>
        <w:tc>
          <w:tcPr>
            <w:tcW w:w="3060" w:type="dxa"/>
            <w:vAlign w:val="bottom"/>
            <w:gridSpan w:val="2"/>
          </w:tcPr>
          <w:p>
            <w:pPr>
              <w:ind w:left="20"/>
              <w:spacing w:after="0"/>
              <w:rPr>
                <w:sz w:val="20"/>
                <w:szCs w:val="20"/>
                <w:color w:val="auto"/>
              </w:rPr>
            </w:pPr>
            <w:r>
              <w:rPr>
                <w:rFonts w:ascii="Arial" w:cs="Arial" w:eastAsia="Arial" w:hAnsi="Arial"/>
                <w:sz w:val="18"/>
                <w:szCs w:val="18"/>
                <w:b w:val="1"/>
                <w:bCs w:val="1"/>
                <w:color w:val="auto"/>
              </w:rPr>
              <w:t>Twelve Months Ending</w:t>
            </w: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Minimum Net Sales</w:t>
            </w:r>
          </w:p>
        </w:tc>
        <w:tc>
          <w:tcPr>
            <w:tcW w:w="90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EBITDA</w:t>
            </w:r>
          </w:p>
        </w:tc>
      </w:tr>
      <w:tr>
        <w:trPr>
          <w:trHeight w:val="27"/>
        </w:trPr>
        <w:tc>
          <w:tcPr>
            <w:tcW w:w="25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53,500</w:t>
            </w:r>
          </w:p>
        </w:tc>
        <w:tc>
          <w:tcPr>
            <w:tcW w:w="900" w:type="dxa"/>
            <w:vAlign w:val="bottom"/>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7"/>
        </w:trPr>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56,000</w:t>
            </w:r>
          </w:p>
        </w:tc>
        <w:tc>
          <w:tcPr>
            <w:tcW w:w="900" w:type="dxa"/>
            <w:vAlign w:val="bottom"/>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58,500</w:t>
            </w:r>
          </w:p>
        </w:tc>
        <w:tc>
          <w:tcPr>
            <w:tcW w:w="900" w:type="dxa"/>
            <w:vAlign w:val="bottom"/>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 as applicable</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2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Term Loan is collateralized by all of our assets, including 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 December 31, 2018, we were in compliance with all of our debt obligations and covenants.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2018 (in thousands):</w:t>
      </w:r>
    </w:p>
    <w:p>
      <w:pPr>
        <w:spacing w:after="0" w:line="383"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rPr>
              <w:t>Payments Due By Period</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18"/>
        </w:trPr>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Less than 1</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1-3 years</w:t>
            </w:r>
          </w:p>
        </w:tc>
        <w:tc>
          <w:tcPr>
            <w:tcW w:w="18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4-5 years</w:t>
            </w:r>
          </w:p>
        </w:tc>
        <w:tc>
          <w:tcPr>
            <w:tcW w:w="2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years</w:t>
            </w: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Principal obligations on the debt arrangements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22,222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Interest obligations on the debt arrangements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13,995</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4,664</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9,331</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Operating leases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246</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60,093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February 2018, we entered into a new seven-year lease for our Santa Clara, California facility. The total commitment is $5.1 million.</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34"/>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 Change</w:t>
            </w: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6"/>
          </w:tcPr>
          <w:p>
            <w:pPr>
              <w:spacing w:after="0"/>
              <w:rPr>
                <w:sz w:val="2"/>
                <w:szCs w:val="2"/>
                <w:color w:val="auto"/>
              </w:rPr>
            </w:pPr>
          </w:p>
        </w:tc>
      </w:tr>
      <w:tr>
        <w:trPr>
          <w:trHeight w:val="237"/>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20" w:type="dxa"/>
            <w:vAlign w:val="bottom"/>
            <w:gridSpan w:val="6"/>
          </w:tcPr>
          <w:p>
            <w:pPr>
              <w:jc w:val="right"/>
              <w:ind w:right="1230"/>
              <w:spacing w:after="0"/>
              <w:rPr>
                <w:sz w:val="20"/>
                <w:szCs w:val="20"/>
                <w:color w:val="auto"/>
              </w:rPr>
            </w:pPr>
            <w:r>
              <w:rPr>
                <w:rFonts w:ascii="Arial" w:cs="Arial" w:eastAsia="Arial" w:hAnsi="Arial"/>
                <w:sz w:val="18"/>
                <w:szCs w:val="18"/>
                <w:b w:val="1"/>
                <w:bCs w:val="1"/>
                <w:color w:val="auto"/>
                <w:w w:val="89"/>
              </w:rPr>
              <w:t>(in thousands, except for percentages)</w:t>
            </w:r>
          </w:p>
        </w:tc>
      </w:tr>
      <w:tr>
        <w:trPr>
          <w:trHeight w:val="27"/>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(14,519)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3,011</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(97,347)</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20365 %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115,150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102,288</w:t>
            </w:r>
          </w:p>
        </w:tc>
        <w:tc>
          <w:tcPr>
            <w:tcW w:w="1940" w:type="dxa"/>
            <w:vAlign w:val="bottom"/>
          </w:tcPr>
          <w:p>
            <w:pPr>
              <w:jc w:val="right"/>
              <w:spacing w:after="0"/>
              <w:rPr>
                <w:sz w:val="20"/>
                <w:szCs w:val="20"/>
                <w:color w:val="auto"/>
              </w:rPr>
            </w:pPr>
            <w:r>
              <w:rPr>
                <w:rFonts w:ascii="Arial" w:cs="Arial" w:eastAsia="Arial" w:hAnsi="Arial"/>
                <w:sz w:val="18"/>
                <w:szCs w:val="18"/>
                <w:color w:val="auto"/>
              </w:rPr>
              <w:t>795 %</w:t>
            </w:r>
          </w:p>
        </w:tc>
      </w:tr>
      <w:tr>
        <w:trPr>
          <w:trHeight w:val="27"/>
        </w:trPr>
        <w:tc>
          <w:tcPr>
            <w:tcW w:w="5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exchange rate changes on cash and cash equivalents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2,712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8,204</w:t>
            </w:r>
          </w:p>
        </w:tc>
        <w:tc>
          <w:tcPr>
            <w:tcW w:w="194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5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Net cash used in operating activities decreased $3.0 million, or 17%, from the year ended December 31, 2017 to the year ended December 31, 2018. The decrease in the net cash used in operating activities was primarily due to a decrease of $5.6 million in our net loss from higher sales, lower cost of good sold, and modest increases in operating expenses, partially offset by a decrease of $1.2 million in non-cash charges and decrease in changes in operating assets and liabilities of $1.4 million. The decrease in non-cash charges were mainly due charges related to write-off of public offering costs of $1.3 million, write-off of debt discount of $0.7 million and forgiveness of notes receivable of $0.4 million recognized during the year ended December 31, 2017. These charges were partially offset by higher stock-based compensation of $0.9 million and change in fair value of redeemable convertible preferred stock warrants of $1.0 million in the year ended December 31, 2018 compared to the year ended December 31, 2017. The decrease in changes in operating assets and liabilities was mainly due to higher inventory and accounts receivable as of December 31, 2018 compared to December 31, 2017.</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Net cash used in investing activities increased $97.3 million from the year ended December 31, 2017 to the year ended December 31, 2018. Cash used in investing activities for the year ended December 31, 2018 primarily consisted of purchase of short-term investments of $96.9 million as a result of the investments of the net proceeds from our IPO, and leasehold improvements related to the new building lease entered into in February 2018 of $0.6 million. Cash used in investing activities for the year ended December 31, 2017 primarily consisted of instrument set purchases of $0.5 million. The instrument sets are carried by our sales representatives and used during iFuse procedures.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Cash provided by financing activities increased $102.3 million from the year ended December 31, 2017 to the year ended December 31, 2018. Cash provided by financing activities for the year ended December 31, 2018 consisted of net proceeds from issuance of common stock with our IPO of $113.6 million and exercises of common stock options of $1.6 million. Cash provided by financing activities for the year ended December 31, 2017 consisted primarily of proceeds of $40 million from debt financing, proceeds of $5.4 million from the issuance of Series 7 preferred stock from February through March 2017 and $0.4 million in proceeds from exercises of common stock options, partially offset by $29.1 million in extinguishment of debt financing, $1.1 million in repayment of debt financing, payments of debt issuance costs of $1.5 million, and payments for public offering costs of $1.3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jc w:val="both"/>
        <w:ind w:firstLine="446"/>
        <w:spacing w:after="0" w:line="253" w:lineRule="auto"/>
        <w:rPr>
          <w:sz w:val="20"/>
          <w:szCs w:val="20"/>
          <w:color w:val="auto"/>
        </w:rPr>
      </w:pPr>
      <w:r>
        <w:rPr>
          <w:rFonts w:ascii="Arial" w:cs="Arial" w:eastAsia="Arial" w:hAnsi="Arial"/>
          <w:sz w:val="18"/>
          <w:szCs w:val="18"/>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 historical and future performance, as these policies relate to the more significant areas involving management’s judgments and estimates. For more detail on our critical accounting policies, see Note 2 to our consolidated financial statements appearing elsewhere in this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We derive our revenue from the sale of our products to medical groups and hospitals through our direct sales force and distributors throughout the United States and Europe.</w:t>
      </w:r>
    </w:p>
    <w:p>
      <w:pPr>
        <w:spacing w:after="0" w:line="170"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In accordance with ASC Topic 605, Revenue Recognition, we recognize revenue when persuasive evidence of an arrangement exists, title and risk of loss has transferred to the customer, the sales price is fixed or determinable, and collectability is reasonably assured. For the majority of product sales where our sales representative delivers the product at the point of implantation at hospitals or other medical facilities, we recognize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we recognize revenue based on shipping or delivery, which represents the point in time when the customer has taken ownership and assumed risk of loss and the required revenue recognition criteria are met. Such customers are obligated to pay within specified terms regardless of when or if they ever sell or use the products, and we have no post-delivery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00" w:firstLine="432"/>
        <w:spacing w:after="0" w:line="286" w:lineRule="auto"/>
        <w:rPr>
          <w:sz w:val="20"/>
          <w:szCs w:val="20"/>
          <w:color w:val="auto"/>
        </w:rPr>
      </w:pPr>
      <w:r>
        <w:rPr>
          <w:rFonts w:ascii="Arial" w:cs="Arial" w:eastAsia="Arial" w:hAnsi="Arial"/>
          <w:sz w:val="17"/>
          <w:szCs w:val="17"/>
          <w:color w:val="auto"/>
        </w:rPr>
        <w:t>We measure our stock-based awards made to employees based on the estimated fair value of the awards as of the grant date using the Black-Scholes option-pricing model. We recognize stock-based compensation cost over the requisite service period using the straight-line method and base stock-based compensation cost on the value of the portion of stock-based payment awards ultimately expected to vest.</w:t>
      </w:r>
    </w:p>
    <w:p>
      <w:pPr>
        <w:spacing w:after="0" w:line="166"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We record equity instruments issued to nonemployees at their fair value on the measurement date and are subject to periodic adjustment as the underling equity instruments vest. We believe that the estimated fair value of the stock options is more readily measurable than the fair value of the services received. We recognize stock-based compensation related to stock options granted to nonemployees as the stock options are earned.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Determining Fair Value of Stock Options</w:t>
      </w:r>
    </w:p>
    <w:p>
      <w:pPr>
        <w:spacing w:after="0" w:line="11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recognize compensation costs related to stock-based awards granted to employees and directors, including stock options, based on the estimated fair value of the awards on the date of grant. We estimate the grant date fair value, and the resulting stock-based compensation, using the Black-Scholes option-pricing model. We generally recognize the grant date fair value of the stock-based awards on a straight-line basis over the requisite service period, which is generally the vesting period of the respective awards.</w:t>
      </w:r>
    </w:p>
    <w:p>
      <w:pPr>
        <w:spacing w:after="0" w:line="133" w:lineRule="exact"/>
        <w:rPr>
          <w:sz w:val="20"/>
          <w:szCs w:val="20"/>
          <w:color w:val="auto"/>
        </w:rPr>
      </w:pPr>
    </w:p>
    <w:p>
      <w:pPr>
        <w:ind w:right="860" w:firstLine="432"/>
        <w:spacing w:after="0" w:line="277" w:lineRule="auto"/>
        <w:rPr>
          <w:sz w:val="20"/>
          <w:szCs w:val="20"/>
          <w:color w:val="auto"/>
        </w:rPr>
      </w:pPr>
      <w:r>
        <w:rPr>
          <w:rFonts w:ascii="Arial" w:cs="Arial" w:eastAsia="Arial" w:hAnsi="Arial"/>
          <w:sz w:val="18"/>
          <w:szCs w:val="18"/>
          <w:color w:val="auto"/>
        </w:rPr>
        <w:t>The Black-Scholes option-pricing model requires the use of subjective assumptions to determine the fair value of stock-based awards. These assumptions include: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960" w:right="140"/>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we expect stock-based awards to be outstanding. We determine the expected term</w:t>
      </w:r>
      <w:r>
        <w:rPr>
          <w:rFonts w:ascii="Arial" w:cs="Arial" w:eastAsia="Arial" w:hAnsi="Arial"/>
          <w:sz w:val="18"/>
          <w:szCs w:val="18"/>
          <w:i w:val="1"/>
          <w:iCs w:val="1"/>
          <w:color w:val="auto"/>
        </w:rPr>
        <w:t xml:space="preserve"> </w:t>
      </w:r>
      <w:r>
        <w:rPr>
          <w:rFonts w:ascii="Arial" w:cs="Arial" w:eastAsia="Arial" w:hAnsi="Arial"/>
          <w:sz w:val="18"/>
          <w:szCs w:val="18"/>
          <w:color w:val="auto"/>
        </w:rPr>
        <w:t>for option grants using the simplified method. The simplified method deems the expected term to be the midpoint between the vesting date and the contractual life of the stock-based awards.</w:t>
      </w:r>
    </w:p>
    <w:p>
      <w:pPr>
        <w:spacing w:after="0" w:line="276" w:lineRule="exact"/>
        <w:rPr>
          <w:sz w:val="20"/>
          <w:szCs w:val="20"/>
          <w:color w:val="auto"/>
        </w:rPr>
      </w:pPr>
    </w:p>
    <w:p>
      <w:pPr>
        <w:ind w:left="960" w:right="40"/>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have been privately held until October 2018 and prior to that time did not have any trading history for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we estimated the expected volatility prior to our IPO based on the average volatility for comparable publicly traded companies over a period equal to the expected term of the stock option grants. We chose the comparable companies based on their similar size, stage in the life cycle, or area of specialty.</w:t>
      </w:r>
    </w:p>
    <w:p>
      <w:pPr>
        <w:spacing w:after="0" w:line="281" w:lineRule="exact"/>
        <w:rPr>
          <w:sz w:val="20"/>
          <w:szCs w:val="20"/>
          <w:color w:val="auto"/>
        </w:rPr>
      </w:pPr>
    </w:p>
    <w:p>
      <w:pPr>
        <w:ind w:left="960" w:right="46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265" w:lineRule="exact"/>
        <w:rPr>
          <w:sz w:val="20"/>
          <w:szCs w:val="20"/>
          <w:color w:val="auto"/>
        </w:rPr>
      </w:pPr>
    </w:p>
    <w:p>
      <w:pPr>
        <w:ind w:left="960" w:right="22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an expected dividend yield of zero.</w:t>
      </w:r>
    </w:p>
    <w:p>
      <w:pPr>
        <w:spacing w:after="0" w:line="197"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 xml:space="preserve">Our board of directors intends all options granted to be exercisable at a price per share not less than the per share fair value of our common stock underlying those options on the date of grant. Prior to our IPO, the estimated fair value of our common stock was determined at each valuation date in accordance with the guidelines outlined in the </w:t>
      </w:r>
      <w:r>
        <w:rPr>
          <w:rFonts w:ascii="Arial" w:cs="Arial" w:eastAsia="Arial" w:hAnsi="Arial"/>
          <w:sz w:val="17"/>
          <w:szCs w:val="17"/>
          <w:i w:val="1"/>
          <w:iCs w:val="1"/>
          <w:color w:val="auto"/>
        </w:rPr>
        <w:t>American Institute of Certified Public Accountants Practice Aid, Valuation of Privately-Held-Company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Issued as Compensation</w:t>
      </w:r>
      <w:r>
        <w:rPr>
          <w:rFonts w:ascii="Arial" w:cs="Arial" w:eastAsia="Arial" w:hAnsi="Arial"/>
          <w:sz w:val="17"/>
          <w:szCs w:val="17"/>
          <w:color w:val="auto"/>
        </w:rPr>
        <w:t>. Our board of directors, with the assistance of management, developed these valuations using significant judgment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taking into account numerous factors, including developments at our company, market conditions, and contemporaneous independent third-party valuations. In valuing our common stock, the fair value of our business, or enterprise value, was determined using both the income approach and market approach. The income approach estimates value based on the expectation of future cash flows that a company will generate. These future cash flows are discounted to their present values using a discount rate based on the capital rates of return for venture-backed early stage companies and is adjusted to reflect the risks inherent in our cash flows. The market approach estimates value based on a comparison of the subject company to comparable public companies in a similar line of business. From the comparable companies, a representative market value multiple is determined and then applied to the subject company’s financial results to estimate the value of the subject company.</w:t>
      </w:r>
    </w:p>
    <w:p>
      <w:pPr>
        <w:spacing w:after="0" w:line="18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then allocated the enterprise values derived from the approaches discussed above to each of our classes of stock using a hybrid methodology, which included both the Option Pricing Method, or OPM, and the Probability Weighted Expected Return Method, or PWERM. The allocation of these enterprise values to each part of our capital structure, including our common stock, was done based on the OPM. OPM treats the rights of the holders of preferred and common shares as equivalent to call options on any value of the enterprise above certain breakpoints of value based upon the liquidation preferences of the holders of preferred shares, as well as their rights to participation and conversion. Thus, the estimated value of the common stock can be determined by estimating the value of its portion of each of these call option rights. The OPM is appropriate to use when the range of possible future outcomes is difficult to predict and thus creates highly speculative forecasts. The OPM backsolve method derives the implied enterprise value of a company from a recent transaction involving our own securities issued on an arms-length basis. Under the PWERM the value is estimated based upon analysis of future values for the enterprise under varying scenarios, probabilities are ascribed to these scenarios based on expected future outcomes. PWERM involves a forward-looking analysis of the possible future outcomes of the enterprise. This method is particularly useful when discrete future outcomes can be predicted at a relatively high confidence level with a probability distribution. Discrete future outcomes considered under the PWERM include an initial public offering scenarios.</w:t>
      </w:r>
    </w:p>
    <w:p>
      <w:pPr>
        <w:spacing w:after="0" w:line="173"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After the equity value is determined and allocated to the various classes of shares, a discount for lack of marketability, or DLOM, is applied to arrive at the fair value of common stock.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16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Following our IPO, the fair value of our common stock has been determined based on the closing price of our common stock on the Nasdaq Global Market.</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We issued freestanding warrants to purchase shares of common and preferred stock in connection with our prior debt facilities. We accounted for these warrants as a liability in our consolidated financial statements because the underlying instrument into which the warrants were exercisable contained deemed liquidation provisions that were outside our control.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warrants were recorded at fair value using the Black-Scholes option pricing model. The warrants were re-measured at each financial reporting period with any changes in fair value being recognized as a component of other income (expense), net in the consolidated statements of operations. We adjusted the liability for changes in fair value until the the closing of our initial public offering, at which time certain preferred stock warrants were converted into warrants to purchase common stock and the liability was reclassified to additional paid-in capital.</w:t>
      </w:r>
    </w:p>
    <w:p>
      <w:pPr>
        <w:spacing w:after="0" w:line="2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We account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We determined that the warrants for shares of common stock issued in connection with our prior debt facilities. We estimate the fair value of our warrants for shares of common stock by using the Black-Scholes option pricing model. Warrants classified as equity are recorded as additional paid-in-capital on the consolidated balance sheet and no further adjustments to their valuation are made after the issuance of the warrants.</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We account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We assess the likelihood that the resulting deferred tax assets will be realized. A valuation allowance is provided when it is more likely than not that some portion or all of a deferred tax asset will not be realized.</w:t>
      </w:r>
    </w:p>
    <w:p>
      <w:pPr>
        <w:spacing w:after="0" w:line="187"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As of December 31, 2018, we had net operating loss carryforwards of $135.5 million and $109.9 million available to reduce future taxable income, if any, for federal and state income tax purposes, respectively. If not utilized, our federal and state net operating loss carryforwards begin to expire in 2029 and 2019, respectively, and valuation allowances have been established, where necessary. We also have research credit carryforwards of approximately $1.7 million and $1.9 million available to reduce future taxable income, if any, for both federal and California state income tax purposes, respectively. The federal credits begin to expire in 2030, and the California credits have no expiration date. Realization of these net operating loss and research credit carryforwards could expire unused and be unavailable to reduce future income tax liabilities, which could materially and adversely affect our results of operations.</w:t>
      </w:r>
    </w:p>
    <w:p>
      <w:pPr>
        <w:spacing w:after="0" w:line="165"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did not record a provision or benefit for income taxes during the years ended December 31, 2018 or 2017. We continue to maintain a full valuation allowance against our net deferred tax assets.</w:t>
      </w:r>
    </w:p>
    <w:p>
      <w:pPr>
        <w:spacing w:after="0" w:line="17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Tax Reform Act of 1986 limits the use of net operating loss and tax credit carryforwards in certain situations where changes occur in the stock ownership of a company. In general, if we experience a greater than 50 percentage point aggregate change in ownership over a three-year period (a Section 382 ownership change), utilization of our pre-change NOL carryforwards are subject to an annual limitation under Section 382 of the Internal Revenue Code (California has similar laws). The annual limitation generally is determined by multiplying the value of our stock at the time of such ownership change (subject to certain adjustments) by the applicable long-term tax-exempt rate. Such limitations may result in expiration of a portion of the NOL carryforwards before utilization. We have not utilized any NOL carryovers through December 31, 2018. In addition, our deferred tax assets are subject to full valuation allowance, and thus no benefit for deferred tax assets have been recorded. The Company has determined that it experienced Section 382 ownership changes in 2010 and $1.4 million of its NOLs are limited. The Company is currently performing an analysis to determine whether any additional NOL carryforwards are limited due to a change in ownership as a result of its recent IPO.</w:t>
      </w:r>
    </w:p>
    <w:p>
      <w:pPr>
        <w:spacing w:after="0" w:line="18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December 22, 2017, the United States enacted a law commonly known as the Tax Cuts and Jobs Act (“TCJA”) which makes widespread changes to the Internal Revenue Code, including a reduction in the federal corporate tax rate to 21%, effective January 1, 2018.</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432"/>
        <w:spacing w:after="0" w:line="273" w:lineRule="auto"/>
        <w:rPr>
          <w:sz w:val="20"/>
          <w:szCs w:val="20"/>
          <w:color w:val="auto"/>
        </w:rPr>
      </w:pPr>
      <w:r>
        <w:rPr>
          <w:rFonts w:ascii="Arial" w:cs="Arial" w:eastAsia="Arial" w:hAnsi="Arial"/>
          <w:sz w:val="17"/>
          <w:szCs w:val="17"/>
          <w:color w:val="auto"/>
        </w:rPr>
        <w:t>The Company is subject to the provisions of the Financial Accounting Standards Board (“FASB”) ASC 740-10, Income Taxes, which requires that the effect on deferred tax assets and liabilities of a change in tax rates be recognized in the period the tax rate change was enacted. The carrying value of U.S. deferred taxes is determined by the enacted U.S. corporate income tax rate. Consequently, the reduction in the U.S. corporate income tax rate impacts the carrying value of deferred tax assets. Under the new corporate income tax rate of 21%, the U.S. net deferred tax asset position decreased by approximately $15.8 million. Uncertainty regarding the impact of tax reform remains, as a result of factors including future regulatory and rulemaking processes, the prospects of additional corrective or supplemental legislation, potential trade or other litigation, and other factors.</w:t>
      </w:r>
    </w:p>
    <w:p>
      <w:pPr>
        <w:spacing w:after="0" w:line="178" w:lineRule="exact"/>
        <w:rPr>
          <w:sz w:val="20"/>
          <w:szCs w:val="20"/>
          <w:color w:val="auto"/>
        </w:rPr>
      </w:pPr>
    </w:p>
    <w:p>
      <w:pPr>
        <w:jc w:val="both"/>
        <w:ind w:firstLine="446"/>
        <w:spacing w:after="0" w:line="289" w:lineRule="auto"/>
        <w:rPr>
          <w:sz w:val="20"/>
          <w:szCs w:val="20"/>
          <w:color w:val="auto"/>
        </w:rPr>
      </w:pPr>
      <w:r>
        <w:rPr>
          <w:rFonts w:ascii="Arial" w:cs="Arial" w:eastAsia="Arial" w:hAnsi="Arial"/>
          <w:sz w:val="16"/>
          <w:szCs w:val="16"/>
          <w:color w:val="auto"/>
        </w:rPr>
        <w:t>In December 2017, the SEC staff issued Staff Accounting Bulletin No. 118 (“SAB 118”), which provides guidance for the tax effect of the 2017 Tax Act. SAB 118 provides a measurement period that should not extend beyond one year from the 2017 Tax Act’s enactment date for companies to complete the accounting under Accounting Standards Codification Topic 740, Income Taxes (“ASC 740”). In accordance with SAB 118, we must reflect the income tax effects of those aspects of the 2017 Tax Act for which the accounting under ASC 740 is complete. To the extent that its accounting for certain income tax effects of the 2017 Tax Act is incomplete, but we are able to determine a reasonable estimate, we must record a provisional estimate in its consolidated financial statements. If we cannot determine a provisional estimate to be included in its consolidated financial statements, we should continue to apply ASC 740 on the basis of the provisions of the tax laws that were in effect immediately before the enactment of the 2017 Tax Act. It is expected that the U.S. Treasury will issue regulations and other guidance on the application of certain provisions of the 2017 Tax Act. We analyzed the guidance and other necessary information related to the tax effects of the 2017 Tax Act and consider the accounting of our net deferred tax assets complete in accordance with SAB 118.</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Through December 31,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jc w:val="both"/>
        <w:ind w:firstLine="446"/>
        <w:spacing w:after="0" w:line="293" w:lineRule="auto"/>
        <w:rPr>
          <w:sz w:val="20"/>
          <w:szCs w:val="20"/>
          <w:color w:val="auto"/>
        </w:rPr>
      </w:pPr>
      <w:r>
        <w:rPr>
          <w:rFonts w:ascii="Arial" w:cs="Arial" w:eastAsia="Arial" w:hAnsi="Arial"/>
          <w:sz w:val="16"/>
          <w:szCs w:val="16"/>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We adopted this standard for the fiscal year ended December 31, 2017, which did not have a material impact on our consolidated financial statements.</w:t>
      </w:r>
    </w:p>
    <w:p>
      <w:pPr>
        <w:spacing w:after="0" w:line="11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ASU 2015-17 specifies that deferred tax assets and liabilities shall be classified as non-current, or long-term, in a 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We early adopted this standard for the fiscal year ended December 31, 2017, which did not have a material impact on our consolidated financial statements.</w:t>
      </w:r>
    </w:p>
    <w:p>
      <w:pPr>
        <w:spacing w:after="0" w:line="124"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We early adopted this standard in the first quarter of 2017 by recording the cumulative impact of applying this guidance to retained earnings, which was not material. We elected to continue to estimate the number of awards that are expected to vest.</w:t>
      </w:r>
    </w:p>
    <w:p>
      <w:pPr>
        <w:spacing w:after="0" w:line="191" w:lineRule="exact"/>
        <w:rPr>
          <w:sz w:val="20"/>
          <w:szCs w:val="20"/>
          <w:color w:val="auto"/>
        </w:rPr>
      </w:pPr>
    </w:p>
    <w:p>
      <w:pPr>
        <w:ind w:right="260" w:firstLine="486"/>
        <w:spacing w:after="0" w:line="314" w:lineRule="auto"/>
        <w:rPr>
          <w:sz w:val="20"/>
          <w:szCs w:val="20"/>
          <w:color w:val="auto"/>
        </w:rPr>
      </w:pPr>
      <w:r>
        <w:rPr>
          <w:rFonts w:ascii="Arial" w:cs="Arial" w:eastAsia="Arial" w:hAnsi="Arial"/>
          <w:sz w:val="16"/>
          <w:szCs w:val="16"/>
          <w:color w:val="auto"/>
        </w:rPr>
        <w:t>In January 2016, the FASB issued ASU 2016-01. Recognition and Measurement of Financial Assets and Financial Liabilities, which amends Accounting Standards Codification, or ASC, Subtopic 825-10, Financial Instruments - Overall, and includes updates on certain aspects of recognition, measurement, presentation and disclosure of financial instruments and applies to all entities that hold financial assets or owe financial liabilities. The new standard is effective for our annual period beginning after December 15, 2018, with early adoption permitted beginning after December 15, 2017. We have adopted this standard for the fiscal year ending December 31, 2018, which did not have any impact on our consolidated financial statements.</w:t>
      </w:r>
    </w:p>
    <w:p>
      <w:pPr>
        <w:spacing w:after="0" w:line="93"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all entities for fiscal years, including interim periods within those fiscal years, beginning after December 15, 2017. Early adoption is permitted. We adopted this standard for the fiscal year ending December 31, 2018, which did not have any impact on our consolidated financial statements.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Standards Not Yet Effective</w:t>
      </w:r>
    </w:p>
    <w:p>
      <w:pPr>
        <w:spacing w:after="0" w:line="171"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as ASU 2014-09.</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continue to evaluate the impacts of adoption of the new standard on its accounting policies, processes, and system requirements and have assigned internal resources, in addition to the engagement of third party service providers, to assist in the evaluation. At this time, as it relates to product sales where our sales representative delivers the product at the point of implantation at hospital or other medical facilities, we expect revenue to continue to be recognized upon completion of the procedure and authorization by the customer. Additionally, the new standard requires the capitalization of costs to obtain a contract, primarily sales commissions, and amortization of these costs over the contract period or estimated customer life. We expect to continue expensing all sales commissions as incurred. Management will adopt the standard using the modified retrospective method for the fiscal year ending December 31, 2019.</w:t>
      </w:r>
    </w:p>
    <w:p>
      <w:pPr>
        <w:spacing w:after="0" w:line="111"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lessee’s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We are currently evaluating the impact of this standard on our consolidated financial statements, and anticipates adopting the standard for the fiscal year ending December 31, 2020.</w:t>
      </w:r>
    </w:p>
    <w:p>
      <w:pPr>
        <w:spacing w:after="0" w:line="115"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provides guidance on the following eight specific cash flow classification issues: (1) debt prepayment or debt extinguishment costs;</w:t>
      </w:r>
    </w:p>
    <w:p>
      <w:pPr>
        <w:jc w:val="both"/>
        <w:ind w:firstLine="8"/>
        <w:spacing w:after="0" w:line="281" w:lineRule="auto"/>
        <w:tabs>
          <w:tab w:leader="none" w:pos="268" w:val="left"/>
        </w:tabs>
        <w:numPr>
          <w:ilvl w:val="0"/>
          <w:numId w:val="54"/>
        </w:numPr>
        <w:rPr>
          <w:rFonts w:ascii="Arial" w:cs="Arial" w:eastAsia="Arial" w:hAnsi="Arial"/>
          <w:sz w:val="16"/>
          <w:szCs w:val="16"/>
          <w:color w:val="auto"/>
        </w:rPr>
      </w:pPr>
      <w:r>
        <w:rPr>
          <w:rFonts w:ascii="Arial" w:cs="Arial" w:eastAsia="Arial" w:hAnsi="Arial"/>
          <w:sz w:val="16"/>
          <w:szCs w:val="16"/>
          <w:color w:val="auto"/>
        </w:rPr>
        <w:t>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w:t>
      </w:r>
    </w:p>
    <w:p>
      <w:pPr>
        <w:spacing w:after="0" w:line="1" w:lineRule="exact"/>
        <w:rPr>
          <w:rFonts w:ascii="Arial" w:cs="Arial" w:eastAsia="Arial" w:hAnsi="Arial"/>
          <w:sz w:val="16"/>
          <w:szCs w:val="16"/>
          <w:color w:val="auto"/>
        </w:rPr>
      </w:pPr>
    </w:p>
    <w:p>
      <w:pPr>
        <w:jc w:val="both"/>
        <w:ind w:firstLine="8"/>
        <w:spacing w:after="0" w:line="290" w:lineRule="auto"/>
        <w:tabs>
          <w:tab w:leader="none" w:pos="274"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fiscal years beginning after December 15, 2018 and interim periods within fiscal years beginning after December 15, 2019 for private companies, with early adoption permitted. We are currently evaluating the impact of adopting ASU 2016-15 on our consolidated financial statements, and anticipates adopting the standard for the fiscal year ending December 31, 2019.</w:t>
      </w:r>
    </w:p>
    <w:p>
      <w:pPr>
        <w:spacing w:after="0" w:line="110"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In July 2017, the FASB issued ASU 2017-11, 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We are currently evaluating the impact that the adoption of this standard will have on our consolidated financial statements, and anticipates adopting the standard for the fiscal year ending December 31, 2020.</w:t>
      </w:r>
    </w:p>
    <w:p>
      <w:pPr>
        <w:spacing w:after="0" w:line="129"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February 2018, the FASB issued ASU 2018-02, Income Statement—Reporting Comprehensive Income (Topic 220). This update provides companies with the option to reclassify stranded tax effects caused by the 2017 Tax Cuts and Jobs Act (the 2017 Tax Act) from accumulated other comprehensive income to retained earnings. This standard is effective for all entities for fiscal years, and interim periods within those fiscal years, beginning after December 15, 2018. Early adoption is permitted. We are currently evaluating the impact that the adoption of this standard will have on our consolidated financial statements, and anticipates adopting the standard for the fiscal year ending December 31, 2019.</w:t>
      </w:r>
    </w:p>
    <w:p>
      <w:pPr>
        <w:spacing w:after="0" w:line="119"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 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after December 15, 2020. Early adoption is permitted, but no earlier than a company’s adoption date of ASC 606. We are currently evaluating the impact that the adoption of this standard will have on the consolidated financial statements, and anticipates adopting the standard for the fiscal year ending December 31, 2020.</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3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 to a smaller reporting company.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74"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008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0">
              <w:r>
                <w:rPr>
                  <w:rFonts w:ascii="Arial" w:cs="Arial" w:eastAsia="Arial" w:hAnsi="Arial"/>
                  <w:sz w:val="18"/>
                  <w:szCs w:val="18"/>
                  <w:color w:val="0000EE"/>
                  <w:w w:val="79"/>
                </w:rPr>
                <w:t>89</w:t>
              </w:r>
            </w:hyperlink>
          </w:p>
        </w:tc>
      </w:tr>
      <w:tr>
        <w:trPr>
          <w:trHeight w:val="250"/>
        </w:trPr>
        <w:tc>
          <w:tcPr>
            <w:tcW w:w="10080" w:type="dxa"/>
            <w:vAlign w:val="bottom"/>
          </w:tcPr>
          <w:p>
            <w:pPr>
              <w:spacing w:after="0"/>
              <w:rPr>
                <w:sz w:val="20"/>
                <w:szCs w:val="20"/>
                <w:color w:val="auto"/>
              </w:rPr>
            </w:pPr>
            <w:r>
              <w:rPr>
                <w:rFonts w:ascii="Arial" w:cs="Arial" w:eastAsia="Arial" w:hAnsi="Arial"/>
                <w:sz w:val="18"/>
                <w:szCs w:val="18"/>
                <w:color w:val="auto"/>
              </w:rPr>
              <w:t>Consolidated Balance Sheets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1">
              <w:r>
                <w:rPr>
                  <w:rFonts w:ascii="Arial" w:cs="Arial" w:eastAsia="Arial" w:hAnsi="Arial"/>
                  <w:sz w:val="18"/>
                  <w:szCs w:val="18"/>
                  <w:color w:val="0000EE"/>
                  <w:w w:val="79"/>
                </w:rPr>
                <w:t>90</w:t>
              </w:r>
            </w:hyperlink>
          </w:p>
        </w:tc>
      </w:tr>
      <w:tr>
        <w:trPr>
          <w:trHeight w:val="250"/>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Operations and Comprehensive Loss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2">
              <w:r>
                <w:rPr>
                  <w:rFonts w:ascii="Arial" w:cs="Arial" w:eastAsia="Arial" w:hAnsi="Arial"/>
                  <w:sz w:val="18"/>
                  <w:szCs w:val="18"/>
                  <w:color w:val="0000EE"/>
                  <w:w w:val="79"/>
                </w:rPr>
                <w:t>91</w:t>
              </w:r>
            </w:hyperlink>
          </w:p>
        </w:tc>
      </w:tr>
      <w:tr>
        <w:trPr>
          <w:trHeight w:val="250"/>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Changes in Redeemable Convertible Preferred Stock and Stockholders' Equity (Deficit)</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3">
              <w:r>
                <w:rPr>
                  <w:rFonts w:ascii="Arial" w:cs="Arial" w:eastAsia="Arial" w:hAnsi="Arial"/>
                  <w:sz w:val="18"/>
                  <w:szCs w:val="18"/>
                  <w:color w:val="0000EE"/>
                  <w:w w:val="79"/>
                </w:rPr>
                <w:t>92</w:t>
              </w:r>
            </w:hyperlink>
          </w:p>
        </w:tc>
      </w:tr>
      <w:tr>
        <w:trPr>
          <w:trHeight w:val="250"/>
        </w:trPr>
        <w:tc>
          <w:tcPr>
            <w:tcW w:w="10080" w:type="dxa"/>
            <w:vAlign w:val="bottom"/>
          </w:tcPr>
          <w:p>
            <w:pPr>
              <w:spacing w:after="0"/>
              <w:rPr>
                <w:sz w:val="20"/>
                <w:szCs w:val="20"/>
                <w:color w:val="auto"/>
              </w:rPr>
            </w:pPr>
            <w:r>
              <w:rPr>
                <w:rFonts w:ascii="Arial" w:cs="Arial" w:eastAsia="Arial" w:hAnsi="Arial"/>
                <w:sz w:val="18"/>
                <w:szCs w:val="18"/>
                <w:color w:val="auto"/>
              </w:rPr>
              <w:t>Consolidated Statements of Cash Flows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5">
              <w:r>
                <w:rPr>
                  <w:rFonts w:ascii="Arial" w:cs="Arial" w:eastAsia="Arial" w:hAnsi="Arial"/>
                  <w:sz w:val="18"/>
                  <w:szCs w:val="18"/>
                  <w:color w:val="0000EE"/>
                  <w:w w:val="79"/>
                </w:rPr>
                <w:t>94</w:t>
              </w:r>
            </w:hyperlink>
          </w:p>
        </w:tc>
      </w:tr>
      <w:tr>
        <w:trPr>
          <w:trHeight w:val="250"/>
        </w:trPr>
        <w:tc>
          <w:tcPr>
            <w:tcW w:w="100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97">
              <w:r>
                <w:rPr>
                  <w:rFonts w:ascii="Arial" w:cs="Arial" w:eastAsia="Arial" w:hAnsi="Arial"/>
                  <w:sz w:val="18"/>
                  <w:szCs w:val="18"/>
                  <w:color w:val="0000EE"/>
                  <w:w w:val="79"/>
                </w:rPr>
                <w:t>96</w:t>
              </w:r>
            </w:hyperlink>
          </w:p>
        </w:tc>
      </w:tr>
      <w:tr>
        <w:trPr>
          <w:trHeight w:val="831"/>
        </w:trPr>
        <w:tc>
          <w:tcPr>
            <w:tcW w:w="10080" w:type="dxa"/>
            <w:vAlign w:val="bottom"/>
          </w:tcPr>
          <w:p>
            <w:pPr>
              <w:ind w:left="504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4"/>
                <w:szCs w:val="24"/>
                <w:color w:val="auto"/>
              </w:rPr>
            </w:pPr>
          </w:p>
        </w:tc>
      </w:tr>
    </w:tbl>
    <w:p>
      <w:pPr>
        <w:sectPr>
          <w:pgSz w:w="11900" w:h="16838" w:orient="portrait"/>
          <w:cols w:equalWidth="0" w:num="1">
            <w:col w:w="10840"/>
          </w:cols>
          <w:pgMar w:left="240" w:top="1120" w:right="819" w:bottom="1440" w:gutter="0" w:footer="0" w:header="0"/>
        </w:sectPr>
      </w:pPr>
    </w:p>
    <w:bookmarkStart w:id="89" w:name="page90"/>
    <w:bookmarkEnd w:id="8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We have audited the accompanying consolidated balance sheets of SI-BONE, Inc. and its subsidiaries (the “Company”) as of December 31, 2018 and 2017, and the related consolidated statements of operations and comprehensive loss, of changes in redeemable convertible preferred stock and stockholders' equity (deficit) and of cash flows for each of the years then ended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years then ended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796" w:right="259" w:bottom="1440" w:gutter="0" w:footer="0" w:header="0"/>
        </w:sectPr>
      </w:pPr>
    </w:p>
    <w:bookmarkStart w:id="90" w:name="page91"/>
    <w:bookmarkEnd w:id="90"/>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6" w:lineRule="exact"/>
        <w:rPr>
          <w:sz w:val="20"/>
          <w:szCs w:val="20"/>
          <w:color w:val="auto"/>
        </w:rPr>
      </w:pPr>
    </w:p>
    <w:p>
      <w:pPr>
        <w:ind w:left="8860"/>
        <w:spacing w:after="0"/>
        <w:tabs>
          <w:tab w:leader="none" w:pos="10180" w:val="left"/>
        </w:tabs>
        <w:rPr>
          <w:sz w:val="20"/>
          <w:szCs w:val="20"/>
          <w:color w:val="auto"/>
        </w:rPr>
      </w:pPr>
      <w:r>
        <w:rPr>
          <w:rFonts w:ascii="Arial" w:cs="Arial" w:eastAsia="Arial" w:hAnsi="Arial"/>
          <w:sz w:val="14"/>
          <w:szCs w:val="14"/>
          <w:b w:val="1"/>
          <w:bCs w:val="1"/>
          <w:color w:val="auto"/>
        </w:rPr>
        <w:t>December 31,</w:t>
      </w:r>
      <w:r>
        <w:rPr>
          <w:sz w:val="20"/>
          <w:szCs w:val="20"/>
          <w:color w:val="auto"/>
        </w:rPr>
        <w:tab/>
      </w:r>
      <w:r>
        <w:rPr>
          <w:rFonts w:ascii="Arial" w:cs="Arial" w:eastAsia="Arial" w:hAnsi="Arial"/>
          <w:sz w:val="12"/>
          <w:szCs w:val="12"/>
          <w:b w:val="1"/>
          <w:bCs w:val="1"/>
          <w:color w:val="auto"/>
        </w:rPr>
        <w:t>December 31,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77"/>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6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6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Cash and cash equivalents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25,120</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22,408</w:t>
            </w:r>
          </w:p>
        </w:tc>
        <w:tc>
          <w:tcPr>
            <w:tcW w:w="0" w:type="dxa"/>
            <w:vAlign w:val="bottom"/>
          </w:tcPr>
          <w:p>
            <w:pPr>
              <w:spacing w:after="0"/>
              <w:rPr>
                <w:sz w:val="1"/>
                <w:szCs w:val="1"/>
                <w:color w:val="auto"/>
              </w:rPr>
            </w:pPr>
          </w:p>
        </w:tc>
      </w:tr>
      <w:tr>
        <w:trPr>
          <w:trHeight w:val="80"/>
        </w:trPr>
        <w:tc>
          <w:tcPr>
            <w:tcW w:w="86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60" w:type="dxa"/>
            <w:vAlign w:val="bottom"/>
          </w:tcPr>
          <w:p>
            <w:pPr>
              <w:ind w:left="46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97,103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receivable, net of allowance for doubtful accounts of $263 and $268 at December 31, 2018 and 2017, respectively</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8,486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7,416</w:t>
            </w:r>
          </w:p>
        </w:tc>
        <w:tc>
          <w:tcPr>
            <w:tcW w:w="0" w:type="dxa"/>
            <w:vAlign w:val="bottom"/>
          </w:tcPr>
          <w:p>
            <w:pPr>
              <w:spacing w:after="0"/>
              <w:rPr>
                <w:sz w:val="1"/>
                <w:szCs w:val="1"/>
                <w:color w:val="auto"/>
              </w:rPr>
            </w:pPr>
          </w:p>
        </w:tc>
      </w:tr>
      <w:tr>
        <w:trPr>
          <w:trHeight w:val="80"/>
        </w:trPr>
        <w:tc>
          <w:tcPr>
            <w:tcW w:w="86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60" w:type="dxa"/>
            <w:vAlign w:val="bottom"/>
          </w:tcPr>
          <w:p>
            <w:pPr>
              <w:ind w:left="460"/>
              <w:spacing w:after="0"/>
              <w:rPr>
                <w:sz w:val="20"/>
                <w:szCs w:val="20"/>
                <w:color w:val="auto"/>
              </w:rPr>
            </w:pPr>
            <w:r>
              <w:rPr>
                <w:rFonts w:ascii="Arial" w:cs="Arial" w:eastAsia="Arial" w:hAnsi="Arial"/>
                <w:sz w:val="14"/>
                <w:szCs w:val="14"/>
                <w:color w:val="auto"/>
              </w:rPr>
              <w:t>Inventory</w:t>
            </w:r>
          </w:p>
        </w:tc>
        <w:tc>
          <w:tcPr>
            <w:tcW w:w="28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3,343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2,553</w:t>
            </w:r>
          </w:p>
        </w:tc>
        <w:tc>
          <w:tcPr>
            <w:tcW w:w="0" w:type="dxa"/>
            <w:vAlign w:val="bottom"/>
          </w:tcPr>
          <w:p>
            <w:pPr>
              <w:spacing w:after="0"/>
              <w:rPr>
                <w:sz w:val="1"/>
                <w:szCs w:val="1"/>
                <w:color w:val="auto"/>
              </w:rPr>
            </w:pPr>
          </w:p>
        </w:tc>
      </w:tr>
      <w:tr>
        <w:trPr>
          <w:trHeight w:val="74"/>
        </w:trPr>
        <w:tc>
          <w:tcPr>
            <w:tcW w:w="8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1,252</w:t>
            </w:r>
          </w:p>
        </w:tc>
        <w:tc>
          <w:tcPr>
            <w:tcW w:w="0" w:type="dxa"/>
            <w:vAlign w:val="bottom"/>
          </w:tcPr>
          <w:p>
            <w:pPr>
              <w:spacing w:after="0"/>
              <w:rPr>
                <w:sz w:val="1"/>
                <w:szCs w:val="1"/>
                <w:color w:val="auto"/>
              </w:rPr>
            </w:pPr>
          </w:p>
        </w:tc>
      </w:tr>
      <w:tr>
        <w:trPr>
          <w:trHeight w:val="80"/>
        </w:trPr>
        <w:tc>
          <w:tcPr>
            <w:tcW w:w="866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66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4"/>
                <w:szCs w:val="14"/>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136,042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33,629</w:t>
            </w:r>
          </w:p>
        </w:tc>
        <w:tc>
          <w:tcPr>
            <w:tcW w:w="0" w:type="dxa"/>
            <w:vAlign w:val="bottom"/>
          </w:tcPr>
          <w:p>
            <w:pPr>
              <w:spacing w:after="0"/>
              <w:rPr>
                <w:sz w:val="1"/>
                <w:szCs w:val="1"/>
                <w:color w:val="auto"/>
              </w:rPr>
            </w:pPr>
          </w:p>
        </w:tc>
      </w:tr>
      <w:tr>
        <w:trPr>
          <w:trHeight w:val="74"/>
        </w:trPr>
        <w:tc>
          <w:tcPr>
            <w:tcW w:w="8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Property and equipment, net</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2,154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1,896</w:t>
            </w:r>
          </w:p>
        </w:tc>
        <w:tc>
          <w:tcPr>
            <w:tcW w:w="0" w:type="dxa"/>
            <w:vAlign w:val="bottom"/>
          </w:tcPr>
          <w:p>
            <w:pPr>
              <w:spacing w:after="0"/>
              <w:rPr>
                <w:sz w:val="1"/>
                <w:szCs w:val="1"/>
                <w:color w:val="auto"/>
              </w:rPr>
            </w:pPr>
          </w:p>
        </w:tc>
      </w:tr>
      <w:tr>
        <w:trPr>
          <w:trHeight w:val="80"/>
        </w:trPr>
        <w:tc>
          <w:tcPr>
            <w:tcW w:w="86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60" w:type="dxa"/>
            <w:vAlign w:val="bottom"/>
          </w:tcPr>
          <w:p>
            <w:pPr>
              <w:ind w:left="460"/>
              <w:spacing w:after="0"/>
              <w:rPr>
                <w:sz w:val="20"/>
                <w:szCs w:val="20"/>
                <w:color w:val="auto"/>
              </w:rPr>
            </w:pPr>
            <w:r>
              <w:rPr>
                <w:rFonts w:ascii="Arial" w:cs="Arial" w:eastAsia="Arial" w:hAnsi="Arial"/>
                <w:sz w:val="14"/>
                <w:szCs w:val="14"/>
                <w:color w:val="auto"/>
              </w:rPr>
              <w:t>Other non-current assets</w:t>
            </w:r>
          </w:p>
        </w:tc>
        <w:tc>
          <w:tcPr>
            <w:tcW w:w="28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74"/>
        </w:trPr>
        <w:tc>
          <w:tcPr>
            <w:tcW w:w="86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6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TOTAL ASSETS</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138,521</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35,834</w:t>
            </w:r>
          </w:p>
        </w:tc>
        <w:tc>
          <w:tcPr>
            <w:tcW w:w="0" w:type="dxa"/>
            <w:vAlign w:val="bottom"/>
          </w:tcPr>
          <w:p>
            <w:pPr>
              <w:spacing w:after="0"/>
              <w:rPr>
                <w:sz w:val="1"/>
                <w:szCs w:val="1"/>
                <w:color w:val="auto"/>
              </w:rPr>
            </w:pPr>
          </w:p>
        </w:tc>
      </w:tr>
      <w:tr>
        <w:trPr>
          <w:trHeight w:val="60"/>
        </w:trPr>
        <w:tc>
          <w:tcPr>
            <w:tcW w:w="86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8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REDEEMABLE CONVERTIBLE PREFERRED STOCK AND STOCKHOLDERS’ EQUITY (DEFICIT)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6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2,146</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1,814</w:t>
            </w:r>
          </w:p>
        </w:tc>
        <w:tc>
          <w:tcPr>
            <w:tcW w:w="0" w:type="dxa"/>
            <w:vAlign w:val="bottom"/>
          </w:tcPr>
          <w:p>
            <w:pPr>
              <w:spacing w:after="0"/>
              <w:rPr>
                <w:sz w:val="1"/>
                <w:szCs w:val="1"/>
                <w:color w:val="auto"/>
              </w:rPr>
            </w:pPr>
          </w:p>
        </w:tc>
      </w:tr>
      <w:tr>
        <w:trPr>
          <w:trHeight w:val="80"/>
        </w:trPr>
        <w:tc>
          <w:tcPr>
            <w:tcW w:w="866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60" w:type="dxa"/>
            <w:vAlign w:val="bottom"/>
          </w:tcPr>
          <w:p>
            <w:pPr>
              <w:ind w:left="460"/>
              <w:spacing w:after="0"/>
              <w:rPr>
                <w:sz w:val="20"/>
                <w:szCs w:val="20"/>
                <w:color w:val="auto"/>
              </w:rPr>
            </w:pPr>
            <w:r>
              <w:rPr>
                <w:rFonts w:ascii="Arial" w:cs="Arial" w:eastAsia="Arial" w:hAnsi="Arial"/>
                <w:sz w:val="14"/>
                <w:szCs w:val="14"/>
                <w:color w:val="auto"/>
              </w:rPr>
              <w:t>Accrued liabilities and other</w:t>
            </w:r>
          </w:p>
        </w:tc>
        <w:tc>
          <w:tcPr>
            <w:tcW w:w="28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6,860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5,724</w:t>
            </w:r>
          </w:p>
        </w:tc>
        <w:tc>
          <w:tcPr>
            <w:tcW w:w="0" w:type="dxa"/>
            <w:vAlign w:val="bottom"/>
          </w:tcPr>
          <w:p>
            <w:pPr>
              <w:spacing w:after="0"/>
              <w:rPr>
                <w:sz w:val="1"/>
                <w:szCs w:val="1"/>
                <w:color w:val="auto"/>
              </w:rPr>
            </w:pPr>
          </w:p>
        </w:tc>
      </w:tr>
      <w:tr>
        <w:trPr>
          <w:trHeight w:val="74"/>
        </w:trPr>
        <w:tc>
          <w:tcPr>
            <w:tcW w:w="86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6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Total current liabilities</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9,006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7,538</w:t>
            </w:r>
          </w:p>
        </w:tc>
        <w:tc>
          <w:tcPr>
            <w:tcW w:w="0" w:type="dxa"/>
            <w:vAlign w:val="bottom"/>
          </w:tcPr>
          <w:p>
            <w:pPr>
              <w:spacing w:after="0"/>
              <w:rPr>
                <w:sz w:val="1"/>
                <w:szCs w:val="1"/>
                <w:color w:val="auto"/>
              </w:rPr>
            </w:pPr>
          </w:p>
        </w:tc>
      </w:tr>
      <w:tr>
        <w:trPr>
          <w:trHeight w:val="80"/>
        </w:trPr>
        <w:tc>
          <w:tcPr>
            <w:tcW w:w="86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60" w:type="dxa"/>
            <w:vAlign w:val="bottom"/>
          </w:tcPr>
          <w:p>
            <w:pPr>
              <w:ind w:left="460"/>
              <w:spacing w:after="0"/>
              <w:rPr>
                <w:sz w:val="20"/>
                <w:szCs w:val="20"/>
                <w:color w:val="auto"/>
              </w:rPr>
            </w:pPr>
            <w:r>
              <w:rPr>
                <w:rFonts w:ascii="Arial" w:cs="Arial" w:eastAsia="Arial" w:hAnsi="Arial"/>
                <w:sz w:val="14"/>
                <w:szCs w:val="14"/>
                <w:color w:val="auto"/>
              </w:rPr>
              <w:t>Redeemable convertible preferred stock warrants</w:t>
            </w:r>
          </w:p>
        </w:tc>
        <w:tc>
          <w:tcPr>
            <w:tcW w:w="280" w:type="dxa"/>
            <w:vAlign w:val="bottom"/>
          </w:tcPr>
          <w:p>
            <w:pPr>
              <w:spacing w:after="0"/>
              <w:rPr>
                <w:sz w:val="16"/>
                <w:szCs w:val="16"/>
                <w:color w:val="auto"/>
              </w:rPr>
            </w:pPr>
          </w:p>
        </w:tc>
        <w:tc>
          <w:tcPr>
            <w:tcW w:w="10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74"/>
        </w:trPr>
        <w:tc>
          <w:tcPr>
            <w:tcW w:w="8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6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Long-term borrowings</w:t>
            </w: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38,963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38,704</w:t>
            </w:r>
          </w:p>
        </w:tc>
        <w:tc>
          <w:tcPr>
            <w:tcW w:w="0" w:type="dxa"/>
            <w:vAlign w:val="bottom"/>
          </w:tcPr>
          <w:p>
            <w:pPr>
              <w:spacing w:after="0"/>
              <w:rPr>
                <w:sz w:val="1"/>
                <w:szCs w:val="1"/>
                <w:color w:val="auto"/>
              </w:rPr>
            </w:pPr>
          </w:p>
        </w:tc>
      </w:tr>
      <w:tr>
        <w:trPr>
          <w:trHeight w:val="80"/>
        </w:trPr>
        <w:tc>
          <w:tcPr>
            <w:tcW w:w="86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660" w:type="dxa"/>
            <w:vAlign w:val="bottom"/>
          </w:tcPr>
          <w:p>
            <w:pPr>
              <w:ind w:left="460"/>
              <w:spacing w:after="0"/>
              <w:rPr>
                <w:sz w:val="20"/>
                <w:szCs w:val="20"/>
                <w:color w:val="auto"/>
              </w:rPr>
            </w:pPr>
            <w:r>
              <w:rPr>
                <w:rFonts w:ascii="Arial" w:cs="Arial" w:eastAsia="Arial" w:hAnsi="Arial"/>
                <w:sz w:val="14"/>
                <w:szCs w:val="14"/>
                <w:color w:val="auto"/>
              </w:rPr>
              <w:t>Other long-term liabilities</w:t>
            </w:r>
          </w:p>
        </w:tc>
        <w:tc>
          <w:tcPr>
            <w:tcW w:w="280" w:type="dxa"/>
            <w:vAlign w:val="bottom"/>
          </w:tcPr>
          <w:p>
            <w:pPr>
              <w:spacing w:after="0"/>
              <w:rPr>
                <w:sz w:val="16"/>
                <w:szCs w:val="16"/>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6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660" w:type="dxa"/>
            <w:vAlign w:val="bottom"/>
            <w:shd w:val="clear" w:color="auto" w:fill="CCEEFF"/>
          </w:tcPr>
          <w:p>
            <w:pPr>
              <w:ind w:left="88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48,329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46,664</w:t>
            </w:r>
          </w:p>
        </w:tc>
        <w:tc>
          <w:tcPr>
            <w:tcW w:w="0" w:type="dxa"/>
            <w:vAlign w:val="bottom"/>
          </w:tcPr>
          <w:p>
            <w:pPr>
              <w:spacing w:after="0"/>
              <w:rPr>
                <w:sz w:val="1"/>
                <w:szCs w:val="1"/>
                <w:color w:val="auto"/>
              </w:rPr>
            </w:pPr>
          </w:p>
        </w:tc>
      </w:tr>
      <w:tr>
        <w:trPr>
          <w:trHeight w:val="60"/>
        </w:trPr>
        <w:tc>
          <w:tcPr>
            <w:tcW w:w="86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1348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ectPr>
          <w:pgSz w:w="11900" w:h="16838" w:orient="portrait"/>
          <w:cols w:equalWidth="0" w:num="1">
            <w:col w:w="11240"/>
          </w:cols>
          <w:pgMar w:left="340" w:top="796" w:right="319" w:bottom="1440" w:gutter="0" w:footer="0" w:header="0"/>
        </w:sect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Commitments and contingencies (Note 6)</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Redeemable convertible preferred stock, $0.0001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13486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222885"/>
                    </a:xfrm>
                    <a:prstGeom prst="rect">
                      <a:avLst/>
                    </a:prstGeom>
                    <a:noFill/>
                  </pic:spPr>
                </pic:pic>
              </a:graphicData>
            </a:graphic>
          </wp:anchor>
        </w:drawing>
      </w:r>
    </w:p>
    <w:p>
      <w:pPr>
        <w:spacing w:after="0" w:line="89" w:lineRule="exact"/>
        <w:rPr>
          <w:sz w:val="20"/>
          <w:szCs w:val="20"/>
          <w:color w:val="auto"/>
        </w:rPr>
      </w:pPr>
    </w:p>
    <w:p>
      <w:pPr>
        <w:ind w:left="680" w:right="160" w:hanging="215"/>
        <w:spacing w:after="0" w:line="335" w:lineRule="auto"/>
        <w:rPr>
          <w:sz w:val="20"/>
          <w:szCs w:val="20"/>
          <w:color w:val="auto"/>
        </w:rPr>
      </w:pPr>
      <w:r>
        <w:rPr>
          <w:rFonts w:ascii="Arial" w:cs="Arial" w:eastAsia="Arial" w:hAnsi="Arial"/>
          <w:sz w:val="12"/>
          <w:szCs w:val="12"/>
          <w:color w:val="auto"/>
        </w:rPr>
        <w:t>Authorized: 0 and 12,104,749 shares at December 30, 2018 and December 31, 2017; issued and outstanding: 0 and 11,871,578 shares at December 30, 2018 and December 31, 2017; (Liquidation preference of $0 and $119,194 at December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713486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STOCKHOLDERS’ EQUITY (DEFICIT)</w:t>
      </w:r>
    </w:p>
    <w:p>
      <w:pPr>
        <w:spacing w:after="0" w:line="109" w:lineRule="exact"/>
        <w:rPr>
          <w:sz w:val="20"/>
          <w:szCs w:val="20"/>
          <w:color w:val="auto"/>
        </w:rPr>
      </w:pPr>
    </w:p>
    <w:p>
      <w:pPr>
        <w:ind w:left="680" w:right="300" w:hanging="215"/>
        <w:spacing w:after="0" w:line="253" w:lineRule="auto"/>
        <w:rPr>
          <w:sz w:val="20"/>
          <w:szCs w:val="20"/>
          <w:color w:val="auto"/>
        </w:rPr>
      </w:pPr>
      <w:r>
        <w:rPr>
          <w:rFonts w:ascii="Arial" w:cs="Arial" w:eastAsia="Arial" w:hAnsi="Arial"/>
          <w:sz w:val="14"/>
          <w:szCs w:val="14"/>
          <w:color w:val="auto"/>
        </w:rPr>
        <w:t>Preferred stock, $0.0001 par value; Authorized: 5,000,000 and 0 shares at December 31, 2018 and 2017, respectively; no shares issued and outstanding 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486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22288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3"/>
          <w:szCs w:val="13"/>
          <w:color w:val="auto"/>
        </w:rPr>
        <w:t>Common stock, $0.0001 par value; Authorized: 100,000,000 and 19,333,333 shares at December 31, 2018 and 2017, respectively; issued and</w:t>
      </w:r>
    </w:p>
    <w:p>
      <w:pPr>
        <w:spacing w:after="0" w:line="1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outstanding: 24,450,757 and 3,603,140 shares, at December 31, 2018 and 2017, respectively.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13486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8540" w:type="dxa"/>
            <w:vAlign w:val="bottom"/>
          </w:tcPr>
          <w:p>
            <w:pPr>
              <w:spacing w:after="0"/>
              <w:rPr>
                <w:sz w:val="20"/>
                <w:szCs w:val="20"/>
                <w:color w:val="auto"/>
              </w:rPr>
            </w:pPr>
            <w:r>
              <w:rPr>
                <w:rFonts w:ascii="Arial" w:cs="Arial" w:eastAsia="Arial" w:hAnsi="Arial"/>
                <w:sz w:val="14"/>
                <w:szCs w:val="14"/>
                <w:color w:val="auto"/>
              </w:rPr>
              <w:t>Accumulated other comprehensive income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0"/>
                <w:szCs w:val="20"/>
                <w:color w:val="auto"/>
              </w:rPr>
            </w:pPr>
            <w:r>
              <w:rPr>
                <w:rFonts w:ascii="Arial" w:cs="Arial" w:eastAsia="Arial" w:hAnsi="Arial"/>
                <w:sz w:val="14"/>
                <w:szCs w:val="14"/>
                <w:color w:val="auto"/>
              </w:rPr>
              <w:t>Accumulated deficit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860"/>
              <w:spacing w:after="0"/>
              <w:rPr>
                <w:sz w:val="20"/>
                <w:szCs w:val="20"/>
                <w:color w:val="auto"/>
              </w:rPr>
            </w:pPr>
            <w:r>
              <w:rPr>
                <w:rFonts w:ascii="Arial" w:cs="Arial" w:eastAsia="Arial" w:hAnsi="Arial"/>
                <w:sz w:val="14"/>
                <w:szCs w:val="14"/>
                <w:color w:val="auto"/>
              </w:rPr>
              <w:t>TOTAL STOCKHOLDERS’ EQUITY (DEFICIT)</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540" w:type="dxa"/>
            <w:vAlign w:val="bottom"/>
          </w:tcPr>
          <w:p>
            <w:pPr>
              <w:ind w:left="860"/>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85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-326390</wp:posOffset>
            </wp:positionV>
            <wp:extent cx="713486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118,548</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-570230</wp:posOffset>
            </wp:positionV>
            <wp:extent cx="16376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170" w:lineRule="exact"/>
        <w:rPr>
          <w:sz w:val="20"/>
          <w:szCs w:val="20"/>
          <w:color w:val="auto"/>
        </w:rPr>
      </w:pPr>
    </w:p>
    <w:p>
      <w:pPr>
        <w:ind w:left="1780" w:hanging="1345"/>
        <w:spacing w:after="0"/>
        <w:tabs>
          <w:tab w:leader="none" w:pos="17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1</w:t>
      </w:r>
    </w:p>
    <w:p>
      <w:pPr>
        <w:spacing w:after="0" w:line="109"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4"/>
          <w:szCs w:val="14"/>
          <w:color w:val="auto"/>
        </w:rPr>
        <w:t>246,927</w:t>
      </w:r>
      <w:r>
        <w:rPr>
          <w:sz w:val="20"/>
          <w:szCs w:val="20"/>
          <w:color w:val="auto"/>
        </w:rPr>
        <w:tab/>
      </w:r>
      <w:r>
        <w:rPr>
          <w:rFonts w:ascii="Arial" w:cs="Arial" w:eastAsia="Arial" w:hAnsi="Arial"/>
          <w:sz w:val="14"/>
          <w:szCs w:val="14"/>
          <w:color w:val="auto"/>
        </w:rPr>
        <w:t>9,943</w:t>
      </w:r>
    </w:p>
    <w:p>
      <w:pPr>
        <w:spacing w:after="0" w:line="109" w:lineRule="exact"/>
        <w:rPr>
          <w:sz w:val="20"/>
          <w:szCs w:val="20"/>
          <w:color w:val="auto"/>
        </w:rPr>
      </w:pPr>
    </w:p>
    <w:p>
      <w:pPr>
        <w:ind w:left="1620" w:hanging="1329"/>
        <w:spacing w:after="0"/>
        <w:tabs>
          <w:tab w:leader="none" w:pos="16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402</w:t>
      </w:r>
    </w:p>
    <w:p>
      <w:pPr>
        <w:spacing w:after="0" w:line="10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(157,177)</w:t>
      </w:r>
      <w:r>
        <w:rPr>
          <w:rFonts w:ascii="Arial" w:cs="Arial" w:eastAsia="Arial" w:hAnsi="Arial"/>
          <w:sz w:val="13"/>
          <w:szCs w:val="13"/>
          <w:color w:val="auto"/>
        </w:rPr>
        <w:t>(139,724)</w:t>
      </w:r>
    </w:p>
    <w:p>
      <w:pPr>
        <w:spacing w:after="0" w:line="109"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4"/>
          <w:szCs w:val="14"/>
          <w:color w:val="auto"/>
        </w:rPr>
        <w:t>90,192</w:t>
      </w:r>
      <w:r>
        <w:rPr>
          <w:rFonts w:ascii="Arial" w:cs="Arial" w:eastAsia="Arial" w:hAnsi="Arial"/>
          <w:sz w:val="13"/>
          <w:szCs w:val="13"/>
          <w:color w:val="auto"/>
        </w:rPr>
        <w:t>(129,378)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20955</wp:posOffset>
            </wp:positionV>
            <wp:extent cx="16376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76" w:lineRule="exact"/>
        <w:rPr>
          <w:sz w:val="20"/>
          <w:szCs w:val="20"/>
          <w:color w:val="auto"/>
        </w:rPr>
      </w:pPr>
    </w:p>
    <w:p>
      <w:pPr>
        <w:ind w:left="40"/>
        <w:spacing w:after="0"/>
        <w:tabs>
          <w:tab w:leader="none" w:pos="740" w:val="left"/>
          <w:tab w:leader="none" w:pos="1420" w:val="left"/>
        </w:tabs>
        <w:rPr>
          <w:sz w:val="20"/>
          <w:szCs w:val="20"/>
          <w:color w:val="auto"/>
        </w:rPr>
      </w:pPr>
      <w:r>
        <w:rPr>
          <w:rFonts w:ascii="Arial" w:cs="Arial" w:eastAsia="Arial" w:hAnsi="Arial"/>
          <w:sz w:val="14"/>
          <w:szCs w:val="14"/>
          <w:color w:val="auto"/>
        </w:rPr>
        <w:t>138,521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35,834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20955</wp:posOffset>
            </wp:positionV>
            <wp:extent cx="16376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37665" cy="2603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8760" w:space="520"/>
            <w:col w:w="1960"/>
          </w:cols>
          <w:pgMar w:left="340" w:top="796" w:right="319" w:bottom="1440" w:gutter="0" w:footer="0" w:header="0"/>
          <w:type w:val="continuous"/>
        </w:sect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40" w:top="796" w:right="31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63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22860</wp:posOffset>
            </wp:positionV>
            <wp:extent cx="29673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47,983</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50,547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42,871</w:t>
            </w:r>
          </w:p>
        </w:tc>
        <w:tc>
          <w:tcPr>
            <w:tcW w:w="0" w:type="dxa"/>
            <w:vAlign w:val="bottom"/>
          </w:tcPr>
          <w:p>
            <w:pPr>
              <w:spacing w:after="0"/>
              <w:rPr>
                <w:sz w:val="1"/>
                <w:szCs w:val="1"/>
                <w:color w:val="auto"/>
              </w:rPr>
            </w:pPr>
          </w:p>
        </w:tc>
      </w:tr>
      <w:tr>
        <w:trPr>
          <w:trHeight w:val="297"/>
        </w:trPr>
        <w:tc>
          <w:tcPr>
            <w:tcW w:w="6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44,497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41,646</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Research and development</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43"/>
        </w:trPr>
        <w:tc>
          <w:tcPr>
            <w:tcW w:w="6300" w:type="dxa"/>
            <w:vAlign w:val="bottom"/>
          </w:tcPr>
          <w:p>
            <w:pPr>
              <w:ind w:left="460"/>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12,639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13,062</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62,512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60,221</w:t>
            </w:r>
          </w:p>
        </w:tc>
        <w:tc>
          <w:tcPr>
            <w:tcW w:w="0" w:type="dxa"/>
            <w:vAlign w:val="bottom"/>
          </w:tcPr>
          <w:p>
            <w:pPr>
              <w:spacing w:after="0"/>
              <w:rPr>
                <w:sz w:val="1"/>
                <w:szCs w:val="1"/>
                <w:color w:val="auto"/>
              </w:rPr>
            </w:pPr>
          </w:p>
        </w:tc>
      </w:tr>
      <w:tr>
        <w:trPr>
          <w:trHeight w:val="297"/>
        </w:trPr>
        <w:tc>
          <w:tcPr>
            <w:tcW w:w="6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(17,350)</w:t>
            </w: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Interest income</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630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(6,204)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income (expense), net</w:t>
            </w:r>
          </w:p>
        </w:tc>
        <w:tc>
          <w:tcPr>
            <w:tcW w:w="1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(23,039)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Unrealized gain of marketable securities</w:t>
            </w:r>
          </w:p>
        </w:tc>
        <w:tc>
          <w:tcPr>
            <w:tcW w:w="14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foreign currency translation</w:t>
            </w:r>
          </w:p>
        </w:tc>
        <w:tc>
          <w:tcPr>
            <w:tcW w:w="1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400" w:type="dxa"/>
            <w:vAlign w:val="bottom"/>
            <w:tcBorders>
              <w:top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(17,416)</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(23,109)</w:t>
            </w:r>
          </w:p>
        </w:tc>
        <w:tc>
          <w:tcPr>
            <w:tcW w:w="0" w:type="dxa"/>
            <w:vAlign w:val="bottom"/>
          </w:tcPr>
          <w:p>
            <w:pPr>
              <w:spacing w:after="0"/>
              <w:rPr>
                <w:sz w:val="1"/>
                <w:szCs w:val="1"/>
                <w:color w:val="auto"/>
              </w:rPr>
            </w:pPr>
          </w:p>
        </w:tc>
      </w:tr>
      <w:tr>
        <w:trPr>
          <w:trHeight w:val="67"/>
        </w:trPr>
        <w:tc>
          <w:tcPr>
            <w:tcW w:w="630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400" w:type="dxa"/>
            <w:vAlign w:val="bottom"/>
          </w:tcPr>
          <w:p>
            <w:pPr>
              <w:jc w:val="right"/>
              <w:ind w:right="11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67"/>
        </w:trPr>
        <w:tc>
          <w:tcPr>
            <w:tcW w:w="6300" w:type="dxa"/>
            <w:vAlign w:val="bottom"/>
            <w:tcBorders>
              <w:bottom w:val="single" w:sz="8" w:color="CCEEFF"/>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6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w w:val="92"/>
              </w:rPr>
              <w:t>Weighted-average number of common shares used to compute basic and diluted net</w:t>
            </w:r>
          </w:p>
        </w:tc>
        <w:tc>
          <w:tcPr>
            <w:tcW w:w="1400" w:type="dxa"/>
            <w:vAlign w:val="bottom"/>
          </w:tcPr>
          <w:p>
            <w:pPr>
              <w:spacing w:after="0"/>
              <w:rPr>
                <w:sz w:val="19"/>
                <w:szCs w:val="19"/>
                <w:color w:val="auto"/>
              </w:rPr>
            </w:pP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w w:val="94"/>
              </w:rPr>
              <w:t>7,950,284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vMerge w:val="restart"/>
          </w:tcPr>
          <w:p>
            <w:pPr>
              <w:jc w:val="right"/>
              <w:ind w:right="10"/>
              <w:spacing w:after="0"/>
              <w:rPr>
                <w:sz w:val="20"/>
                <w:szCs w:val="20"/>
                <w:color w:val="auto"/>
              </w:rPr>
            </w:pPr>
            <w:r>
              <w:rPr>
                <w:rFonts w:ascii="Arial" w:cs="Arial" w:eastAsia="Arial" w:hAnsi="Arial"/>
                <w:sz w:val="18"/>
                <w:szCs w:val="18"/>
                <w:color w:val="auto"/>
              </w:rPr>
              <w:t>3,467,096</w:t>
            </w:r>
          </w:p>
        </w:tc>
        <w:tc>
          <w:tcPr>
            <w:tcW w:w="0" w:type="dxa"/>
            <w:vAlign w:val="bottom"/>
          </w:tcPr>
          <w:p>
            <w:pPr>
              <w:spacing w:after="0"/>
              <w:rPr>
                <w:sz w:val="1"/>
                <w:szCs w:val="1"/>
                <w:color w:val="auto"/>
              </w:rPr>
            </w:pPr>
          </w:p>
        </w:tc>
      </w:tr>
      <w:tr>
        <w:trPr>
          <w:trHeight w:val="237"/>
        </w:trPr>
        <w:tc>
          <w:tcPr>
            <w:tcW w:w="6300" w:type="dxa"/>
            <w:vAlign w:val="bottom"/>
          </w:tcPr>
          <w:p>
            <w:pPr>
              <w:ind w:left="240"/>
              <w:spacing w:after="0"/>
              <w:rPr>
                <w:sz w:val="20"/>
                <w:szCs w:val="20"/>
                <w:color w:val="auto"/>
              </w:rPr>
            </w:pPr>
            <w:r>
              <w:rPr>
                <w:rFonts w:ascii="Arial" w:cs="Arial" w:eastAsia="Arial" w:hAnsi="Arial"/>
                <w:sz w:val="18"/>
                <w:szCs w:val="18"/>
                <w:color w:val="auto"/>
              </w:rPr>
              <w:t>loss per share</w:t>
            </w:r>
          </w:p>
        </w:tc>
        <w:tc>
          <w:tcPr>
            <w:tcW w:w="1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240" w:top="125" w:right="51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0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Redeemable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200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92"/>
              </w:rPr>
              <w:t>Convertible</w:t>
            </w: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Stockholders’</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68"/>
        </w:trPr>
        <w:tc>
          <w:tcPr>
            <w:tcW w:w="1440" w:type="dxa"/>
            <w:vAlign w:val="bottom"/>
          </w:tcPr>
          <w:p>
            <w:pPr>
              <w:spacing w:after="0"/>
              <w:rPr>
                <w:sz w:val="5"/>
                <w:szCs w:val="5"/>
                <w:color w:val="auto"/>
              </w:rPr>
            </w:pPr>
          </w:p>
        </w:tc>
        <w:tc>
          <w:tcPr>
            <w:tcW w:w="200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89"/>
              </w:rPr>
              <w:t>Preferred Stock</w:t>
            </w:r>
          </w:p>
        </w:tc>
        <w:tc>
          <w:tcPr>
            <w:tcW w:w="1800" w:type="dxa"/>
            <w:vAlign w:val="bottom"/>
            <w:gridSpan w:val="4"/>
            <w:vMerge w:val="restart"/>
          </w:tcPr>
          <w:p>
            <w:pPr>
              <w:ind w:left="260"/>
              <w:spacing w:after="0"/>
              <w:rPr>
                <w:sz w:val="20"/>
                <w:szCs w:val="20"/>
                <w:color w:val="auto"/>
              </w:rPr>
            </w:pPr>
            <w:r>
              <w:rPr>
                <w:rFonts w:ascii="Arial" w:cs="Arial" w:eastAsia="Arial" w:hAnsi="Arial"/>
                <w:sz w:val="18"/>
                <w:szCs w:val="18"/>
                <w:b w:val="1"/>
                <w:bCs w:val="1"/>
                <w:color w:val="auto"/>
              </w:rPr>
              <w:t>Common Stock</w:t>
            </w:r>
          </w:p>
        </w:tc>
        <w:tc>
          <w:tcPr>
            <w:tcW w:w="9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1800" w:type="dxa"/>
            <w:vAlign w:val="bottom"/>
            <w:gridSpan w:val="4"/>
            <w:vMerge w:val="continue"/>
          </w:tcPr>
          <w:p>
            <w:pPr>
              <w:spacing w:after="0"/>
              <w:rPr>
                <w:sz w:val="14"/>
                <w:szCs w:val="14"/>
                <w:color w:val="auto"/>
              </w:rPr>
            </w:pPr>
          </w:p>
        </w:tc>
        <w:tc>
          <w:tcPr>
            <w:tcW w:w="980" w:type="dxa"/>
            <w:vAlign w:val="bottom"/>
            <w:gridSpan w:val="2"/>
            <w:vMerge w:val="restart"/>
          </w:tcPr>
          <w:p>
            <w:pPr>
              <w:jc w:val="center"/>
              <w:ind w:right="180"/>
              <w:spacing w:after="0" w:line="194" w:lineRule="exact"/>
              <w:rPr>
                <w:sz w:val="20"/>
                <w:szCs w:val="20"/>
                <w:color w:val="auto"/>
              </w:rPr>
            </w:pPr>
            <w:r>
              <w:rPr>
                <w:rFonts w:ascii="Arial" w:cs="Arial" w:eastAsia="Arial" w:hAnsi="Arial"/>
                <w:sz w:val="18"/>
                <w:szCs w:val="18"/>
                <w:b w:val="1"/>
                <w:bCs w:val="1"/>
                <w:color w:val="auto"/>
                <w:w w:val="93"/>
              </w:rPr>
              <w:t>Paid-in</w:t>
            </w:r>
          </w:p>
        </w:tc>
        <w:tc>
          <w:tcPr>
            <w:tcW w:w="1220" w:type="dxa"/>
            <w:vAlign w:val="bottom"/>
            <w:gridSpan w:val="2"/>
            <w:vMerge w:val="restart"/>
          </w:tcPr>
          <w:p>
            <w:pPr>
              <w:jc w:val="center"/>
              <w:ind w:right="180"/>
              <w:spacing w:after="0" w:line="194" w:lineRule="exact"/>
              <w:rPr>
                <w:sz w:val="20"/>
                <w:szCs w:val="20"/>
                <w:color w:val="auto"/>
              </w:rPr>
            </w:pPr>
            <w:r>
              <w:rPr>
                <w:rFonts w:ascii="Arial" w:cs="Arial" w:eastAsia="Arial" w:hAnsi="Arial"/>
                <w:sz w:val="18"/>
                <w:szCs w:val="18"/>
                <w:b w:val="1"/>
                <w:bCs w:val="1"/>
                <w:color w:val="auto"/>
                <w:w w:val="87"/>
              </w:rPr>
              <w:t>Notes</w:t>
            </w:r>
          </w:p>
        </w:tc>
        <w:tc>
          <w:tcPr>
            <w:tcW w:w="1340" w:type="dxa"/>
            <w:vAlign w:val="bottom"/>
            <w:gridSpan w:val="2"/>
            <w:vMerge w:val="restart"/>
          </w:tcPr>
          <w:p>
            <w:pPr>
              <w:ind w:left="20"/>
              <w:spacing w:after="0" w:line="194" w:lineRule="exact"/>
              <w:rPr>
                <w:sz w:val="20"/>
                <w:szCs w:val="20"/>
                <w:color w:val="auto"/>
              </w:rPr>
            </w:pPr>
            <w:r>
              <w:rPr>
                <w:rFonts w:ascii="Arial" w:cs="Arial" w:eastAsia="Arial" w:hAnsi="Arial"/>
                <w:sz w:val="18"/>
                <w:szCs w:val="18"/>
                <w:b w:val="1"/>
                <w:bCs w:val="1"/>
                <w:color w:val="auto"/>
                <w:w w:val="96"/>
              </w:rPr>
              <w:t>Comprehensive</w:t>
            </w:r>
          </w:p>
        </w:tc>
        <w:tc>
          <w:tcPr>
            <w:tcW w:w="1200" w:type="dxa"/>
            <w:vAlign w:val="bottom"/>
            <w:gridSpan w:val="2"/>
            <w:vMerge w:val="restart"/>
          </w:tcPr>
          <w:p>
            <w:pPr>
              <w:jc w:val="center"/>
              <w:ind w:right="100"/>
              <w:spacing w:after="0" w:line="194" w:lineRule="exact"/>
              <w:rPr>
                <w:sz w:val="20"/>
                <w:szCs w:val="20"/>
                <w:color w:val="auto"/>
              </w:rPr>
            </w:pPr>
            <w:r>
              <w:rPr>
                <w:rFonts w:ascii="Arial" w:cs="Arial" w:eastAsia="Arial" w:hAnsi="Arial"/>
                <w:sz w:val="18"/>
                <w:szCs w:val="18"/>
                <w:b w:val="1"/>
                <w:bCs w:val="1"/>
                <w:color w:val="auto"/>
                <w:w w:val="90"/>
              </w:rPr>
              <w:t>Accumulated</w:t>
            </w:r>
          </w:p>
        </w:tc>
        <w:tc>
          <w:tcPr>
            <w:tcW w:w="1120" w:type="dxa"/>
            <w:vAlign w:val="bottom"/>
            <w:vMerge w:val="restart"/>
          </w:tcPr>
          <w:p>
            <w:pPr>
              <w:jc w:val="center"/>
              <w:spacing w:after="0" w:line="194" w:lineRule="exact"/>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00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Capital</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Receivable</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Income (Loss)</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Deficit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(Deficit)</w:t>
            </w:r>
          </w:p>
        </w:tc>
        <w:tc>
          <w:tcPr>
            <w:tcW w:w="0" w:type="dxa"/>
            <w:vAlign w:val="bottom"/>
          </w:tcPr>
          <w:p>
            <w:pPr>
              <w:spacing w:after="0"/>
              <w:rPr>
                <w:sz w:val="1"/>
                <w:szCs w:val="1"/>
                <w:color w:val="auto"/>
              </w:rPr>
            </w:pPr>
          </w:p>
        </w:tc>
      </w:tr>
      <w:tr>
        <w:trPr>
          <w:trHeight w:val="27"/>
        </w:trPr>
        <w:tc>
          <w:tcPr>
            <w:tcW w:w="1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4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December 31,</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2016</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11,330,704</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113,121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3,446,137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(116,685)</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(108,733)</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Issuance of</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8"/>
                <w:szCs w:val="18"/>
                <w:color w:val="auto"/>
              </w:rPr>
              <w:t>upon exercise of</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152,691</w:t>
            </w: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upon exercise of</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Stock-based</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preferred stock, net</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issuance costs</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540,874</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5,427</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Repayment of</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8"/>
                <w:szCs w:val="18"/>
                <w:color w:val="auto"/>
                <w:w w:val="90"/>
              </w:rPr>
              <w:t>stockholders’ notes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receivable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Forgiveness of</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stockholders’ note</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Vesting of early</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8"/>
                <w:szCs w:val="18"/>
                <w:color w:val="auto"/>
              </w:rPr>
              <w:t>exercised stock</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options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1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(23,039)</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(23,039)</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11,871,578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118,548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3,603,140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9,943</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(139,724)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(129,378)</w:t>
            </w:r>
          </w:p>
        </w:tc>
        <w:tc>
          <w:tcPr>
            <w:tcW w:w="0" w:type="dxa"/>
            <w:vAlign w:val="bottom"/>
          </w:tcPr>
          <w:p>
            <w:pPr>
              <w:spacing w:after="0"/>
              <w:rPr>
                <w:sz w:val="1"/>
                <w:szCs w:val="1"/>
                <w:color w:val="auto"/>
              </w:rPr>
            </w:pPr>
          </w:p>
        </w:tc>
      </w:tr>
      <w:tr>
        <w:trPr>
          <w:trHeight w:val="209"/>
        </w:trPr>
        <w:tc>
          <w:tcPr>
            <w:tcW w:w="1440" w:type="dxa"/>
            <w:vAlign w:val="bottom"/>
          </w:tcPr>
          <w:p>
            <w:pPr>
              <w:ind w:left="20"/>
              <w:spacing w:after="0"/>
              <w:rPr>
                <w:sz w:val="20"/>
                <w:szCs w:val="20"/>
                <w:color w:val="auto"/>
              </w:rPr>
            </w:pPr>
            <w:r>
              <w:rPr>
                <w:rFonts w:ascii="Arial" w:cs="Arial" w:eastAsia="Arial" w:hAnsi="Arial"/>
                <w:sz w:val="18"/>
                <w:szCs w:val="18"/>
                <w:color w:val="auto"/>
              </w:rPr>
              <w:t>Issuance of</w:t>
            </w: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8"/>
                <w:szCs w:val="18"/>
                <w:color w:val="auto"/>
              </w:rPr>
              <w:t>upon exercise of</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289,077</w:t>
            </w: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upon exercise of</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106,028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40" w:type="dxa"/>
            <w:vAlign w:val="bottom"/>
          </w:tcPr>
          <w:p>
            <w:pPr>
              <w:ind w:left="20"/>
              <w:spacing w:after="0"/>
              <w:rPr>
                <w:sz w:val="20"/>
                <w:szCs w:val="20"/>
                <w:color w:val="auto"/>
              </w:rPr>
            </w:pPr>
            <w:r>
              <w:rPr>
                <w:rFonts w:ascii="Arial" w:cs="Arial" w:eastAsia="Arial" w:hAnsi="Arial"/>
                <w:sz w:val="18"/>
                <w:szCs w:val="18"/>
                <w:color w:val="auto"/>
              </w:rPr>
              <w:t>Conversion from</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20"/>
              <w:spacing w:after="0"/>
              <w:rPr>
                <w:sz w:val="20"/>
                <w:szCs w:val="20"/>
                <w:color w:val="auto"/>
              </w:rPr>
            </w:pPr>
            <w:r>
              <w:rPr>
                <w:rFonts w:ascii="Arial" w:cs="Arial" w:eastAsia="Arial" w:hAnsi="Arial"/>
                <w:sz w:val="18"/>
                <w:szCs w:val="18"/>
                <w:color w:val="auto"/>
                <w:w w:val="99"/>
              </w:rPr>
              <w:t>preferred stock to</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w w:val="92"/>
              </w:rPr>
              <w:t>(11,871,578)</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0"/>
              </w:rPr>
              <w:t>(118,548)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12,066,654</w:t>
            </w:r>
          </w:p>
        </w:tc>
        <w:tc>
          <w:tcPr>
            <w:tcW w:w="1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118,547</w:t>
            </w: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118,548</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Conversion from</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to</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w:t>
            </w: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14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00"/>
          </w:cols>
          <w:pgMar w:left="420" w:top="796" w:right="379" w:bottom="906" w:gutter="0" w:footer="0" w:header="0"/>
        </w:sectPr>
      </w:pP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00"/>
          </w:cols>
          <w:pgMar w:left="420" w:top="796" w:right="379" w:bottom="906"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16"/>
        </w:trPr>
        <w:tc>
          <w:tcPr>
            <w:tcW w:w="1880" w:type="dxa"/>
            <w:vAlign w:val="bottom"/>
          </w:tcPr>
          <w:p>
            <w:pPr>
              <w:ind w:left="20"/>
              <w:spacing w:after="0"/>
              <w:rPr>
                <w:sz w:val="20"/>
                <w:szCs w:val="20"/>
                <w:color w:val="auto"/>
              </w:rPr>
            </w:pPr>
            <w:r>
              <w:rPr>
                <w:rFonts w:ascii="Arial" w:cs="Arial" w:eastAsia="Arial" w:hAnsi="Arial"/>
                <w:sz w:val="18"/>
                <w:szCs w:val="18"/>
                <w:color w:val="auto"/>
              </w:rPr>
              <w:t>Issuance of common</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880" w:type="dxa"/>
            <w:vAlign w:val="bottom"/>
          </w:tcPr>
          <w:p>
            <w:pPr>
              <w:ind w:left="20"/>
              <w:spacing w:after="0"/>
              <w:rPr>
                <w:sz w:val="20"/>
                <w:szCs w:val="20"/>
                <w:color w:val="auto"/>
              </w:rPr>
            </w:pPr>
            <w:r>
              <w:rPr>
                <w:rFonts w:ascii="Arial" w:cs="Arial" w:eastAsia="Arial" w:hAnsi="Arial"/>
                <w:sz w:val="18"/>
                <w:szCs w:val="18"/>
                <w:color w:val="auto"/>
              </w:rPr>
              <w:t>stock from warrants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exercise</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121,486</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from IPO</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net</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8,280,000</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113,602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113,603</w:t>
            </w: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w w:val="94"/>
              </w:rPr>
              <w:t>Repurchase of unvested</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1880" w:type="dxa"/>
            <w:vAlign w:val="bottom"/>
          </w:tcPr>
          <w:p>
            <w:pPr>
              <w:ind w:left="20"/>
              <w:spacing w:after="0"/>
              <w:rPr>
                <w:sz w:val="20"/>
                <w:szCs w:val="20"/>
                <w:color w:val="auto"/>
              </w:rPr>
            </w:pPr>
            <w:r>
              <w:rPr>
                <w:rFonts w:ascii="Arial" w:cs="Arial" w:eastAsia="Arial" w:hAnsi="Arial"/>
                <w:sz w:val="18"/>
                <w:szCs w:val="18"/>
                <w:color w:val="auto"/>
              </w:rPr>
              <w:t>early exercised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options</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(15,628)</w:t>
            </w:r>
          </w:p>
        </w:tc>
        <w:tc>
          <w:tcPr>
            <w:tcW w:w="10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2,312</w:t>
            </w: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Vesting of early</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w w:val="98"/>
              </w:rPr>
              <w:t>exercised stock options</w:t>
            </w:r>
          </w:p>
        </w:tc>
        <w:tc>
          <w:tcPr>
            <w:tcW w:w="10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139</w:t>
            </w:r>
          </w:p>
        </w:tc>
      </w:tr>
      <w:tr>
        <w:trPr>
          <w:trHeight w:val="27"/>
        </w:trPr>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29"/>
        </w:trPr>
        <w:tc>
          <w:tcPr>
            <w:tcW w:w="1880" w:type="dxa"/>
            <w:vAlign w:val="bottom"/>
          </w:tcPr>
          <w:p>
            <w:pPr>
              <w:ind w:left="20"/>
              <w:spacing w:after="0"/>
              <w:rPr>
                <w:sz w:val="20"/>
                <w:szCs w:val="20"/>
                <w:color w:val="auto"/>
              </w:rPr>
            </w:pPr>
            <w:r>
              <w:rPr>
                <w:rFonts w:ascii="Arial" w:cs="Arial" w:eastAsia="Arial" w:hAnsi="Arial"/>
                <w:sz w:val="18"/>
                <w:szCs w:val="18"/>
                <w:color w:val="auto"/>
              </w:rPr>
              <w:t>Unrealized gain of</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8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1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r>
      <w:tr>
        <w:trPr>
          <w:trHeight w:val="237"/>
        </w:trPr>
        <w:tc>
          <w:tcPr>
            <w:tcW w:w="1880" w:type="dxa"/>
            <w:vAlign w:val="bottom"/>
          </w:tcPr>
          <w:p>
            <w:pPr>
              <w:ind w:left="20"/>
              <w:spacing w:after="0"/>
              <w:rPr>
                <w:sz w:val="20"/>
                <w:szCs w:val="20"/>
                <w:color w:val="auto"/>
              </w:rPr>
            </w:pPr>
            <w:r>
              <w:rPr>
                <w:rFonts w:ascii="Arial" w:cs="Arial" w:eastAsia="Arial" w:hAnsi="Arial"/>
                <w:sz w:val="18"/>
                <w:szCs w:val="18"/>
                <w:b w:val="1"/>
                <w:bCs w:val="1"/>
                <w:color w:val="auto"/>
              </w:rPr>
              <w:t>December 31, 2018</w:t>
            </w:r>
          </w:p>
        </w:tc>
        <w:tc>
          <w:tcPr>
            <w:tcW w:w="90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24,450,757</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246,927</w:t>
            </w:r>
          </w:p>
        </w:tc>
        <w:tc>
          <w:tcPr>
            <w:tcW w:w="100" w:type="dxa"/>
            <w:vAlign w:val="bottom"/>
          </w:tcPr>
          <w:p>
            <w:pPr>
              <w:spacing w:after="0"/>
              <w:rPr>
                <w:sz w:val="20"/>
                <w:szCs w:val="20"/>
                <w:color w:val="auto"/>
              </w:rPr>
            </w:pPr>
          </w:p>
        </w:tc>
        <w:tc>
          <w:tcPr>
            <w:tcW w:w="9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(157,177)</w:t>
            </w: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90,192</w:t>
            </w:r>
          </w:p>
        </w:tc>
      </w:tr>
      <w:tr>
        <w:trPr>
          <w:trHeight w:val="27"/>
        </w:trPr>
        <w:tc>
          <w:tcPr>
            <w:tcW w:w="18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420" w:top="962" w:right="379" w:bottom="1440" w:gutter="0" w:footer="0" w:header="0"/>
        </w:sectPr>
      </w:pPr>
    </w:p>
    <w:bookmarkStart w:id="94" w:name="page95"/>
    <w:bookmarkEnd w:id="94"/>
    <w:p>
      <w:pPr>
        <w:jc w:val="center"/>
        <w:ind w:right="2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20"/>
          </w:cols>
          <w:pgMar w:left="300" w:top="1026" w:right="279" w:bottom="9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718629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295" cy="18034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862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460" w:right="3560" w:hanging="431"/>
        <w:spacing w:after="0" w:line="352" w:lineRule="auto"/>
        <w:rPr>
          <w:sz w:val="20"/>
          <w:szCs w:val="20"/>
          <w:color w:val="auto"/>
        </w:rPr>
      </w:pPr>
      <w:r>
        <w:rPr>
          <w:rFonts w:ascii="Arial" w:cs="Arial" w:eastAsia="Arial" w:hAnsi="Arial"/>
          <w:sz w:val="16"/>
          <w:szCs w:val="16"/>
          <w:color w:val="auto"/>
        </w:rPr>
        <w:t>Adjustments to reconcile net loss to net cash used in operating activities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718629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6"/>
          <w:szCs w:val="16"/>
          <w:color w:val="auto"/>
        </w:rPr>
        <w:t>Change in allowance for doubtful accounts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8629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Change in fair value of redeemable convertible preferred stock warrants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Loss on write-off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8629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Write-off of debt discount</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8629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Write-off of public offering costs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Forgiveness of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8629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Short-term investments accretion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8629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8629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Prepaid expenses and other assets</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8629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Accrued liabilities and other</w:t>
      </w:r>
    </w:p>
    <w:p>
      <w:pPr>
        <w:spacing w:after="0" w:line="8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718629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13335</wp:posOffset>
            </wp:positionV>
            <wp:extent cx="15005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87" w:lineRule="exact"/>
        <w:rPr>
          <w:sz w:val="20"/>
          <w:szCs w:val="20"/>
          <w:color w:val="auto"/>
        </w:rPr>
      </w:pPr>
    </w:p>
    <w:p>
      <w:pPr>
        <w:ind w:left="460"/>
        <w:spacing w:after="0"/>
        <w:tabs>
          <w:tab w:leader="none" w:pos="16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352" w:lineRule="exact"/>
        <w:rPr>
          <w:sz w:val="20"/>
          <w:szCs w:val="20"/>
          <w:color w:val="auto"/>
        </w:rPr>
      </w:pPr>
    </w:p>
    <w:p>
      <w:pPr>
        <w:spacing w:after="0"/>
        <w:tabs>
          <w:tab w:leader="none" w:pos="480" w:val="left"/>
          <w:tab w:leader="none" w:pos="1220" w:val="left"/>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(17,453)</w:t>
        <w:tab/>
        <w:t>$</w:t>
      </w:r>
      <w:r>
        <w:rPr>
          <w:sz w:val="20"/>
          <w:szCs w:val="20"/>
          <w:color w:val="auto"/>
        </w:rPr>
        <w:tab/>
      </w:r>
      <w:r>
        <w:rPr>
          <w:rFonts w:ascii="Arial" w:cs="Arial" w:eastAsia="Arial" w:hAnsi="Arial"/>
          <w:sz w:val="15"/>
          <w:szCs w:val="15"/>
          <w:color w:val="auto"/>
        </w:rPr>
        <w:t>(23,039)</w:t>
      </w:r>
    </w:p>
    <w:p>
      <w:pPr>
        <w:spacing w:after="0" w:line="356" w:lineRule="exact"/>
        <w:rPr>
          <w:sz w:val="20"/>
          <w:szCs w:val="20"/>
          <w:color w:val="auto"/>
        </w:rPr>
      </w:pPr>
    </w:p>
    <w:p>
      <w:pPr>
        <w:ind w:left="1860" w:hanging="1107"/>
        <w:spacing w:after="0"/>
        <w:tabs>
          <w:tab w:leader="none" w:pos="1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1,013</w:t>
      </w:r>
    </w:p>
    <w:p>
      <w:pPr>
        <w:spacing w:after="0" w:line="86" w:lineRule="exact"/>
        <w:rPr>
          <w:rFonts w:ascii="Arial" w:cs="Arial" w:eastAsia="Arial" w:hAnsi="Arial"/>
          <w:sz w:val="16"/>
          <w:szCs w:val="16"/>
          <w:color w:val="auto"/>
        </w:rPr>
      </w:pPr>
    </w:p>
    <w:p>
      <w:pPr>
        <w:ind w:left="2000" w:hanging="1139"/>
        <w:spacing w:after="0"/>
        <w:tabs>
          <w:tab w:leader="none" w:pos="2000" w:val="left"/>
        </w:tabs>
        <w:numPr>
          <w:ilvl w:val="1"/>
          <w:numId w:val="59"/>
        </w:numPr>
        <w:rPr>
          <w:rFonts w:ascii="Arial" w:cs="Arial" w:eastAsia="Arial" w:hAnsi="Arial"/>
          <w:sz w:val="15"/>
          <w:szCs w:val="15"/>
          <w:color w:val="auto"/>
        </w:rPr>
      </w:pPr>
      <w:r>
        <w:rPr>
          <w:rFonts w:ascii="Arial" w:cs="Arial" w:eastAsia="Arial" w:hAnsi="Arial"/>
          <w:sz w:val="15"/>
          <w:szCs w:val="15"/>
          <w:color w:val="auto"/>
        </w:rPr>
        <w:t>(36)</w:t>
      </w:r>
    </w:p>
    <w:p>
      <w:pPr>
        <w:spacing w:after="0" w:line="98" w:lineRule="exact"/>
        <w:rPr>
          <w:sz w:val="20"/>
          <w:szCs w:val="20"/>
          <w:color w:val="auto"/>
        </w:rPr>
      </w:pPr>
    </w:p>
    <w:tbl>
      <w:tblPr>
        <w:tblLayout w:type="fixed"/>
        <w:tblInd w:w="640" w:type="dxa"/>
        <w:tblCellMar>
          <w:top w:w="0" w:type="dxa"/>
          <w:left w:w="0" w:type="dxa"/>
          <w:bottom w:w="0" w:type="dxa"/>
          <w:right w:w="0" w:type="dxa"/>
        </w:tblCellMar>
      </w:tblPr>
      <w:tr>
        <w:trPr>
          <w:trHeight w:val="206"/>
        </w:trPr>
        <w:tc>
          <w:tcPr>
            <w:tcW w:w="780" w:type="dxa"/>
            <w:vAlign w:val="bottom"/>
          </w:tcPr>
          <w:p>
            <w:pPr>
              <w:jc w:val="right"/>
              <w:ind w:right="339"/>
              <w:spacing w:after="0"/>
              <w:rPr>
                <w:sz w:val="20"/>
                <w:szCs w:val="20"/>
                <w:color w:val="auto"/>
              </w:rPr>
            </w:pPr>
            <w:r>
              <w:rPr>
                <w:rFonts w:ascii="Arial" w:cs="Arial" w:eastAsia="Arial" w:hAnsi="Arial"/>
                <w:sz w:val="16"/>
                <w:szCs w:val="16"/>
                <w:color w:val="auto"/>
                <w:w w:val="84"/>
              </w:rPr>
              <w:t>2,312</w:t>
            </w:r>
          </w:p>
        </w:tc>
        <w:tc>
          <w:tcPr>
            <w:tcW w:w="860" w:type="dxa"/>
            <w:vAlign w:val="bottom"/>
          </w:tcPr>
          <w:p>
            <w:pPr>
              <w:jc w:val="right"/>
              <w:spacing w:after="0"/>
              <w:rPr>
                <w:sz w:val="20"/>
                <w:szCs w:val="20"/>
                <w:color w:val="auto"/>
              </w:rPr>
            </w:pPr>
            <w:r>
              <w:rPr>
                <w:rFonts w:ascii="Arial" w:cs="Arial" w:eastAsia="Arial" w:hAnsi="Arial"/>
                <w:sz w:val="16"/>
                <w:szCs w:val="16"/>
                <w:color w:val="auto"/>
              </w:rPr>
              <w:t>1,438</w:t>
            </w:r>
          </w:p>
        </w:tc>
      </w:tr>
      <w:tr>
        <w:trPr>
          <w:trHeight w:val="270"/>
        </w:trPr>
        <w:tc>
          <w:tcPr>
            <w:tcW w:w="780" w:type="dxa"/>
            <w:vAlign w:val="bottom"/>
          </w:tcPr>
          <w:p>
            <w:pPr>
              <w:jc w:val="right"/>
              <w:ind w:right="339"/>
              <w:spacing w:after="0"/>
              <w:rPr>
                <w:sz w:val="20"/>
                <w:szCs w:val="20"/>
                <w:color w:val="auto"/>
              </w:rPr>
            </w:pPr>
            <w:r>
              <w:rPr>
                <w:rFonts w:ascii="Arial" w:cs="Arial" w:eastAsia="Arial" w:hAnsi="Arial"/>
                <w:sz w:val="16"/>
                <w:szCs w:val="16"/>
                <w:color w:val="auto"/>
              </w:rPr>
              <w:t>826</w:t>
            </w:r>
          </w:p>
        </w:tc>
        <w:tc>
          <w:tcPr>
            <w:tcW w:w="860" w:type="dxa"/>
            <w:vAlign w:val="bottom"/>
          </w:tcPr>
          <w:p>
            <w:pPr>
              <w:jc w:val="right"/>
              <w:spacing w:after="0"/>
              <w:rPr>
                <w:sz w:val="20"/>
                <w:szCs w:val="20"/>
                <w:color w:val="auto"/>
              </w:rPr>
            </w:pPr>
            <w:r>
              <w:rPr>
                <w:rFonts w:ascii="Arial" w:cs="Arial" w:eastAsia="Arial" w:hAnsi="Arial"/>
                <w:sz w:val="16"/>
                <w:szCs w:val="16"/>
                <w:color w:val="auto"/>
              </w:rPr>
              <w:t>(166)</w:t>
            </w:r>
          </w:p>
        </w:tc>
      </w:tr>
    </w:tbl>
    <w:p>
      <w:pPr>
        <w:spacing w:after="0" w:line="64" w:lineRule="exact"/>
        <w:rPr>
          <w:sz w:val="20"/>
          <w:szCs w:val="20"/>
          <w:color w:val="auto"/>
        </w:rPr>
      </w:pPr>
    </w:p>
    <w:p>
      <w:pPr>
        <w:ind w:left="1980" w:hanging="1146"/>
        <w:spacing w:after="0"/>
        <w:tabs>
          <w:tab w:leader="none" w:pos="19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214</w:t>
      </w:r>
    </w:p>
    <w:p>
      <w:pPr>
        <w:spacing w:after="0" w:line="8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650</w:t>
      </w:r>
    </w:p>
    <w:p>
      <w:pPr>
        <w:spacing w:after="0" w:line="86" w:lineRule="exact"/>
        <w:rPr>
          <w:sz w:val="20"/>
          <w:szCs w:val="20"/>
          <w:color w:val="auto"/>
        </w:rPr>
      </w:pPr>
    </w:p>
    <w:p>
      <w:pPr>
        <w:ind w:left="760"/>
        <w:spacing w:after="0"/>
        <w:tabs>
          <w:tab w:leader="none" w:pos="1960" w:val="left"/>
        </w:tabs>
        <w:rPr>
          <w:sz w:val="20"/>
          <w:szCs w:val="20"/>
          <w:color w:val="auto"/>
        </w:rPr>
      </w:pPr>
      <w:r>
        <w:rPr>
          <w:rFonts w:ascii="Arial" w:cs="Arial" w:eastAsia="Arial" w:hAnsi="Arial"/>
          <w:sz w:val="16"/>
          <w:szCs w:val="16"/>
          <w:color w:val="auto"/>
        </w:rPr>
        <w:t>259</w:t>
      </w:r>
      <w:r>
        <w:rPr>
          <w:sz w:val="20"/>
          <w:szCs w:val="20"/>
          <w:color w:val="auto"/>
        </w:rPr>
        <w:tab/>
      </w:r>
      <w:r>
        <w:rPr>
          <w:rFonts w:ascii="Arial" w:cs="Arial" w:eastAsia="Arial" w:hAnsi="Arial"/>
          <w:sz w:val="16"/>
          <w:szCs w:val="16"/>
          <w:color w:val="auto"/>
        </w:rPr>
        <w:t>285</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1,292</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437</w:t>
      </w:r>
    </w:p>
    <w:p>
      <w:pPr>
        <w:spacing w:after="0" w:line="86" w:lineRule="exact"/>
        <w:rPr>
          <w:sz w:val="20"/>
          <w:szCs w:val="20"/>
          <w:color w:val="auto"/>
        </w:rPr>
      </w:pPr>
    </w:p>
    <w:p>
      <w:pPr>
        <w:ind w:left="2060" w:hanging="1361"/>
        <w:spacing w:after="0"/>
        <w:tabs>
          <w:tab w:leader="none" w:pos="2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t>
      </w:r>
    </w:p>
    <w:p>
      <w:pPr>
        <w:spacing w:after="0" w:line="356" w:lineRule="exact"/>
        <w:rPr>
          <w:sz w:val="20"/>
          <w:szCs w:val="20"/>
          <w:color w:val="auto"/>
        </w:rPr>
      </w:pPr>
    </w:p>
    <w:p>
      <w:pPr>
        <w:jc w:val="both"/>
        <w:ind w:left="580"/>
        <w:spacing w:after="0"/>
        <w:tabs>
          <w:tab w:leader="none" w:pos="1780" w:val="left"/>
        </w:tabs>
        <w:rPr>
          <w:sz w:val="20"/>
          <w:szCs w:val="20"/>
          <w:color w:val="auto"/>
        </w:rPr>
      </w:pPr>
      <w:r>
        <w:rPr>
          <w:rFonts w:ascii="Arial" w:cs="Arial" w:eastAsia="Arial" w:hAnsi="Arial"/>
          <w:sz w:val="16"/>
          <w:szCs w:val="16"/>
          <w:color w:val="auto"/>
        </w:rPr>
        <w:t>(1,023)</w:t>
      </w:r>
      <w:r>
        <w:rPr>
          <w:sz w:val="20"/>
          <w:szCs w:val="20"/>
          <w:color w:val="auto"/>
        </w:rPr>
        <w:tab/>
      </w:r>
      <w:r>
        <w:rPr>
          <w:rFonts w:ascii="Arial" w:cs="Arial" w:eastAsia="Arial" w:hAnsi="Arial"/>
          <w:sz w:val="16"/>
          <w:szCs w:val="16"/>
          <w:color w:val="auto"/>
        </w:rPr>
        <w:t>(1,313)</w:t>
      </w:r>
    </w:p>
    <w:p>
      <w:pPr>
        <w:spacing w:after="0" w:line="86" w:lineRule="exact"/>
        <w:rPr>
          <w:sz w:val="20"/>
          <w:szCs w:val="20"/>
          <w:color w:val="auto"/>
        </w:rPr>
      </w:pPr>
    </w:p>
    <w:p>
      <w:pPr>
        <w:ind w:left="1920" w:hanging="1221"/>
        <w:spacing w:after="0"/>
        <w:tabs>
          <w:tab w:leader="none" w:pos="19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(980)</w:t>
      </w:r>
    </w:p>
    <w:p>
      <w:pPr>
        <w:spacing w:after="0" w:line="98" w:lineRule="exact"/>
        <w:rPr>
          <w:sz w:val="20"/>
          <w:szCs w:val="20"/>
          <w:color w:val="auto"/>
        </w:rPr>
      </w:pPr>
    </w:p>
    <w:p>
      <w:pPr>
        <w:ind w:left="2060" w:hanging="1361"/>
        <w:spacing w:after="0"/>
        <w:tabs>
          <w:tab w:leader="none" w:pos="20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72</w:t>
      </w:r>
    </w:p>
    <w:p>
      <w:pPr>
        <w:spacing w:after="0" w:line="86" w:lineRule="exact"/>
        <w:rPr>
          <w:sz w:val="20"/>
          <w:szCs w:val="20"/>
          <w:color w:val="auto"/>
        </w:rPr>
      </w:pPr>
    </w:p>
    <w:p>
      <w:pPr>
        <w:ind w:left="1980" w:hanging="1227"/>
        <w:spacing w:after="0"/>
        <w:tabs>
          <w:tab w:leader="none" w:pos="19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811</w:t>
      </w:r>
    </w:p>
    <w:p>
      <w:pPr>
        <w:spacing w:after="0" w:line="8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6"/>
          <w:szCs w:val="16"/>
          <w:color w:val="auto"/>
        </w:rPr>
        <w:t>1,260</w:t>
      </w:r>
      <w:r>
        <w:rPr>
          <w:rFonts w:ascii="Arial" w:cs="Arial" w:eastAsia="Arial" w:hAnsi="Arial"/>
          <w:sz w:val="14"/>
          <w:szCs w:val="14"/>
          <w:color w:val="auto"/>
        </w:rPr>
        <w:t>1,792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34925</wp:posOffset>
            </wp:positionV>
            <wp:extent cx="15005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66" w:lineRule="exact"/>
        <w:rPr>
          <w:sz w:val="20"/>
          <w:szCs w:val="20"/>
          <w:color w:val="auto"/>
        </w:rPr>
      </w:pPr>
    </w:p>
    <w:p>
      <w:pPr>
        <w:jc w:val="both"/>
        <w:ind w:left="500"/>
        <w:spacing w:after="0"/>
        <w:tabs>
          <w:tab w:leader="none" w:pos="1700" w:val="left"/>
        </w:tabs>
        <w:rPr>
          <w:sz w:val="20"/>
          <w:szCs w:val="20"/>
          <w:color w:val="auto"/>
        </w:rPr>
      </w:pPr>
      <w:r>
        <w:rPr>
          <w:rFonts w:ascii="Arial" w:cs="Arial" w:eastAsia="Arial" w:hAnsi="Arial"/>
          <w:sz w:val="16"/>
          <w:szCs w:val="16"/>
          <w:color w:val="auto"/>
        </w:rPr>
        <w:t>(14,519)</w:t>
      </w:r>
      <w:r>
        <w:rPr>
          <w:sz w:val="20"/>
          <w:szCs w:val="20"/>
          <w:color w:val="auto"/>
        </w:rPr>
        <w:tab/>
      </w:r>
      <w:r>
        <w:rPr>
          <w:rFonts w:ascii="Arial" w:cs="Arial" w:eastAsia="Arial" w:hAnsi="Arial"/>
          <w:sz w:val="16"/>
          <w:szCs w:val="16"/>
          <w:color w:val="auto"/>
        </w:rPr>
        <w:t>(17,530)</w:t>
      </w:r>
    </w:p>
    <w:p>
      <w:pPr>
        <w:spacing w:after="0" w:line="342" w:lineRule="exact"/>
        <w:rPr>
          <w:sz w:val="20"/>
          <w:szCs w:val="20"/>
          <w:color w:val="auto"/>
        </w:rPr>
      </w:pPr>
    </w:p>
    <w:p>
      <w:pPr>
        <w:sectPr>
          <w:pgSz w:w="11900" w:h="16838" w:orient="portrait"/>
          <w:cols w:equalWidth="0" w:num="2">
            <w:col w:w="8260" w:space="720"/>
            <w:col w:w="2340"/>
          </w:cols>
          <w:pgMar w:left="300" w:top="1026" w:right="279" w:bottom="906"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960" w:type="dxa"/>
            <w:vAlign w:val="bottom"/>
          </w:tcPr>
          <w:p>
            <w:pPr>
              <w:ind w:left="20"/>
              <w:spacing w:after="0"/>
              <w:rPr>
                <w:sz w:val="20"/>
                <w:szCs w:val="20"/>
                <w:color w:val="auto"/>
              </w:rPr>
            </w:pPr>
            <w:r>
              <w:rPr>
                <w:rFonts w:ascii="Arial" w:cs="Arial" w:eastAsia="Arial" w:hAnsi="Arial"/>
                <w:sz w:val="16"/>
                <w:szCs w:val="16"/>
                <w:color w:val="auto"/>
              </w:rPr>
              <w:t>Purchase of property and equipment</w:t>
            </w:r>
          </w:p>
        </w:tc>
        <w:tc>
          <w:tcPr>
            <w:tcW w:w="114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(478)</w:t>
            </w:r>
          </w:p>
        </w:tc>
      </w:tr>
      <w:tr>
        <w:trPr>
          <w:trHeight w:val="33"/>
        </w:trPr>
        <w:tc>
          <w:tcPr>
            <w:tcW w:w="8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of short-term investments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(96,883)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8960" w:type="dxa"/>
            <w:vAlign w:val="bottom"/>
          </w:tcPr>
          <w:p>
            <w:pPr>
              <w:ind w:left="880"/>
              <w:spacing w:after="0"/>
              <w:rPr>
                <w:sz w:val="20"/>
                <w:szCs w:val="20"/>
                <w:color w:val="auto"/>
              </w:rPr>
            </w:pPr>
            <w:r>
              <w:rPr>
                <w:rFonts w:ascii="Arial" w:cs="Arial" w:eastAsia="Arial" w:hAnsi="Arial"/>
                <w:sz w:val="16"/>
                <w:szCs w:val="16"/>
                <w:color w:val="auto"/>
              </w:rPr>
              <w:t>Net cash used in investing activities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(97,825)</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(478)</w:t>
            </w:r>
          </w:p>
        </w:tc>
      </w:tr>
      <w:tr>
        <w:trPr>
          <w:trHeight w:val="33"/>
        </w:trPr>
        <w:tc>
          <w:tcPr>
            <w:tcW w:w="8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4"/>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47"/>
        </w:trPr>
        <w:tc>
          <w:tcPr>
            <w:tcW w:w="89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Proceeds from initial public offering, net of underwriting discounts and commissions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115,506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
        </w:trPr>
        <w:tc>
          <w:tcPr>
            <w:tcW w:w="8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the exercise of common stock options, net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 of stockholders’ notes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color w:val="auto"/>
              </w:rPr>
              <w:t>Repayment of debt financing</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(1,119)</w:t>
            </w:r>
          </w:p>
        </w:tc>
      </w:tr>
      <w:tr>
        <w:trPr>
          <w:trHeight w:val="33"/>
        </w:trPr>
        <w:tc>
          <w:tcPr>
            <w:tcW w:w="8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Extinguishment of debt financing</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(29,081)</w:t>
            </w: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color w:val="auto"/>
              </w:rPr>
              <w:t>Proceeds from debt financing</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40,000</w:t>
            </w:r>
          </w:p>
        </w:tc>
      </w:tr>
      <w:tr>
        <w:trPr>
          <w:trHeight w:val="33"/>
        </w:trPr>
        <w:tc>
          <w:tcPr>
            <w:tcW w:w="8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w:t>
            </w: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color w:val="auto"/>
              </w:rPr>
              <w:t>Proceeds from the issuance of redeemable convertible preferred stock, net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5,427</w:t>
            </w:r>
          </w:p>
        </w:tc>
      </w:tr>
      <w:tr>
        <w:trPr>
          <w:trHeight w:val="33"/>
        </w:trPr>
        <w:tc>
          <w:tcPr>
            <w:tcW w:w="8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of public offering costs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w:t>
            </w:r>
          </w:p>
        </w:tc>
      </w:tr>
      <w:tr>
        <w:trPr>
          <w:trHeight w:val="217"/>
        </w:trPr>
        <w:tc>
          <w:tcPr>
            <w:tcW w:w="8960" w:type="dxa"/>
            <w:vAlign w:val="bottom"/>
          </w:tcPr>
          <w:p>
            <w:pPr>
              <w:ind w:left="88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115,150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12,862</w:t>
            </w:r>
          </w:p>
        </w:tc>
      </w:tr>
      <w:tr>
        <w:trPr>
          <w:trHeight w:val="33"/>
        </w:trPr>
        <w:tc>
          <w:tcPr>
            <w:tcW w:w="8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217"/>
        </w:trPr>
        <w:tc>
          <w:tcPr>
            <w:tcW w:w="8960" w:type="dxa"/>
            <w:vAlign w:val="bottom"/>
          </w:tcPr>
          <w:p>
            <w:pPr>
              <w:ind w:left="880"/>
              <w:spacing w:after="0"/>
              <w:rPr>
                <w:sz w:val="20"/>
                <w:szCs w:val="20"/>
                <w:color w:val="auto"/>
              </w:rPr>
            </w:pPr>
            <w:r>
              <w:rPr>
                <w:rFonts w:ascii="Arial" w:cs="Arial" w:eastAsia="Arial" w:hAnsi="Arial"/>
                <w:sz w:val="16"/>
                <w:szCs w:val="16"/>
                <w:color w:val="auto"/>
              </w:rPr>
              <w:t>Net decrease in cash and cash equivalents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2,712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(5,492)</w:t>
            </w:r>
          </w:p>
        </w:tc>
      </w:tr>
      <w:tr>
        <w:trPr>
          <w:trHeight w:val="33"/>
        </w:trPr>
        <w:tc>
          <w:tcPr>
            <w:tcW w:w="8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4"/>
        </w:trPr>
        <w:tc>
          <w:tcPr>
            <w:tcW w:w="8960" w:type="dxa"/>
            <w:vAlign w:val="bottom"/>
          </w:tcPr>
          <w:p>
            <w:pPr>
              <w:ind w:left="20"/>
              <w:spacing w:after="0"/>
              <w:rPr>
                <w:sz w:val="20"/>
                <w:szCs w:val="20"/>
                <w:color w:val="auto"/>
              </w:rPr>
            </w:pPr>
            <w:r>
              <w:rPr>
                <w:rFonts w:ascii="Arial" w:cs="Arial" w:eastAsia="Arial" w:hAnsi="Arial"/>
                <w:sz w:val="16"/>
                <w:szCs w:val="16"/>
                <w:color w:val="auto"/>
              </w:rPr>
              <w:t>Beginning of period</w:t>
            </w:r>
          </w:p>
        </w:tc>
        <w:tc>
          <w:tcPr>
            <w:tcW w:w="30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22,408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27,900</w:t>
            </w:r>
          </w:p>
        </w:tc>
      </w:tr>
      <w:tr>
        <w:trPr>
          <w:trHeight w:val="73"/>
        </w:trPr>
        <w:tc>
          <w:tcPr>
            <w:tcW w:w="89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17"/>
        </w:trPr>
        <w:tc>
          <w:tcPr>
            <w:tcW w:w="89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25,120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22,408</w:t>
            </w:r>
          </w:p>
        </w:tc>
      </w:tr>
      <w:tr>
        <w:trPr>
          <w:trHeight w:val="224"/>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8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4,514</w:t>
            </w:r>
          </w:p>
        </w:tc>
      </w:tr>
      <w:tr>
        <w:trPr>
          <w:trHeight w:val="224"/>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8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37"/>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redeemable convertible preferred stock to common stock</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118,547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320"/>
          </w:cols>
          <w:pgMar w:left="300" w:top="1026" w:right="279" w:bottom="906" w:gutter="0" w:footer="0" w:header="0"/>
          <w:type w:val="continuous"/>
        </w:sectPr>
      </w:pP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320"/>
          </w:cols>
          <w:pgMar w:left="300" w:top="1026" w:right="279" w:bottom="906"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r>
      <w:tr>
        <w:trPr>
          <w:trHeight w:val="192"/>
        </w:trPr>
        <w:tc>
          <w:tcPr>
            <w:tcW w:w="8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color w:val="auto"/>
              </w:rPr>
              <w:t>Conversion of preferred stock warrants to common stock warrants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1,248</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139</w:t>
            </w:r>
          </w:p>
        </w:tc>
        <w:tc>
          <w:tcPr>
            <w:tcW w:w="7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w:t>
            </w:r>
          </w:p>
        </w:tc>
      </w:tr>
      <w:tr>
        <w:trPr>
          <w:trHeight w:val="237"/>
        </w:trPr>
        <w:tc>
          <w:tcPr>
            <w:tcW w:w="8960" w:type="dxa"/>
            <w:vAlign w:val="bottom"/>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liabilities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82</w:t>
            </w:r>
          </w:p>
        </w:tc>
        <w:tc>
          <w:tcPr>
            <w:tcW w:w="7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97</w:t>
            </w:r>
          </w:p>
        </w:tc>
      </w:tr>
      <w:tr>
        <w:trPr>
          <w:trHeight w:val="33"/>
        </w:trPr>
        <w:tc>
          <w:tcPr>
            <w:tcW w:w="8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 offering costs included in accounts payable and accrued liabilities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w:t>
            </w:r>
          </w:p>
        </w:tc>
        <w:tc>
          <w:tcPr>
            <w:tcW w:w="7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20"/>
          </w:cols>
          <w:pgMar w:left="300" w:top="942" w:right="27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Nature of Business</w:t>
      </w:r>
    </w:p>
    <w:p>
      <w:pPr>
        <w:spacing w:after="0" w:line="12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October 2018, the Company's board of directors and stockholders approved a 1-for-18 reverse stock split of the Company's common stock and redeemable convertible preferred stock, which was effected on October 4, 2018. The par value of the common stock and redeemable convertible preferred stock was not adjusted as a result of the reverse split. All issued and outstanding share and per share amounts of common stock, redeemable convertible preferred stock, stock options, and warrants included in the accompanying consolidated financial statements have been adjusted to reflect this reverse stock split for all periods presented.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On October 16, 2018, the Company’s Registration Statement on Form S-1 (File No. 333-227445) relating to the initial public offering (IPO) of its common stock was declared effective by the Securities and Exchange Commission (SEC). Pursuant to such Registration Statement, the Company sold 8,280,000 shares at an initial public offering price of $15.00 per share for net proceeds of $113.6 million to the Company, net of underwriting discounts and commissions and offering costs.</w:t>
      </w:r>
    </w:p>
    <w:p>
      <w:pPr>
        <w:spacing w:after="0" w:line="79"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connection with the IPO, the Company's outstanding shares of redeemable convertible preferred stock were automatically converted into an aggregate of 12,066,654 shares of common stock, and the Company's outstanding warrants to purchase 156,550 shares of redeemable convertible preferred stock were automatically converted into warrants to purchase an aggregate of 160,657 shares of common stock, resulting in reclassification of the related redeemable convertible preferred stock warrant liability of $1.2 million in additional paid-in-capital.</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long-lived assets. Estimates are based on historical experience, where applicable and other assumptions believed to be reasonable by the management. Actual results could differ from those estimates.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As an emerging growth company under the Jumpstart Our Business Startups Act of 2012, or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Segments</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chief operating decision makers for the Company are the Chief Executive Officer and Chief Financial Officer. The Chief Executive Officer and the Chief Financial Officer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34"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 Following table summarizes the Company's revenue by geography (in thousands):</w:t>
      </w:r>
    </w:p>
    <w:p>
      <w:pPr>
        <w:spacing w:after="0" w:line="27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Year ended December 31,</w:t>
            </w:r>
          </w:p>
        </w:tc>
      </w:tr>
      <w:tr>
        <w:trPr>
          <w:trHeight w:val="27"/>
        </w:trPr>
        <w:tc>
          <w:tcPr>
            <w:tcW w:w="6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43,351</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4,632</w:t>
            </w: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47,983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7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resulting from the translation of the Company’s consolidated balance sheets are recorded as a component of accumulated other comprehensive income. Gains and losses from foreign currency transactions are recognized as a component of other income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71" w:lineRule="exact"/>
        <w:rPr>
          <w:sz w:val="20"/>
          <w:szCs w:val="20"/>
          <w:color w:val="auto"/>
        </w:rPr>
      </w:pPr>
    </w:p>
    <w:p>
      <w:pPr>
        <w:jc w:val="both"/>
        <w:ind w:firstLine="446"/>
        <w:spacing w:after="0" w:line="286" w:lineRule="auto"/>
        <w:rPr>
          <w:sz w:val="20"/>
          <w:szCs w:val="20"/>
          <w:color w:val="auto"/>
        </w:rPr>
      </w:pPr>
      <w:r>
        <w:rPr>
          <w:rFonts w:ascii="Arial" w:cs="Arial" w:eastAsia="Arial" w:hAnsi="Arial"/>
          <w:sz w:val="17"/>
          <w:szCs w:val="17"/>
          <w:color w:val="auto"/>
        </w:rPr>
        <w:t>The Company is subject to risks common to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uncertainty of market acceptance of products, and the need to obtain additional financing.</w:t>
      </w:r>
    </w:p>
    <w:p>
      <w:pPr>
        <w:spacing w:after="0" w:line="11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As of and for the year ended December 31, 2018, the Company had an accumulated deficit of $157.2 million and used $14.5 million of cash in operations. The Company has not achieved positive cash flow from operations to date. As of December 31, 2018, we had cash and cash equivalents of $25.1 million and short-term investments of $97.1 million. The Company held cash and cash equivalents of $22.4 million as of December 31, 2017.</w:t>
      </w:r>
    </w:p>
    <w:p>
      <w:pPr>
        <w:spacing w:after="0" w:line="166"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The Company’s primary cash needs are for the ongoing commercialization of its iFuse products. The Company also has certain debt covenants associated with its current debt agreement. These covenants include a $5.0 million minimum cash balance and revenue targets, which if not met would result in the debt becoming immediately due. The revenue target is assessed quarterly based on the rolling twelve months of revenue, and increases by approximately 2%-4% each quarter. Beginning with the three months ended March 31, 2019, the Company is required to meet either revenue or earnings targets. The Company has met the minimum liquidity and revenue targets as of December 31, 2018; however there can be no assurances that the Company will continue to meet these targets in the future.</w:t>
      </w:r>
    </w:p>
    <w:p>
      <w:pPr>
        <w:spacing w:after="0" w:line="193" w:lineRule="exact"/>
        <w:rPr>
          <w:sz w:val="20"/>
          <w:szCs w:val="20"/>
          <w:color w:val="auto"/>
        </w:rPr>
      </w:pPr>
    </w:p>
    <w:p>
      <w:pPr>
        <w:ind w:right="60" w:firstLine="446"/>
        <w:spacing w:after="0" w:line="285" w:lineRule="auto"/>
        <w:rPr>
          <w:sz w:val="20"/>
          <w:szCs w:val="20"/>
          <w:color w:val="auto"/>
        </w:rPr>
      </w:pPr>
      <w:r>
        <w:rPr>
          <w:rFonts w:ascii="Arial" w:cs="Arial" w:eastAsia="Arial" w:hAnsi="Arial"/>
          <w:sz w:val="16"/>
          <w:szCs w:val="16"/>
          <w:color w:val="auto"/>
        </w:rPr>
        <w:t>Based upon the Company's current operating plan, the Company believes that its existing cash, cash equivalents and short-term investments will enable the Company to fund its operating expenses and capital expenditure requirements through at least the next 12 months. The Company continues to face challenges and uncertainties and, as a result, its available capital resources may be consumed more rapidly than currently expected due to: (a) decreases in sales of our products and the uncertainty of future revenues from new products; (b) changes that the Company may make to the business that affect ongoing operating expenses; (c) changes that the Company may make in its business strategy; (d) regulatory developments affecting the Company's existing products;</w:t>
      </w:r>
    </w:p>
    <w:p>
      <w:pPr>
        <w:spacing w:after="0" w:line="2" w:lineRule="exact"/>
        <w:rPr>
          <w:sz w:val="20"/>
          <w:szCs w:val="20"/>
          <w:color w:val="auto"/>
        </w:rPr>
      </w:pPr>
    </w:p>
    <w:p>
      <w:pPr>
        <w:ind w:right="440" w:firstLine="8"/>
        <w:spacing w:after="0" w:line="261" w:lineRule="auto"/>
        <w:tabs>
          <w:tab w:leader="none" w:pos="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changes that the Company may make in its research and development spending plans; and (f) other items affecting the Company's forecasted level of expenditures and use of cash resources.</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Carrying amounts of certain of the Company’s financial instruments, including cash equivalents, short-term investments,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 carrying amount of the redeemable convertible preferred stock warrants has been marked to fair value such that the carrying amount represents its estimated fair value.</w:t>
      </w:r>
    </w:p>
    <w:p>
      <w:pPr>
        <w:spacing w:after="0" w:line="134"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134"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Unobservable inputs are used when little or no market data is available. The fair value hierarchy gives the lowest priority to Level 3 inputs.</w:t>
      </w:r>
    </w:p>
    <w:p>
      <w:pPr>
        <w:spacing w:after="0" w:line="19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27"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The Company’s cash equivalents consist of money market funds as of December 31, 2018 and December 31, 2017. The money market funds are classified as Level 1 of the fair value hierarchy. The Company's marketable securities are classified as Level 1 or Level 2 of the fair value hierarchy. The Company’s redeemable convertible preferred stock warrants are classified within Level 3 of the fair value hierarchy. The redeemable convertible preferred stock warrants have been valued using a Black-Scholes valuation model and are subsequently marked to fair value at each reporting period.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remaining maturities at the date of purchase of three months or less to be cash equivalents.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71"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The Company's marketable securities primarily consist of investments in U.S. treasury securities, corporate bonds, and commercial paper. We classify our marketable securities as available-for-sale at the time of purchase and reevaluate such classification as of each balance sheet date. Based upon maturity dates, all marketable securities as available for use in current operations, and therefore we classify these securities as current assets in the accompanying consolidated balance sheets. All marketable securities are recorded at their estimated fair value. Unrealized gains and losses on available-for-sale securities are recorded in Accumulated other comprehensive income (loss) ("OCI"). We evaluate our investments to assess whether those in unrealized loss positions are other-than-temporarily impaired. The Company considers impairments to be other-than-temporary if they are related to deterioration in credit risk or if it is likely we will sell the securities before the recovery of their cost basis. Realized gains and losses and declines in value judged to be other-than-temporary are determined based on the specific identification method and are reported in Other income (expense), net on the consolidated statements of operations.</w:t>
      </w:r>
    </w:p>
    <w:p>
      <w:pPr>
        <w:spacing w:after="0" w:line="16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If quoted prices for identical instruments are available in an active market, marketable securities are classified within Level 1 of the fair value hierarchy. If quoted prices for identical instruments in active markets are not available, fair values are estimated using quoted prices of similar instruments and are classified within Level 2 of the fair value hierarchy. To date, all of the Company's marketable securities can be valued using one of these two methodologies.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As of December 31, 2018 and December 31, 2017, inventory consisted entirely of finished goods.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266" w:lineRule="exact"/>
        <w:rPr>
          <w:sz w:val="20"/>
          <w:szCs w:val="20"/>
          <w:color w:val="auto"/>
        </w:rPr>
      </w:pPr>
    </w:p>
    <w:tbl>
      <w:tblPr>
        <w:tblLayout w:type="fixed"/>
        <w:tblInd w:w="19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and office equipment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2160" w:type="dxa"/>
            <w:vAlign w:val="bottom"/>
          </w:tcPr>
          <w:p>
            <w:pPr>
              <w:jc w:val="right"/>
              <w:spacing w:after="0"/>
              <w:rPr>
                <w:sz w:val="20"/>
                <w:szCs w:val="20"/>
                <w:color w:val="auto"/>
              </w:rPr>
            </w:pPr>
            <w:r>
              <w:rPr>
                <w:rFonts w:ascii="Arial" w:cs="Arial" w:eastAsia="Arial" w:hAnsi="Arial"/>
                <w:sz w:val="18"/>
                <w:szCs w:val="18"/>
                <w:color w:val="auto"/>
              </w:rPr>
              <w:t>3</w:t>
            </w:r>
          </w:p>
        </w:tc>
        <w:tc>
          <w:tcPr>
            <w:tcW w:w="1020" w:type="dxa"/>
            <w:vAlign w:val="bottom"/>
          </w:tcPr>
          <w:p>
            <w:pPr>
              <w:ind w:left="20"/>
              <w:spacing w:after="0"/>
              <w:rPr>
                <w:sz w:val="20"/>
                <w:szCs w:val="20"/>
                <w:color w:val="auto"/>
              </w:rPr>
            </w:pPr>
            <w:r>
              <w:rPr>
                <w:rFonts w:ascii="Arial" w:cs="Arial" w:eastAsia="Arial" w:hAnsi="Arial"/>
                <w:sz w:val="18"/>
                <w:szCs w:val="18"/>
                <w:color w:val="auto"/>
              </w:rPr>
              <w:t>– 5 years</w:t>
            </w:r>
          </w:p>
        </w:tc>
      </w:tr>
      <w:tr>
        <w:trPr>
          <w:trHeight w:val="27"/>
        </w:trPr>
        <w:tc>
          <w:tcPr>
            <w:tcW w:w="43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160" w:type="dxa"/>
            <w:vAlign w:val="bottom"/>
            <w:shd w:val="clear" w:color="auto" w:fill="CCEEFF"/>
          </w:tcPr>
          <w:p>
            <w:pPr>
              <w:spacing w:after="0"/>
              <w:rPr>
                <w:sz w:val="21"/>
                <w:szCs w:val="21"/>
                <w:color w:val="auto"/>
              </w:rPr>
            </w:pP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years</w:t>
            </w:r>
          </w:p>
        </w:tc>
      </w:tr>
      <w:tr>
        <w:trPr>
          <w:trHeight w:val="27"/>
        </w:trPr>
        <w:tc>
          <w:tcPr>
            <w:tcW w:w="43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consolidated balance sheet and the resulting gain or loss is recognized in the consolidated statement of operations. Maintenance and repairs are charged to operations as incurred.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December 31, 2018 and December 31, 2017, the Company has not experienced impairment losses on its long-lived assets.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Public Offering Costs</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Specific incremental costs (i.e. consisting of legal, accounting and other fees and costs) directly attributable to a proposed or actual offering of securities may properly be deferred and charged against the gross proceeds of the offering. In the event a planned IPO does not occur or is significantly delayed, all of the costs will be expensed. There were no capitalized offering costs as of December 31, 2018 and 2017 included in other non-current assets on the consolidated balance sheets. Costs incurred and capitalized during the year ended December 31, 2018 amounting to $1.9 million were transferred to additional paid-in capital upon completion of the IPO on October 16, 2018. Offering costs of $1.3 million were also incurred and expensed in the December 31, 2017, as a result of delays in the IPO process during the period.</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Warrants and other similar instruments related to shares that are contingently redeemable are classified as liabilities on the consolidated balance sheet at their estimated fair value because the shares underlying the warrants may obligate the Company to transfer assets to the holders at a future date under certain circumstances such as a deemed liquidation event. The warrants are exercisable into the Company’s redeemable convertible preferred stock and are classified as liabilities on the consolidated balance sheet. The warrants, measured at fair value, are subject to re-measurement at each balance sheet date and the change in fair value, if any, is recognized as other income (expense), net. The Company adjusted the liability for changes in fair value until the the closing of our initial public offering, at which time certain preferred stock warrants were converted into warrants to purchase common stock and the liability was reclassified to additional paid-in capital.</w:t>
      </w:r>
    </w:p>
    <w:p>
      <w:pPr>
        <w:spacing w:after="0" w:line="135" w:lineRule="exact"/>
        <w:rPr>
          <w:sz w:val="20"/>
          <w:szCs w:val="20"/>
          <w:color w:val="auto"/>
        </w:rPr>
      </w:pPr>
    </w:p>
    <w:p>
      <w:pPr>
        <w:jc w:val="both"/>
        <w:ind w:firstLine="446"/>
        <w:spacing w:after="0" w:line="342" w:lineRule="auto"/>
        <w:rPr>
          <w:sz w:val="20"/>
          <w:szCs w:val="20"/>
          <w:color w:val="auto"/>
        </w:rPr>
      </w:pPr>
      <w:r>
        <w:rPr>
          <w:rFonts w:ascii="Arial" w:cs="Arial" w:eastAsia="Arial" w:hAnsi="Arial"/>
          <w:sz w:val="16"/>
          <w:szCs w:val="16"/>
          <w:color w:val="auto"/>
        </w:rPr>
        <w:t>The Company estimated the fair value of these liabilities using option pricing models and assumptions that were based on the individual characteristics of the warrants on the valuation date, as well as assumptions for future financings, expected volatility, expected life, yield, and risk-free interest rate.</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16"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accordance with ASC Topic 605, Revenue Recognition (“ASC 605”), the Company recognizes revenue when persuasive evidence of an arrangement exists, title and risk of loss has transferred to the customer, the sales price is fixed or determinable, and collectability is reasonably assured. For the majority of product sales where the Company’s sales representative delivers the product at the point of implantation at hospitals or other medical facilities, the Company recognizes revenue related to product sales upon completion of the procedure and authorization by the customer. Revenue is recognized upon receipt of a purchase agreement or agreement on pricing terms with the customer and when all other revenue recognition criteria are met. For the remaining sales, which include distributor and hospital sales where the product is ordered in advance of a procedure and a valid purchase order has been received, the Company recognizes revenue based upon shipping or delivery terms, which represents the point in time when the customer has taken ownership and assumed risk of loss and the required revenue recognition criteria are met. Such customers are obligated to pay within specified terms regardless of when or if they ever sell or use the products, and the Company has no post-delivery obligations.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Warranty Program</w:t>
      </w:r>
    </w:p>
    <w:p>
      <w:pPr>
        <w:spacing w:after="0" w:line="17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January 2017, the Company implemented a warranty program which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These one-time credits are accounted for as sales reserves. Sales and warranty reserves from the warranty program were immaterial as of both December 31, 2018 and 2017.</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71"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 Effective December 2015, the Act was amended to include a provision to suspend the tax on medical devices through 2017. In January 2018, the suspension on the tax on medical devices was further extended through 2019.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firstLine="446"/>
        <w:spacing w:after="0" w:line="274" w:lineRule="auto"/>
        <w:rPr>
          <w:sz w:val="20"/>
          <w:szCs w:val="20"/>
          <w:color w:val="auto"/>
        </w:rPr>
      </w:pPr>
      <w:r>
        <w:rPr>
          <w:rFonts w:ascii="Arial" w:cs="Arial" w:eastAsia="Arial" w:hAnsi="Arial"/>
          <w:sz w:val="17"/>
          <w:szCs w:val="17"/>
          <w:color w:val="auto"/>
        </w:rPr>
        <w:t>Research and development costs are charged to operations as incurred and consist of costs incurred by the Company for the development of the Company’s product which include (1) employee-related expenses, including salaries, benefits, travel and non-cash stock-based compensation expense</w:t>
      </w: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external research and development expenses (3) other expenses, which include direct and allocated expenses for facilities and other costs.</w:t>
      </w:r>
    </w:p>
    <w:p>
      <w:pPr>
        <w:spacing w:after="0" w:line="156"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Advertising Expenditures</w:t>
      </w:r>
    </w:p>
    <w:p>
      <w:pPr>
        <w:spacing w:after="0" w:line="17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cost of advertising is included in Sales and Marketing expense in the consolidated financial statements and expensed as incurred. Advertising costs totaled $0.7 million and $0.8 million for the year ended December 31, 2018 and 2017,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The Company measures its stock-based awards made to employees based on the estimated fair values of the awards as of the grant date using the Black-Scholes option-pricing model. The model requires management to make a number of assumptions including expected volatility, expected life, risk-free interest rate and expected dividends.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04"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Stock-based compensation related to stock options granted to nonemployees is recognized as the stock options are earned.</w:t>
      </w:r>
    </w:p>
    <w:p>
      <w:pPr>
        <w:spacing w:after="0" w:line="93"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the event the underlying terms of stock options are modified on which stock-based compensation was granted, additional expense is recognized for any modification that increases the total fair value of the share-based payment arrangement at the modification date.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46"/>
        <w:spacing w:after="0" w:line="312" w:lineRule="auto"/>
        <w:rPr>
          <w:sz w:val="20"/>
          <w:szCs w:val="20"/>
          <w:color w:val="auto"/>
        </w:rPr>
      </w:pPr>
      <w:r>
        <w:rPr>
          <w:rFonts w:ascii="Arial" w:cs="Arial" w:eastAsia="Arial" w:hAnsi="Arial"/>
          <w:sz w:val="16"/>
          <w:szCs w:val="16"/>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93"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The Company adopted the accounting guidance for uncertainties in income taxes, which prescribes a recognition threshold and measurement process for recording uncertain tax positions taken, or expected to be taken, in a tax return in the financial statements. The guidance also prescribes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7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The Company calculates basic and diluted net loss per common share attributable to shareholders in conformity with the two-class method required for companies with participating securities. The Company considers all series of redeemable convertible preferred stock and early exercised stock options to be participating securities as the holders are entitled to receive dividends on a pari passu basis in the event that a dividend is paid on common stock. Under the two-class method, the net loss attributable to common stock is not allocated to the redeemable convertible preferred stock and early exercised stock options as the holders of redeemable convertible preferred stock and early exercised stock options do not have a contractual obligation to share in losses.</w:t>
      </w:r>
    </w:p>
    <w:p>
      <w:pPr>
        <w:spacing w:after="0" w:line="104"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redeemable convertible preferred stock and common stock options and warrants are considered to be potentially dilutive securities. Because the Company has reported a net loss in all periods presented, redeemable convertible preferred stock and common stock options and warrants are anti-dilutive and therefore diluted net loss per common share is the same as basic net loss per common share for those periods.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Comprehensive loss represents all changes in the stockholders’ equity (deficit) except those resulting from distributions to stockholders. The Company’s unrealized foreign currency translation income (losses) and unrealized gain (losses) of marketable securities represent the two components of other comprehensive income that are excluded from the reported net loss for each of the reporting periods and has been presented in the consolidated statements of operations and comprehensive loss.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new standard will become effective for fiscal years, including interim periods within those fiscal years, beginning after December 15, 2016, for public companies. For all other entities, the new standard is effective for fiscal years beginning after December 15, 2016, and interim periods within fiscal years beginning after December 15, 2017, with early adoption permitted. The Company has adopted this standard for the fiscal year ended December 31, 2017, which did not have a material impact on the Company’s consolidated financial statements.</w:t>
      </w:r>
    </w:p>
    <w:p>
      <w:pPr>
        <w:spacing w:after="0" w:line="135"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November 2015, the FASB issued ASU 2015-17, Balance Sheet Classification of Deferred Taxes. ASU 2015-17 specifies that deferred tax assets and liabilities shall be classified as non-current, or long-term, in a classified statement of financial position. The new standard is effective for public entities for fiscal years beginning after December 15, 2016, and interim periods within those fiscal years. For private entities, the new standard is effective for fiscal years beginning after December 15, 2017, and interim periods within fiscal years beginning after December 15, 2018. Earlier application is permitted for all entities as of the beginning of an interim or an annual reporting period. The Company has early adopted this standard for the fiscal year ended December 31, 2017, which did not have a material impact on the Company’s consolidated financial statements.</w:t>
      </w:r>
    </w:p>
    <w:p>
      <w:pPr>
        <w:spacing w:after="0" w:line="124"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for fiscal years beginning after December 15, 2016 and interim periods within those years. Other entities must apply the new guidance in fiscal years beginning after December 15, 2017 and in interim periods within fiscal years beginning after December 15, 2018, with early adoption permitted. The Company early adopted this standard in the first quarter of 2017 by recording the cumulative impact of applying this guidance to retained earnings, which was not material. The Company elected to continue to estimate the number of awards that are expected to vest.</w:t>
      </w:r>
    </w:p>
    <w:p>
      <w:pPr>
        <w:spacing w:after="0" w:line="124"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amends Accounting Standards Codification, or ASC, Subtopic 825-10, Financial Instruments - Overall, and includes updates on certain aspects of recognition, measurement, presentation and disclosure of financial instruments and applies to all entities that hold financial assets or owe financial liabilities. The new standard is effective for the Company’s annual period beginning after December 15, 2018, with early adoption permitted beginning after December 15, 2017. The Company has adopted this standard for the fiscal year ending December 31, 2018, which did not have any impact on the Company’s consolidated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all entities for fiscal years, including interim periods within those fiscal years, beginning after December 15, 2017. Early adoption is permitted. The Company has adopted this standard for the fiscal year ending December 31, 2018, which did not have any impact on the Company’s consolidated financial statements.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Standards Not Yet Effective</w:t>
      </w:r>
    </w:p>
    <w:p>
      <w:pPr>
        <w:spacing w:after="0" w:line="171"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as ASU 2014-09.</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continues to evaluate the impacts of adoption of the new standard on its accounting policies, processes, and system requirements and has assigned internal resources, in addition to the engagement of third party service providers, to assist in the evaluation. At this time, as it relates to product sales where the Company's sales representative delivers the product at the point of implantation at hospital or other medical facilities, the Company expects revenue to continue to be recognized upon completion of the procedure and authorization by the customer. Additionally, the new standard requires the capitalization of costs to obtain a contract, primarily sales commissions, and amortization of these costs over the contract period or estimated customer life. The Company expects to continue expensing all sales commissions as incurred. Management will adopt the standard using the modified retrospective method for the fiscal year ending December 31, 2019.</w:t>
      </w:r>
    </w:p>
    <w:p>
      <w:pPr>
        <w:spacing w:after="0" w:line="135"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In February 2016, the FASB issued its new lease accounting guidance. Under the new guidance, ASU 2016-02, Leases (Topic 842),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lessee’s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The Company is currently evaluating the impact of this standard on its consolidated financial statements, and anticipates adopting the standard for the fiscal year ending December 31, 2020.</w:t>
      </w:r>
    </w:p>
    <w:p>
      <w:pPr>
        <w:spacing w:after="0" w:line="115" w:lineRule="exact"/>
        <w:rPr>
          <w:sz w:val="20"/>
          <w:szCs w:val="20"/>
          <w:color w:val="auto"/>
        </w:rPr>
      </w:pPr>
    </w:p>
    <w:p>
      <w:pPr>
        <w:jc w:val="both"/>
        <w:ind w:firstLine="446"/>
        <w:spacing w:after="0" w:line="291"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ASU 2016-15 provides guidance on the following eight specific cash flow classification issues: (1) debt prepayment or debt extinguishment costs;</w:t>
      </w:r>
    </w:p>
    <w:p>
      <w:pPr>
        <w:jc w:val="both"/>
        <w:ind w:firstLine="8"/>
        <w:spacing w:after="0" w:line="281" w:lineRule="auto"/>
        <w:tabs>
          <w:tab w:leader="none" w:pos="268"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w:t>
      </w:r>
    </w:p>
    <w:p>
      <w:pPr>
        <w:spacing w:after="0" w:line="1" w:lineRule="exact"/>
        <w:rPr>
          <w:rFonts w:ascii="Arial" w:cs="Arial" w:eastAsia="Arial" w:hAnsi="Arial"/>
          <w:sz w:val="16"/>
          <w:szCs w:val="16"/>
          <w:color w:val="auto"/>
        </w:rPr>
      </w:pPr>
    </w:p>
    <w:p>
      <w:pPr>
        <w:jc w:val="both"/>
        <w:ind w:firstLine="8"/>
        <w:spacing w:after="0" w:line="290" w:lineRule="auto"/>
        <w:tabs>
          <w:tab w:leader="none" w:pos="274"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fiscal years beginning after December 15, 2018 and interim periods within fiscal years beginning after December 15, 2019 for private companies, with early adoption permitted. The Company is currently evaluating the impact of adopting ASU 2016-15 on its consolidated financial statements, and anticipates adopting the standard for the fiscal year ending December 31, 2019.</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In July 2017, the FASB issued ASU 2017-11, 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this standard will have on its consolidated financial statements, and anticipates adopting the standard for the fiscal year ending December 31, 2020.</w:t>
      </w:r>
    </w:p>
    <w:p>
      <w:pPr>
        <w:spacing w:after="0" w:line="129"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February 2018, the FASB issued ASU 2018-02, Income Statement—Reporting Comprehensive Income (Topic 220). This update provides companies with the option to reclassify stranded tax effects caused by the 2017 Tax Cuts and Jobs Act (the 2017 Tax Act) from accumulated other comprehensive income to retained earnings. This standard is effective for all entities for fiscal years, and interim periods within those fiscal years, beginning after December 15, 2018. Early adoption is permitted. The Company is currently evaluating the impact that the adoption of this standard will have on its consolidated financial statements, and anticipates adopting the standard for the fiscal year ending December 31, 2019.</w:t>
      </w:r>
    </w:p>
    <w:p>
      <w:pPr>
        <w:spacing w:after="0" w:line="119" w:lineRule="exact"/>
        <w:rPr>
          <w:sz w:val="20"/>
          <w:szCs w:val="20"/>
          <w:color w:val="auto"/>
        </w:rPr>
      </w:pPr>
    </w:p>
    <w:p>
      <w:pPr>
        <w:jc w:val="both"/>
        <w:ind w:firstLine="446"/>
        <w:spacing w:after="0" w:line="284" w:lineRule="auto"/>
        <w:rPr>
          <w:sz w:val="20"/>
          <w:szCs w:val="20"/>
          <w:color w:val="auto"/>
        </w:rPr>
      </w:pPr>
      <w:r>
        <w:rPr>
          <w:rFonts w:ascii="Arial" w:cs="Arial" w:eastAsia="Arial" w:hAnsi="Arial"/>
          <w:sz w:val="16"/>
          <w:szCs w:val="16"/>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 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w:t>
      </w:r>
    </w:p>
    <w:p>
      <w:pPr>
        <w:spacing w:after="0" w:line="5" w:lineRule="exact"/>
        <w:rPr>
          <w:sz w:val="20"/>
          <w:szCs w:val="20"/>
          <w:color w:val="auto"/>
        </w:rPr>
      </w:pPr>
    </w:p>
    <w:p>
      <w:pPr>
        <w:ind w:firstLine="8"/>
        <w:spacing w:after="0" w:line="261" w:lineRule="auto"/>
        <w:tabs>
          <w:tab w:leader="none" w:pos="37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is currently evaluating the impact that the adoption of this standard will have on the consolidated financial statements, and anticipates adopting the standard for the fiscal year ending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2018, marketable securities consisted of the following (in thousands):</w:t>
      </w:r>
    </w:p>
    <w:p>
      <w:pPr>
        <w:spacing w:after="0" w:line="383"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Aggregate Fair</w:t>
            </w:r>
          </w:p>
        </w:tc>
      </w:tr>
      <w:tr>
        <w:trPr>
          <w:trHeight w:val="234"/>
        </w:trPr>
        <w:tc>
          <w:tcPr>
            <w:tcW w:w="340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Amortized Cost</w:t>
            </w:r>
          </w:p>
        </w:tc>
        <w:tc>
          <w:tcPr>
            <w:tcW w:w="15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Unrealized Gains</w:t>
            </w:r>
          </w:p>
        </w:tc>
        <w:tc>
          <w:tcPr>
            <w:tcW w:w="114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Value</w:t>
            </w:r>
          </w:p>
        </w:tc>
      </w:tr>
      <w:tr>
        <w:trPr>
          <w:trHeight w:val="27"/>
        </w:trPr>
        <w:tc>
          <w:tcPr>
            <w:tcW w:w="3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65,491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65,489</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19,708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19,720</w:t>
            </w:r>
          </w:p>
        </w:tc>
      </w:tr>
      <w:tr>
        <w:trPr>
          <w:trHeight w:val="27"/>
        </w:trPr>
        <w:tc>
          <w:tcPr>
            <w:tcW w:w="3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11,894</w:t>
            </w:r>
          </w:p>
        </w:tc>
      </w:tr>
      <w:tr>
        <w:trPr>
          <w:trHeight w:val="237"/>
        </w:trPr>
        <w:tc>
          <w:tcPr>
            <w:tcW w:w="34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97,093</w:t>
            </w:r>
          </w:p>
        </w:tc>
        <w:tc>
          <w:tcPr>
            <w:tcW w:w="120" w:type="dxa"/>
            <w:vAlign w:val="bottom"/>
          </w:tcPr>
          <w:p>
            <w:pPr>
              <w:spacing w:after="0"/>
              <w:rPr>
                <w:sz w:val="20"/>
                <w:szCs w:val="20"/>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97,103</w:t>
            </w:r>
          </w:p>
        </w:tc>
      </w:tr>
      <w:tr>
        <w:trPr>
          <w:trHeight w:val="27"/>
        </w:trPr>
        <w:tc>
          <w:tcPr>
            <w:tcW w:w="3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3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U.S. treasury securities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3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4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6,635</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4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15,223</w:t>
            </w:r>
          </w:p>
        </w:tc>
      </w:tr>
      <w:tr>
        <w:trPr>
          <w:trHeight w:val="27"/>
        </w:trPr>
        <w:tc>
          <w:tcPr>
            <w:tcW w:w="3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22,858</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22,858</w:t>
            </w:r>
          </w:p>
        </w:tc>
      </w:tr>
      <w:tr>
        <w:trPr>
          <w:trHeight w:val="318"/>
        </w:trPr>
        <w:tc>
          <w:tcPr>
            <w:tcW w:w="34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r>
      <w:tr>
        <w:trPr>
          <w:trHeight w:val="25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marketable securities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119,951</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119,961</w:t>
            </w:r>
          </w:p>
        </w:tc>
      </w:tr>
      <w:tr>
        <w:trPr>
          <w:trHeight w:val="20"/>
        </w:trPr>
        <w:tc>
          <w:tcPr>
            <w:tcW w:w="3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All marketable securities of at December 31, 2017 of $22.1 million consisted of money market funds which were classified as cash equivalents.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tcPr>
          <w:p>
            <w:pPr>
              <w:ind w:left="460"/>
              <w:spacing w:after="0" w:line="27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15,223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15,223</w:t>
            </w: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66,489</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19,720</w:t>
            </w: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shd w:val="clear" w:color="auto" w:fill="CCEEFF"/>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18,529</w:t>
            </w:r>
          </w:p>
        </w:tc>
      </w:tr>
      <w:tr>
        <w:trPr>
          <w:trHeight w:val="297"/>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60"/>
              <w:spacing w:after="0"/>
              <w:rPr>
                <w:sz w:val="20"/>
                <w:szCs w:val="20"/>
                <w:color w:val="auto"/>
              </w:rPr>
            </w:pPr>
            <w:r>
              <w:rPr>
                <w:rFonts w:ascii="Arial" w:cs="Arial" w:eastAsia="Arial" w:hAnsi="Arial"/>
                <w:sz w:val="18"/>
                <w:szCs w:val="18"/>
                <w:color w:val="auto"/>
              </w:rPr>
              <w:t>Redeemable convertible preferred stock warrants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567"/>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ind w:left="18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
        </w:trPr>
        <w:tc>
          <w:tcPr>
            <w:tcW w:w="6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tcPr>
          <w:p>
            <w:pPr>
              <w:ind w:left="460"/>
              <w:spacing w:after="0" w:line="270" w:lineRule="exact"/>
              <w:rPr>
                <w:sz w:val="20"/>
                <w:szCs w:val="20"/>
                <w:color w:val="auto"/>
              </w:rPr>
            </w:pPr>
            <w:r>
              <w:rPr>
                <w:rFonts w:ascii="Arial" w:cs="Arial" w:eastAsia="Arial" w:hAnsi="Arial"/>
                <w:sz w:val="18"/>
                <w:szCs w:val="18"/>
                <w:color w:val="auto"/>
              </w:rPr>
              <w:t>Money market funds</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22,115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22,115</w:t>
            </w:r>
          </w:p>
        </w:tc>
      </w:tr>
      <w:tr>
        <w:trPr>
          <w:trHeight w:val="338"/>
        </w:trPr>
        <w:tc>
          <w:tcPr>
            <w:tcW w:w="6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Redeemable convertible preferred stock warrants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6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3794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249" w:lineRule="exact"/>
        <w:rPr>
          <w:sz w:val="20"/>
          <w:szCs w:val="20"/>
          <w:color w:val="auto"/>
        </w:rPr>
      </w:pPr>
    </w:p>
    <w:p>
      <w:pPr>
        <w:ind w:left="460" w:hanging="438"/>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Included in cash and cash equivalents on the consolidated balance sheet</w:t>
      </w:r>
    </w:p>
    <w:p>
      <w:pPr>
        <w:spacing w:after="0" w:line="22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warrants, the Company’s Level 3 financial liability, which is measured on a recurring basis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Balances at December 31, 2017</w:t>
            </w:r>
          </w:p>
        </w:tc>
        <w:tc>
          <w:tcPr>
            <w:tcW w:w="5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Change in fair value recorded in other (income) expense, net</w:t>
            </w:r>
          </w:p>
        </w:tc>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Conversion of preferred stock warrants to common stock warrants</w:t>
            </w:r>
          </w:p>
        </w:tc>
        <w:tc>
          <w:tcPr>
            <w:tcW w:w="54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(1,248)</w:t>
            </w:r>
          </w:p>
        </w:tc>
        <w:tc>
          <w:tcPr>
            <w:tcW w:w="0" w:type="dxa"/>
            <w:vAlign w:val="bottom"/>
          </w:tcPr>
          <w:p>
            <w:pPr>
              <w:spacing w:after="0"/>
              <w:rPr>
                <w:sz w:val="1"/>
                <w:szCs w:val="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Balances at December 31, 2018</w:t>
            </w:r>
          </w:p>
        </w:tc>
        <w:tc>
          <w:tcPr>
            <w:tcW w:w="54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5420" w:type="dxa"/>
            <w:vAlign w:val="bottom"/>
            <w:vMerge w:val="restart"/>
          </w:tcPr>
          <w:p>
            <w:pPr>
              <w:jc w:val="right"/>
              <w:ind w:right="4690"/>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542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2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5. Balance Sheet Components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834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 xml:space="preserve">Property and Equipment, net </w:t>
            </w: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879</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4,918</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r>
      <w:tr>
        <w:trPr>
          <w:trHeight w:val="237"/>
        </w:trPr>
        <w:tc>
          <w:tcPr>
            <w:tcW w:w="8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1,896</w:t>
            </w:r>
          </w:p>
        </w:tc>
      </w:tr>
      <w:tr>
        <w:trPr>
          <w:trHeight w:val="27"/>
        </w:trPr>
        <w:tc>
          <w:tcPr>
            <w:tcW w:w="8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Depreciation expense was $0.7 million and $1.0 million for the years ended December 31, 2018 and 2017,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 xml:space="preserve">Accrued Liabilities and Other </w:t>
            </w:r>
            <w:r>
              <w:rPr>
                <w:rFonts w:ascii="Arial" w:cs="Arial" w:eastAsia="Arial" w:hAnsi="Arial"/>
                <w:sz w:val="18"/>
                <w:szCs w:val="18"/>
                <w:color w:val="auto"/>
              </w:rPr>
              <w:t>(in thousands):</w:t>
            </w:r>
          </w:p>
        </w:tc>
        <w:tc>
          <w:tcPr>
            <w:tcW w:w="3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related expenses</w:t>
            </w:r>
          </w:p>
        </w:tc>
        <w:tc>
          <w:tcPr>
            <w:tcW w:w="37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3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Sales tax payable</w:t>
            </w:r>
          </w:p>
        </w:tc>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early exercise of unvested stock options</w:t>
            </w:r>
          </w:p>
        </w:tc>
        <w:tc>
          <w:tcPr>
            <w:tcW w:w="3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Sales and warranty reserves</w:t>
            </w:r>
          </w:p>
        </w:tc>
        <w:tc>
          <w:tcPr>
            <w:tcW w:w="3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5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540" w:type="dxa"/>
            <w:vAlign w:val="bottom"/>
            <w:vMerge w:val="restart"/>
          </w:tcPr>
          <w:p>
            <w:pPr>
              <w:jc w:val="right"/>
              <w:ind w:right="2310"/>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47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In August 2012, the Company entered into a new four-year non-cancelable operating lease for its existing office building space in San Jose, California which commenced in January 2013. In February 2014, the Company expanded the existing lease space and extended the lease terms through June 2017. In May 2016, the Company entered into another extension of the lease with its lessor for additional 12 months beginning in July 2017. Effective May 2018, the Company entered into an early termination agreement on an operating lease for its San Jose office. No early termination fees were incurred and all previously agreed-to rent payments were released, with no further obligations. In February 2018, the Company entered into a new seven-year non-cancelable operating lease for an office building space in Santa Clara, California which commenced in April 2018.</w:t>
      </w:r>
    </w:p>
    <w:p>
      <w:pPr>
        <w:spacing w:after="0" w:line="12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also entered into non-cancelable operating leases for its office building space in Gallarate, Italy and Mannheim, Germany which both expire in November 2024. Further, the Company also leases vehicles under operating lease arrangements for certain of its sales personnel in Europe which expire various times in 2019 to 2021.</w:t>
      </w:r>
    </w:p>
    <w:p>
      <w:pPr>
        <w:spacing w:after="0" w:line="12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totaled approximately $1.2 million and $1.0 million for the years ended December 31,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future minimum lease payments under all leases as of December 31, 2018 are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1,033</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842</w:t>
            </w:r>
          </w:p>
        </w:tc>
      </w:tr>
      <w:tr>
        <w:trPr>
          <w:trHeight w:val="27"/>
        </w:trPr>
        <w:tc>
          <w:tcPr>
            <w:tcW w:w="10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1,184</w:t>
            </w:r>
          </w:p>
        </w:tc>
      </w:tr>
      <w:tr>
        <w:trPr>
          <w:trHeight w:val="27"/>
        </w:trPr>
        <w:tc>
          <w:tcPr>
            <w:tcW w:w="10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5,852</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46"/>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Purchase Commitments and Obligations</w:t>
      </w:r>
    </w:p>
    <w:p>
      <w:pPr>
        <w:spacing w:after="0" w:line="17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has certain purchase commitments related to inventory used in normal course of business. These commitments totaled $0.2 million and $0.1 million at December 31, 2018 and December 31, 2017, respectively. The amounts paid under these arrangements may be less in the event that the arrangement is renegotiated or canceled.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46"/>
        <w:spacing w:after="0" w:line="272" w:lineRule="auto"/>
        <w:rPr>
          <w:sz w:val="20"/>
          <w:szCs w:val="20"/>
          <w:color w:val="auto"/>
        </w:rPr>
      </w:pPr>
      <w:r>
        <w:rPr>
          <w:rFonts w:ascii="Arial" w:cs="Arial" w:eastAsia="Arial" w:hAnsi="Arial"/>
          <w:sz w:val="17"/>
          <w:szCs w:val="17"/>
          <w:color w:val="auto"/>
        </w:rPr>
        <w:t>On February 6, 2019, a putative class action captioned Eric B. Fromer Chiropractic, Inc. v. SI-BONE, Inc. (Civil Action No. 5:19-cv-633-SVK), was filed in the United States District Court, Northern District of California. The complaint alleges violations of the Telephone Consumer Protection Act (the “TCPA”) on behalf of an individual and putative classes of persons alleged to be similarly situated. The complaint alleges that the Company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The Company believes that it has meritorious defenses and intends to vigorously defend itself in the action. It is too early in this matter to reasonably predict the probability of the outcomes or to estimate the range of possible loss, if any.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71" w:lineRule="exact"/>
        <w:rPr>
          <w:sz w:val="20"/>
          <w:szCs w:val="20"/>
          <w:color w:val="auto"/>
        </w:rPr>
      </w:pPr>
    </w:p>
    <w:p>
      <w:pPr>
        <w:jc w:val="both"/>
        <w:ind w:firstLine="446"/>
        <w:spacing w:after="0" w:line="297"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04"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2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Borrowings</w:t>
      </w:r>
    </w:p>
    <w:p>
      <w:pPr>
        <w:spacing w:after="0" w:line="175"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The Company had $39.0 million and $38.7 million of outstanding debt, net of debt discounts, as of December 31, 2018 and December 31, 2017, respectively.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Term Loan</w:t>
      </w:r>
    </w:p>
    <w:p>
      <w:pPr>
        <w:spacing w:after="0" w:line="17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August 2016, the Company entered into a Term Loan facility and a revolving line of credit with Silicon Valley Bank, or SVB and Oxford Finance LLC, or Oxford for $35.2 million. The Term Loan had interest only periods for six months up to October 1, 2017 and was then to be repaid over 25 months of equal principal payments plus interest. The maturity date of the term loan was December 1, 2019, and it carried an interest rate equal to the greater of 11% or the WSJ Prime rate plus 7.75%. The Term Loan borrowings were senior unsecured obligations of the Company, ranking equally and ratably among themselves and with the Company’s existing and future unsecured and unsubordinated debt.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conjunction with the above Term Loan agreement, the Company issued redeemable convertible preferred stock warrants (refer to Note 9 for details).</w:t>
      </w:r>
    </w:p>
    <w:p>
      <w:pPr>
        <w:spacing w:after="0" w:line="19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October 2017, the Company extinguished the Term Loan with SVB and Oxford. Concurrently, the Company entered into a New Term Loan with Pharmakon Advisors, or Pharmakon. As a result of the extinguished debt, the Company paid $29.1 million in principal payments to SVB and Oxford. The Company also paid $1.5 million in early termination fees and recorded $0.7 million of unamortized debt discounts. This loss on extinguishment of $2.2 million is reflected as interest expense in the consolidated statement of operations.</w:t>
      </w:r>
    </w:p>
    <w:p>
      <w:pPr>
        <w:spacing w:after="0" w:line="133" w:lineRule="exact"/>
        <w:rPr>
          <w:sz w:val="20"/>
          <w:szCs w:val="20"/>
          <w:color w:val="auto"/>
        </w:rPr>
      </w:pPr>
    </w:p>
    <w:p>
      <w:pPr>
        <w:jc w:val="both"/>
        <w:ind w:firstLine="446"/>
        <w:spacing w:after="0" w:line="268" w:lineRule="auto"/>
        <w:rPr>
          <w:sz w:val="20"/>
          <w:szCs w:val="20"/>
          <w:color w:val="auto"/>
        </w:rPr>
      </w:pPr>
      <w:r>
        <w:rPr>
          <w:rFonts w:ascii="Arial" w:cs="Arial" w:eastAsia="Arial" w:hAnsi="Arial"/>
          <w:sz w:val="17"/>
          <w:szCs w:val="17"/>
          <w:color w:val="auto"/>
        </w:rPr>
        <w:t>The Company entered into the New Term Loan with Pharmakon for $40.0 million in October 2017. Debt issuance costs of $1.3 million were recorded as a direct deduction from the carrying amount of the New Term Loan on the consolidated balance sheet, and are being amortized over the period of the New Term Loan using the effective interest method to interest expense in the consolidated statement of operations. The New Term Loan includes an interest-only period for 35 months through September 2020 and is then repaid in equal quarterly principal payments plus interest through December 2022, and is classified as long-term borrowings on the consolidated balance sheet. The New Term Loan carries a fixed interest rate of 11.5% and a closing fee of 1.5% of the funded amount, or $0.6 million. The New Term Loan includes a pre-payment fee equal to the interest due for the first 30 months of the agreement if it is prepaid within the first 30 months, a 2% prepayment penalty for months 31-48, and a 1% penalty for months 49-60. The New Term Loan required the Company to maintain a minimum cash balance of $5.0 million and to achieve certain revenue targets through December 31, 2018. Beginning with the three months ended March 31, 2019, the Company is required to meet either revenue or earnings targets. Under the New Term Loan, the Company also has a second tranche of $10.0 million available through January 2019, contingent upon the achievement of certain revenue milestones. The Company did not draw upon the second tranche. The New Term Loan is a senior obligation secured with a blanket first lien on the assets of the Company. As of December 31, 2018 and December 31, 2017, the total loan balance, net of debt discount, was $39.0 million and $38.7 million, respectively, with an effective interest rate of 12.3% and 12.0%, respectively, and the Company was in compliance with all debt covenants.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Approximate annual future minimum principal payments under the loan agreements as of December 31, 2018 are as follows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60" w:type="dxa"/>
            <w:vAlign w:val="bottom"/>
            <w:gridSpan w:val="3"/>
          </w:tcPr>
          <w:p>
            <w:pPr>
              <w:ind w:left="40"/>
              <w:spacing w:after="0"/>
              <w:rPr>
                <w:sz w:val="20"/>
                <w:szCs w:val="20"/>
                <w:color w:val="auto"/>
              </w:rPr>
            </w:pPr>
            <w:r>
              <w:rPr>
                <w:rFonts w:ascii="Arial" w:cs="Arial" w:eastAsia="Arial" w:hAnsi="Arial"/>
                <w:sz w:val="18"/>
                <w:szCs w:val="18"/>
                <w:b w:val="1"/>
                <w:bCs w:val="1"/>
                <w:color w:val="auto"/>
              </w:rPr>
              <w:t>Year Ending at, December 31,</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78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4,444</w:t>
            </w: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17,778</w:t>
            </w: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17,778</w:t>
            </w:r>
          </w:p>
        </w:tc>
      </w:tr>
      <w:tr>
        <w:trPr>
          <w:trHeight w:val="27"/>
        </w:trPr>
        <w:tc>
          <w:tcPr>
            <w:tcW w:w="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future minimum payments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w:t>
            </w:r>
          </w:p>
        </w:tc>
      </w:tr>
      <w:tr>
        <w:trPr>
          <w:trHeight w:val="243"/>
        </w:trPr>
        <w:tc>
          <w:tcPr>
            <w:tcW w:w="10160" w:type="dxa"/>
            <w:vAlign w:val="bottom"/>
            <w:gridSpan w:val="3"/>
          </w:tcPr>
          <w:p>
            <w:pPr>
              <w:ind w:left="4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101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Amount representing debt discount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37"/>
        </w:trPr>
        <w:tc>
          <w:tcPr>
            <w:tcW w:w="40" w:type="dxa"/>
            <w:vAlign w:val="bottom"/>
          </w:tcPr>
          <w:p>
            <w:pPr>
              <w:spacing w:after="0"/>
              <w:rPr>
                <w:sz w:val="20"/>
                <w:szCs w:val="20"/>
                <w:color w:val="auto"/>
              </w:rPr>
            </w:pPr>
          </w:p>
        </w:tc>
        <w:tc>
          <w:tcPr>
            <w:tcW w:w="10120" w:type="dxa"/>
            <w:vAlign w:val="bottom"/>
            <w:gridSpan w:val="2"/>
          </w:tcPr>
          <w:p>
            <w:pPr>
              <w:ind w:left="420"/>
              <w:spacing w:after="0"/>
              <w:rPr>
                <w:sz w:val="20"/>
                <w:szCs w:val="20"/>
                <w:color w:val="auto"/>
              </w:rPr>
            </w:pPr>
            <w:r>
              <w:rPr>
                <w:rFonts w:ascii="Arial" w:cs="Arial" w:eastAsia="Arial" w:hAnsi="Arial"/>
                <w:sz w:val="18"/>
                <w:szCs w:val="18"/>
                <w:color w:val="auto"/>
              </w:rPr>
              <w:t>Total minimum payments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38,963</w:t>
            </w:r>
          </w:p>
        </w:tc>
      </w:tr>
      <w:tr>
        <w:trPr>
          <w:trHeight w:val="27"/>
        </w:trPr>
        <w:tc>
          <w:tcPr>
            <w:tcW w:w="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New Term Loan required the Company to maintain a minimum cash balance of $5.0 million and to achieve certain revenue targets, which we were in compliance with through December 31, 2018.</w:t>
      </w:r>
    </w:p>
    <w:p>
      <w:pPr>
        <w:spacing w:after="0" w:line="17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Beginning with the three months ended March 31, 2019, the Company is required to meet either minimum net sales or trailing 12-month consolidated EBITDA targets. The Company needs to meet one or the other, but not both. If the Company does not meet either the minimum net sales or trailing 12-month consolidated EBITDA targets, the debt will immediately become due. The minimum net sales and trailing 12-month consolidated EBITDA targets are as follows (in thousands):</w:t>
      </w:r>
    </w:p>
    <w:p>
      <w:pPr>
        <w:spacing w:after="0" w:line="345"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b w:val="1"/>
                <w:bCs w:val="1"/>
                <w:color w:val="auto"/>
              </w:rPr>
              <w:t>Trailing 12-Month</w:t>
            </w:r>
          </w:p>
        </w:tc>
        <w:tc>
          <w:tcPr>
            <w:tcW w:w="680" w:type="dxa"/>
            <w:vAlign w:val="bottom"/>
          </w:tcPr>
          <w:p>
            <w:pPr>
              <w:spacing w:after="0"/>
              <w:rPr>
                <w:sz w:val="18"/>
                <w:szCs w:val="18"/>
                <w:color w:val="auto"/>
              </w:rPr>
            </w:pPr>
          </w:p>
        </w:tc>
      </w:tr>
      <w:tr>
        <w:trPr>
          <w:trHeight w:val="234"/>
        </w:trPr>
        <w:tc>
          <w:tcPr>
            <w:tcW w:w="3060" w:type="dxa"/>
            <w:vAlign w:val="bottom"/>
            <w:gridSpan w:val="2"/>
          </w:tcPr>
          <w:p>
            <w:pPr>
              <w:ind w:left="20"/>
              <w:spacing w:after="0"/>
              <w:rPr>
                <w:sz w:val="20"/>
                <w:szCs w:val="20"/>
                <w:color w:val="auto"/>
              </w:rPr>
            </w:pPr>
            <w:r>
              <w:rPr>
                <w:rFonts w:ascii="Arial" w:cs="Arial" w:eastAsia="Arial" w:hAnsi="Arial"/>
                <w:sz w:val="18"/>
                <w:szCs w:val="18"/>
                <w:b w:val="1"/>
                <w:bCs w:val="1"/>
                <w:color w:val="auto"/>
              </w:rPr>
              <w:t>Twelve Months Ending</w:t>
            </w: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Minimum Net Sales</w:t>
            </w:r>
          </w:p>
        </w:tc>
        <w:tc>
          <w:tcPr>
            <w:tcW w:w="90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EBITDA</w:t>
            </w:r>
          </w:p>
        </w:tc>
      </w:tr>
      <w:tr>
        <w:trPr>
          <w:trHeight w:val="27"/>
        </w:trPr>
        <w:tc>
          <w:tcPr>
            <w:tcW w:w="25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53,500</w:t>
            </w:r>
          </w:p>
        </w:tc>
        <w:tc>
          <w:tcPr>
            <w:tcW w:w="900" w:type="dxa"/>
            <w:vAlign w:val="bottom"/>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7"/>
        </w:trPr>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56,000</w:t>
            </w:r>
          </w:p>
        </w:tc>
        <w:tc>
          <w:tcPr>
            <w:tcW w:w="900" w:type="dxa"/>
            <w:vAlign w:val="bottom"/>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58,500</w:t>
            </w:r>
          </w:p>
        </w:tc>
        <w:tc>
          <w:tcPr>
            <w:tcW w:w="900" w:type="dxa"/>
            <w:vAlign w:val="bottom"/>
          </w:tcPr>
          <w:p>
            <w:pPr>
              <w:ind w:left="380"/>
              <w:spacing w:after="0"/>
              <w:rPr>
                <w:sz w:val="20"/>
                <w:szCs w:val="20"/>
                <w:color w:val="auto"/>
              </w:rPr>
            </w:pPr>
            <w:r>
              <w:rPr>
                <w:rFonts w:ascii="Arial" w:cs="Arial" w:eastAsia="Arial" w:hAnsi="Arial"/>
                <w:sz w:val="18"/>
                <w:szCs w:val="18"/>
                <w:color w:val="auto"/>
              </w:rPr>
              <w:t>or</w:t>
            </w:r>
          </w:p>
        </w:tc>
        <w:tc>
          <w:tcPr>
            <w:tcW w:w="15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2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 as applicable</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2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Term Loan is collateralized by all of the Company's assets, including 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 December 31, 2018, the Company was in compliance with all of its debt obligations and 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Line of Credit</w:t>
      </w:r>
    </w:p>
    <w:p>
      <w:pPr>
        <w:spacing w:after="0" w:line="17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October 2015, the Company entered into an agreement with its existing lender SVB and Oxford. The amount of the revolving line of credit was $4.0 million (or 80% of the amount of certain customer accounts receivable). It carried an interest rate equal to the WSJ Prime rate plus 3% with a maturity of December 1, 2019. In October 2017, this line of credit was cancelled in conjunction with the SVB and Oxford debt extinguishment discussed above. No draws were made on this facility through its cancellation.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33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In connection with the IPO, the Company's outstanding shares of redeemable convertible preferred stock were automatically converted into an aggregate of 12,066,654 shares of common stock. There was no preferred stock balance outstanding at December 31, 2018.</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Preferred stock at December 31, 2017 consisted of the following:</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700" w:type="dxa"/>
            <w:vAlign w:val="bottom"/>
            <w:gridSpan w:val="4"/>
          </w:tcPr>
          <w:p>
            <w:pPr>
              <w:ind w:left="10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7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Series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Issued and</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vMerge w:val="continue"/>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6"/>
                <w:szCs w:val="16"/>
                <w:b w:val="1"/>
                <w:bCs w:val="1"/>
                <w:color w:val="auto"/>
              </w:rPr>
              <w:t>Authorized</w:t>
            </w:r>
          </w:p>
        </w:tc>
        <w:tc>
          <w:tcPr>
            <w:tcW w:w="1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Outstanding</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Value</w:t>
            </w: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8"/>
              </w:rPr>
              <w:t>Liquidation Value</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7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3"/>
          </w:tcPr>
          <w:p>
            <w:pPr>
              <w:jc w:val="right"/>
              <w:ind w:right="33"/>
              <w:spacing w:after="0"/>
              <w:rPr>
                <w:sz w:val="20"/>
                <w:szCs w:val="20"/>
                <w:color w:val="auto"/>
              </w:rPr>
            </w:pPr>
            <w:r>
              <w:rPr>
                <w:rFonts w:ascii="Arial" w:cs="Arial" w:eastAsia="Arial" w:hAnsi="Arial"/>
                <w:sz w:val="16"/>
                <w:szCs w:val="16"/>
                <w:b w:val="1"/>
                <w:bCs w:val="1"/>
                <w:color w:val="auto"/>
              </w:rPr>
              <w:t>(in thousands)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1</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245,096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245,096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Series 2</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709,617</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709,608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3</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498,958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498,938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Series 4</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2,509,047</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2,509,032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15,656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5</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2,086,138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2,009,226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Series 6</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3,389,227</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3,319,274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54,508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7</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2,666,666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2,580,404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25,752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57"/>
        </w:trPr>
        <w:tc>
          <w:tcPr>
            <w:tcW w:w="5780" w:type="dxa"/>
            <w:vAlign w:val="bottom"/>
          </w:tcPr>
          <w:p>
            <w:pPr>
              <w:ind w:left="68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12,104,749</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11,871,578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118,548</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119,194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Prior to the conversion of redeemable preferred stock to common stock during the IPO, the holders of preferred stock had various rights and preferences as follows: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00" w:firstLine="432"/>
        <w:spacing w:after="0" w:line="271" w:lineRule="auto"/>
        <w:rPr>
          <w:sz w:val="20"/>
          <w:szCs w:val="20"/>
          <w:color w:val="auto"/>
        </w:rPr>
      </w:pPr>
      <w:r>
        <w:rPr>
          <w:rFonts w:ascii="Arial" w:cs="Arial" w:eastAsia="Arial" w:hAnsi="Arial"/>
          <w:sz w:val="17"/>
          <w:szCs w:val="17"/>
          <w:color w:val="auto"/>
        </w:rPr>
        <w:t>The holders of Series 1, Series 2, Series 3, Series 4, Series 5, Series 6, and Series 7 preferred stock shares were entitled to vote on all matters on which the common stockholders were entitled to vote. The holders of Series 1, Series 2, Series 3 had the right to 0.352941 votes for each share of Series 2 common stock into which such preferred stock would had converted and the holders of Series 4, Series 5, Series 6 and Series 7 had the right to one vote for each share of Series 2 common stock into which such preferred stock would had converted. As long as there were any shares of Series 4, Series 5, Series 6, and Series 7 shares that were outstanding, the holders of such Series 4, Series 5, Series 6 and Series 7, at each respective series, were entitled to elect one member of the Board of Directors each; the holders of Series 2 common stock were entitled to elect two members of the Board of Directors; and the holders of the preferred stock and Series 2 common stock, voting together as a single class were entitled to elect the remaining members of the Board of Directors, as determined at each annual meeting of the Board of Directors.</w:t>
      </w:r>
    </w:p>
    <w:p>
      <w:pPr>
        <w:spacing w:after="0" w:line="287" w:lineRule="exact"/>
        <w:rPr>
          <w:sz w:val="20"/>
          <w:szCs w:val="20"/>
          <w:color w:val="auto"/>
        </w:rPr>
      </w:pPr>
    </w:p>
    <w:p>
      <w:pPr>
        <w:ind w:right="180" w:firstLine="432"/>
        <w:spacing w:after="0" w:line="291" w:lineRule="auto"/>
        <w:rPr>
          <w:sz w:val="20"/>
          <w:szCs w:val="20"/>
          <w:color w:val="auto"/>
        </w:rPr>
      </w:pPr>
      <w:r>
        <w:rPr>
          <w:rFonts w:ascii="Arial" w:cs="Arial" w:eastAsia="Arial" w:hAnsi="Arial"/>
          <w:sz w:val="16"/>
          <w:szCs w:val="16"/>
          <w:color w:val="auto"/>
        </w:rPr>
        <w:t>As long as at least 277,778 preferred stock shares remained outstanding, the Company must obtain approval from a majority of the holders of the then outstanding shares of preferred stockholders and a majority of the voting power of all outstanding shares of Series 5 preferred stock in order to</w:t>
      </w:r>
    </w:p>
    <w:p>
      <w:pPr>
        <w:ind w:right="60" w:firstLine="8"/>
        <w:spacing w:after="0" w:line="267" w:lineRule="auto"/>
        <w:tabs>
          <w:tab w:leader="none" w:pos="215" w:val="left"/>
        </w:tabs>
        <w:numPr>
          <w:ilvl w:val="0"/>
          <w:numId w:val="72"/>
        </w:numPr>
        <w:rPr>
          <w:rFonts w:ascii="Arial" w:cs="Arial" w:eastAsia="Arial" w:hAnsi="Arial"/>
          <w:sz w:val="17"/>
          <w:szCs w:val="17"/>
          <w:color w:val="auto"/>
        </w:rPr>
      </w:pPr>
      <w:r>
        <w:rPr>
          <w:rFonts w:ascii="Arial" w:cs="Arial" w:eastAsia="Arial" w:hAnsi="Arial"/>
          <w:sz w:val="17"/>
          <w:szCs w:val="17"/>
          <w:color w:val="auto"/>
        </w:rPr>
        <w:t>consummate or agree to consummate a Liquidation Event (as defined in the Company’s certificate of incorporation); (ii) 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 first refusal in favor of the Company, in each case, provided that such agreement has been approved by the Company’s board of directors; or (vi) pay or declare any dividend on any shares of capital stock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holders of preferred stock were entitled to receive noncumulative dividends, when and if declared by the Board of Directors, out of any assets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legally available, prior to and in preference to any declaration or payment of dividends on the common stock of the Company. Dividend rates, on a per annum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basis, for Series 1, Series 2, Series 3, Series 4, Series 5, Series 6, and Series 7 preferred stock are $0.050112, $0.171360, $0.4608, $0.504, $0.72774,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$1.317744, and $0.802656, respectively, (adjusted to reflect subsequent stock dividends, stock splits or recapitalization). No dividends on preferred stock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have been declared as of December 31, 2018 and 2017.</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In the event of any liquidation, dissolution or winding-up of the Company or Liquidating Event, the holders of the preferred stock were entitled to receive prior to and in preference to any distribution to holders of the common stock, an amount equal to their respective original issuance price per share (original issuance price per share for Series 1, Series 2, Series 3, Series 4, Series 5, Series 6, and Series 7 preferred stock are $0.6264, $2.142, $5.76, $6.30, $9.0954, $16.4718, and $10.0332, respectively), plus any declared but unpaid dividends on such shares. Should the Company’s legally available assets be insufficient to satisfy the full liquidation preference, the funds will be distributed ratably among the holders of the preferred stock in proportion to the preferential amount each holder is otherwise entitled to receive.</w:t>
      </w:r>
    </w:p>
    <w:p>
      <w:pPr>
        <w:spacing w:after="0" w:line="21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Upon the closing of the distribution as above, the remaining proceeds shall be distributed among the holders of Series 4, Series 5, Series 6, Series 7 preferred stock and common stock pro rata based on the number of shares of common stock held by each until the holders of the preferred stock have received the “participation cap.” Thereafter, if proceeds remain, the holders of Series 7 preferred stock and common stock of this corporation shall receive all of the remaining proceeds pro rata based on the number of shares of common stock held by each (assuming full conversion of all such Series 7 preferred stock). The Company has a per share “Participation Cap” of $32.9436 for the Series 6 preferred stock, $18.1908 for the Series 5 preferred stock, and $12.60 for the Series 4 preferred stock (each as adjusted for any stock splits, stock dividends, combinations, subdivisions, recapitalizations or the like with respect to such series of preferred stock).</w:t>
      </w:r>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color w:val="auto"/>
        </w:rPr>
        <w:t>Each share of Series 1, Series 2, Series 3, Series 4, Series 5, Series 6, and Series 7 preferred stock was convertible at the option of the holder, into the number of shares of Series 2 common stock into which such shares are at the then effective conversion ratio or one to one ratio. The conversion price per share for Series 1, Series 2, Series 3 and Series 4, Series 5, Series 6, and Series 7 preferred stock shall be the respective issuance price per share, respectively. The initial conversion price was subject to adjustment from time to time. In March 2017, the conversion price per share for the Series 6 preferred stock was amended from $15.714 per share to $15.5574 per share which resulted in the conversion ratio increasing from 1.05 to 1.06 per share.</w:t>
      </w:r>
    </w:p>
    <w:p>
      <w:pPr>
        <w:spacing w:after="0" w:line="158"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Each share of preferred stock shall be converted into common stock shares upon the earlier of (i) immediately before the closing of a firm commitment underwritten public offering in which the aggregate gross proceeds of not less than $50.0 million and a per share public offering of not less than $30.0996, or</w:t>
      </w:r>
    </w:p>
    <w:p>
      <w:pPr>
        <w:ind w:right="20" w:firstLine="8"/>
        <w:spacing w:after="0" w:line="261" w:lineRule="auto"/>
        <w:tabs>
          <w:tab w:leader="none" w:pos="26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receipt of a written request for such conversion from the holders of at least the voting majority of all outstanding preferred stock (voting as a single class and on an as-converted basis).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Prior to the conversion of redeemable convertible preferred stock to common stock during the IPO, the Company has classified the preferred stock as temporary equity on the consolidated balance sheets as the shares can be redeemed upon the occurrence of certain change in control events that are outside the Company’s control, including deemed liquidation, sale or transfer of the Company. The Company has not adjusted the carrying values of the preferred stock to the liquidation preferences of such shares because it was uncertain whether or when an event would occur that would obligate the Company to pay the liquidation preferences to holders of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connection with the IPO, the Company's outstanding warrants to purchase 156,550 shares of redeemable convertible preferred stock were automatically converted into warrants to purchase an aggregate of 160,657 shares of common stock, resulting in reclassification of the related redeemable convertible preferred stock warrant liability of $1.2 million in additional paid-in-capital. In addition, warrants to purchase Series 6 Preferred Stock were converted to warrants to purchase common stock at a conversion ratio of 1:1.06.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issued and outstanding at December 31, 2018 are as follows(in thousands, except share and per share data):</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440" w:type="dxa"/>
            <w:vAlign w:val="bottom"/>
            <w:gridSpan w:val="2"/>
            <w:vMerge w:val="restart"/>
          </w:tcPr>
          <w:p>
            <w:pPr>
              <w:ind w:left="1100"/>
              <w:spacing w:after="0"/>
              <w:rPr>
                <w:sz w:val="20"/>
                <w:szCs w:val="20"/>
                <w:color w:val="auto"/>
              </w:rPr>
            </w:pPr>
            <w:r>
              <w:rPr>
                <w:rFonts w:ascii="Arial" w:cs="Arial" w:eastAsia="Arial" w:hAnsi="Arial"/>
                <w:sz w:val="16"/>
                <w:szCs w:val="16"/>
                <w:b w:val="1"/>
                <w:bCs w:val="1"/>
                <w:color w:val="auto"/>
                <w:w w:val="92"/>
              </w:rPr>
              <w:t>Date</w:t>
            </w: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3"/>
              </w:rPr>
              <w:t>Underlying</w:t>
            </w: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82" w:lineRule="exact"/>
              <w:rPr>
                <w:sz w:val="20"/>
                <w:szCs w:val="20"/>
                <w:color w:val="auto"/>
              </w:rPr>
            </w:pPr>
            <w:r>
              <w:rPr>
                <w:rFonts w:ascii="Arial" w:cs="Arial" w:eastAsia="Arial" w:hAnsi="Arial"/>
                <w:sz w:val="16"/>
                <w:szCs w:val="16"/>
                <w:b w:val="1"/>
                <w:bCs w:val="1"/>
                <w:color w:val="auto"/>
                <w:w w:val="93"/>
              </w:rPr>
              <w:t>Price per</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Warrants to purchase</w:t>
            </w:r>
          </w:p>
        </w:tc>
        <w:tc>
          <w:tcPr>
            <w:tcW w:w="1440" w:type="dxa"/>
            <w:vAlign w:val="bottom"/>
            <w:gridSpan w:val="2"/>
          </w:tcPr>
          <w:p>
            <w:pPr>
              <w:ind w:left="360"/>
              <w:spacing w:after="0"/>
              <w:rPr>
                <w:sz w:val="20"/>
                <w:szCs w:val="20"/>
                <w:color w:val="auto"/>
              </w:rPr>
            </w:pPr>
            <w:r>
              <w:rPr>
                <w:rFonts w:ascii="Arial" w:cs="Arial" w:eastAsia="Arial" w:hAnsi="Arial"/>
                <w:sz w:val="16"/>
                <w:szCs w:val="16"/>
                <w:b w:val="1"/>
                <w:bCs w:val="1"/>
                <w:color w:val="auto"/>
              </w:rPr>
              <w:t>Issuance</w:t>
            </w:r>
          </w:p>
        </w:tc>
        <w:tc>
          <w:tcPr>
            <w:tcW w:w="1100" w:type="dxa"/>
            <w:vAlign w:val="bottom"/>
          </w:tcPr>
          <w:p>
            <w:pPr>
              <w:jc w:val="right"/>
              <w:ind w:right="91"/>
              <w:spacing w:after="0"/>
              <w:rPr>
                <w:sz w:val="20"/>
                <w:szCs w:val="20"/>
                <w:color w:val="auto"/>
              </w:rPr>
            </w:pPr>
            <w:r>
              <w:rPr>
                <w:rFonts w:ascii="Arial" w:cs="Arial" w:eastAsia="Arial" w:hAnsi="Arial"/>
                <w:sz w:val="16"/>
                <w:szCs w:val="16"/>
                <w:b w:val="1"/>
                <w:bCs w:val="1"/>
                <w:color w:val="auto"/>
              </w:rPr>
              <w:t>Expiration</w:t>
            </w:r>
          </w:p>
        </w:tc>
        <w:tc>
          <w:tcPr>
            <w:tcW w:w="4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Warrants</w:t>
            </w:r>
          </w:p>
        </w:tc>
        <w:tc>
          <w:tcPr>
            <w:tcW w:w="10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60" w:type="dxa"/>
            <w:vAlign w:val="bottom"/>
          </w:tcPr>
          <w:p>
            <w:pPr>
              <w:spacing w:after="0"/>
              <w:rPr>
                <w:sz w:val="18"/>
                <w:szCs w:val="18"/>
                <w:color w:val="auto"/>
              </w:rPr>
            </w:pPr>
          </w:p>
        </w:tc>
        <w:tc>
          <w:tcPr>
            <w:tcW w:w="940" w:type="dxa"/>
            <w:vAlign w:val="bottom"/>
          </w:tcPr>
          <w:p>
            <w:pPr>
              <w:jc w:val="right"/>
              <w:ind w:right="91"/>
              <w:spacing w:after="0"/>
              <w:rPr>
                <w:sz w:val="20"/>
                <w:szCs w:val="20"/>
                <w:color w:val="auto"/>
              </w:rPr>
            </w:pPr>
            <w:r>
              <w:rPr>
                <w:rFonts w:ascii="Arial" w:cs="Arial" w:eastAsia="Arial" w:hAnsi="Arial"/>
                <w:sz w:val="16"/>
                <w:szCs w:val="16"/>
                <w:b w:val="1"/>
                <w:bCs w:val="1"/>
                <w:color w:val="auto"/>
                <w:w w:val="96"/>
              </w:rPr>
              <w:t>Fair Value</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320" w:type="dxa"/>
            <w:vAlign w:val="bottom"/>
            <w:tcBorders>
              <w:bottom w:val="single" w:sz="8" w:color="CCEEFF"/>
            </w:tcBorders>
            <w:shd w:val="clear" w:color="auto" w:fill="CCEEFF"/>
          </w:tcPr>
          <w:p>
            <w:pPr>
              <w:jc w:val="right"/>
              <w:ind w:right="572"/>
              <w:spacing w:after="0"/>
              <w:rPr>
                <w:sz w:val="20"/>
                <w:szCs w:val="20"/>
                <w:color w:val="auto"/>
              </w:rPr>
            </w:pPr>
            <w:r>
              <w:rPr>
                <w:rFonts w:ascii="Arial" w:cs="Arial" w:eastAsia="Arial" w:hAnsi="Arial"/>
                <w:sz w:val="18"/>
                <w:szCs w:val="18"/>
                <w:color w:val="auto"/>
                <w:w w:val="91"/>
              </w:rPr>
              <w:t>3/1/2017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w w:val="94"/>
              </w:rPr>
              <w:t>3/1/2027</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[a]</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1,388</w:t>
            </w:r>
          </w:p>
        </w:tc>
        <w:tc>
          <w:tcPr>
            <w:tcW w:w="10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7/19/2013</w:t>
            </w:r>
          </w:p>
        </w:tc>
        <w:tc>
          <w:tcPr>
            <w:tcW w:w="120" w:type="dxa"/>
            <w:vAlign w:val="bottom"/>
          </w:tcPr>
          <w:p>
            <w:pPr>
              <w:spacing w:after="0"/>
              <w:rPr>
                <w:sz w:val="21"/>
                <w:szCs w:val="21"/>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7/22/2023 [a]</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32,983</w:t>
            </w:r>
          </w:p>
        </w:tc>
        <w:tc>
          <w:tcPr>
            <w:tcW w:w="1080" w:type="dxa"/>
            <w:vAlign w:val="bottom"/>
            <w:gridSpan w:val="2"/>
          </w:tcPr>
          <w:p>
            <w:pPr>
              <w:jc w:val="right"/>
              <w:ind w:right="39"/>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420" w:type="dxa"/>
            <w:vAlign w:val="bottom"/>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11/26/2014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11/26/2024 [a]</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6,680</w:t>
            </w:r>
          </w:p>
        </w:tc>
        <w:tc>
          <w:tcPr>
            <w:tcW w:w="10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10/20/2015</w:t>
            </w:r>
          </w:p>
        </w:tc>
        <w:tc>
          <w:tcPr>
            <w:tcW w:w="120" w:type="dxa"/>
            <w:vAlign w:val="bottom"/>
          </w:tcPr>
          <w:p>
            <w:pPr>
              <w:spacing w:after="0"/>
              <w:rPr>
                <w:sz w:val="21"/>
                <w:szCs w:val="21"/>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10/20/2025 [a]</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41,650</w:t>
            </w:r>
          </w:p>
        </w:tc>
        <w:tc>
          <w:tcPr>
            <w:tcW w:w="1080" w:type="dxa"/>
            <w:vAlign w:val="bottom"/>
            <w:gridSpan w:val="2"/>
          </w:tcPr>
          <w:p>
            <w:pPr>
              <w:jc w:val="right"/>
              <w:ind w:right="39"/>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420" w:type="dxa"/>
            <w:vAlign w:val="bottom"/>
          </w:tcPr>
          <w:p>
            <w:pPr>
              <w:ind w:left="2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11/9/2015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11/9/2025 [a]</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25,709</w:t>
            </w:r>
          </w:p>
        </w:tc>
        <w:tc>
          <w:tcPr>
            <w:tcW w:w="10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12/22/2016</w:t>
            </w:r>
          </w:p>
        </w:tc>
        <w:tc>
          <w:tcPr>
            <w:tcW w:w="120" w:type="dxa"/>
            <w:vAlign w:val="bottom"/>
          </w:tcPr>
          <w:p>
            <w:pPr>
              <w:spacing w:after="0"/>
              <w:rPr>
                <w:sz w:val="21"/>
                <w:szCs w:val="21"/>
                <w:color w:val="auto"/>
              </w:rPr>
            </w:pPr>
          </w:p>
        </w:tc>
        <w:tc>
          <w:tcPr>
            <w:tcW w:w="1540" w:type="dxa"/>
            <w:vAlign w:val="bottom"/>
            <w:gridSpan w:val="2"/>
          </w:tcPr>
          <w:p>
            <w:pPr>
              <w:jc w:val="right"/>
              <w:ind w:right="130"/>
              <w:spacing w:after="0"/>
              <w:rPr>
                <w:sz w:val="20"/>
                <w:szCs w:val="20"/>
                <w:color w:val="auto"/>
              </w:rPr>
            </w:pPr>
            <w:r>
              <w:rPr>
                <w:rFonts w:ascii="Arial" w:cs="Arial" w:eastAsia="Arial" w:hAnsi="Arial"/>
                <w:sz w:val="18"/>
                <w:szCs w:val="18"/>
                <w:color w:val="auto"/>
              </w:rPr>
              <w:t>12/22/2026 [a]</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9,712</w:t>
            </w:r>
          </w:p>
        </w:tc>
        <w:tc>
          <w:tcPr>
            <w:tcW w:w="1080" w:type="dxa"/>
            <w:vAlign w:val="bottom"/>
            <w:gridSpan w:val="2"/>
          </w:tcPr>
          <w:p>
            <w:pPr>
              <w:jc w:val="right"/>
              <w:ind w:right="39"/>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420" w:type="dxa"/>
            <w:vAlign w:val="bottom"/>
          </w:tcPr>
          <w:p>
            <w:pPr>
              <w:ind w:left="2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outstanding common stock warrants</w:t>
            </w: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290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Fair value at the date of issuance.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Fair value at the date of conversion from redeemable convertible preferred stock to common stock warrants in conjunction with the IPO on October 16, 2018.</w:t>
      </w:r>
    </w:p>
    <w:p>
      <w:pPr>
        <w:spacing w:after="0" w:line="2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issued and outstanding at December 31, 2017 are as follows (in thousands, except share and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restart"/>
          </w:tcPr>
          <w:p>
            <w:pPr>
              <w:ind w:left="1040"/>
              <w:spacing w:after="0"/>
              <w:rPr>
                <w:sz w:val="20"/>
                <w:szCs w:val="20"/>
                <w:color w:val="auto"/>
              </w:rPr>
            </w:pPr>
            <w:r>
              <w:rPr>
                <w:rFonts w:ascii="Arial" w:cs="Arial" w:eastAsia="Arial" w:hAnsi="Arial"/>
                <w:sz w:val="16"/>
                <w:szCs w:val="16"/>
                <w:b w:val="1"/>
                <w:bCs w:val="1"/>
                <w:color w:val="auto"/>
                <w:w w:val="97"/>
              </w:rPr>
              <w:t>Date</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5"/>
              </w:rPr>
              <w:t>Underlying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93"/>
              </w:rPr>
              <w:t>Price per</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Warrants to purchase</w:t>
            </w: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6"/>
                <w:szCs w:val="16"/>
                <w:b w:val="1"/>
                <w:bCs w:val="1"/>
                <w:color w:val="auto"/>
              </w:rPr>
              <w:t>Series</w:t>
            </w:r>
          </w:p>
        </w:tc>
        <w:tc>
          <w:tcPr>
            <w:tcW w:w="1400" w:type="dxa"/>
            <w:vAlign w:val="bottom"/>
            <w:gridSpan w:val="3"/>
          </w:tcPr>
          <w:p>
            <w:pPr>
              <w:ind w:left="280"/>
              <w:spacing w:after="0"/>
              <w:rPr>
                <w:sz w:val="20"/>
                <w:szCs w:val="20"/>
                <w:color w:val="auto"/>
              </w:rPr>
            </w:pPr>
            <w:r>
              <w:rPr>
                <w:rFonts w:ascii="Arial" w:cs="Arial" w:eastAsia="Arial" w:hAnsi="Arial"/>
                <w:sz w:val="16"/>
                <w:szCs w:val="16"/>
                <w:b w:val="1"/>
                <w:bCs w:val="1"/>
                <w:color w:val="auto"/>
              </w:rPr>
              <w:t>Issuance</w:t>
            </w:r>
          </w:p>
        </w:tc>
        <w:tc>
          <w:tcPr>
            <w:tcW w:w="1440" w:type="dxa"/>
            <w:vAlign w:val="bottom"/>
            <w:gridSpan w:val="3"/>
          </w:tcPr>
          <w:p>
            <w:pPr>
              <w:jc w:val="right"/>
              <w:ind w:right="550"/>
              <w:spacing w:after="0"/>
              <w:rPr>
                <w:sz w:val="20"/>
                <w:szCs w:val="20"/>
                <w:color w:val="auto"/>
              </w:rPr>
            </w:pPr>
            <w:r>
              <w:rPr>
                <w:rFonts w:ascii="Arial" w:cs="Arial" w:eastAsia="Arial" w:hAnsi="Arial"/>
                <w:sz w:val="16"/>
                <w:szCs w:val="16"/>
                <w:b w:val="1"/>
                <w:bCs w:val="1"/>
                <w:color w:val="auto"/>
                <w:w w:val="99"/>
              </w:rPr>
              <w:t>Expiration</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7"/>
              </w:rPr>
              <w:t>Warrants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Share</w:t>
            </w:r>
          </w:p>
        </w:tc>
        <w:tc>
          <w:tcPr>
            <w:tcW w:w="14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6"/>
                <w:szCs w:val="16"/>
                <w:b w:val="1"/>
                <w:bCs w:val="1"/>
                <w:color w:val="auto"/>
                <w:w w:val="94"/>
              </w:rPr>
              <w:t>Fair Value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7/19/2013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7/22/2023 [a]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101,010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11/26/2014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ind w:right="130"/>
              <w:spacing w:after="0"/>
              <w:rPr>
                <w:sz w:val="20"/>
                <w:szCs w:val="20"/>
                <w:color w:val="auto"/>
              </w:rPr>
            </w:pPr>
            <w:r>
              <w:rPr>
                <w:rFonts w:ascii="Arial" w:cs="Arial" w:eastAsia="Arial" w:hAnsi="Arial"/>
                <w:sz w:val="18"/>
                <w:szCs w:val="18"/>
                <w:color w:val="auto"/>
              </w:rPr>
              <w:t>11/26/2024 [a]</w:t>
            </w:r>
          </w:p>
        </w:tc>
        <w:tc>
          <w:tcPr>
            <w:tcW w:w="1120" w:type="dxa"/>
            <w:vAlign w:val="bottom"/>
          </w:tcPr>
          <w:p>
            <w:pPr>
              <w:jc w:val="right"/>
              <w:spacing w:after="0"/>
              <w:rPr>
                <w:sz w:val="20"/>
                <w:szCs w:val="20"/>
                <w:color w:val="auto"/>
              </w:rPr>
            </w:pPr>
            <w:r>
              <w:rPr>
                <w:rFonts w:ascii="Arial" w:cs="Arial" w:eastAsia="Arial" w:hAnsi="Arial"/>
                <w:sz w:val="18"/>
                <w:szCs w:val="18"/>
                <w:color w:val="auto"/>
              </w:rPr>
              <w:t>21,928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w:t>
            </w:r>
          </w:p>
        </w:tc>
        <w:tc>
          <w:tcPr>
            <w:tcW w:w="480" w:type="dxa"/>
            <w:vAlign w:val="bottom"/>
          </w:tcPr>
          <w:p>
            <w:pPr>
              <w:ind w:left="6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3/1/2027 [a]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37"/>
        </w:trPr>
        <w:tc>
          <w:tcPr>
            <w:tcW w:w="3540" w:type="dxa"/>
            <w:vAlign w:val="bottom"/>
          </w:tcPr>
          <w:p>
            <w:pPr>
              <w:ind w:left="180"/>
              <w:spacing w:after="0"/>
              <w:rPr>
                <w:sz w:val="20"/>
                <w:szCs w:val="20"/>
                <w:color w:val="auto"/>
              </w:rPr>
            </w:pPr>
            <w:r>
              <w:rPr>
                <w:rFonts w:ascii="Arial" w:cs="Arial" w:eastAsia="Arial" w:hAnsi="Arial"/>
                <w:sz w:val="18"/>
                <w:szCs w:val="18"/>
                <w:color w:val="auto"/>
              </w:rPr>
              <w:t>Total common stock warrants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Series 5</w:t>
            </w:r>
          </w:p>
        </w:tc>
        <w:tc>
          <w:tcPr>
            <w:tcW w:w="1140" w:type="dxa"/>
            <w:vAlign w:val="bottom"/>
          </w:tcPr>
          <w:p>
            <w:pPr>
              <w:jc w:val="right"/>
              <w:spacing w:after="0"/>
              <w:rPr>
                <w:sz w:val="20"/>
                <w:szCs w:val="20"/>
                <w:color w:val="auto"/>
              </w:rPr>
            </w:pPr>
            <w:r>
              <w:rPr>
                <w:rFonts w:ascii="Arial" w:cs="Arial" w:eastAsia="Arial" w:hAnsi="Arial"/>
                <w:sz w:val="18"/>
                <w:szCs w:val="18"/>
                <w:color w:val="auto"/>
              </w:rPr>
              <w:t>7/1/2012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ind w:right="130"/>
              <w:spacing w:after="0"/>
              <w:rPr>
                <w:sz w:val="20"/>
                <w:szCs w:val="20"/>
                <w:color w:val="auto"/>
              </w:rPr>
            </w:pPr>
            <w:r>
              <w:rPr>
                <w:rFonts w:ascii="Arial" w:cs="Arial" w:eastAsia="Arial" w:hAnsi="Arial"/>
                <w:sz w:val="18"/>
                <w:szCs w:val="18"/>
                <w:color w:val="auto"/>
              </w:rPr>
              <w:t>7/25/2019 [d]</w:t>
            </w:r>
          </w:p>
        </w:tc>
        <w:tc>
          <w:tcPr>
            <w:tcW w:w="1120" w:type="dxa"/>
            <w:vAlign w:val="bottom"/>
          </w:tcPr>
          <w:p>
            <w:pPr>
              <w:jc w:val="right"/>
              <w:spacing w:after="0"/>
              <w:rPr>
                <w:sz w:val="20"/>
                <w:szCs w:val="20"/>
                <w:color w:val="auto"/>
              </w:rPr>
            </w:pPr>
            <w:r>
              <w:rPr>
                <w:rFonts w:ascii="Arial" w:cs="Arial" w:eastAsia="Arial" w:hAnsi="Arial"/>
                <w:sz w:val="18"/>
                <w:szCs w:val="18"/>
                <w:color w:val="auto"/>
              </w:rPr>
              <w:t>54,917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480" w:type="dxa"/>
            <w:vAlign w:val="bottom"/>
          </w:tcPr>
          <w:p>
            <w:pPr>
              <w:ind w:left="6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Series 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7/19/2013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7/22/2023 [e]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Series 6</w:t>
            </w:r>
          </w:p>
        </w:tc>
        <w:tc>
          <w:tcPr>
            <w:tcW w:w="1140" w:type="dxa"/>
            <w:vAlign w:val="bottom"/>
          </w:tcPr>
          <w:p>
            <w:pPr>
              <w:jc w:val="right"/>
              <w:spacing w:after="0"/>
              <w:rPr>
                <w:sz w:val="20"/>
                <w:szCs w:val="20"/>
                <w:color w:val="auto"/>
              </w:rPr>
            </w:pPr>
            <w:r>
              <w:rPr>
                <w:rFonts w:ascii="Arial" w:cs="Arial" w:eastAsia="Arial" w:hAnsi="Arial"/>
                <w:sz w:val="18"/>
                <w:szCs w:val="18"/>
                <w:color w:val="auto"/>
              </w:rPr>
              <w:t>11/26/2014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ind w:right="130"/>
              <w:spacing w:after="0"/>
              <w:rPr>
                <w:sz w:val="20"/>
                <w:szCs w:val="20"/>
                <w:color w:val="auto"/>
              </w:rPr>
            </w:pPr>
            <w:r>
              <w:rPr>
                <w:rFonts w:ascii="Arial" w:cs="Arial" w:eastAsia="Arial" w:hAnsi="Arial"/>
                <w:sz w:val="18"/>
                <w:szCs w:val="18"/>
                <w:color w:val="auto"/>
              </w:rPr>
              <w:t>11/26/2024 [e]</w:t>
            </w:r>
          </w:p>
        </w:tc>
        <w:tc>
          <w:tcPr>
            <w:tcW w:w="1120" w:type="dxa"/>
            <w:vAlign w:val="bottom"/>
          </w:tcPr>
          <w:p>
            <w:pPr>
              <w:jc w:val="right"/>
              <w:spacing w:after="0"/>
              <w:rPr>
                <w:sz w:val="20"/>
                <w:szCs w:val="20"/>
                <w:color w:val="auto"/>
              </w:rPr>
            </w:pPr>
            <w:r>
              <w:rPr>
                <w:rFonts w:ascii="Arial" w:cs="Arial" w:eastAsia="Arial" w:hAnsi="Arial"/>
                <w:sz w:val="18"/>
                <w:szCs w:val="18"/>
                <w:color w:val="auto"/>
              </w:rPr>
              <w:t>6,310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ind w:left="6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Series 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10/20/2015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10/20/2025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shd w:val="clear" w:color="auto" w:fill="CCEEFF"/>
              </w:rPr>
              <w:t>[e]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Pr>
          <w:p>
            <w:pPr>
              <w:spacing w:after="0"/>
              <w:rPr>
                <w:sz w:val="21"/>
                <w:szCs w:val="21"/>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Series 6</w:t>
            </w:r>
          </w:p>
        </w:tc>
        <w:tc>
          <w:tcPr>
            <w:tcW w:w="1140" w:type="dxa"/>
            <w:vAlign w:val="bottom"/>
          </w:tcPr>
          <w:p>
            <w:pPr>
              <w:jc w:val="right"/>
              <w:spacing w:after="0"/>
              <w:rPr>
                <w:sz w:val="20"/>
                <w:szCs w:val="20"/>
                <w:color w:val="auto"/>
              </w:rPr>
            </w:pPr>
            <w:r>
              <w:rPr>
                <w:rFonts w:ascii="Arial" w:cs="Arial" w:eastAsia="Arial" w:hAnsi="Arial"/>
                <w:sz w:val="18"/>
                <w:szCs w:val="18"/>
                <w:color w:val="auto"/>
              </w:rPr>
              <w:t>11/9/2015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ind w:right="130"/>
              <w:spacing w:after="0"/>
              <w:rPr>
                <w:sz w:val="20"/>
                <w:szCs w:val="20"/>
                <w:color w:val="auto"/>
              </w:rPr>
            </w:pPr>
            <w:r>
              <w:rPr>
                <w:rFonts w:ascii="Arial" w:cs="Arial" w:eastAsia="Arial" w:hAnsi="Arial"/>
                <w:sz w:val="18"/>
                <w:szCs w:val="18"/>
                <w:color w:val="auto"/>
              </w:rPr>
              <w:t>11/9/2025 [e]</w:t>
            </w:r>
          </w:p>
        </w:tc>
        <w:tc>
          <w:tcPr>
            <w:tcW w:w="1120" w:type="dxa"/>
            <w:vAlign w:val="bottom"/>
          </w:tcPr>
          <w:p>
            <w:pPr>
              <w:jc w:val="right"/>
              <w:spacing w:after="0"/>
              <w:rPr>
                <w:sz w:val="20"/>
                <w:szCs w:val="20"/>
                <w:color w:val="auto"/>
              </w:rPr>
            </w:pPr>
            <w:r>
              <w:rPr>
                <w:rFonts w:ascii="Arial" w:cs="Arial" w:eastAsia="Arial" w:hAnsi="Arial"/>
                <w:sz w:val="18"/>
                <w:szCs w:val="18"/>
                <w:color w:val="auto"/>
              </w:rPr>
              <w:t>24,283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480" w:type="dxa"/>
            <w:vAlign w:val="bottom"/>
          </w:tcPr>
          <w:p>
            <w:pPr>
              <w:ind w:left="6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Series 7</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12/22/2016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12/22/2026</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9"/>
                <w:shd w:val="clear" w:color="auto" w:fill="CCEEFF"/>
              </w:rPr>
              <w:t>[e]</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09"/>
        </w:trPr>
        <w:tc>
          <w:tcPr>
            <w:tcW w:w="3540" w:type="dxa"/>
            <w:vAlign w:val="bottom"/>
          </w:tcPr>
          <w:p>
            <w:pPr>
              <w:ind w:left="180"/>
              <w:spacing w:after="0"/>
              <w:rPr>
                <w:sz w:val="20"/>
                <w:szCs w:val="20"/>
                <w:color w:val="auto"/>
              </w:rPr>
            </w:pPr>
            <w:r>
              <w:rPr>
                <w:rFonts w:ascii="Arial" w:cs="Arial" w:eastAsia="Arial" w:hAnsi="Arial"/>
                <w:sz w:val="18"/>
                <w:szCs w:val="18"/>
                <w:color w:val="auto"/>
                <w:w w:val="93"/>
              </w:rPr>
              <w:t>Total redeemable convertible preferred stock</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156,550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vMerge w:val="restart"/>
          </w:tcPr>
          <w:p>
            <w:pPr>
              <w:ind w:left="180"/>
              <w:spacing w:after="0"/>
              <w:rPr>
                <w:sz w:val="20"/>
                <w:szCs w:val="20"/>
                <w:color w:val="auto"/>
              </w:rPr>
            </w:pPr>
            <w:r>
              <w:rPr>
                <w:rFonts w:ascii="Arial" w:cs="Arial" w:eastAsia="Arial" w:hAnsi="Arial"/>
                <w:sz w:val="18"/>
                <w:szCs w:val="18"/>
                <w:color w:val="auto"/>
                <w:w w:val="96"/>
              </w:rPr>
              <w:t>Total outstanding common and redeemable</w:t>
            </w: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280,876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540" w:type="dxa"/>
            <w:vAlign w:val="bottom"/>
          </w:tcPr>
          <w:p>
            <w:pPr>
              <w:ind w:left="180"/>
              <w:spacing w:after="0"/>
              <w:rPr>
                <w:sz w:val="20"/>
                <w:szCs w:val="20"/>
                <w:color w:val="auto"/>
              </w:rPr>
            </w:pPr>
            <w:r>
              <w:rPr>
                <w:rFonts w:ascii="Arial" w:cs="Arial" w:eastAsia="Arial" w:hAnsi="Arial"/>
                <w:sz w:val="18"/>
                <w:szCs w:val="18"/>
                <w:color w:val="auto"/>
              </w:rPr>
              <w:t>convertible preferred stock warrants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37223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45"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Fair value at the date of issuance.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Fair value as of December 31, 2017.</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These warrants will be net exercised immediately upon the closing of the Company’s IPO, or upon a corporate transaction as defined in the Note and Warrant Purchase Agreement dated July 25, 2012.</w:t>
      </w:r>
    </w:p>
    <w:p>
      <w:pPr>
        <w:ind w:left="340" w:hanging="332"/>
        <w:spacing w:after="0" w:line="255" w:lineRule="auto"/>
        <w:tabs>
          <w:tab w:leader="none" w:pos="3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The warrants will be exercisable for 10 years from the date of issuance.</w:t>
      </w:r>
    </w:p>
    <w:p>
      <w:pPr>
        <w:sectPr>
          <w:pgSz w:w="11900" w:h="16838" w:orient="portrait"/>
          <w:cols w:equalWidth="0" w:num="1">
            <w:col w:w="11420"/>
          </w:cols>
          <w:pgMar w:left="240" w:top="121"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21" w:right="2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connection with previously issued debt, the Company issued 101,010 warrants to purchase common shares of the Company at an exercise price of $3.96 per share in July 2013. Additionally, the Company issued warrants to purchase an additional 21,928 shares of common stock at an exercise price of $3.42 per share in November 2014. The Company determined that its warrants to purchase shares of common stock meet the requirements for equity classification.</w:t>
      </w:r>
    </w:p>
    <w:p>
      <w:pPr>
        <w:spacing w:after="0" w:line="187"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In conjunction with debt issued in July 2012, the Company issued warrants which became exercisable for an aggregate of 54,917 shares of Series 5 preferred stock of the Company at an exercise price of $9.10 per share.</w:t>
      </w:r>
    </w:p>
    <w:p>
      <w:pPr>
        <w:spacing w:after="0" w:line="170"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conjunction with debt issued in 2013 and 2014, the Company issued 32,983 warrants to purchase Series 5 redeemable convertible preferred stock of the Company at an exercise price of $9.10 per share. Subsequently, the Company issued additional warrants to purchase 6,310 shares of Series 6 redeemable convertible preferred stock at an exercise price of $16.47 per share.</w:t>
      </w:r>
    </w:p>
    <w:p>
      <w:pPr>
        <w:spacing w:after="0" w:line="181"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conjunction with the debt agreement with SVB and Oxford, or Term Loan agreement (refer to Note 7), the Company issued warrants to purchase 39,339 shares of Series 6 redeemable convertible preferred stock at an exercise price of $16.47 per share in October 2015 and additional 24,283 shares of Series 6 redeemable convertible preferred stock at an exercise price of $16.47 per share in November 2015.</w:t>
      </w:r>
    </w:p>
    <w:p>
      <w:pPr>
        <w:spacing w:after="0" w:line="18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conjunction with the Term Loan agreement and its modification (refer to Note 7), the Company issued additional warrants for the purchase of 9,712 shares of Series 7 redeemable convertible preferred stock at an exercise price of $10.03 per share in December 2016.</w:t>
      </w:r>
    </w:p>
    <w:p>
      <w:pPr>
        <w:spacing w:after="0" w:line="170"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In March 2017, the Company issued a warrant to purchase 1,388 shares of common stock at an exercise price of $5.94 to a consultant. The Company determined that such warrant meets the requirements for equity classification.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October 2017, the Company extinguished its debt with SVB and Oxford. All related debt discounts were written off upon repayment of the loan.</w:t>
      </w:r>
    </w:p>
    <w:p>
      <w:pPr>
        <w:spacing w:after="0" w:line="237" w:lineRule="exact"/>
        <w:rPr>
          <w:sz w:val="20"/>
          <w:szCs w:val="20"/>
          <w:color w:val="auto"/>
        </w:rPr>
      </w:pPr>
    </w:p>
    <w:p>
      <w:pPr>
        <w:jc w:val="both"/>
        <w:ind w:firstLine="446"/>
        <w:spacing w:after="0" w:line="273" w:lineRule="auto"/>
        <w:rPr>
          <w:sz w:val="20"/>
          <w:szCs w:val="20"/>
          <w:color w:val="auto"/>
        </w:rPr>
      </w:pPr>
      <w:r>
        <w:rPr>
          <w:rFonts w:ascii="Arial" w:cs="Arial" w:eastAsia="Arial" w:hAnsi="Arial"/>
          <w:sz w:val="17"/>
          <w:szCs w:val="17"/>
          <w:color w:val="auto"/>
        </w:rPr>
        <w:t>The Company estimates the fair value of warrants using the Black-Scholes option valuation model. The fair value is estimated using certain assumptions. Refer to Note 11. Stock-Based Incentive Compensation Plans, for further discussions on how the Company determines these input assumptions. Each of these inputs is subjective and its determination generally requires significant judgment. The fair value of warrants to purchase preferred stock were recorded at the date of issuance as a discount to debt and amortized to interest expense over the term of the note. The changes in the fair value of the redeemable convertible preferred stock warrants are recorded in other income and expense. Weighted-average assumptions used in computation of the fair value of the redeemable convertible preferred stock warrants are summarized in the table below:</w:t>
      </w:r>
    </w:p>
    <w:p>
      <w:pPr>
        <w:spacing w:after="0" w:line="120"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34290</wp:posOffset>
            </wp:positionV>
            <wp:extent cx="23412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5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7600" w:type="dxa"/>
            <w:vAlign w:val="bottom"/>
            <w:gridSpan w:val="2"/>
          </w:tcPr>
          <w:p>
            <w:pPr>
              <w:ind w:left="7180"/>
              <w:spacing w:after="0"/>
              <w:rPr>
                <w:sz w:val="20"/>
                <w:szCs w:val="20"/>
                <w:color w:val="auto"/>
              </w:rPr>
            </w:pPr>
            <w:r>
              <w:rPr>
                <w:rFonts w:ascii="Arial" w:cs="Arial" w:eastAsia="Arial" w:hAnsi="Arial"/>
                <w:sz w:val="18"/>
                <w:szCs w:val="18"/>
                <w:b w:val="1"/>
                <w:bCs w:val="1"/>
                <w:color w:val="auto"/>
                <w:w w:val="99"/>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7"/>
        </w:trPr>
        <w:tc>
          <w:tcPr>
            <w:tcW w:w="64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contractual term (in years)</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5.3</w:t>
            </w:r>
          </w:p>
        </w:tc>
      </w:tr>
      <w:tr>
        <w:trPr>
          <w:trHeight w:val="24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w w:val="94"/>
              </w:rPr>
              <w:t>53.89%</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59.06%</w:t>
            </w:r>
          </w:p>
        </w:tc>
      </w:tr>
      <w:tr>
        <w:trPr>
          <w:trHeight w:val="27"/>
        </w:trPr>
        <w:tc>
          <w:tcPr>
            <w:tcW w:w="6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4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810"/>
        </w:trPr>
        <w:tc>
          <w:tcPr>
            <w:tcW w:w="6480" w:type="dxa"/>
            <w:vAlign w:val="bottom"/>
          </w:tcPr>
          <w:p>
            <w:pPr>
              <w:ind w:left="4940"/>
              <w:spacing w:after="0"/>
              <w:rPr>
                <w:sz w:val="20"/>
                <w:szCs w:val="20"/>
                <w:color w:val="auto"/>
              </w:rPr>
            </w:pPr>
            <w:r>
              <w:rPr>
                <w:rFonts w:ascii="Arial" w:cs="Arial" w:eastAsia="Arial" w:hAnsi="Arial"/>
                <w:sz w:val="18"/>
                <w:szCs w:val="18"/>
                <w:color w:val="auto"/>
              </w:rPr>
              <w:t>113</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jc w:val="both"/>
        <w:ind w:right="20" w:firstLine="446"/>
        <w:spacing w:after="0" w:line="259" w:lineRule="auto"/>
        <w:rPr>
          <w:sz w:val="20"/>
          <w:szCs w:val="20"/>
          <w:color w:val="auto"/>
        </w:rPr>
      </w:pPr>
      <w:r>
        <w:rPr>
          <w:rFonts w:ascii="Arial" w:cs="Arial" w:eastAsia="Arial" w:hAnsi="Arial"/>
          <w:sz w:val="18"/>
          <w:szCs w:val="18"/>
          <w:color w:val="auto"/>
        </w:rPr>
        <w:t>In March 2017, the Board of Directors approved an increase of 555,555 Series 2 common stock. As a result, the Company’s restated certificate of incorporation, as amended, authorizes the Company to issue 19,333,333 shares of $0.0001 par value common stock, of which 6,000,000 has been designated as Series 1 common stock and 13,333,333 has been designated as Series 2 common stock. The holders of Series 1 common stock shall have no voting rights; the holders of Series 2 common stock shall have the right to one vote for each such share.</w:t>
      </w:r>
    </w:p>
    <w:p>
      <w:pPr>
        <w:spacing w:after="0" w:line="79"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October 2018, the Company amended and restated its certification of incorporation, which authorizes the Company to issue 100,000,000 shares of common stock and 5,000,000 shares of preferred stock, each having a par value of $0.0001. At December 31, 2018, there was no preferred stock issued and outstanding.</w:t>
      </w:r>
    </w:p>
    <w:p>
      <w:pPr>
        <w:spacing w:after="0" w:line="73"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holders of common stock are entitled to receive dividends whenever funds are legally available, as, when, and if declared by the Board of Directors. There have been no dividends declared to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on an issued and as-converted basis, for future issuance as follows:</w:t>
      </w:r>
    </w:p>
    <w:p>
      <w:pPr>
        <w:spacing w:after="0" w:line="185"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2080" w:type="dxa"/>
            <w:vAlign w:val="bottom"/>
            <w:gridSpan w:val="3"/>
          </w:tcPr>
          <w:p>
            <w:pPr>
              <w:ind w:left="440"/>
              <w:spacing w:after="0"/>
              <w:rPr>
                <w:sz w:val="20"/>
                <w:szCs w:val="20"/>
                <w:color w:val="auto"/>
              </w:rPr>
            </w:pPr>
            <w:r>
              <w:rPr>
                <w:rFonts w:ascii="Arial" w:cs="Arial" w:eastAsia="Arial" w:hAnsi="Arial"/>
                <w:sz w:val="16"/>
                <w:szCs w:val="16"/>
                <w:b w:val="1"/>
                <w:bCs w:val="1"/>
                <w:color w:val="auto"/>
              </w:rPr>
              <w:t>December 31, 2018</w:t>
            </w:r>
          </w:p>
        </w:tc>
        <w:tc>
          <w:tcPr>
            <w:tcW w:w="3340" w:type="dxa"/>
            <w:vAlign w:val="bottom"/>
            <w:gridSpan w:val="3"/>
          </w:tcPr>
          <w:p>
            <w:pPr>
              <w:jc w:val="right"/>
              <w:ind w:right="811"/>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44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9"/>
        </w:trPr>
        <w:tc>
          <w:tcPr>
            <w:tcW w:w="4440" w:type="dxa"/>
            <w:vAlign w:val="bottom"/>
          </w:tcPr>
          <w:p>
            <w:pPr>
              <w:spacing w:after="0"/>
              <w:rPr>
                <w:sz w:val="18"/>
                <w:szCs w:val="18"/>
                <w:color w:val="auto"/>
              </w:rPr>
            </w:pPr>
          </w:p>
        </w:tc>
        <w:tc>
          <w:tcPr>
            <w:tcW w:w="20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0"/>
              </w:rPr>
              <w:t>Issued and</w:t>
            </w:r>
          </w:p>
        </w:tc>
        <w:tc>
          <w:tcPr>
            <w:tcW w:w="16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Issued and</w:t>
            </w:r>
          </w:p>
        </w:tc>
        <w:tc>
          <w:tcPr>
            <w:tcW w:w="1680" w:type="dxa"/>
            <w:vAlign w:val="bottom"/>
          </w:tcPr>
          <w:p>
            <w:pPr>
              <w:jc w:val="right"/>
              <w:ind w:right="251"/>
              <w:spacing w:after="0"/>
              <w:rPr>
                <w:sz w:val="20"/>
                <w:szCs w:val="20"/>
                <w:color w:val="auto"/>
              </w:rPr>
            </w:pPr>
            <w:r>
              <w:rPr>
                <w:rFonts w:ascii="Arial" w:cs="Arial" w:eastAsia="Arial" w:hAnsi="Arial"/>
                <w:sz w:val="16"/>
                <w:szCs w:val="16"/>
                <w:b w:val="1"/>
                <w:bCs w:val="1"/>
                <w:color w:val="auto"/>
              </w:rPr>
              <w:t>Common Stock</w:t>
            </w:r>
          </w:p>
        </w:tc>
      </w:tr>
      <w:tr>
        <w:trPr>
          <w:trHeight w:val="210"/>
        </w:trPr>
        <w:tc>
          <w:tcPr>
            <w:tcW w:w="4440" w:type="dxa"/>
            <w:vAlign w:val="bottom"/>
          </w:tcPr>
          <w:p>
            <w:pPr>
              <w:spacing w:after="0"/>
              <w:rPr>
                <w:sz w:val="18"/>
                <w:szCs w:val="18"/>
                <w:color w:val="auto"/>
              </w:rPr>
            </w:pPr>
          </w:p>
        </w:tc>
        <w:tc>
          <w:tcPr>
            <w:tcW w:w="2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3"/>
              </w:rPr>
              <w:t>Outstanding</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Outstanding</w:t>
            </w:r>
          </w:p>
        </w:tc>
        <w:tc>
          <w:tcPr>
            <w:tcW w:w="1680" w:type="dxa"/>
            <w:vAlign w:val="bottom"/>
          </w:tcPr>
          <w:p>
            <w:pPr>
              <w:jc w:val="right"/>
              <w:ind w:right="131"/>
              <w:spacing w:after="0"/>
              <w:rPr>
                <w:sz w:val="20"/>
                <w:szCs w:val="20"/>
                <w:color w:val="auto"/>
              </w:rPr>
            </w:pPr>
            <w:r>
              <w:rPr>
                <w:rFonts w:ascii="Arial" w:cs="Arial" w:eastAsia="Arial" w:hAnsi="Arial"/>
                <w:sz w:val="16"/>
                <w:szCs w:val="16"/>
                <w:b w:val="1"/>
                <w:bCs w:val="1"/>
                <w:color w:val="auto"/>
              </w:rPr>
              <w:t>Equivalent Shares</w:t>
            </w:r>
          </w:p>
        </w:tc>
      </w:tr>
      <w:tr>
        <w:trPr>
          <w:trHeight w:val="33"/>
        </w:trPr>
        <w:tc>
          <w:tcPr>
            <w:tcW w:w="444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24,450,757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Series 1 common stock</w:t>
            </w: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3,112,955</w:t>
            </w:r>
          </w:p>
        </w:tc>
        <w:tc>
          <w:tcPr>
            <w:tcW w:w="10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3,112,955</w:t>
            </w:r>
          </w:p>
        </w:tc>
      </w:tr>
      <w:tr>
        <w:trPr>
          <w:trHeight w:val="27"/>
        </w:trPr>
        <w:tc>
          <w:tcPr>
            <w:tcW w:w="4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2 common stock</w:t>
            </w:r>
          </w:p>
        </w:tc>
        <w:tc>
          <w:tcPr>
            <w:tcW w:w="20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490,185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490,185</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20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11,871,578</w:t>
            </w:r>
          </w:p>
        </w:tc>
        <w:tc>
          <w:tcPr>
            <w:tcW w:w="10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12,066,654</w:t>
            </w:r>
          </w:p>
        </w:tc>
      </w:tr>
      <w:tr>
        <w:trPr>
          <w:trHeight w:val="27"/>
        </w:trPr>
        <w:tc>
          <w:tcPr>
            <w:tcW w:w="4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outstanding</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Stock options outstanding</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2,641,198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3,001,929</w:t>
            </w:r>
          </w:p>
        </w:tc>
        <w:tc>
          <w:tcPr>
            <w:tcW w:w="10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3,001,929</w:t>
            </w:r>
          </w:p>
        </w:tc>
      </w:tr>
      <w:tr>
        <w:trPr>
          <w:trHeight w:val="27"/>
        </w:trPr>
        <w:tc>
          <w:tcPr>
            <w:tcW w:w="4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available for grant</w:t>
            </w:r>
          </w:p>
        </w:tc>
        <w:tc>
          <w:tcPr>
            <w:tcW w:w="1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2,497,082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29,654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29,654</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Common stock warrants</w:t>
            </w:r>
          </w:p>
        </w:tc>
        <w:tc>
          <w:tcPr>
            <w:tcW w:w="1860" w:type="dxa"/>
            <w:vAlign w:val="bottom"/>
          </w:tcPr>
          <w:p>
            <w:pPr>
              <w:jc w:val="right"/>
              <w:ind w:right="12"/>
              <w:spacing w:after="0"/>
              <w:rPr>
                <w:sz w:val="20"/>
                <w:szCs w:val="20"/>
                <w:color w:val="auto"/>
              </w:rPr>
            </w:pPr>
            <w:r>
              <w:rPr>
                <w:rFonts w:ascii="Arial" w:cs="Arial" w:eastAsia="Arial" w:hAnsi="Arial"/>
                <w:sz w:val="18"/>
                <w:szCs w:val="18"/>
                <w:color w:val="auto"/>
              </w:rPr>
              <w:t>118,122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124,326</w:t>
            </w:r>
          </w:p>
        </w:tc>
        <w:tc>
          <w:tcPr>
            <w:tcW w:w="10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124,326</w:t>
            </w:r>
          </w:p>
        </w:tc>
      </w:tr>
      <w:tr>
        <w:trPr>
          <w:trHeight w:val="27"/>
        </w:trPr>
        <w:tc>
          <w:tcPr>
            <w:tcW w:w="4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20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156,550</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160,657</w:t>
            </w:r>
          </w:p>
        </w:tc>
      </w:tr>
      <w:tr>
        <w:trPr>
          <w:trHeight w:val="237"/>
        </w:trPr>
        <w:tc>
          <w:tcPr>
            <w:tcW w:w="4440" w:type="dxa"/>
            <w:vAlign w:val="bottom"/>
          </w:tcPr>
          <w:p>
            <w:pPr>
              <w:ind w:left="44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29,760,595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18,787,177</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18,986,360</w:t>
            </w:r>
          </w:p>
        </w:tc>
      </w:tr>
      <w:tr>
        <w:trPr>
          <w:trHeight w:val="27"/>
        </w:trPr>
        <w:tc>
          <w:tcPr>
            <w:tcW w:w="444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4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548"/>
        </w:trPr>
        <w:tc>
          <w:tcPr>
            <w:tcW w:w="4440" w:type="dxa"/>
            <w:vAlign w:val="bottom"/>
          </w:tcPr>
          <w:p>
            <w:pPr>
              <w:spacing w:after="0"/>
              <w:rPr>
                <w:sz w:val="24"/>
                <w:szCs w:val="24"/>
                <w:color w:val="auto"/>
              </w:rPr>
            </w:pPr>
          </w:p>
        </w:tc>
        <w:tc>
          <w:tcPr>
            <w:tcW w:w="1860" w:type="dxa"/>
            <w:vAlign w:val="bottom"/>
          </w:tcPr>
          <w:p>
            <w:pPr>
              <w:jc w:val="right"/>
              <w:ind w:right="117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Incentive Compensation Plans</w:t>
      </w:r>
    </w:p>
    <w:p>
      <w:pPr>
        <w:spacing w:after="0" w:line="121" w:lineRule="exact"/>
        <w:rPr>
          <w:sz w:val="20"/>
          <w:szCs w:val="20"/>
          <w:color w:val="auto"/>
        </w:rPr>
      </w:pPr>
    </w:p>
    <w:p>
      <w:pPr>
        <w:jc w:val="both"/>
        <w:ind w:firstLine="446"/>
        <w:spacing w:after="0" w:line="276" w:lineRule="auto"/>
        <w:rPr>
          <w:sz w:val="20"/>
          <w:szCs w:val="20"/>
          <w:color w:val="auto"/>
        </w:rPr>
      </w:pPr>
      <w:r>
        <w:rPr>
          <w:rFonts w:ascii="Arial" w:cs="Arial" w:eastAsia="Arial" w:hAnsi="Arial"/>
          <w:sz w:val="17"/>
          <w:szCs w:val="17"/>
          <w:color w:val="auto"/>
        </w:rPr>
        <w:t>In April 2008, the Company adopted the 2008 Stock Option Plan, as amended, under which the Board of Directors may issue incentive and nonqualified stock options to employees, directors and consultants. In October 2018, the Company adopted the 2018 Equity Incentive Plan, which serves as the successor to the 2008 Stock Option Plan, under which the Board of Directors may issue incentive and nonqualified stock options and restricted stock units (RSUs) to employees, directors and consultants. No new options have been granted under the 2008 Stock Option Plan since August 2018. Outstanding options under the 2008 Stock Option Plan continue to be subject to the terms and conditions of that plan.</w:t>
      </w:r>
    </w:p>
    <w:p>
      <w:pPr>
        <w:spacing w:after="0" w:line="64"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2017, a total of 5,350,080 shares of common stock had been reserved for issuance under the 2008 Stock Option Plan. As of December 31, 2018, a total of 2,576,538 shares of common stock had been reserved for issuance under the 2018 Equity Incentive Plan.</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granted have a term of 10 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 RSUs granted under the 2018 Equity Incentive Plan generally vest over two to four years based upon continued services and are settled at vesting in shares of the Company's common stock.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activity for the year ended December 31, 2018 for all stock plans:</w:t>
      </w:r>
    </w:p>
    <w:p>
      <w:pPr>
        <w:spacing w:after="0" w:line="16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gridSpan w:val="4"/>
          </w:tcPr>
          <w:p>
            <w:pPr>
              <w:ind w:left="780"/>
              <w:spacing w:after="0"/>
              <w:rPr>
                <w:sz w:val="20"/>
                <w:szCs w:val="20"/>
                <w:color w:val="auto"/>
              </w:rPr>
            </w:pPr>
            <w:r>
              <w:rPr>
                <w:rFonts w:ascii="Arial" w:cs="Arial" w:eastAsia="Arial" w:hAnsi="Arial"/>
                <w:sz w:val="18"/>
                <w:szCs w:val="18"/>
                <w:b w:val="1"/>
                <w:bCs w:val="1"/>
                <w:color w:val="auto"/>
              </w:rPr>
              <w:t>Options Outstanding</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3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Weighted-Average</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Weighted-Average</w:t>
            </w: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3640" w:type="dxa"/>
            <w:vAlign w:val="bottom"/>
          </w:tcPr>
          <w:p>
            <w:pPr>
              <w:spacing w:after="0"/>
              <w:rPr>
                <w:sz w:val="20"/>
                <w:szCs w:val="20"/>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 Price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Remaining Life</w:t>
            </w:r>
          </w:p>
        </w:tc>
        <w:tc>
          <w:tcPr>
            <w:tcW w:w="14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Intrinsic Value</w:t>
            </w:r>
          </w:p>
        </w:tc>
      </w:tr>
      <w:tr>
        <w:trPr>
          <w:trHeight w:val="27"/>
        </w:trPr>
        <w:tc>
          <w:tcPr>
            <w:tcW w:w="36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3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(Years)</w:t>
            </w:r>
          </w:p>
        </w:tc>
        <w:tc>
          <w:tcPr>
            <w:tcW w:w="14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2017</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3,001,929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r>
      <w:tr>
        <w:trPr>
          <w:trHeight w:val="257"/>
        </w:trPr>
        <w:tc>
          <w:tcPr>
            <w:tcW w:w="364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100,080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
        </w:trPr>
        <w:tc>
          <w:tcPr>
            <w:tcW w:w="36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(395,117)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57"/>
        </w:trPr>
        <w:tc>
          <w:tcPr>
            <w:tcW w:w="3640" w:type="dxa"/>
            <w:vAlign w:val="bottom"/>
          </w:tcPr>
          <w:p>
            <w:pPr>
              <w:ind w:left="20"/>
              <w:spacing w:after="0"/>
              <w:rPr>
                <w:sz w:val="20"/>
                <w:szCs w:val="20"/>
                <w:color w:val="auto"/>
              </w:rPr>
            </w:pPr>
            <w:r>
              <w:rPr>
                <w:rFonts w:ascii="Arial" w:cs="Arial" w:eastAsia="Arial" w:hAnsi="Arial"/>
                <w:sz w:val="18"/>
                <w:szCs w:val="18"/>
                <w:color w:val="auto"/>
              </w:rPr>
              <w:t>Options canceled</w:t>
            </w:r>
          </w:p>
        </w:tc>
        <w:tc>
          <w:tcPr>
            <w:tcW w:w="1420" w:type="dxa"/>
            <w:vAlign w:val="bottom"/>
          </w:tcPr>
          <w:p>
            <w:pPr>
              <w:jc w:val="right"/>
              <w:spacing w:after="0"/>
              <w:rPr>
                <w:sz w:val="20"/>
                <w:szCs w:val="20"/>
                <w:color w:val="auto"/>
              </w:rPr>
            </w:pPr>
            <w:r>
              <w:rPr>
                <w:rFonts w:ascii="Arial" w:cs="Arial" w:eastAsia="Arial" w:hAnsi="Arial"/>
                <w:sz w:val="18"/>
                <w:szCs w:val="18"/>
                <w:color w:val="auto"/>
              </w:rPr>
              <w:t>(65,694)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
        </w:trPr>
        <w:tc>
          <w:tcPr>
            <w:tcW w:w="364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December 31, 2018</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2,641,198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43,905</w:t>
            </w:r>
          </w:p>
        </w:tc>
      </w:tr>
      <w:tr>
        <w:trPr>
          <w:trHeight w:val="20"/>
        </w:trPr>
        <w:tc>
          <w:tcPr>
            <w:tcW w:w="3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84"/>
        </w:trPr>
        <w:tc>
          <w:tcPr>
            <w:tcW w:w="3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Options vested and exercisable - December 31,</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1"/>
        </w:trPr>
        <w:tc>
          <w:tcPr>
            <w:tcW w:w="3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2018</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1,762,687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41,882</w:t>
            </w:r>
          </w:p>
        </w:tc>
      </w:tr>
      <w:tr>
        <w:trPr>
          <w:trHeight w:val="20"/>
        </w:trPr>
        <w:tc>
          <w:tcPr>
            <w:tcW w:w="3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84"/>
        </w:trPr>
        <w:tc>
          <w:tcPr>
            <w:tcW w:w="3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vested and expected to vest -</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1"/>
        </w:trPr>
        <w:tc>
          <w:tcPr>
            <w:tcW w:w="3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December 31, 2018</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2,366,723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40,154</w:t>
            </w:r>
          </w:p>
        </w:tc>
      </w:tr>
      <w:tr>
        <w:trPr>
          <w:trHeight w:val="20"/>
        </w:trPr>
        <w:tc>
          <w:tcPr>
            <w:tcW w:w="36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weighted-average grant date fair value of all options granted were $3.98 and $1.80 for years ended December 31, 2018 and 2017, respectively. The aggregate intrinsic values of options outstanding, options vested and exercisable, and options vested and expected to vest were calculated as the difference between the exercise price of the options and the close price of the Company’s common stock on the last trading day of the year, as of December 31, 2018 and 2017,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allows eligible employees to purchase shares of the Company's common stock through payroll deductions at the price equal to 85% of the lesser of the fair market value of the stock as of the first date or the ending date of each six month offering period.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2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(deficit) as the options vest. At December 31, 2018 and December 31, 2017, the Company had a total of 74,019 and 16,117 shares of common stock, respectively, subject to repurchase under the Plan and $0.3 million and $0.1 million, respectively, of associated liabilities for the repurchase.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stock-based compensation expense recognized for the periods presented (in thousands):</w:t>
      </w:r>
    </w:p>
    <w:p>
      <w:pPr>
        <w:spacing w:after="0" w:line="167"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67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22860</wp:posOffset>
            </wp:positionV>
            <wp:extent cx="14579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8"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7"/>
        </w:trPr>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6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7"/>
        </w:trPr>
        <w:tc>
          <w:tcPr>
            <w:tcW w:w="66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Amounts above do not include $0.4 million of stock-based compensation expense related to forgiveness of notes receivable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No amounts of stock-based compensation expense related to forgiveness of notes receivable were recognized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Refer to Note 13 for details.</w:t>
      </w:r>
    </w:p>
    <w:p>
      <w:pPr>
        <w:spacing w:after="0" w:line="103"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The fair value of the shares of the Company’s common stock underlying the stock options has historically been determined by the Company’s Board of Directors. Because there had been no public market for the Company’s common stock prior to its IPO, its Board of Directors has determined the fair value of the Company’s common stock at the time of grant of the option by considering a number of objective and subjective factors, including independent third-party valuations, the Company’s stage of development, sales of the Company’s redeemable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Subsequent to its IPO, the Company uses the market closing price for its common stock as reported on the NASDAQ Global Market on the date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12" w:lineRule="exact"/>
        <w:rPr>
          <w:sz w:val="20"/>
          <w:szCs w:val="20"/>
          <w:color w:val="auto"/>
        </w:rPr>
      </w:pPr>
    </w:p>
    <w:tbl>
      <w:tblPr>
        <w:tblLayout w:type="fixed"/>
        <w:tblInd w:w="158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3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Year ended</w:t>
            </w:r>
          </w:p>
        </w:tc>
      </w:tr>
      <w:tr>
        <w:trPr>
          <w:trHeight w:val="270"/>
        </w:trPr>
        <w:tc>
          <w:tcPr>
            <w:tcW w:w="5020" w:type="dxa"/>
            <w:vAlign w:val="bottom"/>
          </w:tcPr>
          <w:p>
            <w:pPr>
              <w:spacing w:after="0"/>
              <w:rPr>
                <w:sz w:val="23"/>
                <w:szCs w:val="23"/>
                <w:color w:val="auto"/>
              </w:rPr>
            </w:pPr>
          </w:p>
        </w:tc>
        <w:tc>
          <w:tcPr>
            <w:tcW w:w="3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December 31,</w:t>
            </w:r>
          </w:p>
        </w:tc>
      </w:tr>
      <w:tr>
        <w:trPr>
          <w:trHeight w:val="27"/>
        </w:trPr>
        <w:tc>
          <w:tcPr>
            <w:tcW w:w="50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0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42%-47%</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42%-55%</w:t>
            </w:r>
          </w:p>
        </w:tc>
      </w:tr>
      <w:tr>
        <w:trPr>
          <w:trHeight w:val="27"/>
        </w:trPr>
        <w:tc>
          <w:tcPr>
            <w:tcW w:w="5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2.35%-2.96%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1.73%-2.31%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w:t>
            </w: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Performance Stock Options</w:t>
      </w:r>
    </w:p>
    <w:p>
      <w:pPr>
        <w:spacing w:after="0" w:line="117"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color w:val="auto"/>
        </w:rPr>
        <w:t>In March 2017, the Company granted 564,098 performance stock options at an exercise price of $5.94, of which 408,544 performance options will vest monthly over four years and 155,554 performance options will vest monthly over three years. The vesting period will begin on the date of the closing of an IPO, the performance condition, subject to the optionee’s continuous service. Stock-based compensation expense for performance stock options is based on the probability of achieving certain performance criteria, as defined in the individual option grant agreement. Periodically, the Company estimates the number of performance options ultimately expected to vest and recognizes stock-based compensation expense for those options when it becomes probable that the performance criteria will be met. In October 2018, the Company completed its IPO and recognized $0.6 million expense related to the performance stock options for the year ended December 31, 2018.</w:t>
      </w:r>
    </w:p>
    <w:p>
      <w:pPr>
        <w:spacing w:after="0" w:line="54"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In December 2017, the Company modified the terms of 394,652 unvested stock option awards granted in March 2017, by reducing their exercise price from $5.94 to $4.68 per share. In addition, the vesting performance conditions for these options were removed and the vesting commencement date changed from the IPO date to September 2017. There were no other changes in any of the other terms of the option awards. Due to these options previously subject to performance conditions that were not deemed probable of occurring, the Company had not recognized any expense related to these grants. The modification resulted in total expense of $0.8 million that is recognized over the amended vesting period of forty-eight months</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restricted stock units activity for the year ended December 31, 2018:</w:t>
      </w:r>
    </w:p>
    <w:p>
      <w:pPr>
        <w:spacing w:after="0" w:line="383"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6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60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Fair</w:t>
            </w:r>
          </w:p>
        </w:tc>
      </w:tr>
      <w:tr>
        <w:trPr>
          <w:trHeight w:val="234"/>
        </w:trPr>
        <w:tc>
          <w:tcPr>
            <w:tcW w:w="6000" w:type="dxa"/>
            <w:vAlign w:val="bottom"/>
          </w:tcPr>
          <w:p>
            <w:pPr>
              <w:spacing w:after="0"/>
              <w:rPr>
                <w:sz w:val="20"/>
                <w:szCs w:val="20"/>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6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Unvested as of December 31, 2017</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54,036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11.79</w:t>
            </w:r>
          </w:p>
        </w:tc>
      </w:tr>
      <w:tr>
        <w:trPr>
          <w:trHeight w:val="27"/>
        </w:trPr>
        <w:tc>
          <w:tcPr>
            <w:tcW w:w="6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Forfeited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r>
      <w:tr>
        <w:trPr>
          <w:trHeight w:val="243"/>
        </w:trPr>
        <w:tc>
          <w:tcPr>
            <w:tcW w:w="6000" w:type="dxa"/>
            <w:vAlign w:val="bottom"/>
          </w:tcPr>
          <w:p>
            <w:pPr>
              <w:ind w:left="20"/>
              <w:spacing w:after="0"/>
              <w:rPr>
                <w:sz w:val="20"/>
                <w:szCs w:val="20"/>
                <w:color w:val="auto"/>
              </w:rPr>
            </w:pPr>
            <w:r>
              <w:rPr>
                <w:rFonts w:ascii="Arial" w:cs="Arial" w:eastAsia="Arial" w:hAnsi="Arial"/>
                <w:sz w:val="18"/>
                <w:szCs w:val="18"/>
                <w:color w:val="auto"/>
              </w:rPr>
              <w:t>Vested</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shd w:val="clear" w:color="auto" w:fill="CCEEFF"/>
              </w:rPr>
              <w:t>Unvested as of December 31, 2018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53,436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11.69</w:t>
            </w:r>
          </w:p>
        </w:tc>
      </w:tr>
      <w:tr>
        <w:trPr>
          <w:trHeight w:val="41"/>
        </w:trPr>
        <w:tc>
          <w:tcPr>
            <w:tcW w:w="60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420"/>
          </w:cols>
          <w:pgMar w:left="240" w:top="121" w:right="239"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there was a total unrecognized compensation cost of $4.5 million. These costs are expected to be recognized over a period of approximately 2.29 years.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2018, the Company adopted the 2018 Employee Stock Purchase Plan (the "ESPP"). 515,307 shares of common stock are reserved for issuance under the ESPP. The Company recognized $0.1 million compensation expense for the ESPP. As of December 31, 2018, the unrecognized compensation cost for the ESPP was approximately $0.3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assumptions used to determine the grant date fair value of employee stock options and ESPP purchase rights for the periods presented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3" w:lineRule="exact"/>
        <w:rPr>
          <w:sz w:val="20"/>
          <w:szCs w:val="20"/>
          <w:color w:val="auto"/>
        </w:rPr>
      </w:pPr>
    </w:p>
    <w:tbl>
      <w:tblPr>
        <w:tblLayout w:type="fixed"/>
        <w:tblInd w:w="238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r>
      <w:tr>
        <w:trPr>
          <w:trHeight w:val="270"/>
        </w:trPr>
        <w:tc>
          <w:tcPr>
            <w:tcW w:w="498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4980" w:type="dxa"/>
            <w:vAlign w:val="bottom"/>
          </w:tcPr>
          <w:p>
            <w:pPr>
              <w:spacing w:after="0"/>
              <w:rPr>
                <w:sz w:val="23"/>
                <w:szCs w:val="23"/>
                <w:color w:val="auto"/>
              </w:rPr>
            </w:pP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498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17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0.5</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88"/>
              </w:rPr>
              <w:t>43.96%</w:t>
            </w:r>
          </w:p>
        </w:tc>
      </w:tr>
      <w:tr>
        <w:trPr>
          <w:trHeight w:val="27"/>
        </w:trPr>
        <w:tc>
          <w:tcPr>
            <w:tcW w:w="49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7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2.49%</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121" w:lineRule="exact"/>
        <w:rPr>
          <w:sz w:val="20"/>
          <w:szCs w:val="20"/>
          <w:color w:val="auto"/>
        </w:rPr>
      </w:pPr>
    </w:p>
    <w:p>
      <w:pPr>
        <w:jc w:val="both"/>
        <w:ind w:firstLine="446"/>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jc w:val="both"/>
        <w:ind w:firstLine="446"/>
        <w:spacing w:after="0" w:line="257" w:lineRule="auto"/>
        <w:rPr>
          <w:sz w:val="20"/>
          <w:szCs w:val="20"/>
          <w:color w:val="auto"/>
        </w:rPr>
      </w:pPr>
      <w:r>
        <w:rPr>
          <w:rFonts w:ascii="Arial" w:cs="Arial" w:eastAsia="Arial" w:hAnsi="Arial"/>
          <w:sz w:val="18"/>
          <w:szCs w:val="18"/>
          <w:color w:val="auto"/>
        </w:rPr>
        <w:t>In March 2013, the Company granted a loan to its then current Chief Financial Officer to assist with the exercise of his stock option grants in the form of a full recourse promissory note with an aggregate principal amount of $0.2 million. The note is collateralized by the common stock issued upon the exercise of the stock options, as well as personal assets of the borrower. Interest under this note will accrue at the rate of 1.09% per annum. In November 2016, the loan amount was partially repaid in the amount of $0.1 million (including principal and interest). The remainder of the principal balance of this note, together with all accrued and unpaid interest to date, was fully paid in December 2017.</w:t>
      </w:r>
    </w:p>
    <w:p>
      <w:pPr>
        <w:spacing w:after="0" w:line="18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February 2014, the Company granted a loan to its Chief Executive Officer to assist with the exercise of his stock option grants in the form of a full recourse promissory note with an aggregate principal amount of $0.4 million. The note is collateralized by the common stock issued upon the exercise of the stock options, as well as personal assets of the borrower. At the time of issuance, the Company accounted for the note as a full recourse promissory note based on historical pattern of collecting payment on notes in full and no other notes had been forgiven, nor had any recourse notes been substantively converted to nonrecourse. Interest under this note will accrue at the rate of 1.97% per annum. The principal balance of this note, together with all accrued and unpaid interest to date, was due in February 2019. In March 2017, the Company forgave $0.2 million of principal and interest due on this promissory note from its Chief Executive Officer. In addition, the Board of Directors approved the forgiveness of the remaining 50% of the principal balance of the note in January 2018. At the time of the forgiveness, all of the related stock options were fully vested. As a result, the Company expensed the principal note balance of $0.4 million to stock-based compensation expense and accrued interest of $0.1 million to general and administrative expenses in the consolidated statement of operations in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121" w:right="23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jc w:val="right"/>
        <w:ind w:left="440" w:right="8240" w:hanging="432"/>
        <w:spacing w:after="0" w:line="425" w:lineRule="auto"/>
        <w:tabs>
          <w:tab w:leader="none" w:pos="278"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of Common Stock </w:t>
      </w:r>
      <w:r>
        <w:rPr>
          <w:rFonts w:ascii="Arial" w:cs="Arial" w:eastAsia="Arial" w:hAnsi="Arial"/>
          <w:sz w:val="16"/>
          <w:szCs w:val="16"/>
          <w:i w:val="1"/>
          <w:iCs w:val="1"/>
          <w:color w:val="auto"/>
        </w:rPr>
        <w:t>Basic and Diluted Net Loss per Share</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following table summarizes the computation of basic and diluted net loss per share (in thousands, except share and per share data):</w:t>
      </w:r>
    </w:p>
    <w:p>
      <w:pPr>
        <w:spacing w:after="0" w:line="167"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22860</wp:posOffset>
            </wp:positionV>
            <wp:extent cx="17665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8"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r>
      <w:tr>
        <w:trPr>
          <w:trHeight w:val="27"/>
        </w:trPr>
        <w:tc>
          <w:tcPr>
            <w:tcW w:w="5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(23,039)</w:t>
            </w:r>
          </w:p>
        </w:tc>
      </w:tr>
      <w:tr>
        <w:trPr>
          <w:trHeight w:val="237"/>
        </w:trPr>
        <w:tc>
          <w:tcPr>
            <w:tcW w:w="5900" w:type="dxa"/>
            <w:vAlign w:val="bottom"/>
          </w:tcPr>
          <w:p>
            <w:pPr>
              <w:ind w:left="20"/>
              <w:spacing w:after="0"/>
              <w:rPr>
                <w:sz w:val="20"/>
                <w:szCs w:val="20"/>
                <w:color w:val="auto"/>
              </w:rPr>
            </w:pPr>
            <w:r>
              <w:rPr>
                <w:rFonts w:ascii="Arial" w:cs="Arial" w:eastAsia="Arial" w:hAnsi="Arial"/>
                <w:sz w:val="18"/>
                <w:szCs w:val="18"/>
                <w:color w:val="auto"/>
                <w:w w:val="91"/>
              </w:rPr>
              <w:t>Weighted-average shares used to compute basic and diluted net loss per share*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7,950,284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3,467,096</w:t>
            </w:r>
          </w:p>
        </w:tc>
      </w:tr>
      <w:tr>
        <w:trPr>
          <w:trHeight w:val="67"/>
        </w:trPr>
        <w:tc>
          <w:tcPr>
            <w:tcW w:w="59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6"/>
        </w:trPr>
        <w:tc>
          <w:tcPr>
            <w:tcW w:w="59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Calculated based on the 1-for-18 reverse stock split effected October 4, 2018.</w:t>
      </w:r>
    </w:p>
    <w:p>
      <w:pPr>
        <w:spacing w:after="0" w:line="21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Unvested shares for the years ended December 31, 2018 and December 31, 2017 were excluded from the weighted-average shares used to compute basic and diluted net loss per share.</w:t>
      </w:r>
    </w:p>
    <w:p>
      <w:pPr>
        <w:spacing w:after="0" w:line="170"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for the periods presented because including them would have been antidilutive:</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7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59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59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2,641,198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3,001,929</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Shares subject to repurchase</w:t>
            </w:r>
          </w:p>
        </w:tc>
        <w:tc>
          <w:tcPr>
            <w:tcW w:w="1300" w:type="dxa"/>
            <w:vAlign w:val="bottom"/>
          </w:tcPr>
          <w:p>
            <w:pPr>
              <w:jc w:val="right"/>
              <w:spacing w:after="0"/>
              <w:rPr>
                <w:sz w:val="20"/>
                <w:szCs w:val="20"/>
                <w:color w:val="auto"/>
              </w:rPr>
            </w:pPr>
            <w:r>
              <w:rPr>
                <w:rFonts w:ascii="Arial" w:cs="Arial" w:eastAsia="Arial" w:hAnsi="Arial"/>
                <w:sz w:val="18"/>
                <w:szCs w:val="18"/>
                <w:color w:val="auto"/>
              </w:rPr>
              <w:t>74,019</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16,117</w:t>
            </w:r>
          </w:p>
        </w:tc>
      </w:tr>
      <w:tr>
        <w:trPr>
          <w:trHeight w:val="27"/>
        </w:trPr>
        <w:tc>
          <w:tcPr>
            <w:tcW w:w="5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Estimated ESPP shares</w:t>
            </w:r>
          </w:p>
        </w:tc>
        <w:tc>
          <w:tcPr>
            <w:tcW w:w="1300" w:type="dxa"/>
            <w:vAlign w:val="bottom"/>
          </w:tcPr>
          <w:p>
            <w:pPr>
              <w:jc w:val="right"/>
              <w:spacing w:after="0"/>
              <w:rPr>
                <w:sz w:val="20"/>
                <w:szCs w:val="20"/>
                <w:color w:val="auto"/>
              </w:rPr>
            </w:pPr>
            <w:r>
              <w:rPr>
                <w:rFonts w:ascii="Arial" w:cs="Arial" w:eastAsia="Arial" w:hAnsi="Arial"/>
                <w:sz w:val="18"/>
                <w:szCs w:val="18"/>
                <w:color w:val="auto"/>
              </w:rPr>
              <w:t>89,606</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12,066,654</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Redeemable convertible preferred stock warrants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160,657</w:t>
            </w:r>
          </w:p>
        </w:tc>
      </w:tr>
      <w:tr>
        <w:trPr>
          <w:trHeight w:val="27"/>
        </w:trPr>
        <w:tc>
          <w:tcPr>
            <w:tcW w:w="5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118,122</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124,326</w:t>
            </w:r>
          </w:p>
        </w:tc>
      </w:tr>
      <w:tr>
        <w:trPr>
          <w:trHeight w:val="27"/>
        </w:trPr>
        <w:tc>
          <w:tcPr>
            <w:tcW w:w="59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1" w:right="239" w:bottom="1440" w:gutter="0" w:footer="0" w:header="0"/>
        </w:sectPr>
      </w:pPr>
    </w:p>
    <w:bookmarkStart w:id="120" w:name="page121"/>
    <w:bookmarkEnd w:id="120"/>
    <w:p>
      <w:pPr>
        <w:jc w:val="center"/>
        <w:ind w:left="3360"/>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loss before income taxes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Domestic</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 before income taxes</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are as follows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48895</wp:posOffset>
            </wp:positionV>
            <wp:extent cx="2101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81" w:lineRule="exact"/>
        <w:rPr>
          <w:sz w:val="20"/>
          <w:szCs w:val="20"/>
          <w:color w:val="auto"/>
        </w:rPr>
      </w:pPr>
    </w:p>
    <w:p>
      <w:pPr>
        <w:jc w:val="both"/>
        <w:ind w:left="300"/>
        <w:spacing w:after="0"/>
        <w:tabs>
          <w:tab w:leader="none" w:pos="2000" w:val="left"/>
        </w:tabs>
        <w:rPr>
          <w:sz w:val="20"/>
          <w:szCs w:val="20"/>
          <w:color w:val="auto"/>
        </w:rPr>
      </w:pPr>
      <w:r>
        <w:rPr>
          <w:rFonts w:ascii="Arial" w:cs="Arial" w:eastAsia="Arial" w:hAnsi="Arial"/>
          <w:sz w:val="18"/>
          <w:szCs w:val="18"/>
          <w:color w:val="auto"/>
        </w:rPr>
        <w:t>(16,835)</w:t>
      </w:r>
      <w:r>
        <w:rPr>
          <w:sz w:val="20"/>
          <w:szCs w:val="20"/>
          <w:color w:val="auto"/>
        </w:rPr>
        <w:tab/>
      </w:r>
      <w:r>
        <w:rPr>
          <w:rFonts w:ascii="Arial" w:cs="Arial" w:eastAsia="Arial" w:hAnsi="Arial"/>
          <w:sz w:val="18"/>
          <w:szCs w:val="18"/>
          <w:color w:val="auto"/>
        </w:rPr>
        <w:t>(22,717)</w:t>
      </w:r>
    </w:p>
    <w:p>
      <w:pPr>
        <w:spacing w:after="0" w:line="63" w:lineRule="exact"/>
        <w:rPr>
          <w:sz w:val="20"/>
          <w:szCs w:val="20"/>
          <w:color w:val="auto"/>
        </w:rPr>
      </w:pPr>
    </w:p>
    <w:p>
      <w:pPr>
        <w:jc w:val="both"/>
        <w:ind w:left="520"/>
        <w:spacing w:after="0"/>
        <w:tabs>
          <w:tab w:leader="none" w:pos="222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8"/>
          <w:szCs w:val="18"/>
          <w:color w:val="auto"/>
        </w:rPr>
        <w:t>(322)</w:t>
      </w:r>
    </w:p>
    <w:p>
      <w:pPr>
        <w:spacing w:after="0" w:line="77" w:lineRule="exact"/>
        <w:rPr>
          <w:sz w:val="20"/>
          <w:szCs w:val="20"/>
          <w:color w:val="auto"/>
        </w:rPr>
      </w:pPr>
    </w:p>
    <w:p>
      <w:pPr>
        <w:jc w:val="both"/>
        <w:ind w:left="300"/>
        <w:spacing w:after="0"/>
        <w:tabs>
          <w:tab w:leader="none" w:pos="2000" w:val="left"/>
        </w:tabs>
        <w:rPr>
          <w:sz w:val="20"/>
          <w:szCs w:val="20"/>
          <w:color w:val="auto"/>
        </w:rPr>
      </w:pPr>
      <w:r>
        <w:rPr>
          <w:rFonts w:ascii="Arial" w:cs="Arial" w:eastAsia="Arial" w:hAnsi="Arial"/>
          <w:sz w:val="18"/>
          <w:szCs w:val="18"/>
          <w:color w:val="auto"/>
        </w:rPr>
        <w:t>(17,453)</w:t>
      </w:r>
      <w:r>
        <w:rPr>
          <w:sz w:val="20"/>
          <w:szCs w:val="20"/>
          <w:color w:val="auto"/>
        </w:rPr>
        <w:tab/>
      </w:r>
      <w:r>
        <w:rPr>
          <w:rFonts w:ascii="Arial" w:cs="Arial" w:eastAsia="Arial" w:hAnsi="Arial"/>
          <w:sz w:val="18"/>
          <w:szCs w:val="18"/>
          <w:color w:val="auto"/>
        </w:rPr>
        <w:t>(23,039)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48895</wp:posOffset>
            </wp:positionV>
            <wp:extent cx="21012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666" w:lineRule="exact"/>
        <w:rPr>
          <w:sz w:val="20"/>
          <w:szCs w:val="20"/>
          <w:color w:val="auto"/>
        </w:rPr>
      </w:pPr>
    </w:p>
    <w:p>
      <w:pPr>
        <w:sectPr>
          <w:pgSz w:w="11900" w:h="16838" w:orient="portrait"/>
          <w:cols w:equalWidth="0" w:num="2">
            <w:col w:w="8080" w:space="660"/>
            <w:col w:w="2680"/>
          </w:cols>
          <w:pgMar w:left="240" w:top="121" w:right="239" w:bottom="1440" w:gutter="0" w:footer="0" w:header="0"/>
        </w:sect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6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60"/>
              <w:spacing w:after="0"/>
              <w:rPr>
                <w:sz w:val="20"/>
                <w:szCs w:val="20"/>
                <w:color w:val="auto"/>
              </w:rPr>
            </w:pPr>
            <w:r>
              <w:rPr>
                <w:rFonts w:ascii="Arial" w:cs="Arial" w:eastAsia="Arial" w:hAnsi="Arial"/>
                <w:sz w:val="18"/>
                <w:szCs w:val="18"/>
                <w:color w:val="auto"/>
              </w:rPr>
              <w:t>Foreign</w:t>
            </w:r>
          </w:p>
        </w:tc>
        <w:tc>
          <w:tcPr>
            <w:tcW w:w="100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current tax expense</w:t>
            </w:r>
          </w:p>
        </w:tc>
        <w:tc>
          <w:tcPr>
            <w:tcW w:w="1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534"/>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expense:</w:t>
            </w:r>
          </w:p>
        </w:tc>
        <w:tc>
          <w:tcPr>
            <w:tcW w:w="10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Federal</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(9,574)</w:t>
            </w:r>
          </w:p>
        </w:tc>
      </w:tr>
      <w:tr>
        <w:trPr>
          <w:trHeight w:val="243"/>
        </w:trPr>
        <w:tc>
          <w:tcPr>
            <w:tcW w:w="8120" w:type="dxa"/>
            <w:vAlign w:val="bottom"/>
          </w:tcPr>
          <w:p>
            <w:pPr>
              <w:ind w:left="460"/>
              <w:spacing w:after="0"/>
              <w:rPr>
                <w:sz w:val="20"/>
                <w:szCs w:val="20"/>
                <w:color w:val="auto"/>
              </w:rPr>
            </w:pPr>
            <w:r>
              <w:rPr>
                <w:rFonts w:ascii="Arial" w:cs="Arial" w:eastAsia="Arial" w:hAnsi="Arial"/>
                <w:sz w:val="18"/>
                <w:szCs w:val="18"/>
                <w:color w:val="auto"/>
              </w:rPr>
              <w:t>State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2,061</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Foreign</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900"/>
              <w:spacing w:after="0"/>
              <w:rPr>
                <w:sz w:val="20"/>
                <w:szCs w:val="20"/>
                <w:color w:val="auto"/>
              </w:rPr>
            </w:pPr>
            <w:r>
              <w:rPr>
                <w:rFonts w:ascii="Arial" w:cs="Arial" w:eastAsia="Arial" w:hAnsi="Arial"/>
                <w:sz w:val="18"/>
                <w:szCs w:val="18"/>
                <w:color w:val="auto"/>
              </w:rPr>
              <w:t>Total deferred tax expense</w:t>
            </w:r>
          </w:p>
        </w:tc>
        <w:tc>
          <w:tcPr>
            <w:tcW w:w="10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4,577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(7,513)</w:t>
            </w:r>
          </w:p>
        </w:tc>
      </w:tr>
      <w:tr>
        <w:trPr>
          <w:trHeight w:val="27"/>
        </w:trPr>
        <w:tc>
          <w:tcPr>
            <w:tcW w:w="8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 in deferred tax valuation allowance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(4,577)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7,513</w:t>
            </w:r>
          </w:p>
        </w:tc>
      </w:tr>
      <w:tr>
        <w:trPr>
          <w:trHeight w:val="365"/>
        </w:trPr>
        <w:tc>
          <w:tcPr>
            <w:tcW w:w="8120" w:type="dxa"/>
            <w:vAlign w:val="bottom"/>
          </w:tcPr>
          <w:p>
            <w:pPr>
              <w:ind w:left="460"/>
              <w:spacing w:after="0"/>
              <w:rPr>
                <w:sz w:val="20"/>
                <w:szCs w:val="20"/>
                <w:color w:val="auto"/>
              </w:rPr>
            </w:pPr>
            <w:r>
              <w:rPr>
                <w:rFonts w:ascii="Arial" w:cs="Arial" w:eastAsia="Arial" w:hAnsi="Arial"/>
                <w:sz w:val="18"/>
                <w:szCs w:val="18"/>
                <w:color w:val="auto"/>
              </w:rPr>
              <w:t>Net deferred tax expense</w:t>
            </w:r>
          </w:p>
        </w:tc>
        <w:tc>
          <w:tcPr>
            <w:tcW w:w="10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Provision for income taxes</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167"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34290</wp:posOffset>
            </wp:positionV>
            <wp:extent cx="22294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gridSpan w:val="2"/>
          </w:tcPr>
          <w:p>
            <w:pPr>
              <w:ind w:left="8580"/>
              <w:spacing w:after="0"/>
              <w:rPr>
                <w:sz w:val="20"/>
                <w:szCs w:val="20"/>
                <w:color w:val="auto"/>
              </w:rPr>
            </w:pPr>
            <w:r>
              <w:rPr>
                <w:rFonts w:ascii="Arial" w:cs="Arial" w:eastAsia="Arial" w:hAnsi="Arial"/>
                <w:sz w:val="18"/>
                <w:szCs w:val="18"/>
                <w:b w:val="1"/>
                <w:bCs w:val="1"/>
                <w:color w:val="auto"/>
                <w:w w:val="89"/>
              </w:rPr>
              <w:t>2018</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at statutory federal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State tax, net of federal benefit</w:t>
            </w: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Measurement of deferred taxes as a result of tax reform</w:t>
            </w:r>
          </w:p>
        </w:tc>
        <w:tc>
          <w:tcPr>
            <w:tcW w:w="7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68.7 %</w:t>
            </w:r>
          </w:p>
        </w:tc>
        <w:tc>
          <w:tcPr>
            <w:tcW w:w="0" w:type="dxa"/>
            <w:vAlign w:val="bottom"/>
          </w:tcPr>
          <w:p>
            <w:pPr>
              <w:spacing w:after="0"/>
              <w:rPr>
                <w:sz w:val="1"/>
                <w:szCs w:val="1"/>
                <w:color w:val="auto"/>
              </w:rPr>
            </w:pPr>
          </w:p>
        </w:tc>
      </w:tr>
      <w:tr>
        <w:trPr>
          <w:trHeight w:val="243"/>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Tax credits</w:t>
            </w: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Change in deferred tax valuation allowance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43"/>
        </w:trPr>
        <w:tc>
          <w:tcPr>
            <w:tcW w:w="89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120</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79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type w:val="continuous"/>
        </w:sectPr>
      </w:pPr>
    </w:p>
    <w:bookmarkStart w:id="121" w:name="page122"/>
    <w:bookmarkEnd w:id="121"/>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deferred tax assets are presented below (in thousands):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32,210</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2,070</w:t>
            </w:r>
          </w:p>
        </w:tc>
      </w:tr>
      <w:tr>
        <w:trPr>
          <w:trHeight w:val="27"/>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Accruals and reserves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2,958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1,376</w:t>
            </w:r>
          </w:p>
        </w:tc>
      </w:tr>
      <w:tr>
        <w:trPr>
          <w:trHeight w:val="27"/>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9"/>
        </w:trPr>
        <w:tc>
          <w:tcPr>
            <w:tcW w:w="7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7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40,412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35,835</w:t>
            </w:r>
          </w:p>
        </w:tc>
      </w:tr>
      <w:tr>
        <w:trPr>
          <w:trHeight w:val="243"/>
        </w:trPr>
        <w:tc>
          <w:tcPr>
            <w:tcW w:w="744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(40,412)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(35,835)</w:t>
            </w:r>
          </w:p>
        </w:tc>
      </w:tr>
      <w:tr>
        <w:trPr>
          <w:trHeight w:val="27"/>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deferred tax asset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6"/>
        <w:spacing w:after="0" w:line="308" w:lineRule="auto"/>
        <w:rPr>
          <w:sz w:val="20"/>
          <w:szCs w:val="20"/>
          <w:color w:val="auto"/>
        </w:rPr>
      </w:pPr>
      <w:r>
        <w:rPr>
          <w:rFonts w:ascii="Arial" w:cs="Arial" w:eastAsia="Arial" w:hAnsi="Arial"/>
          <w:sz w:val="17"/>
          <w:szCs w:val="17"/>
          <w:color w:val="auto"/>
        </w:rPr>
        <w:t>The Company has established a full valuation allowance against its deferred tax assets due to the uncertainty surrounding realization of such assets. The following table summarizes changes in the valuation allowance for the year ended December 31, 2018 and 2017 (in thousands):</w:t>
      </w:r>
    </w:p>
    <w:p>
      <w:pPr>
        <w:spacing w:after="0" w:line="30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ind w:right="490"/>
              <w:spacing w:after="0"/>
              <w:rPr>
                <w:sz w:val="20"/>
                <w:szCs w:val="20"/>
                <w:color w:val="auto"/>
              </w:rPr>
            </w:pPr>
            <w:r>
              <w:rPr>
                <w:rFonts w:ascii="Arial" w:cs="Arial" w:eastAsia="Arial" w:hAnsi="Arial"/>
                <w:sz w:val="18"/>
                <w:szCs w:val="18"/>
                <w:b w:val="1"/>
                <w:bCs w:val="1"/>
                <w:color w:val="auto"/>
                <w:w w:val="94"/>
              </w:rPr>
              <w:t>2017</w:t>
            </w:r>
          </w:p>
        </w:tc>
      </w:tr>
      <w:tr>
        <w:trPr>
          <w:trHeight w:val="27"/>
        </w:trPr>
        <w:tc>
          <w:tcPr>
            <w:tcW w:w="6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43,348</w:t>
            </w: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Additions during the period</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4,577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Deductions during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(7,513)</w:t>
            </w:r>
          </w:p>
        </w:tc>
      </w:tr>
      <w:tr>
        <w:trPr>
          <w:trHeight w:val="257"/>
        </w:trPr>
        <w:tc>
          <w:tcPr>
            <w:tcW w:w="6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40,412</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35,835</w:t>
            </w:r>
          </w:p>
        </w:tc>
      </w:tr>
      <w:tr>
        <w:trPr>
          <w:trHeight w:val="20"/>
        </w:trPr>
        <w:tc>
          <w:tcPr>
            <w:tcW w:w="6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As of December 31, 2018, the Company had net operating loss (“NOL”) carryforwards of approximately $135.5 million and $109.9 million available to reduce future taxable income, if any, for federal and state income tax purposes, respectively. If not utilized, the Company’s federal net operating loss carryforward begins to expire in 2029, and the state net operating loss carryforward begins to expire in 2019.</w:t>
      </w:r>
    </w:p>
    <w:p>
      <w:pPr>
        <w:spacing w:after="0" w:line="181"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As of December 31, 2018, the Company had credit carryforwards of approximately $1.7 million and $1.9 million available to reduce future taxable income, if any, for both federal and state income tax purposes, respectively. The federal credits begin to expire in 2030, and the state credits have no expiration date.</w:t>
      </w:r>
    </w:p>
    <w:p>
      <w:pPr>
        <w:spacing w:after="0" w:line="18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Tax Reform Act of 1986 limits the use of net operating loss and tax credit carryforwards in certain situations where changes occur in the stock ownership of a company. In general, if the Company experiences a greater than 50 percentage point aggregate change in ownership over a three-year period (a Section 382 ownership change), utilization of its pre-change NOL carryforwards are subject to an annual limitation under Section 382 of the Internal Revenue Code (California has similar laws). The annual limitation generally is determined by multiplying the value of the Company’s stock at the time of such ownership change (subject to certain adjustments) by the applicable long-term tax-exempt rate. Such limitations may result in expiration of a portion of the NOL carryforwards before utilization. The Company has not utilized any NOL carryovers through December 31, 2018. In addition, the Company’s deferred tax assets are subject to full valuation allowance, and thus no benefit for deferred tax assets have been recorded. The Company has determined that it experienced Section 382 ownership changes in 2010 and $1.4 million of its NOLs are limited. The Company is currently performing an analysis to determine whether any additional NOL carryforwards are limited due to a change in ownership as a result of its recent IPO.</w:t>
      </w:r>
    </w:p>
    <w:p>
      <w:pPr>
        <w:spacing w:after="0" w:line="16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2018 and 2017 consisted of the following (in thousands):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87" w:lineRule="exact"/>
        <w:rPr>
          <w:sz w:val="20"/>
          <w:szCs w:val="20"/>
          <w:color w:val="auto"/>
        </w:rPr>
      </w:pPr>
    </w:p>
    <w:tbl>
      <w:tblPr>
        <w:tblLayout w:type="fixed"/>
        <w:tblInd w:w="1700" w:type="dxa"/>
        <w:tblCellMar>
          <w:top w:w="0" w:type="dxa"/>
          <w:left w:w="0" w:type="dxa"/>
          <w:bottom w:w="0" w:type="dxa"/>
          <w:right w:w="0" w:type="dxa"/>
        </w:tblCellMar>
      </w:tblP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 as of January 1, 2017</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Increases in balances related to tax positions taken during 2017</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67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as of December 31, 2017</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Increases in balances related to tax positions taken during 2018</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
        </w:trPr>
        <w:tc>
          <w:tcPr>
            <w:tcW w:w="67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as of December 31, 2018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The Company has elected to recognize interest and penalties related to uncertain tax positions as a component of income tax expense. The Company has accrued zero at December 31, 2018 and 2017 for payment of interest related to unrecognized tax benefits. None of the Company’s unrecognized tax benefits that, if recognized, would affect its effective tax rate at December 31, 2018.</w:t>
      </w:r>
    </w:p>
    <w:p>
      <w:pPr>
        <w:spacing w:after="0" w:line="18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Company currently has no federal or state tax examinations in progress nor has it had any federal or state examinations since inception. As a result of the Company’s net operating loss carry forwards, all of its tax years are subject to federal and state tax examinations.</w:t>
      </w:r>
    </w:p>
    <w:p>
      <w:pPr>
        <w:spacing w:after="0" w:line="17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On December 22, 2017, the United States enacted a law commonly known as the Tax Cuts and Jobs Act (“TCJA”) which makes widespread changes to the Internal Revenue Code, including a reduction in the federal corporate tax rate to 21%, effective January 1, 2018.</w:t>
      </w:r>
    </w:p>
    <w:p>
      <w:pPr>
        <w:spacing w:after="0" w:line="170"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The Company is subject to the provisions of the Financial Accounting Standards Board (“FASB”) ASC 740-10, Income Taxes, which requires that the effect on deferred tax assets and liabilities of a change in tax rates be recognized in the period the tax rate change was enacted. The carrying value of U.S. deferred taxes is determined by the enacted U.S. corporate income tax rate. Consequently, the reduction in the U.S. corporate income tax rate impacts the carrying value of deferred tax assets. Under the new corporate income tax rate of 21%, the U.S. net deferred tax asset position decreased by approximately $15.8 million. Uncertainty regarding the impact of tax reform remains, as a result of factors including future regulatory and rulemaking processes, the prospects of additional corrective or supplemental legislation, potential trade or other litigation, and other factors.</w:t>
      </w:r>
    </w:p>
    <w:p>
      <w:pPr>
        <w:spacing w:after="0" w:line="17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In December 2017, the SEC staff issued Staff Accounting Bulletin No. 118 (“SAB 118”), which provides guidance for the tax effect of the 2017 Tax Act. SAB 118 provides a measurement period that should not extend beyond one year from the 2017 Tax Act’s enactment date for companies to complete the accounting under Accounting Standards Codification Topic 740, Income Taxes (“ASC 740”). In accordance with SAB 118, the Company must reflect the income tax effects of those aspects of the 2017 Tax Act for which the accounting under ASC 740 is complete. To the extent that its accounting for certain income tax effects of the 2017 Tax Act is incomplete, but the Company is able to determine a reasonable estimate, the Company must record a provisional estimate in its consolidated financial statements. If the Company cannot determine a provisional estimate to be included in its consolidated financial statements, the Company should continue to apply ASC 740 on the basis of the provisions of the tax laws that were in effect immediately before the enactment of the 2017 Tax Act. It is expected that the U.S. Treasury will issue regulations and other guidance on the application of certain provisions of the 2017 Tax Act. The Company has analyzed the guidance and other necessary information related to the tax effects of the 2017 Tax Act and considers the accounting of its net deferred tax assets complete in accordance with SAB 118.</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w:t>
      </w:r>
    </w:p>
    <w:p>
      <w:pPr>
        <w:spacing w:after="0" w:line="200" w:lineRule="exact"/>
        <w:rPr>
          <w:sz w:val="20"/>
          <w:szCs w:val="20"/>
          <w:color w:val="auto"/>
        </w:rPr>
      </w:pPr>
    </w:p>
    <w:p>
      <w:pPr>
        <w:ind w:right="120" w:firstLine="392"/>
        <w:spacing w:after="0" w:line="270" w:lineRule="auto"/>
        <w:rPr>
          <w:sz w:val="20"/>
          <w:szCs w:val="20"/>
          <w:color w:val="auto"/>
        </w:rPr>
      </w:pPr>
      <w:r>
        <w:rPr>
          <w:rFonts w:ascii="Arial" w:cs="Arial" w:eastAsia="Arial" w:hAnsi="Arial"/>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93" w:lineRule="exact"/>
        <w:rPr>
          <w:sz w:val="20"/>
          <w:szCs w:val="20"/>
          <w:color w:val="auto"/>
        </w:rPr>
      </w:pPr>
    </w:p>
    <w:p>
      <w:pPr>
        <w:ind w:firstLine="392"/>
        <w:spacing w:after="0" w:line="230" w:lineRule="exact"/>
        <w:rPr>
          <w:sz w:val="20"/>
          <w:szCs w:val="20"/>
          <w:color w:val="auto"/>
        </w:rPr>
      </w:pPr>
      <w:r>
        <w:rPr>
          <w:rFonts w:ascii="Arial" w:cs="Arial" w:eastAsia="Arial" w:hAnsi="Arial"/>
          <w:sz w:val="17"/>
          <w:szCs w:val="17"/>
          <w:color w:val="auto"/>
        </w:rPr>
        <w:t>As of December 31, 201, our management, with the participation of our Chief Executive Officer and our Chief Financial Officer, have evaluated our disclosure controls and procedures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under the Securities Exchange Act of 1934, as amended). Based on that evaluation, our Chief Executive Officer and our Chief Financial Officer have concluded that, as of December 31, 2018, our disclosure controls and procedures were effective at the reasonable assurance level. Additionally, our management has concluded that the financial statements included elsewhere in this report present fairly, in all material respects, our financial position, results of operations and cash flows in conformity with GAAP.</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Exemption from management’s report on internal control over financial reporting for the fiscal year ended December 31, 2018.</w:t>
      </w:r>
    </w:p>
    <w:p>
      <w:pPr>
        <w:spacing w:after="0" w:line="185" w:lineRule="exact"/>
        <w:rPr>
          <w:sz w:val="20"/>
          <w:szCs w:val="20"/>
          <w:color w:val="auto"/>
        </w:rPr>
      </w:pPr>
    </w:p>
    <w:p>
      <w:pPr>
        <w:ind w:right="520" w:firstLine="392"/>
        <w:spacing w:after="0" w:line="194" w:lineRule="exact"/>
        <w:rPr>
          <w:sz w:val="20"/>
          <w:szCs w:val="20"/>
          <w:color w:val="auto"/>
        </w:rPr>
      </w:pPr>
      <w:r>
        <w:rPr>
          <w:rFonts w:ascii="Arial" w:cs="Arial" w:eastAsia="Arial" w:hAnsi="Arial"/>
          <w:sz w:val="18"/>
          <w:szCs w:val="18"/>
          <w:color w:val="auto"/>
        </w:rPr>
        <w:t>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9" w:lineRule="exact"/>
        <w:rPr>
          <w:sz w:val="20"/>
          <w:szCs w:val="20"/>
          <w:color w:val="auto"/>
        </w:rPr>
      </w:pPr>
    </w:p>
    <w:p>
      <w:pPr>
        <w:ind w:right="680" w:firstLine="392"/>
        <w:spacing w:after="0" w:line="293" w:lineRule="auto"/>
        <w:rPr>
          <w:sz w:val="20"/>
          <w:szCs w:val="20"/>
          <w:color w:val="auto"/>
        </w:rPr>
      </w:pPr>
      <w:r>
        <w:rPr>
          <w:rFonts w:ascii="Arial" w:cs="Arial" w:eastAsia="Arial" w:hAnsi="Arial"/>
          <w:sz w:val="18"/>
          <w:szCs w:val="18"/>
          <w:color w:val="auto"/>
        </w:rPr>
        <w:t>There were no changes in our internal control over financial reporting during the fourth quarter of the year ended December 31, 2018, that have materially affected, or are reasonably likely to materially affect, our internal control over financial reporting.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3" w:lineRule="exact"/>
        <w:rPr>
          <w:sz w:val="20"/>
          <w:szCs w:val="20"/>
          <w:color w:val="auto"/>
        </w:rPr>
      </w:pPr>
    </w:p>
    <w:p>
      <w:pPr>
        <w:ind w:firstLine="392"/>
        <w:spacing w:after="0" w:line="296" w:lineRule="auto"/>
        <w:rPr>
          <w:sz w:val="20"/>
          <w:szCs w:val="20"/>
          <w:color w:val="auto"/>
        </w:rPr>
      </w:pPr>
      <w:r>
        <w:rPr>
          <w:rFonts w:ascii="Arial" w:cs="Arial" w:eastAsia="Arial" w:hAnsi="Arial"/>
          <w:sz w:val="17"/>
          <w:szCs w:val="17"/>
          <w:color w:val="auto"/>
        </w:rPr>
        <w:t>Information required by this item will be contained in our definitive proxy statement to be filed with the Securities and Exchange Commission on Schedule 14A in connection with our 2019 Annual Meeting of Stockholders, or the Proxy Statement, which will be filed not later than 120 days after the end of our fiscal year ended December 31, 2018, under the headings “Management,” “Proposal 1 - Election of Directors,” “Board Committees and Meetings,” and “Section 16(a) Beneficial Ownership Reporting Compliance,” and is incorporated herein by reference.</w:t>
      </w:r>
    </w:p>
    <w:p>
      <w:pPr>
        <w:spacing w:after="0" w:line="170" w:lineRule="exact"/>
        <w:rPr>
          <w:sz w:val="20"/>
          <w:szCs w:val="20"/>
          <w:color w:val="auto"/>
        </w:rPr>
      </w:pPr>
    </w:p>
    <w:p>
      <w:pPr>
        <w:ind w:right="120" w:firstLine="392"/>
        <w:spacing w:after="0" w:line="311" w:lineRule="auto"/>
        <w:rPr>
          <w:sz w:val="20"/>
          <w:szCs w:val="20"/>
          <w:color w:val="auto"/>
        </w:rPr>
      </w:pPr>
      <w:r>
        <w:rPr>
          <w:rFonts w:ascii="Arial" w:cs="Arial" w:eastAsia="Arial" w:hAnsi="Arial"/>
          <w:sz w:val="16"/>
          <w:szCs w:val="16"/>
          <w:color w:val="auto"/>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3" w:lineRule="exact"/>
        <w:rPr>
          <w:sz w:val="20"/>
          <w:szCs w:val="20"/>
          <w:color w:val="auto"/>
        </w:rPr>
      </w:pPr>
    </w:p>
    <w:p>
      <w:pPr>
        <w:ind w:right="280" w:firstLine="392"/>
        <w:spacing w:after="0" w:line="293" w:lineRule="auto"/>
        <w:rPr>
          <w:sz w:val="20"/>
          <w:szCs w:val="20"/>
          <w:color w:val="auto"/>
        </w:rPr>
      </w:pPr>
      <w:r>
        <w:rPr>
          <w:rFonts w:ascii="Arial" w:cs="Arial" w:eastAsia="Arial" w:hAnsi="Arial"/>
          <w:sz w:val="18"/>
          <w:szCs w:val="18"/>
          <w:color w:val="auto"/>
        </w:rPr>
        <w:t>The information required by this item regarding executive compensation will be incorporated by reference to the information set forth in the sections titled “Executive Compensation” and “Compensation of Non-Employee Board Members” in our Proxy Statement.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jc w:val="both"/>
        <w:ind w:right="140" w:firstLine="392"/>
        <w:spacing w:after="0" w:line="279" w:lineRule="auto"/>
        <w:rPr>
          <w:sz w:val="20"/>
          <w:szCs w:val="20"/>
          <w:color w:val="auto"/>
        </w:rPr>
      </w:pPr>
      <w:r>
        <w:rPr>
          <w:rFonts w:ascii="Arial" w:cs="Arial" w:eastAsia="Arial" w:hAnsi="Arial"/>
          <w:sz w:val="18"/>
          <w:szCs w:val="18"/>
          <w:color w:val="auto"/>
        </w:rPr>
        <w:t>The information required by this item regarding security ownership of certain beneficial owners and management will be incorporated by reference to the information set forth in the sections titled “Security Ownership of Certain Beneficial Owners and Management” and “Securities Authorized for Issuance Under Equity Compensation Plans” in our Proxy Statement.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3" w:lineRule="exact"/>
        <w:rPr>
          <w:sz w:val="20"/>
          <w:szCs w:val="20"/>
          <w:color w:val="auto"/>
        </w:rPr>
      </w:pPr>
    </w:p>
    <w:p>
      <w:pPr>
        <w:ind w:right="220" w:firstLine="392"/>
        <w:spacing w:after="0" w:line="279" w:lineRule="auto"/>
        <w:rPr>
          <w:sz w:val="20"/>
          <w:szCs w:val="20"/>
          <w:color w:val="auto"/>
        </w:rPr>
      </w:pPr>
      <w:r>
        <w:rPr>
          <w:rFonts w:ascii="Arial" w:cs="Arial" w:eastAsia="Arial" w:hAnsi="Arial"/>
          <w:sz w:val="18"/>
          <w:szCs w:val="18"/>
          <w:color w:val="auto"/>
        </w:rPr>
        <w:t>The information required by this item regarding certain relationships and related transactions and director independence will be incorporated by reference to the information set forth in the sections titled “Certain Relationships and Related Party Transactions” and “Proposal 1 - Election of Directors”, respectively, in our Proxy Statement.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3" w:lineRule="exact"/>
        <w:rPr>
          <w:sz w:val="20"/>
          <w:szCs w:val="20"/>
          <w:color w:val="auto"/>
        </w:rPr>
      </w:pPr>
    </w:p>
    <w:p>
      <w:pPr>
        <w:ind w:right="180" w:firstLine="392"/>
        <w:spacing w:after="0" w:line="293" w:lineRule="auto"/>
        <w:rPr>
          <w:sz w:val="20"/>
          <w:szCs w:val="20"/>
          <w:color w:val="auto"/>
        </w:rPr>
      </w:pPr>
      <w:r>
        <w:rPr>
          <w:rFonts w:ascii="Arial" w:cs="Arial" w:eastAsia="Arial" w:hAnsi="Arial"/>
          <w:sz w:val="18"/>
          <w:szCs w:val="18"/>
          <w:color w:val="auto"/>
        </w:rPr>
        <w:t>The information required by this item regarding principal accountant fees and services will be incorporated by reference to the information set forth in the section titled “Principal Accountant Fees and Services”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240" w:hanging="232"/>
        <w:spacing w:after="0"/>
        <w:tabs>
          <w:tab w:leader="none" w:pos="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38" w:lineRule="exact"/>
        <w:rPr>
          <w:rFonts w:ascii="Arial" w:cs="Arial" w:eastAsia="Arial" w:hAnsi="Arial"/>
          <w:sz w:val="18"/>
          <w:szCs w:val="18"/>
          <w:color w:val="auto"/>
        </w:rPr>
      </w:pPr>
    </w:p>
    <w:p>
      <w:pPr>
        <w:ind w:left="360" w:hanging="176"/>
        <w:spacing w:after="0"/>
        <w:tabs>
          <w:tab w:leader="none" w:pos="3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39" w:lineRule="exact"/>
        <w:rPr>
          <w:sz w:val="20"/>
          <w:szCs w:val="20"/>
          <w:color w:val="auto"/>
        </w:rPr>
      </w:pPr>
    </w:p>
    <w:p>
      <w:pPr>
        <w:ind w:left="900"/>
        <w:spacing w:after="0" w:line="207" w:lineRule="exact"/>
        <w:rPr>
          <w:sz w:val="20"/>
          <w:szCs w:val="20"/>
          <w:color w:val="auto"/>
        </w:rPr>
      </w:pPr>
      <w:r>
        <w:rPr>
          <w:rFonts w:ascii="Arial" w:cs="Arial" w:eastAsia="Arial" w:hAnsi="Arial"/>
          <w:sz w:val="18"/>
          <w:szCs w:val="18"/>
          <w:color w:val="auto"/>
        </w:rPr>
        <w:t>Information in response to this Item is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 Financial Statement Schedules</w:t>
      </w:r>
    </w:p>
    <w:p>
      <w:pPr>
        <w:spacing w:after="0" w:line="23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financial statements or notes thereto.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3. Exhibits</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Incorporation By Reference</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gridSpan w:val="15"/>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vMerge w:val="restart"/>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2"/>
                <w:szCs w:val="12"/>
                <w:color w:val="auto"/>
              </w:rPr>
            </w:pPr>
          </w:p>
        </w:tc>
        <w:tc>
          <w:tcPr>
            <w:tcW w:w="12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SEC File No.</w:t>
            </w:r>
          </w:p>
        </w:tc>
        <w:tc>
          <w:tcPr>
            <w:tcW w:w="22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220" w:type="dxa"/>
            <w:vAlign w:val="bottom"/>
            <w:vMerge w:val="restart"/>
          </w:tcPr>
          <w:p>
            <w:pPr>
              <w:spacing w:after="0"/>
              <w:rPr>
                <w:sz w:val="12"/>
                <w:szCs w:val="12"/>
                <w:color w:val="auto"/>
              </w:rPr>
            </w:pPr>
          </w:p>
        </w:tc>
        <w:tc>
          <w:tcPr>
            <w:tcW w:w="12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6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15"/>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99"/>
        </w:trPr>
        <w:tc>
          <w:tcPr>
            <w:tcW w:w="680" w:type="dxa"/>
            <w:vAlign w:val="bottom"/>
          </w:tcPr>
          <w:p>
            <w:pPr>
              <w:ind w:left="2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21"/>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Amended and Restated Certificate of Incorporation.</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90"/>
              </w:rPr>
              <w:t>001-38701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32"/>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10/19/2018</w:t>
            </w:r>
          </w:p>
        </w:tc>
        <w:tc>
          <w:tcPr>
            <w:tcW w:w="0" w:type="dxa"/>
            <w:vAlign w:val="bottom"/>
          </w:tcPr>
          <w:p>
            <w:pPr>
              <w:spacing w:after="0"/>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40" w:type="dxa"/>
            <w:vAlign w:val="bottom"/>
            <w:tcBorders>
              <w:top w:val="single" w:sz="8" w:color="0000FF"/>
            </w:tcBorders>
            <w:gridSpan w:val="11"/>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Amended and Restated Bylaws.</w:t>
              </w:r>
            </w:hyperlink>
          </w:p>
        </w:tc>
        <w:tc>
          <w:tcPr>
            <w:tcW w:w="192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32"/>
              <w:spacing w:after="0"/>
              <w:rPr>
                <w:sz w:val="20"/>
                <w:szCs w:val="20"/>
                <w:color w:val="auto"/>
              </w:rPr>
            </w:pPr>
            <w:r>
              <w:rPr>
                <w:rFonts w:ascii="Arial" w:cs="Arial" w:eastAsia="Arial" w:hAnsi="Arial"/>
                <w:sz w:val="18"/>
                <w:szCs w:val="18"/>
                <w:color w:val="auto"/>
                <w:w w:val="87"/>
              </w:rPr>
              <w:t>3.4</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21"/>
          </w:tcPr>
          <w:p>
            <w:pPr>
              <w:spacing w:after="0"/>
              <w:rPr>
                <w:rFonts w:ascii="Arial" w:cs="Arial" w:eastAsia="Arial" w:hAnsi="Arial"/>
                <w:sz w:val="18"/>
                <w:szCs w:val="18"/>
                <w:color w:val="0000FF"/>
              </w:rPr>
            </w:pPr>
            <w:hyperlink r:id="rId58">
              <w:r>
                <w:rPr>
                  <w:rFonts w:ascii="Arial" w:cs="Arial" w:eastAsia="Arial" w:hAnsi="Arial"/>
                  <w:sz w:val="18"/>
                  <w:szCs w:val="18"/>
                  <w:color w:val="0000FF"/>
                </w:rPr>
                <w:t>Form of Common Stock Certificate of the Company.</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32"/>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tcBorders>
              <w:top w:val="single" w:sz="8" w:color="0000FF"/>
            </w:tcBorders>
            <w:gridSpan w:val="12"/>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56">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r:id="rId57">
              <w:r>
                <w:rPr>
                  <w:rFonts w:ascii="Arial" w:cs="Arial" w:eastAsia="Arial" w:hAnsi="Arial"/>
                  <w:sz w:val="18"/>
                  <w:szCs w:val="18"/>
                  <w:color w:val="0000FF"/>
                </w:rPr>
                <w:t>3.2</w:t>
              </w:r>
            </w:hyperlink>
            <w:r>
              <w:rPr>
                <w:rFonts w:ascii="Arial" w:cs="Arial" w:eastAsia="Arial" w:hAnsi="Arial"/>
                <w:sz w:val="18"/>
                <w:szCs w:val="18"/>
                <w:color w:val="auto"/>
                <w:highlight w:val="white"/>
              </w:rPr>
              <w:t>.</w:t>
            </w:r>
          </w:p>
        </w:tc>
        <w:tc>
          <w:tcPr>
            <w:tcW w:w="186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21"/>
          </w:tcPr>
          <w:p>
            <w:pPr>
              <w:spacing w:after="0"/>
              <w:rPr>
                <w:rFonts w:ascii="Arial" w:cs="Arial" w:eastAsia="Arial" w:hAnsi="Arial"/>
                <w:sz w:val="18"/>
                <w:szCs w:val="18"/>
                <w:color w:val="0000FF"/>
              </w:rPr>
            </w:pPr>
            <w:hyperlink r:id="rId59">
              <w:r>
                <w:rPr>
                  <w:rFonts w:ascii="Arial" w:cs="Arial" w:eastAsia="Arial" w:hAnsi="Arial"/>
                  <w:sz w:val="18"/>
                  <w:szCs w:val="18"/>
                  <w:color w:val="0000FF"/>
                </w:rPr>
                <w:t>Form of Indemnity Agreement between the Registrant and each of its</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9/20/2018</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59">
              <w:r>
                <w:rPr>
                  <w:rFonts w:ascii="Arial" w:cs="Arial" w:eastAsia="Arial" w:hAnsi="Arial"/>
                  <w:sz w:val="18"/>
                  <w:szCs w:val="18"/>
                  <w:color w:val="0000FF"/>
                  <w:w w:val="90"/>
                </w:rPr>
                <w:t>directors and executive officers.</w:t>
              </w:r>
            </w:hyperlink>
          </w:p>
        </w:tc>
        <w:tc>
          <w:tcPr>
            <w:tcW w:w="2680" w:type="dxa"/>
            <w:vAlign w:val="bottom"/>
            <w:tcBorders>
              <w:top w:val="single" w:sz="8" w:color="0000FF"/>
            </w:tcBorders>
            <w:gridSpan w:val="10"/>
          </w:tcPr>
          <w:p>
            <w:pPr>
              <w:spacing w:after="0"/>
              <w:rPr>
                <w:sz w:val="17"/>
                <w:szCs w:val="17"/>
                <w:color w:val="auto"/>
              </w:rPr>
            </w:pPr>
          </w:p>
        </w:tc>
        <w:tc>
          <w:tcPr>
            <w:tcW w:w="66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21"/>
          </w:tcPr>
          <w:p>
            <w:pPr>
              <w:spacing w:after="0"/>
              <w:rPr>
                <w:rFonts w:ascii="Arial" w:cs="Arial" w:eastAsia="Arial" w:hAnsi="Arial"/>
                <w:sz w:val="18"/>
                <w:szCs w:val="18"/>
                <w:color w:val="0000FF"/>
              </w:rPr>
            </w:pPr>
            <w:hyperlink r:id="rId60">
              <w:r>
                <w:rPr>
                  <w:rFonts w:ascii="Arial" w:cs="Arial" w:eastAsia="Arial" w:hAnsi="Arial"/>
                  <w:sz w:val="18"/>
                  <w:szCs w:val="18"/>
                  <w:color w:val="0000FF"/>
                </w:rPr>
                <w:t>2008 Stock Plan and forms of agreements thereunder.</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top w:val="single" w:sz="8" w:color="0000FF"/>
            </w:tcBorders>
            <w:gridSpan w:val="13"/>
          </w:tcPr>
          <w:p>
            <w:pPr>
              <w:spacing w:after="0"/>
              <w:rPr>
                <w:rFonts w:ascii="Arial" w:cs="Arial" w:eastAsia="Arial" w:hAnsi="Arial"/>
                <w:sz w:val="18"/>
                <w:szCs w:val="18"/>
                <w:color w:val="0000FF"/>
              </w:rPr>
            </w:pPr>
            <w:hyperlink r:id="rId61">
              <w:r>
                <w:rPr>
                  <w:rFonts w:ascii="Arial" w:cs="Arial" w:eastAsia="Arial" w:hAnsi="Arial"/>
                  <w:sz w:val="18"/>
                  <w:szCs w:val="18"/>
                  <w:color w:val="0000FF"/>
                </w:rPr>
                <w:t>2018 Equity Incentive Plan</w:t>
              </w:r>
            </w:hyperlink>
            <w:r>
              <w:rPr>
                <w:rFonts w:ascii="Arial" w:cs="Arial" w:eastAsia="Arial" w:hAnsi="Arial"/>
                <w:sz w:val="18"/>
                <w:szCs w:val="18"/>
                <w:color w:val="0000FF"/>
              </w:rPr>
              <w:t>.</w:t>
            </w:r>
          </w:p>
        </w:tc>
        <w:tc>
          <w:tcPr>
            <w:tcW w:w="1800" w:type="dxa"/>
            <w:vAlign w:val="bottom"/>
            <w:gridSpan w:val="8"/>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21"/>
          </w:tcPr>
          <w:p>
            <w:pPr>
              <w:spacing w:after="0"/>
              <w:rPr>
                <w:rFonts w:ascii="Arial" w:cs="Arial" w:eastAsia="Arial" w:hAnsi="Arial"/>
                <w:sz w:val="18"/>
                <w:szCs w:val="18"/>
                <w:color w:val="0000FF"/>
              </w:rPr>
            </w:pPr>
            <w:hyperlink r:id="rId62">
              <w:r>
                <w:rPr>
                  <w:rFonts w:ascii="Arial" w:cs="Arial" w:eastAsia="Arial" w:hAnsi="Arial"/>
                  <w:sz w:val="18"/>
                  <w:szCs w:val="18"/>
                  <w:color w:val="0000FF"/>
                </w:rPr>
                <w:t>Forms of Stock Option Grant Notice, Option Agreement and Notice of</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8"/>
                <w:szCs w:val="18"/>
                <w:color w:val="auto"/>
                <w:w w:val="91"/>
              </w:rPr>
              <w:t>10.4</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Exercise under the 2018 Equity Incentive Plan.</w:t>
              </w:r>
            </w:hyperlink>
          </w:p>
        </w:tc>
        <w:tc>
          <w:tcPr>
            <w:tcW w:w="5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FF"/>
            </w:tcBorders>
            <w:gridSpan w:val="17"/>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Forms of Restricted Stock Unit Grant Notice and Restricted Stock Unit</w:t>
              </w:r>
            </w:hyperlink>
          </w:p>
        </w:tc>
        <w:tc>
          <w:tcPr>
            <w:tcW w:w="520" w:type="dxa"/>
            <w:vAlign w:val="bottom"/>
            <w:gridSpan w:val="4"/>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21"/>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Award Agreement under the 2018 Equity Incentive Plan.</w:t>
              </w:r>
            </w:hyperlink>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Borders>
              <w:top w:val="single" w:sz="8" w:color="0000FF"/>
            </w:tcBorders>
            <w:gridSpan w:val="14"/>
          </w:tcPr>
          <w:p>
            <w:pPr>
              <w:spacing w:after="0"/>
              <w:rPr>
                <w:rFonts w:ascii="Arial" w:cs="Arial" w:eastAsia="Arial" w:hAnsi="Arial"/>
                <w:sz w:val="18"/>
                <w:szCs w:val="18"/>
                <w:color w:val="0000FF"/>
              </w:rPr>
            </w:pPr>
            <w:hyperlink r:id="rId64">
              <w:r>
                <w:rPr>
                  <w:rFonts w:ascii="Arial" w:cs="Arial" w:eastAsia="Arial" w:hAnsi="Arial"/>
                  <w:sz w:val="18"/>
                  <w:szCs w:val="18"/>
                  <w:color w:val="0000FF"/>
                </w:rPr>
                <w:t>2018 Employee Stock Purchase Plan.</w:t>
              </w:r>
            </w:hyperlink>
          </w:p>
        </w:tc>
        <w:tc>
          <w:tcPr>
            <w:tcW w:w="1560" w:type="dxa"/>
            <w:vAlign w:val="bottom"/>
            <w:gridSpan w:val="7"/>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8"/>
                <w:szCs w:val="18"/>
                <w:color w:val="auto"/>
                <w:w w:val="91"/>
              </w:rPr>
              <w:t>10.6</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10/5/2018</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246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80" w:type="dxa"/>
            <w:vAlign w:val="bottom"/>
          </w:tcPr>
          <w:p>
            <w:pPr>
              <w:ind w:left="2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gridSpan w:val="21"/>
          </w:tcPr>
          <w:p>
            <w:pPr>
              <w:spacing w:after="0"/>
              <w:rPr>
                <w:rFonts w:ascii="Arial" w:cs="Arial" w:eastAsia="Arial" w:hAnsi="Arial"/>
                <w:sz w:val="18"/>
                <w:szCs w:val="18"/>
                <w:color w:val="0000FF"/>
                <w:w w:val="96"/>
              </w:rPr>
            </w:pPr>
            <w:hyperlink r:id="rId65">
              <w:r>
                <w:rPr>
                  <w:rFonts w:ascii="Arial" w:cs="Arial" w:eastAsia="Arial" w:hAnsi="Arial"/>
                  <w:sz w:val="18"/>
                  <w:szCs w:val="18"/>
                  <w:color w:val="0000FF"/>
                  <w:w w:val="96"/>
                </w:rPr>
                <w:t>Quality and Manufacturing Agreement, dated April 18, 2016, between the</w:t>
              </w:r>
            </w:hyperlink>
          </w:p>
        </w:tc>
        <w:tc>
          <w:tcPr>
            <w:tcW w:w="6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40" w:type="dxa"/>
            <w:vAlign w:val="bottom"/>
            <w:gridSpan w:val="2"/>
          </w:tcPr>
          <w:p>
            <w:pPr>
              <w:jc w:val="center"/>
              <w:ind w:left="131"/>
              <w:spacing w:after="0"/>
              <w:rPr>
                <w:sz w:val="20"/>
                <w:szCs w:val="20"/>
                <w:color w:val="auto"/>
              </w:rPr>
            </w:pPr>
            <w:r>
              <w:rPr>
                <w:rFonts w:ascii="Arial" w:cs="Arial" w:eastAsia="Arial" w:hAnsi="Arial"/>
                <w:sz w:val="18"/>
                <w:szCs w:val="18"/>
                <w:color w:val="auto"/>
                <w:w w:val="89"/>
              </w:rPr>
              <w:t>333-227445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12"/>
              <w:spacing w:after="0"/>
              <w:rPr>
                <w:sz w:val="20"/>
                <w:szCs w:val="20"/>
                <w:color w:val="auto"/>
              </w:rPr>
            </w:pPr>
            <w:r>
              <w:rPr>
                <w:rFonts w:ascii="Arial" w:cs="Arial" w:eastAsia="Arial" w:hAnsi="Arial"/>
                <w:sz w:val="18"/>
                <w:szCs w:val="18"/>
                <w:color w:val="auto"/>
                <w:w w:val="91"/>
              </w:rPr>
              <w:t>10.5</w:t>
            </w:r>
          </w:p>
        </w:tc>
        <w:tc>
          <w:tcPr>
            <w:tcW w:w="2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9/20/2018</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top w:val="single" w:sz="8" w:color="0000FF"/>
            </w:tcBorders>
            <w:gridSpan w:val="19"/>
          </w:tcPr>
          <w:p>
            <w:pPr>
              <w:spacing w:after="0" w:line="196"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Registrant and Orchid MPS Holdings, LLC and Addendum No. 1 dated</w:t>
              </w:r>
            </w:hyperlink>
          </w:p>
        </w:tc>
        <w:tc>
          <w:tcPr>
            <w:tcW w:w="32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March 1, 2017.</w:t>
              </w:r>
            </w:hyperlink>
          </w:p>
        </w:tc>
        <w:tc>
          <w:tcPr>
            <w:tcW w:w="5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3900" w:type="dxa"/>
            <w:vAlign w:val="bottom"/>
            <w:gridSpan w:val="14"/>
          </w:tcPr>
          <w:p>
            <w:pPr>
              <w:jc w:val="right"/>
              <w:ind w:right="2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25" w:right="37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gridSpan w:val="2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01"/>
        </w:trPr>
        <w:tc>
          <w:tcPr>
            <w:tcW w:w="1080" w:type="dxa"/>
            <w:vAlign w:val="bottom"/>
          </w:tcPr>
          <w:p>
            <w:pPr>
              <w:ind w:left="180"/>
              <w:spacing w:after="0"/>
              <w:rPr>
                <w:sz w:val="20"/>
                <w:szCs w:val="20"/>
                <w:color w:val="auto"/>
              </w:rPr>
            </w:pPr>
            <w:r>
              <w:rPr>
                <w:rFonts w:ascii="Arial" w:cs="Arial" w:eastAsia="Arial" w:hAnsi="Arial"/>
                <w:sz w:val="18"/>
                <w:szCs w:val="18"/>
                <w:color w:val="auto"/>
              </w:rPr>
              <w:t>10.8#</w:t>
            </w:r>
          </w:p>
        </w:tc>
        <w:tc>
          <w:tcPr>
            <w:tcW w:w="5240" w:type="dxa"/>
            <w:vAlign w:val="bottom"/>
            <w:tcBorders>
              <w:bottom w:val="single" w:sz="8" w:color="0000FF"/>
            </w:tcBorders>
            <w:gridSpan w:val="20"/>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Manufacturing, Quality and Supply Agreement, dated January 31, 2017,</w:t>
              </w:r>
            </w:hyperlink>
          </w:p>
        </w:tc>
        <w:tc>
          <w:tcPr>
            <w:tcW w:w="360" w:type="dxa"/>
            <w:vAlign w:val="bottom"/>
            <w:gridSpan w:val="8"/>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5600" w:type="dxa"/>
            <w:vAlign w:val="bottom"/>
            <w:gridSpan w:val="28"/>
          </w:tcPr>
          <w:p>
            <w:pPr>
              <w:spacing w:after="0" w:line="196"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between the Registrant and rms Company and Addendum No. 1 dated July</w:t>
              </w:r>
            </w:hyperlink>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6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r:id="rId66">
              <w:r>
                <w:rPr>
                  <w:rFonts w:ascii="Arial" w:cs="Arial" w:eastAsia="Arial" w:hAnsi="Arial"/>
                  <w:sz w:val="18"/>
                  <w:szCs w:val="18"/>
                  <w:color w:val="0000FF"/>
                  <w:w w:val="89"/>
                </w:rPr>
                <w:t>7, 2017.</w:t>
              </w:r>
            </w:hyperlink>
          </w:p>
        </w:tc>
        <w:tc>
          <w:tcPr>
            <w:tcW w:w="44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10.9+</w:t>
            </w:r>
          </w:p>
        </w:tc>
        <w:tc>
          <w:tcPr>
            <w:tcW w:w="5400" w:type="dxa"/>
            <w:vAlign w:val="bottom"/>
            <w:tcBorders>
              <w:bottom w:val="single" w:sz="8" w:color="0000FF"/>
            </w:tcBorders>
            <w:gridSpan w:val="26"/>
          </w:tcPr>
          <w:p>
            <w:pPr>
              <w:spacing w:after="0"/>
              <w:rPr>
                <w:rFonts w:ascii="Arial" w:cs="Arial" w:eastAsia="Arial" w:hAnsi="Arial"/>
                <w:sz w:val="18"/>
                <w:szCs w:val="18"/>
                <w:color w:val="0000FF"/>
                <w:w w:val="90"/>
              </w:rPr>
            </w:pPr>
            <w:hyperlink r:id="rId67">
              <w:r>
                <w:rPr>
                  <w:rFonts w:ascii="Arial" w:cs="Arial" w:eastAsia="Arial" w:hAnsi="Arial"/>
                  <w:sz w:val="18"/>
                  <w:szCs w:val="18"/>
                  <w:color w:val="0000FF"/>
                  <w:w w:val="90"/>
                </w:rPr>
                <w:t>Offer Letter Agreement, dated December 15, 2009, between the Registrant</w:t>
              </w:r>
            </w:hyperlink>
          </w:p>
        </w:tc>
        <w:tc>
          <w:tcPr>
            <w:tcW w:w="200" w:type="dxa"/>
            <w:vAlign w:val="bottom"/>
            <w:gridSpan w:val="2"/>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5600" w:type="dxa"/>
            <w:vAlign w:val="bottom"/>
            <w:gridSpan w:val="28"/>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and Jeffrey W. Dunn.</w:t>
              </w:r>
            </w:hyperlink>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10.10+</w:t>
            </w:r>
          </w:p>
        </w:tc>
        <w:tc>
          <w:tcPr>
            <w:tcW w:w="5320" w:type="dxa"/>
            <w:vAlign w:val="bottom"/>
            <w:tcBorders>
              <w:bottom w:val="single" w:sz="8" w:color="0000FF"/>
            </w:tcBorders>
            <w:gridSpan w:val="24"/>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Offer Letter Agreement, dated February 19, 2015, between the Registrant</w:t>
              </w:r>
            </w:hyperlink>
          </w:p>
        </w:tc>
        <w:tc>
          <w:tcPr>
            <w:tcW w:w="280" w:type="dxa"/>
            <w:vAlign w:val="bottom"/>
            <w:gridSpan w:val="4"/>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5600" w:type="dxa"/>
            <w:vAlign w:val="bottom"/>
            <w:gridSpan w:val="28"/>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and Michael A. Pisetsky</w:t>
              </w:r>
            </w:hyperlink>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10.11+</w:t>
            </w:r>
          </w:p>
        </w:tc>
        <w:tc>
          <w:tcPr>
            <w:tcW w:w="5060" w:type="dxa"/>
            <w:vAlign w:val="bottom"/>
            <w:tcBorders>
              <w:bottom w:val="single" w:sz="8" w:color="0000FF"/>
            </w:tcBorders>
            <w:gridSpan w:val="18"/>
          </w:tcPr>
          <w:p>
            <w:pPr>
              <w:spacing w:after="0"/>
              <w:rPr>
                <w:rFonts w:ascii="Arial" w:cs="Arial" w:eastAsia="Arial" w:hAnsi="Arial"/>
                <w:sz w:val="18"/>
                <w:szCs w:val="18"/>
                <w:color w:val="0000FF"/>
                <w:w w:val="89"/>
              </w:rPr>
            </w:pPr>
            <w:hyperlink r:id="rId69">
              <w:r>
                <w:rPr>
                  <w:rFonts w:ascii="Arial" w:cs="Arial" w:eastAsia="Arial" w:hAnsi="Arial"/>
                  <w:sz w:val="18"/>
                  <w:szCs w:val="18"/>
                  <w:color w:val="0000FF"/>
                  <w:w w:val="89"/>
                </w:rPr>
                <w:t>Letter Regarding Change to Employment Terms, dated June 20, 2016,</w:t>
              </w:r>
            </w:hyperlink>
          </w:p>
        </w:tc>
        <w:tc>
          <w:tcPr>
            <w:tcW w:w="540" w:type="dxa"/>
            <w:vAlign w:val="bottom"/>
            <w:gridSpan w:val="10"/>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3500" w:type="dxa"/>
            <w:vAlign w:val="bottom"/>
            <w:tcBorders>
              <w:bottom w:val="single" w:sz="8" w:color="0000FF"/>
            </w:tcBorders>
            <w:gridSpan w:val="1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between the Registrant and Michael A. Pisetsky.</w:t>
              </w:r>
            </w:hyperlink>
          </w:p>
        </w:tc>
        <w:tc>
          <w:tcPr>
            <w:tcW w:w="210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10.12+</w:t>
            </w:r>
          </w:p>
        </w:tc>
        <w:tc>
          <w:tcPr>
            <w:tcW w:w="5340" w:type="dxa"/>
            <w:vAlign w:val="bottom"/>
            <w:tcBorders>
              <w:bottom w:val="single" w:sz="8" w:color="0000FF"/>
            </w:tcBorders>
            <w:gridSpan w:val="25"/>
          </w:tcPr>
          <w:p>
            <w:pPr>
              <w:spacing w:after="0"/>
              <w:rPr>
                <w:rFonts w:ascii="Arial" w:cs="Arial" w:eastAsia="Arial" w:hAnsi="Arial"/>
                <w:sz w:val="18"/>
                <w:szCs w:val="18"/>
                <w:color w:val="0000FF"/>
                <w:w w:val="90"/>
              </w:rPr>
            </w:pPr>
            <w:hyperlink r:id="rId70">
              <w:r>
                <w:rPr>
                  <w:rFonts w:ascii="Arial" w:cs="Arial" w:eastAsia="Arial" w:hAnsi="Arial"/>
                  <w:sz w:val="18"/>
                  <w:szCs w:val="18"/>
                  <w:color w:val="0000FF"/>
                  <w:w w:val="90"/>
                </w:rPr>
                <w:t>Offer Letter Agreement, dated April 27, 2015, between the Registrant and</w:t>
              </w:r>
            </w:hyperlink>
          </w:p>
        </w:tc>
        <w:tc>
          <w:tcPr>
            <w:tcW w:w="260" w:type="dxa"/>
            <w:vAlign w:val="bottom"/>
            <w:gridSpan w:val="3"/>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5600" w:type="dxa"/>
            <w:vAlign w:val="bottom"/>
            <w:gridSpan w:val="28"/>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Laura Francis.</w:t>
              </w:r>
            </w:hyperlink>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10.13+</w:t>
            </w:r>
          </w:p>
        </w:tc>
        <w:tc>
          <w:tcPr>
            <w:tcW w:w="5600" w:type="dxa"/>
            <w:vAlign w:val="bottom"/>
            <w:gridSpan w:val="28"/>
          </w:tcPr>
          <w:p>
            <w:pPr>
              <w:spacing w:after="0"/>
              <w:rPr>
                <w:rFonts w:ascii="Arial" w:cs="Arial" w:eastAsia="Arial" w:hAnsi="Arial"/>
                <w:sz w:val="18"/>
                <w:szCs w:val="18"/>
                <w:color w:val="0000FF"/>
              </w:rPr>
            </w:pPr>
            <w:hyperlink r:id="rId71">
              <w:r>
                <w:rPr>
                  <w:rFonts w:ascii="Arial" w:cs="Arial" w:eastAsia="Arial" w:hAnsi="Arial"/>
                  <w:sz w:val="18"/>
                  <w:szCs w:val="18"/>
                  <w:color w:val="0000FF"/>
                </w:rPr>
                <w:t>Severance and Change in Control Agreement dated March 15, 2016,</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49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1">
              <w:r>
                <w:rPr>
                  <w:rFonts w:ascii="Arial" w:cs="Arial" w:eastAsia="Arial" w:hAnsi="Arial"/>
                  <w:sz w:val="18"/>
                  <w:szCs w:val="18"/>
                  <w:color w:val="0000FF"/>
                </w:rPr>
                <w:t>between the Registrant and Laura Francis.</w:t>
              </w:r>
            </w:hyperlink>
          </w:p>
        </w:tc>
        <w:tc>
          <w:tcPr>
            <w:tcW w:w="660" w:type="dxa"/>
            <w:vAlign w:val="bottom"/>
            <w:gridSpan w:val="12"/>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10.14+</w:t>
            </w:r>
          </w:p>
        </w:tc>
        <w:tc>
          <w:tcPr>
            <w:tcW w:w="5600" w:type="dxa"/>
            <w:vAlign w:val="bottom"/>
            <w:gridSpan w:val="28"/>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Amended and Restated Letter Agreement, dated March 1, 2017, between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526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the Registrant and Laura Francis.</w:t>
              </w:r>
            </w:hyperlink>
          </w:p>
        </w:tc>
        <w:tc>
          <w:tcPr>
            <w:tcW w:w="340" w:type="dxa"/>
            <w:vAlign w:val="bottom"/>
            <w:gridSpan w:val="7"/>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10.15+</w:t>
            </w:r>
          </w:p>
        </w:tc>
        <w:tc>
          <w:tcPr>
            <w:tcW w:w="5220" w:type="dxa"/>
            <w:vAlign w:val="bottom"/>
            <w:tcBorders>
              <w:bottom w:val="single" w:sz="8" w:color="0000FF"/>
            </w:tcBorders>
            <w:gridSpan w:val="19"/>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Offer Letter Agreement, dated February 7, 2012, between the Registrant</w:t>
              </w:r>
            </w:hyperlink>
          </w:p>
        </w:tc>
        <w:tc>
          <w:tcPr>
            <w:tcW w:w="380" w:type="dxa"/>
            <w:vAlign w:val="bottom"/>
            <w:gridSpan w:val="9"/>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18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and W. Carlton Reckling.</w:t>
              </w:r>
            </w:hyperlink>
          </w:p>
        </w:tc>
        <w:tc>
          <w:tcPr>
            <w:tcW w:w="3760" w:type="dxa"/>
            <w:vAlign w:val="bottom"/>
            <w:gridSpan w:val="19"/>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10.16+</w:t>
            </w:r>
          </w:p>
        </w:tc>
        <w:tc>
          <w:tcPr>
            <w:tcW w:w="5600" w:type="dxa"/>
            <w:vAlign w:val="bottom"/>
            <w:gridSpan w:val="28"/>
          </w:tcPr>
          <w:p>
            <w:pPr>
              <w:spacing w:after="0"/>
              <w:rPr>
                <w:rFonts w:ascii="Arial" w:cs="Arial" w:eastAsia="Arial" w:hAnsi="Arial"/>
                <w:sz w:val="18"/>
                <w:szCs w:val="18"/>
                <w:color w:val="0000FF"/>
              </w:rPr>
            </w:pPr>
            <w:hyperlink r:id="rId74">
              <w:r>
                <w:rPr>
                  <w:rFonts w:ascii="Arial" w:cs="Arial" w:eastAsia="Arial" w:hAnsi="Arial"/>
                  <w:sz w:val="18"/>
                  <w:szCs w:val="18"/>
                  <w:color w:val="0000FF"/>
                </w:rPr>
                <w:t>Severance and Change in Control Agreement, dated March 15, 2016,</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354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74">
              <w:r>
                <w:rPr>
                  <w:rFonts w:ascii="Arial" w:cs="Arial" w:eastAsia="Arial" w:hAnsi="Arial"/>
                  <w:sz w:val="18"/>
                  <w:szCs w:val="18"/>
                  <w:color w:val="0000FF"/>
                  <w:w w:val="90"/>
                </w:rPr>
                <w:t>between the Registrant and W. Carlton Reckling.</w:t>
              </w:r>
            </w:hyperlink>
          </w:p>
        </w:tc>
        <w:tc>
          <w:tcPr>
            <w:tcW w:w="1440" w:type="dxa"/>
            <w:vAlign w:val="bottom"/>
            <w:tcBorders>
              <w:top w:val="single" w:sz="8" w:color="0000FF"/>
            </w:tcBorders>
            <w:gridSpan w:val="3"/>
          </w:tcPr>
          <w:p>
            <w:pPr>
              <w:spacing w:after="0"/>
              <w:rPr>
                <w:sz w:val="17"/>
                <w:szCs w:val="17"/>
                <w:color w:val="auto"/>
              </w:rPr>
            </w:pPr>
          </w:p>
        </w:tc>
        <w:tc>
          <w:tcPr>
            <w:tcW w:w="62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10.17+</w:t>
            </w:r>
          </w:p>
        </w:tc>
        <w:tc>
          <w:tcPr>
            <w:tcW w:w="5600" w:type="dxa"/>
            <w:vAlign w:val="bottom"/>
            <w:gridSpan w:val="28"/>
          </w:tcPr>
          <w:p>
            <w:pPr>
              <w:spacing w:after="0"/>
              <w:rPr>
                <w:rFonts w:ascii="Arial" w:cs="Arial" w:eastAsia="Arial" w:hAnsi="Arial"/>
                <w:sz w:val="18"/>
                <w:szCs w:val="18"/>
                <w:color w:val="0000FF"/>
                <w:w w:val="93"/>
              </w:rPr>
            </w:pPr>
            <w:hyperlink r:id="rId75">
              <w:r>
                <w:rPr>
                  <w:rFonts w:ascii="Arial" w:cs="Arial" w:eastAsia="Arial" w:hAnsi="Arial"/>
                  <w:sz w:val="18"/>
                  <w:szCs w:val="18"/>
                  <w:color w:val="0000FF"/>
                  <w:w w:val="93"/>
                </w:rPr>
                <w:t>Letter Agreement, dated January 18, 2017, between the Registrant and W.</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532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Carlton Reckling.</w:t>
              </w:r>
            </w:hyperlink>
          </w:p>
        </w:tc>
        <w:tc>
          <w:tcPr>
            <w:tcW w:w="28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10.18+</w:t>
            </w:r>
          </w:p>
        </w:tc>
        <w:tc>
          <w:tcPr>
            <w:tcW w:w="5400" w:type="dxa"/>
            <w:vAlign w:val="bottom"/>
            <w:tcBorders>
              <w:bottom w:val="single" w:sz="8" w:color="0000FF"/>
            </w:tcBorders>
            <w:gridSpan w:val="26"/>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Offer Letter Agreement, dated December 16, 2010, between the Registrant</w:t>
              </w:r>
            </w:hyperlink>
          </w:p>
        </w:tc>
        <w:tc>
          <w:tcPr>
            <w:tcW w:w="200" w:type="dxa"/>
            <w:vAlign w:val="bottom"/>
            <w:gridSpan w:val="2"/>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142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76">
              <w:r>
                <w:rPr>
                  <w:rFonts w:ascii="Arial" w:cs="Arial" w:eastAsia="Arial" w:hAnsi="Arial"/>
                  <w:sz w:val="18"/>
                  <w:szCs w:val="18"/>
                  <w:color w:val="0000FF"/>
                  <w:w w:val="90"/>
                </w:rPr>
                <w:t>and Scott A. Yerby.</w:t>
              </w:r>
            </w:hyperlink>
          </w:p>
        </w:tc>
        <w:tc>
          <w:tcPr>
            <w:tcW w:w="4180" w:type="dxa"/>
            <w:vAlign w:val="bottom"/>
            <w:gridSpan w:val="23"/>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10.19+</w:t>
            </w:r>
          </w:p>
        </w:tc>
        <w:tc>
          <w:tcPr>
            <w:tcW w:w="5600" w:type="dxa"/>
            <w:vAlign w:val="bottom"/>
            <w:gridSpan w:val="28"/>
          </w:tcPr>
          <w:p>
            <w:pPr>
              <w:spacing w:after="0"/>
              <w:rPr>
                <w:rFonts w:ascii="Arial" w:cs="Arial" w:eastAsia="Arial" w:hAnsi="Arial"/>
                <w:sz w:val="18"/>
                <w:szCs w:val="18"/>
                <w:color w:val="0000FF"/>
              </w:rPr>
            </w:pPr>
            <w:hyperlink r:id="rId77">
              <w:r>
                <w:rPr>
                  <w:rFonts w:ascii="Arial" w:cs="Arial" w:eastAsia="Arial" w:hAnsi="Arial"/>
                  <w:sz w:val="18"/>
                  <w:szCs w:val="18"/>
                  <w:color w:val="0000FF"/>
                </w:rPr>
                <w:t>Severance and Change in Control Agreement dated March 15, 2016,</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49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between the Registrant and Scott A. Yerby.</w:t>
              </w:r>
            </w:hyperlink>
          </w:p>
        </w:tc>
        <w:tc>
          <w:tcPr>
            <w:tcW w:w="660" w:type="dxa"/>
            <w:vAlign w:val="bottom"/>
            <w:gridSpan w:val="12"/>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10.20+</w:t>
            </w:r>
          </w:p>
        </w:tc>
        <w:tc>
          <w:tcPr>
            <w:tcW w:w="5300" w:type="dxa"/>
            <w:vAlign w:val="bottom"/>
            <w:tcBorders>
              <w:bottom w:val="single" w:sz="8" w:color="0000FF"/>
            </w:tcBorders>
            <w:gridSpan w:val="23"/>
          </w:tcPr>
          <w:p>
            <w:pPr>
              <w:spacing w:after="0"/>
              <w:rPr>
                <w:rFonts w:ascii="Arial" w:cs="Arial" w:eastAsia="Arial" w:hAnsi="Arial"/>
                <w:sz w:val="18"/>
                <w:szCs w:val="18"/>
                <w:color w:val="0000FF"/>
                <w:w w:val="89"/>
              </w:rPr>
            </w:pPr>
            <w:hyperlink r:id="rId78">
              <w:r>
                <w:rPr>
                  <w:rFonts w:ascii="Arial" w:cs="Arial" w:eastAsia="Arial" w:hAnsi="Arial"/>
                  <w:sz w:val="18"/>
                  <w:szCs w:val="18"/>
                  <w:color w:val="0000FF"/>
                  <w:w w:val="89"/>
                </w:rPr>
                <w:t>Offer Letter Agreement, dated June 19, 2016, between the Registrant and</w:t>
              </w:r>
            </w:hyperlink>
          </w:p>
        </w:tc>
        <w:tc>
          <w:tcPr>
            <w:tcW w:w="300" w:type="dxa"/>
            <w:vAlign w:val="bottom"/>
            <w:gridSpan w:val="5"/>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196"/>
        </w:trPr>
        <w:tc>
          <w:tcPr>
            <w:tcW w:w="1080" w:type="dxa"/>
            <w:vAlign w:val="bottom"/>
          </w:tcPr>
          <w:p>
            <w:pPr>
              <w:spacing w:after="0"/>
              <w:rPr>
                <w:sz w:val="17"/>
                <w:szCs w:val="17"/>
                <w:color w:val="auto"/>
              </w:rPr>
            </w:pPr>
          </w:p>
        </w:tc>
        <w:tc>
          <w:tcPr>
            <w:tcW w:w="15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Anthony J. Recupero.</w:t>
              </w:r>
            </w:hyperlink>
          </w:p>
        </w:tc>
        <w:tc>
          <w:tcPr>
            <w:tcW w:w="4020" w:type="dxa"/>
            <w:vAlign w:val="bottom"/>
            <w:gridSpan w:val="21"/>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47"/>
        </w:trPr>
        <w:tc>
          <w:tcPr>
            <w:tcW w:w="1080" w:type="dxa"/>
            <w:vAlign w:val="bottom"/>
          </w:tcPr>
          <w:p>
            <w:pPr>
              <w:ind w:left="180"/>
              <w:spacing w:after="0"/>
              <w:rPr>
                <w:sz w:val="20"/>
                <w:szCs w:val="20"/>
                <w:color w:val="auto"/>
              </w:rPr>
            </w:pPr>
            <w:r>
              <w:rPr>
                <w:rFonts w:ascii="Arial" w:cs="Arial" w:eastAsia="Arial" w:hAnsi="Arial"/>
                <w:sz w:val="18"/>
                <w:szCs w:val="18"/>
                <w:color w:val="auto"/>
              </w:rPr>
              <w:t>10.21</w:t>
            </w:r>
          </w:p>
        </w:tc>
        <w:tc>
          <w:tcPr>
            <w:tcW w:w="5600" w:type="dxa"/>
            <w:vAlign w:val="bottom"/>
            <w:gridSpan w:val="28"/>
          </w:tcPr>
          <w:p>
            <w:pPr>
              <w:spacing w:after="0"/>
              <w:rPr>
                <w:rFonts w:ascii="Arial" w:cs="Arial" w:eastAsia="Arial" w:hAnsi="Arial"/>
                <w:sz w:val="18"/>
                <w:szCs w:val="18"/>
                <w:color w:val="0000FF"/>
                <w:w w:val="94"/>
              </w:rPr>
            </w:pPr>
            <w:hyperlink r:id="rId79">
              <w:r>
                <w:rPr>
                  <w:rFonts w:ascii="Arial" w:cs="Arial" w:eastAsia="Arial" w:hAnsi="Arial"/>
                  <w:sz w:val="18"/>
                  <w:szCs w:val="18"/>
                  <w:color w:val="0000FF"/>
                  <w:w w:val="94"/>
                </w:rPr>
                <w:t>Amended and Restated Investors’ Rights Agreement, dated June 2, 2016,</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40" w:type="dxa"/>
            <w:vAlign w:val="bottom"/>
          </w:tcPr>
          <w:p>
            <w:pPr>
              <w:jc w:val="right"/>
              <w:spacing w:after="0"/>
              <w:rPr>
                <w:sz w:val="20"/>
                <w:szCs w:val="20"/>
                <w:color w:val="auto"/>
              </w:rPr>
            </w:pPr>
            <w:r>
              <w:rPr>
                <w:rFonts w:ascii="Arial" w:cs="Arial" w:eastAsia="Arial" w:hAnsi="Arial"/>
                <w:sz w:val="18"/>
                <w:szCs w:val="18"/>
                <w:color w:val="auto"/>
              </w:rPr>
              <w:t>10/5/2018</w:t>
            </w:r>
          </w:p>
        </w:tc>
      </w:tr>
      <w:tr>
        <w:trPr>
          <w:trHeight w:val="196"/>
        </w:trPr>
        <w:tc>
          <w:tcPr>
            <w:tcW w:w="1080" w:type="dxa"/>
            <w:vAlign w:val="bottom"/>
          </w:tcPr>
          <w:p>
            <w:pPr>
              <w:spacing w:after="0"/>
              <w:rPr>
                <w:sz w:val="17"/>
                <w:szCs w:val="17"/>
                <w:color w:val="auto"/>
              </w:rPr>
            </w:pPr>
          </w:p>
        </w:tc>
        <w:tc>
          <w:tcPr>
            <w:tcW w:w="48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88"/>
              </w:rPr>
            </w:pPr>
            <w:hyperlink r:id="rId79">
              <w:r>
                <w:rPr>
                  <w:rFonts w:ascii="Arial" w:cs="Arial" w:eastAsia="Arial" w:hAnsi="Arial"/>
                  <w:sz w:val="18"/>
                  <w:szCs w:val="18"/>
                  <w:color w:val="0000FF"/>
                  <w:w w:val="88"/>
                </w:rPr>
                <w:t>by and among the Registrant and the parties thereto, as amended on</w:t>
              </w:r>
            </w:hyperlink>
          </w:p>
        </w:tc>
        <w:tc>
          <w:tcPr>
            <w:tcW w:w="400" w:type="dxa"/>
            <w:vAlign w:val="bottom"/>
            <w:tcBorders>
              <w:top w:val="single" w:sz="8" w:color="0000FF"/>
            </w:tcBorders>
            <w:gridSpan w:val="7"/>
          </w:tcPr>
          <w:p>
            <w:pPr>
              <w:spacing w:after="0"/>
              <w:rPr>
                <w:sz w:val="17"/>
                <w:szCs w:val="17"/>
                <w:color w:val="auto"/>
              </w:rPr>
            </w:pPr>
          </w:p>
        </w:tc>
        <w:tc>
          <w:tcPr>
            <w:tcW w:w="32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79">
              <w:r>
                <w:rPr>
                  <w:rFonts w:ascii="Arial" w:cs="Arial" w:eastAsia="Arial" w:hAnsi="Arial"/>
                  <w:sz w:val="18"/>
                  <w:szCs w:val="18"/>
                  <w:color w:val="0000FF"/>
                  <w:w w:val="92"/>
                </w:rPr>
                <w:t>October 4, 2018.</w:t>
              </w:r>
            </w:hyperlink>
          </w:p>
        </w:tc>
        <w:tc>
          <w:tcPr>
            <w:tcW w:w="4320" w:type="dxa"/>
            <w:vAlign w:val="bottom"/>
            <w:gridSpan w:val="24"/>
          </w:tcPr>
          <w:p>
            <w:pPr>
              <w:spacing w:after="0"/>
              <w:rPr>
                <w:sz w:val="17"/>
                <w:szCs w:val="17"/>
                <w:color w:val="auto"/>
              </w:rPr>
            </w:pPr>
          </w:p>
        </w:tc>
        <w:tc>
          <w:tcPr>
            <w:tcW w:w="8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020"/>
          </w:cols>
          <w:pgMar w:left="240" w:top="108" w:right="639" w:bottom="904" w:gutter="0" w:footer="0" w:header="0"/>
        </w:sectPr>
      </w:pPr>
    </w:p>
    <w:p>
      <w:pPr>
        <w:spacing w:after="0" w:line="164" w:lineRule="exact"/>
        <w:rPr>
          <w:sz w:val="20"/>
          <w:szCs w:val="20"/>
          <w:color w:val="auto"/>
        </w:rPr>
      </w:pPr>
    </w:p>
    <w:p>
      <w:pPr>
        <w:ind w:left="1080" w:right="20" w:hanging="917"/>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10.22</w:t>
      </w:r>
      <w:r>
        <w:rPr>
          <w:sz w:val="20"/>
          <w:szCs w:val="20"/>
          <w:color w:val="auto"/>
        </w:rPr>
        <w:tab/>
      </w:r>
      <w:hyperlink r:id="rId80">
        <w:r>
          <w:rPr>
            <w:rFonts w:ascii="Arial" w:cs="Arial" w:eastAsia="Arial" w:hAnsi="Arial"/>
            <w:sz w:val="16"/>
            <w:szCs w:val="16"/>
            <w:u w:val="single" w:color="auto"/>
            <w:color w:val="0000FF"/>
          </w:rPr>
          <w:t>Loan Agreement, dated October 13, 2017, between the Registrant and</w:t>
        </w:r>
      </w:hyperlink>
      <w:r>
        <w:rPr>
          <w:rFonts w:ascii="Arial" w:cs="Arial" w:eastAsia="Arial" w:hAnsi="Arial"/>
          <w:sz w:val="16"/>
          <w:szCs w:val="16"/>
          <w:u w:val="single" w:color="auto"/>
          <w:color w:val="0000FF"/>
        </w:rPr>
        <w:t xml:space="preserve"> </w:t>
      </w:r>
      <w:hyperlink r:id="rId80">
        <w:r>
          <w:rPr>
            <w:rFonts w:ascii="Arial" w:cs="Arial" w:eastAsia="Arial" w:hAnsi="Arial"/>
            <w:sz w:val="16"/>
            <w:szCs w:val="16"/>
            <w:u w:val="single" w:color="auto"/>
            <w:color w:val="0000FF"/>
          </w:rPr>
          <w:t>Biopharma Credit Investments IV Sub LP, as amended on June 15, 2018.</w:t>
        </w:r>
      </w:hyperlink>
    </w:p>
    <w:p>
      <w:pPr>
        <w:spacing w:after="0" w:line="259" w:lineRule="exact"/>
        <w:rPr>
          <w:sz w:val="20"/>
          <w:szCs w:val="20"/>
          <w:color w:val="auto"/>
        </w:rPr>
      </w:pPr>
    </w:p>
    <w:p>
      <w:pPr>
        <w:ind w:left="1080" w:hanging="917"/>
        <w:spacing w:after="0" w:line="34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10.23</w:t>
      </w:r>
      <w:r>
        <w:rPr>
          <w:sz w:val="20"/>
          <w:szCs w:val="20"/>
          <w:color w:val="auto"/>
        </w:rPr>
        <w:tab/>
      </w:r>
      <w:hyperlink r:id="rId81">
        <w:r>
          <w:rPr>
            <w:rFonts w:ascii="Arial" w:cs="Arial" w:eastAsia="Arial" w:hAnsi="Arial"/>
            <w:sz w:val="16"/>
            <w:szCs w:val="16"/>
            <w:u w:val="single" w:color="auto"/>
            <w:color w:val="0000FF"/>
          </w:rPr>
          <w:t>Office Lease Agreement, dated February 2, 2018, between the Registrant</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and Bixby SPE Finance 11, LLC, as amended on April 16, 2018.</w:t>
        </w:r>
      </w:hyperlink>
    </w:p>
    <w:p>
      <w:pPr>
        <w:spacing w:after="0" w:line="259" w:lineRule="exact"/>
        <w:rPr>
          <w:sz w:val="20"/>
          <w:szCs w:val="20"/>
          <w:color w:val="auto"/>
        </w:rPr>
      </w:pPr>
    </w:p>
    <w:p>
      <w:pPr>
        <w:ind w:left="1080" w:right="600" w:hanging="917"/>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82">
        <w:r>
          <w:rPr>
            <w:rFonts w:ascii="Arial" w:cs="Arial" w:eastAsia="Arial" w:hAnsi="Arial"/>
            <w:sz w:val="18"/>
            <w:szCs w:val="18"/>
            <w:u w:val="single" w:color="auto"/>
            <w:color w:val="0000FF"/>
          </w:rPr>
          <w:t>Form of Warrant to Purchase Common Stock issued to Westriver</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Mezzanine Loans, LLC.</w:t>
        </w:r>
      </w:hyperlink>
    </w:p>
    <w:p>
      <w:pPr>
        <w:spacing w:after="0" w:line="306" w:lineRule="exact"/>
        <w:rPr>
          <w:sz w:val="20"/>
          <w:szCs w:val="20"/>
          <w:color w:val="auto"/>
        </w:rPr>
      </w:pPr>
    </w:p>
    <w:p>
      <w:pPr>
        <w:ind w:left="1080" w:right="280" w:hanging="917"/>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83">
        <w:r>
          <w:rPr>
            <w:rFonts w:ascii="Arial" w:cs="Arial" w:eastAsia="Arial" w:hAnsi="Arial"/>
            <w:sz w:val="18"/>
            <w:szCs w:val="18"/>
            <w:u w:val="single" w:color="auto"/>
            <w:color w:val="0000FF"/>
          </w:rPr>
          <w:t>Form of Warrant to Purchase Common Stock issued to Silicon Valley</w:t>
        </w:r>
      </w:hyperlink>
      <w:r>
        <w:rPr>
          <w:rFonts w:ascii="Arial" w:cs="Arial" w:eastAsia="Arial" w:hAnsi="Arial"/>
          <w:sz w:val="18"/>
          <w:szCs w:val="18"/>
          <w:u w:val="single" w:color="auto"/>
          <w:color w:val="0000FF"/>
        </w:rPr>
        <w:t xml:space="preserve"> </w:t>
      </w:r>
      <w:hyperlink r:id="rId83">
        <w:r>
          <w:rPr>
            <w:rFonts w:ascii="Arial" w:cs="Arial" w:eastAsia="Arial" w:hAnsi="Arial"/>
            <w:sz w:val="18"/>
            <w:szCs w:val="18"/>
            <w:u w:val="single" w:color="auto"/>
            <w:color w:val="0000FF"/>
          </w:rPr>
          <w:t>Bank.</w:t>
        </w:r>
      </w:hyperlink>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10.20</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783"/>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10.21</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783"/>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10.22</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783"/>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10.23</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bl>
    <w:p>
      <w:pPr>
        <w:spacing w:after="0" w:line="447" w:lineRule="exact"/>
        <w:rPr>
          <w:sz w:val="20"/>
          <w:szCs w:val="20"/>
          <w:color w:val="auto"/>
        </w:rPr>
      </w:pPr>
    </w:p>
    <w:p>
      <w:pPr>
        <w:sectPr>
          <w:pgSz w:w="11900" w:h="16838" w:orient="portrait"/>
          <w:cols w:equalWidth="0" w:num="2">
            <w:col w:w="6360" w:space="600"/>
            <w:col w:w="4060"/>
          </w:cols>
          <w:pgMar w:left="240" w:top="108" w:right="639" w:bottom="904" w:gutter="0" w:footer="0" w:header="0"/>
          <w:type w:val="continuous"/>
        </w:sectPr>
      </w:pPr>
    </w:p>
    <w:p>
      <w:pPr>
        <w:spacing w:after="0" w:line="24"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020"/>
          </w:cols>
          <w:pgMar w:left="240" w:top="108" w:right="639" w:bottom="904" w:gutter="0" w:footer="0" w:header="0"/>
          <w:type w:val="continuous"/>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10.26</w:t>
            </w:r>
          </w:p>
        </w:tc>
        <w:tc>
          <w:tcPr>
            <w:tcW w:w="5000" w:type="dxa"/>
            <w:vAlign w:val="bottom"/>
            <w:tcBorders>
              <w:bottom w:val="single" w:sz="8" w:color="0000FF"/>
            </w:tcBorders>
            <w:gridSpan w:val="18"/>
          </w:tcPr>
          <w:p>
            <w:pPr>
              <w:spacing w:after="0"/>
              <w:rPr>
                <w:rFonts w:ascii="Arial" w:cs="Arial" w:eastAsia="Arial" w:hAnsi="Arial"/>
                <w:sz w:val="18"/>
                <w:szCs w:val="18"/>
                <w:color w:val="0000FF"/>
                <w:w w:val="89"/>
              </w:rPr>
            </w:pPr>
            <w:hyperlink r:id="rId84">
              <w:r>
                <w:rPr>
                  <w:rFonts w:ascii="Arial" w:cs="Arial" w:eastAsia="Arial" w:hAnsi="Arial"/>
                  <w:sz w:val="18"/>
                  <w:szCs w:val="18"/>
                  <w:color w:val="0000FF"/>
                  <w:w w:val="89"/>
                </w:rPr>
                <w:t>Warrant to Purchase Series 5 Preferred Stock issued to Silicon Valley</w:t>
              </w:r>
            </w:hyperlink>
          </w:p>
        </w:tc>
        <w:tc>
          <w:tcPr>
            <w:tcW w:w="160" w:type="dxa"/>
            <w:vAlign w:val="bottom"/>
            <w:gridSpan w:val="2"/>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160" w:type="dxa"/>
            <w:vAlign w:val="bottom"/>
            <w:gridSpan w:val="20"/>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Bank dated July 17, 2013.</w:t>
              </w:r>
            </w:hyperlink>
          </w:p>
        </w:tc>
      </w:tr>
      <w:tr>
        <w:trPr>
          <w:trHeight w:val="20"/>
        </w:trPr>
        <w:tc>
          <w:tcPr>
            <w:tcW w:w="9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10.27</w:t>
            </w:r>
          </w:p>
        </w:tc>
        <w:tc>
          <w:tcPr>
            <w:tcW w:w="5000" w:type="dxa"/>
            <w:vAlign w:val="bottom"/>
            <w:tcBorders>
              <w:bottom w:val="single" w:sz="8" w:color="0000FF"/>
            </w:tcBorders>
            <w:gridSpan w:val="18"/>
          </w:tcPr>
          <w:p>
            <w:pPr>
              <w:spacing w:after="0"/>
              <w:rPr>
                <w:rFonts w:ascii="Arial" w:cs="Arial" w:eastAsia="Arial" w:hAnsi="Arial"/>
                <w:sz w:val="18"/>
                <w:szCs w:val="18"/>
                <w:color w:val="0000FF"/>
                <w:w w:val="89"/>
              </w:rPr>
            </w:pPr>
            <w:hyperlink r:id="rId85">
              <w:r>
                <w:rPr>
                  <w:rFonts w:ascii="Arial" w:cs="Arial" w:eastAsia="Arial" w:hAnsi="Arial"/>
                  <w:sz w:val="18"/>
                  <w:szCs w:val="18"/>
                  <w:color w:val="0000FF"/>
                  <w:w w:val="89"/>
                </w:rPr>
                <w:t>Warrant to Purchase Series 6 Preferred Stock issued to Silicon Valley</w:t>
              </w:r>
            </w:hyperlink>
          </w:p>
        </w:tc>
        <w:tc>
          <w:tcPr>
            <w:tcW w:w="160" w:type="dxa"/>
            <w:vAlign w:val="bottom"/>
            <w:gridSpan w:val="2"/>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5160" w:type="dxa"/>
            <w:vAlign w:val="bottom"/>
            <w:gridSpan w:val="20"/>
          </w:tcPr>
          <w:p>
            <w:pPr>
              <w:spacing w:after="0" w:line="196" w:lineRule="exact"/>
              <w:rPr>
                <w:rFonts w:ascii="Arial" w:cs="Arial" w:eastAsia="Arial" w:hAnsi="Arial"/>
                <w:sz w:val="18"/>
                <w:szCs w:val="18"/>
                <w:color w:val="0000FF"/>
              </w:rPr>
            </w:pPr>
            <w:hyperlink r:id="rId85">
              <w:r>
                <w:rPr>
                  <w:rFonts w:ascii="Arial" w:cs="Arial" w:eastAsia="Arial" w:hAnsi="Arial"/>
                  <w:sz w:val="18"/>
                  <w:szCs w:val="18"/>
                  <w:color w:val="0000FF"/>
                </w:rPr>
                <w:t>Bank dated November 26, 2014.</w:t>
              </w:r>
            </w:hyperlink>
          </w:p>
        </w:tc>
      </w:tr>
      <w:tr>
        <w:trPr>
          <w:trHeight w:val="20"/>
        </w:trPr>
        <w:tc>
          <w:tcPr>
            <w:tcW w:w="94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10.28</w:t>
            </w:r>
          </w:p>
        </w:tc>
        <w:tc>
          <w:tcPr>
            <w:tcW w:w="5120" w:type="dxa"/>
            <w:vAlign w:val="bottom"/>
            <w:tcBorders>
              <w:bottom w:val="single" w:sz="8" w:color="0000FF"/>
            </w:tcBorders>
            <w:gridSpan w:val="19"/>
          </w:tcPr>
          <w:p>
            <w:pPr>
              <w:spacing w:after="0"/>
              <w:rPr>
                <w:rFonts w:ascii="Arial" w:cs="Arial" w:eastAsia="Arial" w:hAnsi="Arial"/>
                <w:sz w:val="18"/>
                <w:szCs w:val="18"/>
                <w:color w:val="0000FF"/>
                <w:w w:val="89"/>
              </w:rPr>
            </w:pPr>
            <w:hyperlink r:id="rId86">
              <w:r>
                <w:rPr>
                  <w:rFonts w:ascii="Arial" w:cs="Arial" w:eastAsia="Arial" w:hAnsi="Arial"/>
                  <w:sz w:val="18"/>
                  <w:szCs w:val="18"/>
                  <w:color w:val="0000FF"/>
                  <w:w w:val="89"/>
                </w:rPr>
                <w:t>Form of Warrant to Purchase Series 6 Preferred Stock issued to Silicon</w:t>
              </w:r>
            </w:hyperlink>
          </w:p>
        </w:tc>
        <w:tc>
          <w:tcPr>
            <w:tcW w:w="4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94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86">
              <w:r>
                <w:rPr>
                  <w:rFonts w:ascii="Arial" w:cs="Arial" w:eastAsia="Arial" w:hAnsi="Arial"/>
                  <w:sz w:val="18"/>
                  <w:szCs w:val="18"/>
                  <w:color w:val="0000FF"/>
                  <w:w w:val="91"/>
                </w:rPr>
                <w:t>Valley Bank.</w:t>
              </w:r>
            </w:hyperlink>
          </w:p>
        </w:tc>
        <w:tc>
          <w:tcPr>
            <w:tcW w:w="4220" w:type="dxa"/>
            <w:vAlign w:val="bottom"/>
            <w:gridSpan w:val="19"/>
          </w:tcPr>
          <w:p>
            <w:pPr>
              <w:spacing w:after="0"/>
              <w:rPr>
                <w:sz w:val="17"/>
                <w:szCs w:val="17"/>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10.29</w:t>
            </w:r>
          </w:p>
        </w:tc>
        <w:tc>
          <w:tcPr>
            <w:tcW w:w="5160" w:type="dxa"/>
            <w:vAlign w:val="bottom"/>
            <w:gridSpan w:val="20"/>
          </w:tcPr>
          <w:p>
            <w:pPr>
              <w:spacing w:after="0"/>
              <w:rPr>
                <w:rFonts w:ascii="Arial" w:cs="Arial" w:eastAsia="Arial" w:hAnsi="Arial"/>
                <w:sz w:val="18"/>
                <w:szCs w:val="18"/>
                <w:color w:val="0000FF"/>
                <w:w w:val="90"/>
              </w:rPr>
            </w:pPr>
            <w:hyperlink r:id="rId87">
              <w:r>
                <w:rPr>
                  <w:rFonts w:ascii="Arial" w:cs="Arial" w:eastAsia="Arial" w:hAnsi="Arial"/>
                  <w:sz w:val="18"/>
                  <w:szCs w:val="18"/>
                  <w:color w:val="0000FF"/>
                  <w:w w:val="90"/>
                </w:rPr>
                <w:t>Form of Warrant to Purchase Series 6 Preferred Stock issued to Oxford</w:t>
              </w:r>
            </w:hyperlink>
          </w:p>
        </w:tc>
      </w:tr>
      <w:tr>
        <w:trPr>
          <w:trHeight w:val="196"/>
        </w:trPr>
        <w:tc>
          <w:tcPr>
            <w:tcW w:w="940" w:type="dxa"/>
            <w:vAlign w:val="bottom"/>
          </w:tcPr>
          <w:p>
            <w:pPr>
              <w:spacing w:after="0"/>
              <w:rPr>
                <w:sz w:val="17"/>
                <w:szCs w:val="17"/>
                <w:color w:val="auto"/>
              </w:rPr>
            </w:pPr>
          </w:p>
        </w:tc>
        <w:tc>
          <w:tcPr>
            <w:tcW w:w="10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2"/>
              </w:rPr>
            </w:pPr>
            <w:hyperlink r:id="rId87">
              <w:r>
                <w:rPr>
                  <w:rFonts w:ascii="Arial" w:cs="Arial" w:eastAsia="Arial" w:hAnsi="Arial"/>
                  <w:sz w:val="18"/>
                  <w:szCs w:val="18"/>
                  <w:color w:val="0000FF"/>
                  <w:w w:val="92"/>
                </w:rPr>
                <w:t>Finance, LLC.</w:t>
              </w:r>
            </w:hyperlink>
          </w:p>
        </w:tc>
        <w:tc>
          <w:tcPr>
            <w:tcW w:w="4060" w:type="dxa"/>
            <w:vAlign w:val="bottom"/>
            <w:tcBorders>
              <w:top w:val="single" w:sz="8" w:color="0000FF"/>
            </w:tcBorders>
            <w:gridSpan w:val="17"/>
          </w:tcPr>
          <w:p>
            <w:pPr>
              <w:spacing w:after="0"/>
              <w:rPr>
                <w:sz w:val="17"/>
                <w:szCs w:val="17"/>
                <w:color w:val="auto"/>
              </w:rPr>
            </w:pPr>
          </w:p>
        </w:tc>
        <w:tc>
          <w:tcPr>
            <w:tcW w:w="40" w:type="dxa"/>
            <w:vAlign w:val="bottom"/>
          </w:tcPr>
          <w:p>
            <w:pPr>
              <w:spacing w:after="0"/>
              <w:rPr>
                <w:sz w:val="17"/>
                <w:szCs w:val="17"/>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5160" w:type="dxa"/>
            <w:vAlign w:val="bottom"/>
            <w:tcBorders>
              <w:bottom w:val="single" w:sz="8" w:color="0000FF"/>
            </w:tcBorders>
            <w:gridSpan w:val="20"/>
          </w:tcPr>
          <w:p>
            <w:pPr>
              <w:spacing w:after="0"/>
              <w:rPr>
                <w:rFonts w:ascii="Arial" w:cs="Arial" w:eastAsia="Arial" w:hAnsi="Arial"/>
                <w:sz w:val="18"/>
                <w:szCs w:val="18"/>
                <w:color w:val="0000FF"/>
                <w:w w:val="89"/>
              </w:rPr>
            </w:pPr>
            <w:hyperlink r:id="rId88">
              <w:r>
                <w:rPr>
                  <w:rFonts w:ascii="Arial" w:cs="Arial" w:eastAsia="Arial" w:hAnsi="Arial"/>
                  <w:sz w:val="18"/>
                  <w:szCs w:val="18"/>
                  <w:color w:val="0000FF"/>
                  <w:w w:val="89"/>
                </w:rPr>
                <w:t>Warrant to Purchase Series 7 Preferred Stock issued to Oxford Finance,</w:t>
              </w:r>
            </w:hyperlink>
          </w:p>
        </w:tc>
      </w:tr>
      <w:tr>
        <w:trPr>
          <w:trHeight w:val="196"/>
        </w:trPr>
        <w:tc>
          <w:tcPr>
            <w:tcW w:w="940" w:type="dxa"/>
            <w:vAlign w:val="bottom"/>
          </w:tcPr>
          <w:p>
            <w:pPr>
              <w:spacing w:after="0"/>
              <w:rPr>
                <w:sz w:val="17"/>
                <w:szCs w:val="17"/>
                <w:color w:val="auto"/>
              </w:rPr>
            </w:pPr>
          </w:p>
        </w:tc>
        <w:tc>
          <w:tcPr>
            <w:tcW w:w="5160" w:type="dxa"/>
            <w:vAlign w:val="bottom"/>
            <w:gridSpan w:val="20"/>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LLC dated December 22, 2016.</w:t>
              </w:r>
            </w:hyperlink>
          </w:p>
        </w:tc>
      </w:tr>
      <w:tr>
        <w:trPr>
          <w:trHeight w:val="20"/>
        </w:trPr>
        <w:tc>
          <w:tcPr>
            <w:tcW w:w="9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10.31</w:t>
            </w:r>
          </w:p>
        </w:tc>
        <w:tc>
          <w:tcPr>
            <w:tcW w:w="5000" w:type="dxa"/>
            <w:vAlign w:val="bottom"/>
            <w:tcBorders>
              <w:bottom w:val="single" w:sz="8" w:color="0000FF"/>
            </w:tcBorders>
            <w:gridSpan w:val="18"/>
          </w:tcPr>
          <w:p>
            <w:pPr>
              <w:spacing w:after="0"/>
              <w:rPr>
                <w:rFonts w:ascii="Arial" w:cs="Arial" w:eastAsia="Arial" w:hAnsi="Arial"/>
                <w:sz w:val="18"/>
                <w:szCs w:val="18"/>
                <w:color w:val="0000FF"/>
                <w:w w:val="89"/>
              </w:rPr>
            </w:pPr>
            <w:hyperlink r:id="rId89">
              <w:r>
                <w:rPr>
                  <w:rFonts w:ascii="Arial" w:cs="Arial" w:eastAsia="Arial" w:hAnsi="Arial"/>
                  <w:sz w:val="18"/>
                  <w:szCs w:val="18"/>
                  <w:color w:val="0000FF"/>
                  <w:w w:val="89"/>
                </w:rPr>
                <w:t>Warrant to Purchase Series 7 Preferred Stock issued to Silicon Valley</w:t>
              </w:r>
            </w:hyperlink>
          </w:p>
        </w:tc>
        <w:tc>
          <w:tcPr>
            <w:tcW w:w="160" w:type="dxa"/>
            <w:vAlign w:val="bottom"/>
            <w:gridSpan w:val="2"/>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5160" w:type="dxa"/>
            <w:vAlign w:val="bottom"/>
            <w:gridSpan w:val="20"/>
          </w:tcPr>
          <w:p>
            <w:pPr>
              <w:spacing w:after="0" w:line="196" w:lineRule="exact"/>
              <w:rPr>
                <w:rFonts w:ascii="Arial" w:cs="Arial" w:eastAsia="Arial" w:hAnsi="Arial"/>
                <w:sz w:val="18"/>
                <w:szCs w:val="18"/>
                <w:color w:val="0000FF"/>
              </w:rPr>
            </w:pPr>
            <w:hyperlink r:id="rId89">
              <w:r>
                <w:rPr>
                  <w:rFonts w:ascii="Arial" w:cs="Arial" w:eastAsia="Arial" w:hAnsi="Arial"/>
                  <w:sz w:val="18"/>
                  <w:szCs w:val="18"/>
                  <w:color w:val="0000FF"/>
                </w:rPr>
                <w:t>Bank dated December 22, 2016.</w:t>
              </w:r>
            </w:hyperlink>
          </w:p>
        </w:tc>
      </w:tr>
      <w:tr>
        <w:trPr>
          <w:trHeight w:val="20"/>
        </w:trPr>
        <w:tc>
          <w:tcPr>
            <w:tcW w:w="9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10.32</w:t>
            </w:r>
          </w:p>
        </w:tc>
        <w:tc>
          <w:tcPr>
            <w:tcW w:w="5160" w:type="dxa"/>
            <w:vAlign w:val="bottom"/>
            <w:gridSpan w:val="20"/>
          </w:tcPr>
          <w:p>
            <w:pPr>
              <w:spacing w:after="0"/>
              <w:rPr>
                <w:rFonts w:ascii="Arial" w:cs="Arial" w:eastAsia="Arial" w:hAnsi="Arial"/>
                <w:sz w:val="18"/>
                <w:szCs w:val="18"/>
                <w:color w:val="0000FF"/>
                <w:w w:val="96"/>
              </w:rPr>
            </w:pPr>
            <w:hyperlink r:id="rId90">
              <w:r>
                <w:rPr>
                  <w:rFonts w:ascii="Arial" w:cs="Arial" w:eastAsia="Arial" w:hAnsi="Arial"/>
                  <w:sz w:val="18"/>
                  <w:szCs w:val="18"/>
                  <w:color w:val="0000FF"/>
                  <w:w w:val="96"/>
                </w:rPr>
                <w:t>Form of Restricted Stock Unit Grant Notice and Award Agreement.</w:t>
              </w:r>
            </w:hyperlink>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4880" w:type="dxa"/>
            <w:vAlign w:val="bottom"/>
            <w:tcBorders>
              <w:top w:val="single" w:sz="8" w:color="0000FF"/>
            </w:tcBorders>
            <w:gridSpan w:val="14"/>
          </w:tcPr>
          <w:p>
            <w:pPr>
              <w:spacing w:after="0"/>
              <w:rPr>
                <w:rFonts w:ascii="Arial" w:cs="Arial" w:eastAsia="Arial" w:hAnsi="Arial"/>
                <w:sz w:val="18"/>
                <w:szCs w:val="18"/>
                <w:color w:val="0000FF"/>
              </w:rPr>
            </w:pPr>
            <w:hyperlink w:anchor="page132">
              <w:r>
                <w:rPr>
                  <w:rFonts w:ascii="Arial" w:cs="Arial" w:eastAsia="Arial" w:hAnsi="Arial"/>
                  <w:sz w:val="18"/>
                  <w:szCs w:val="18"/>
                  <w:color w:val="0000FF"/>
                </w:rPr>
                <w:t>List of Subsidiaries of Registrant</w:t>
              </w:r>
            </w:hyperlink>
          </w:p>
        </w:tc>
        <w:tc>
          <w:tcPr>
            <w:tcW w:w="280" w:type="dxa"/>
            <w:vAlign w:val="bottom"/>
            <w:gridSpan w:val="6"/>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5160" w:type="dxa"/>
            <w:vAlign w:val="bottom"/>
            <w:gridSpan w:val="20"/>
          </w:tcPr>
          <w:p>
            <w:pPr>
              <w:spacing w:after="0"/>
              <w:rPr>
                <w:rFonts w:ascii="Arial" w:cs="Arial" w:eastAsia="Arial" w:hAnsi="Arial"/>
                <w:sz w:val="18"/>
                <w:szCs w:val="18"/>
                <w:color w:val="0000FF"/>
                <w:w w:val="93"/>
              </w:rPr>
            </w:pPr>
            <w:hyperlink w:anchor="page133">
              <w:r>
                <w:rPr>
                  <w:rFonts w:ascii="Arial" w:cs="Arial" w:eastAsia="Arial" w:hAnsi="Arial"/>
                  <w:sz w:val="18"/>
                  <w:szCs w:val="18"/>
                  <w:color w:val="0000FF"/>
                  <w:w w:val="93"/>
                </w:rPr>
                <w:t>Consent of PricewaterhouseCoopers, Independent Registered Public</w:t>
              </w:r>
            </w:hyperlink>
          </w:p>
        </w:tc>
      </w:tr>
      <w:tr>
        <w:trPr>
          <w:trHeight w:val="196"/>
        </w:trPr>
        <w:tc>
          <w:tcPr>
            <w:tcW w:w="940" w:type="dxa"/>
            <w:vAlign w:val="bottom"/>
          </w:tcPr>
          <w:p>
            <w:pPr>
              <w:spacing w:after="0"/>
              <w:rPr>
                <w:sz w:val="17"/>
                <w:szCs w:val="17"/>
                <w:color w:val="auto"/>
              </w:rPr>
            </w:pPr>
          </w:p>
        </w:tc>
        <w:tc>
          <w:tcPr>
            <w:tcW w:w="49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133">
              <w:r>
                <w:rPr>
                  <w:rFonts w:ascii="Arial" w:cs="Arial" w:eastAsia="Arial" w:hAnsi="Arial"/>
                  <w:sz w:val="18"/>
                  <w:szCs w:val="18"/>
                  <w:color w:val="0000FF"/>
                </w:rPr>
                <w:t>Accounting Firm</w:t>
              </w:r>
            </w:hyperlink>
          </w:p>
        </w:tc>
        <w:tc>
          <w:tcPr>
            <w:tcW w:w="240" w:type="dxa"/>
            <w:vAlign w:val="bottom"/>
            <w:gridSpan w:val="4"/>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24.1*</w:t>
            </w:r>
          </w:p>
        </w:tc>
        <w:tc>
          <w:tcPr>
            <w:tcW w:w="5160" w:type="dxa"/>
            <w:vAlign w:val="bottom"/>
            <w:gridSpan w:val="20"/>
          </w:tcPr>
          <w:p>
            <w:pPr>
              <w:spacing w:after="0"/>
              <w:rPr>
                <w:rFonts w:ascii="Arial" w:cs="Arial" w:eastAsia="Arial" w:hAnsi="Arial"/>
                <w:sz w:val="18"/>
                <w:szCs w:val="18"/>
                <w:color w:val="0000EE"/>
                <w:w w:val="99"/>
              </w:rPr>
            </w:pPr>
            <w:hyperlink w:anchor="page130">
              <w:r>
                <w:rPr>
                  <w:rFonts w:ascii="Arial" w:cs="Arial" w:eastAsia="Arial" w:hAnsi="Arial"/>
                  <w:sz w:val="18"/>
                  <w:szCs w:val="18"/>
                  <w:color w:val="0000EE"/>
                  <w:w w:val="99"/>
                </w:rPr>
                <w:t>Power of Attorney (contained in the signature page of this report)</w:t>
              </w:r>
            </w:hyperlink>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4000" w:type="dxa"/>
            <w:vAlign w:val="bottom"/>
            <w:tcBorders>
              <w:top w:val="single" w:sz="8" w:color="0000EE"/>
              <w:bottom w:val="single" w:sz="8" w:color="0000FF"/>
            </w:tcBorders>
            <w:gridSpan w:val="11"/>
          </w:tcPr>
          <w:p>
            <w:pPr>
              <w:spacing w:after="0"/>
              <w:rPr>
                <w:rFonts w:ascii="Arial" w:cs="Arial" w:eastAsia="Arial" w:hAnsi="Arial"/>
                <w:sz w:val="18"/>
                <w:szCs w:val="18"/>
                <w:color w:val="0000FF"/>
                <w:w w:val="93"/>
              </w:rPr>
            </w:pPr>
            <w:hyperlink w:anchor="page134">
              <w:r>
                <w:rPr>
                  <w:rFonts w:ascii="Arial" w:cs="Arial" w:eastAsia="Arial" w:hAnsi="Arial"/>
                  <w:sz w:val="18"/>
                  <w:szCs w:val="18"/>
                  <w:color w:val="0000FF"/>
                  <w:w w:val="93"/>
                </w:rPr>
                <w:t>Certification of Principal Executive Officer Pursuant to</w:t>
              </w:r>
            </w:hyperlink>
          </w:p>
        </w:tc>
        <w:tc>
          <w:tcPr>
            <w:tcW w:w="720" w:type="dxa"/>
            <w:vAlign w:val="bottom"/>
            <w:tcBorders>
              <w:top w:val="single" w:sz="8" w:color="0000EE"/>
            </w:tcBorders>
          </w:tcPr>
          <w:p>
            <w:pPr>
              <w:spacing w:after="0"/>
              <w:rPr>
                <w:sz w:val="24"/>
                <w:szCs w:val="24"/>
                <w:color w:val="auto"/>
              </w:rPr>
            </w:pPr>
          </w:p>
        </w:tc>
        <w:tc>
          <w:tcPr>
            <w:tcW w:w="440" w:type="dxa"/>
            <w:vAlign w:val="bottom"/>
            <w:gridSpan w:val="8"/>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4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w:anchor="page134">
              <w:r>
                <w:rPr>
                  <w:rFonts w:ascii="Arial" w:cs="Arial" w:eastAsia="Arial" w:hAnsi="Arial"/>
                  <w:sz w:val="18"/>
                  <w:szCs w:val="18"/>
                  <w:color w:val="0000FF"/>
                  <w:w w:val="90"/>
                </w:rPr>
                <w:t>Rules 13a</w:t>
              </w:r>
              <w:r>
                <w:rPr>
                  <w:rFonts w:ascii="MS PGothic" w:cs="MS PGothic" w:eastAsia="MS PGothic" w:hAnsi="MS PGothic"/>
                  <w:sz w:val="18"/>
                  <w:szCs w:val="18"/>
                  <w:color w:val="0000FF"/>
                  <w:w w:val="90"/>
                </w:rPr>
                <w:t>‑</w:t>
              </w:r>
              <w:r>
                <w:rPr>
                  <w:rFonts w:ascii="Arial" w:cs="Arial" w:eastAsia="Arial" w:hAnsi="Arial"/>
                  <w:sz w:val="18"/>
                  <w:szCs w:val="18"/>
                  <w:color w:val="0000FF"/>
                  <w:w w:val="90"/>
                </w:rPr>
                <w:t>14(a) and 15d</w:t>
              </w:r>
              <w:r>
                <w:rPr>
                  <w:rFonts w:ascii="MS PGothic" w:cs="MS PGothic" w:eastAsia="MS PGothic" w:hAnsi="MS PGothic"/>
                  <w:sz w:val="18"/>
                  <w:szCs w:val="18"/>
                  <w:color w:val="0000FF"/>
                  <w:w w:val="90"/>
                </w:rPr>
                <w:t>‑</w:t>
              </w:r>
              <w:r>
                <w:rPr>
                  <w:rFonts w:ascii="Arial" w:cs="Arial" w:eastAsia="Arial" w:hAnsi="Arial"/>
                  <w:sz w:val="18"/>
                  <w:szCs w:val="18"/>
                  <w:color w:val="0000FF"/>
                  <w:w w:val="90"/>
                </w:rPr>
                <w:t>14(a) under the Securities Exchange Act of</w:t>
              </w:r>
            </w:hyperlink>
          </w:p>
        </w:tc>
        <w:tc>
          <w:tcPr>
            <w:tcW w:w="200" w:type="dxa"/>
            <w:vAlign w:val="bottom"/>
            <w:gridSpan w:val="3"/>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160" w:type="dxa"/>
            <w:vAlign w:val="bottom"/>
            <w:gridSpan w:val="20"/>
          </w:tcPr>
          <w:p>
            <w:pPr>
              <w:spacing w:after="0" w:line="196" w:lineRule="exact"/>
              <w:rPr>
                <w:rFonts w:ascii="Arial" w:cs="Arial" w:eastAsia="Arial" w:hAnsi="Arial"/>
                <w:sz w:val="18"/>
                <w:szCs w:val="18"/>
                <w:color w:val="0000FF"/>
              </w:rPr>
            </w:pPr>
            <w:hyperlink w:anchor="page134">
              <w:r>
                <w:rPr>
                  <w:rFonts w:ascii="Arial" w:cs="Arial" w:eastAsia="Arial" w:hAnsi="Arial"/>
                  <w:sz w:val="18"/>
                  <w:szCs w:val="18"/>
                  <w:color w:val="0000FF"/>
                </w:rPr>
                <w:t>1934, as amended.</w:t>
              </w:r>
            </w:hyperlink>
          </w:p>
        </w:tc>
      </w:tr>
      <w:tr>
        <w:trPr>
          <w:trHeight w:val="20"/>
        </w:trPr>
        <w:tc>
          <w:tcPr>
            <w:tcW w:w="9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5160" w:type="dxa"/>
            <w:vAlign w:val="bottom"/>
            <w:gridSpan w:val="20"/>
          </w:tcPr>
          <w:p>
            <w:pPr>
              <w:spacing w:after="0"/>
              <w:rPr>
                <w:rFonts w:ascii="Arial" w:cs="Arial" w:eastAsia="Arial" w:hAnsi="Arial"/>
                <w:sz w:val="18"/>
                <w:szCs w:val="18"/>
                <w:color w:val="0000FF"/>
              </w:rPr>
            </w:pPr>
            <w:hyperlink w:anchor="page135">
              <w:r>
                <w:rPr>
                  <w:rFonts w:ascii="Arial" w:cs="Arial" w:eastAsia="Arial" w:hAnsi="Arial"/>
                  <w:sz w:val="18"/>
                  <w:szCs w:val="18"/>
                  <w:color w:val="0000FF"/>
                </w:rPr>
                <w:t>Certification of Principal Financial Officer Pursuant to</w:t>
              </w:r>
            </w:hyperlink>
          </w:p>
        </w:tc>
      </w:tr>
      <w:tr>
        <w:trPr>
          <w:trHeight w:val="20"/>
        </w:trPr>
        <w:tc>
          <w:tcPr>
            <w:tcW w:w="940" w:type="dxa"/>
            <w:vAlign w:val="bottom"/>
          </w:tcPr>
          <w:p>
            <w:pPr>
              <w:spacing w:after="0" w:line="20" w:lineRule="exact"/>
              <w:rPr>
                <w:sz w:val="1"/>
                <w:szCs w:val="1"/>
                <w:color w:val="auto"/>
              </w:rPr>
            </w:pPr>
          </w:p>
        </w:tc>
        <w:tc>
          <w:tcPr>
            <w:tcW w:w="3460" w:type="dxa"/>
            <w:vAlign w:val="bottom"/>
            <w:gridSpan w:val="9"/>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6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w:anchor="page135">
              <w:r>
                <w:rPr>
                  <w:rFonts w:ascii="Arial" w:cs="Arial" w:eastAsia="Arial" w:hAnsi="Arial"/>
                  <w:sz w:val="18"/>
                  <w:szCs w:val="18"/>
                  <w:color w:val="0000FF"/>
                  <w:w w:val="90"/>
                </w:rPr>
                <w:t>Rules 13a</w:t>
              </w:r>
              <w:r>
                <w:rPr>
                  <w:rFonts w:ascii="MS PGothic" w:cs="MS PGothic" w:eastAsia="MS PGothic" w:hAnsi="MS PGothic"/>
                  <w:sz w:val="18"/>
                  <w:szCs w:val="18"/>
                  <w:color w:val="0000FF"/>
                  <w:w w:val="90"/>
                </w:rPr>
                <w:t>‑</w:t>
              </w:r>
              <w:r>
                <w:rPr>
                  <w:rFonts w:ascii="Arial" w:cs="Arial" w:eastAsia="Arial" w:hAnsi="Arial"/>
                  <w:sz w:val="18"/>
                  <w:szCs w:val="18"/>
                  <w:color w:val="0000FF"/>
                  <w:w w:val="90"/>
                </w:rPr>
                <w:t>14(a) and 15d</w:t>
              </w:r>
              <w:r>
                <w:rPr>
                  <w:rFonts w:ascii="MS PGothic" w:cs="MS PGothic" w:eastAsia="MS PGothic" w:hAnsi="MS PGothic"/>
                  <w:sz w:val="18"/>
                  <w:szCs w:val="18"/>
                  <w:color w:val="0000FF"/>
                  <w:w w:val="90"/>
                </w:rPr>
                <w:t>‑</w:t>
              </w:r>
              <w:r>
                <w:rPr>
                  <w:rFonts w:ascii="Arial" w:cs="Arial" w:eastAsia="Arial" w:hAnsi="Arial"/>
                  <w:sz w:val="18"/>
                  <w:szCs w:val="18"/>
                  <w:color w:val="0000FF"/>
                  <w:w w:val="90"/>
                </w:rPr>
                <w:t>14(a) under the Securities Exchange Act of</w:t>
              </w:r>
            </w:hyperlink>
          </w:p>
        </w:tc>
        <w:tc>
          <w:tcPr>
            <w:tcW w:w="200" w:type="dxa"/>
            <w:vAlign w:val="bottom"/>
            <w:gridSpan w:val="3"/>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160" w:type="dxa"/>
            <w:vAlign w:val="bottom"/>
            <w:gridSpan w:val="20"/>
          </w:tcPr>
          <w:p>
            <w:pPr>
              <w:spacing w:after="0" w:line="196" w:lineRule="exact"/>
              <w:rPr>
                <w:rFonts w:ascii="Arial" w:cs="Arial" w:eastAsia="Arial" w:hAnsi="Arial"/>
                <w:sz w:val="18"/>
                <w:szCs w:val="18"/>
                <w:color w:val="0000FF"/>
              </w:rPr>
            </w:pPr>
            <w:hyperlink w:anchor="page135">
              <w:r>
                <w:rPr>
                  <w:rFonts w:ascii="Arial" w:cs="Arial" w:eastAsia="Arial" w:hAnsi="Arial"/>
                  <w:sz w:val="18"/>
                  <w:szCs w:val="18"/>
                  <w:color w:val="0000FF"/>
                </w:rPr>
                <w:t>1934, as amended.</w:t>
              </w:r>
            </w:hyperlink>
          </w:p>
        </w:tc>
      </w:tr>
      <w:tr>
        <w:trPr>
          <w:trHeight w:val="20"/>
        </w:trPr>
        <w:tc>
          <w:tcPr>
            <w:tcW w:w="9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547"/>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5160" w:type="dxa"/>
            <w:vAlign w:val="bottom"/>
            <w:gridSpan w:val="20"/>
          </w:tcPr>
          <w:p>
            <w:pPr>
              <w:spacing w:after="0"/>
              <w:rPr>
                <w:rFonts w:ascii="Arial" w:cs="Arial" w:eastAsia="Arial" w:hAnsi="Arial"/>
                <w:sz w:val="18"/>
                <w:szCs w:val="18"/>
                <w:color w:val="0000FF"/>
                <w:w w:val="99"/>
              </w:rPr>
            </w:pPr>
            <w:hyperlink w:anchor="page136">
              <w:r>
                <w:rPr>
                  <w:rFonts w:ascii="Arial" w:cs="Arial" w:eastAsia="Arial" w:hAnsi="Arial"/>
                  <w:sz w:val="18"/>
                  <w:szCs w:val="18"/>
                  <w:color w:val="0000FF"/>
                  <w:w w:val="99"/>
                </w:rPr>
                <w:t>Certification of Principal Executive Officer and Principal Financial</w:t>
              </w:r>
            </w:hyperlink>
          </w:p>
        </w:tc>
      </w:tr>
      <w:tr>
        <w:trPr>
          <w:trHeight w:val="20"/>
        </w:trPr>
        <w:tc>
          <w:tcPr>
            <w:tcW w:w="940" w:type="dxa"/>
            <w:vAlign w:val="bottom"/>
          </w:tcPr>
          <w:p>
            <w:pPr>
              <w:spacing w:after="0" w:line="20" w:lineRule="exact"/>
              <w:rPr>
                <w:sz w:val="1"/>
                <w:szCs w:val="1"/>
                <w:color w:val="auto"/>
              </w:rPr>
            </w:pPr>
          </w:p>
        </w:tc>
        <w:tc>
          <w:tcPr>
            <w:tcW w:w="3460" w:type="dxa"/>
            <w:vAlign w:val="bottom"/>
            <w:gridSpan w:val="9"/>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90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w:anchor="page136">
              <w:r>
                <w:rPr>
                  <w:rFonts w:ascii="Arial" w:cs="Arial" w:eastAsia="Arial" w:hAnsi="Arial"/>
                  <w:sz w:val="18"/>
                  <w:szCs w:val="18"/>
                  <w:color w:val="0000FF"/>
                  <w:w w:val="90"/>
                </w:rPr>
                <w:t>Officer Pursuant to 18 U.S.C. Section 1350, as Adopted Pursuant to</w:t>
              </w:r>
            </w:hyperlink>
          </w:p>
        </w:tc>
        <w:tc>
          <w:tcPr>
            <w:tcW w:w="260" w:type="dxa"/>
            <w:vAlign w:val="bottom"/>
            <w:gridSpan w:val="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5160" w:type="dxa"/>
            <w:vAlign w:val="bottom"/>
            <w:gridSpan w:val="20"/>
          </w:tcPr>
          <w:p>
            <w:pPr>
              <w:spacing w:after="0" w:line="196" w:lineRule="exact"/>
              <w:rPr>
                <w:rFonts w:ascii="Arial" w:cs="Arial" w:eastAsia="Arial" w:hAnsi="Arial"/>
                <w:sz w:val="18"/>
                <w:szCs w:val="18"/>
                <w:color w:val="0000FF"/>
              </w:rPr>
            </w:pPr>
            <w:hyperlink w:anchor="page136">
              <w:r>
                <w:rPr>
                  <w:rFonts w:ascii="Arial" w:cs="Arial" w:eastAsia="Arial" w:hAnsi="Arial"/>
                  <w:sz w:val="18"/>
                  <w:szCs w:val="18"/>
                  <w:color w:val="0000FF"/>
                </w:rPr>
                <w:t>Section 906 of the Sarbanes-Oxley Act of 2002.</w:t>
              </w:r>
            </w:hyperlink>
          </w:p>
        </w:tc>
      </w:tr>
      <w:tr>
        <w:trPr>
          <w:trHeight w:val="588"/>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XBRL Instance Document</w:t>
            </w:r>
          </w:p>
        </w:tc>
        <w:tc>
          <w:tcPr>
            <w:tcW w:w="1700" w:type="dxa"/>
            <w:vAlign w:val="bottom"/>
            <w:gridSpan w:val="11"/>
          </w:tcPr>
          <w:p>
            <w:pPr>
              <w:spacing w:after="0"/>
              <w:rPr>
                <w:sz w:val="24"/>
                <w:szCs w:val="24"/>
                <w:color w:val="auto"/>
              </w:rPr>
            </w:pPr>
          </w:p>
        </w:tc>
      </w:tr>
      <w:tr>
        <w:trPr>
          <w:trHeight w:val="567"/>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16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16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16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160" w:type="dxa"/>
            <w:vAlign w:val="bottom"/>
            <w:gridSpan w:val="20"/>
          </w:tcPr>
          <w:p>
            <w:pPr>
              <w:spacing w:after="0"/>
              <w:rPr>
                <w:sz w:val="20"/>
                <w:szCs w:val="20"/>
                <w:color w:val="auto"/>
              </w:rPr>
            </w:pPr>
            <w:r>
              <w:rPr>
                <w:rFonts w:ascii="Arial" w:cs="Arial" w:eastAsia="Arial" w:hAnsi="Arial"/>
                <w:sz w:val="18"/>
                <w:szCs w:val="18"/>
                <w:color w:val="auto"/>
              </w:rPr>
              <w:t>XBRL Taxonomy Extension Label Linkbase Document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10.24</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783"/>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10.25</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783"/>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10.26</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783"/>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10.27</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783"/>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10.28</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783"/>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10.29</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r>
        <w:trPr>
          <w:trHeight w:val="783"/>
        </w:trPr>
        <w:tc>
          <w:tcPr>
            <w:tcW w:w="560" w:type="dxa"/>
            <w:vAlign w:val="bottom"/>
          </w:tcPr>
          <w:p>
            <w:pPr>
              <w:spacing w:after="0"/>
              <w:rPr>
                <w:sz w:val="20"/>
                <w:szCs w:val="20"/>
                <w:color w:val="auto"/>
              </w:rPr>
            </w:pPr>
            <w:r>
              <w:rPr>
                <w:rFonts w:ascii="Arial" w:cs="Arial" w:eastAsia="Arial" w:hAnsi="Arial"/>
                <w:sz w:val="18"/>
                <w:szCs w:val="18"/>
                <w:color w:val="auto"/>
              </w:rPr>
              <w:t>S-1</w:t>
            </w:r>
          </w:p>
        </w:tc>
        <w:tc>
          <w:tcPr>
            <w:tcW w:w="1440" w:type="dxa"/>
            <w:vAlign w:val="bottom"/>
          </w:tcPr>
          <w:p>
            <w:pPr>
              <w:jc w:val="right"/>
              <w:ind w:right="190"/>
              <w:spacing w:after="0"/>
              <w:rPr>
                <w:sz w:val="20"/>
                <w:szCs w:val="20"/>
                <w:color w:val="auto"/>
              </w:rPr>
            </w:pPr>
            <w:r>
              <w:rPr>
                <w:rFonts w:ascii="Arial" w:cs="Arial" w:eastAsia="Arial" w:hAnsi="Arial"/>
                <w:sz w:val="18"/>
                <w:szCs w:val="18"/>
                <w:color w:val="auto"/>
              </w:rPr>
              <w:t>333-227445</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10.30</w:t>
            </w:r>
          </w:p>
        </w:tc>
        <w:tc>
          <w:tcPr>
            <w:tcW w:w="1040" w:type="dxa"/>
            <w:vAlign w:val="bottom"/>
          </w:tcPr>
          <w:p>
            <w:pPr>
              <w:jc w:val="right"/>
              <w:spacing w:after="0"/>
              <w:rPr>
                <w:sz w:val="20"/>
                <w:szCs w:val="20"/>
                <w:color w:val="auto"/>
              </w:rPr>
            </w:pPr>
            <w:r>
              <w:rPr>
                <w:rFonts w:ascii="Arial" w:cs="Arial" w:eastAsia="Arial" w:hAnsi="Arial"/>
                <w:sz w:val="18"/>
                <w:szCs w:val="18"/>
                <w:color w:val="auto"/>
              </w:rPr>
              <w:t>9/20/2018</w:t>
            </w:r>
          </w:p>
        </w:tc>
      </w:tr>
    </w:tbl>
    <w:p>
      <w:pPr>
        <w:spacing w:after="0" w:line="7951" w:lineRule="exact"/>
        <w:rPr>
          <w:sz w:val="20"/>
          <w:szCs w:val="20"/>
          <w:color w:val="auto"/>
        </w:rPr>
      </w:pPr>
    </w:p>
    <w:p>
      <w:pPr>
        <w:sectPr>
          <w:pgSz w:w="11900" w:h="16838" w:orient="portrait"/>
          <w:cols w:equalWidth="0" w:num="2">
            <w:col w:w="6280" w:space="680"/>
            <w:col w:w="4060"/>
          </w:cols>
          <w:pgMar w:left="240" w:top="125" w:right="639" w:bottom="1440" w:gutter="0" w:footer="0" w:header="0"/>
        </w:sectPr>
      </w:pPr>
    </w:p>
    <w:p>
      <w:pPr>
        <w:spacing w:after="0" w:line="56" w:lineRule="exact"/>
        <w:rPr>
          <w:sz w:val="20"/>
          <w:szCs w:val="20"/>
          <w:color w:val="auto"/>
        </w:rPr>
      </w:pPr>
    </w:p>
    <w:p>
      <w:pPr>
        <w:jc w:val="center"/>
        <w:ind w:right="-399"/>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020"/>
          </w:cols>
          <w:pgMar w:left="240" w:top="125" w:right="639" w:bottom="1440" w:gutter="0" w:footer="0" w:header="0"/>
          <w:type w:val="continuous"/>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tabs>
          <w:tab w:leader="none" w:pos="11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333"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40" w:hanging="332"/>
        <w:spacing w:after="0" w:line="259"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pacing w:after="0" w:line="187"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25" w:lineRule="exact"/>
        <w:rPr>
          <w:sz w:val="20"/>
          <w:szCs w:val="20"/>
          <w:color w:val="auto"/>
        </w:rPr>
      </w:pPr>
    </w:p>
    <w:p>
      <w:pPr>
        <w:ind w:left="340" w:right="60" w:hanging="332"/>
        <w:spacing w:after="0" w:line="277" w:lineRule="auto"/>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Securities and Exchange Commission.</w:t>
      </w:r>
    </w:p>
    <w:p>
      <w:pPr>
        <w:spacing w:after="0" w:line="184" w:lineRule="exact"/>
        <w:rPr>
          <w:sz w:val="20"/>
          <w:szCs w:val="20"/>
          <w:color w:val="auto"/>
        </w:rPr>
      </w:pPr>
    </w:p>
    <w:p>
      <w:pPr>
        <w:ind w:left="260" w:hanging="252"/>
        <w:spacing w:after="0" w:line="196" w:lineRule="exact"/>
        <w:tabs>
          <w:tab w:leader="none" w:pos="2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We have filed, or incorporated into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by reference, the exhibits listed on the Exhibit Index immediately above.</w:t>
      </w:r>
    </w:p>
    <w:p>
      <w:pPr>
        <w:spacing w:after="0" w:line="250" w:lineRule="exact"/>
        <w:rPr>
          <w:rFonts w:ascii="Arial" w:cs="Arial" w:eastAsia="Arial" w:hAnsi="Arial"/>
          <w:sz w:val="17"/>
          <w:szCs w:val="17"/>
          <w:color w:val="auto"/>
        </w:rPr>
      </w:pPr>
    </w:p>
    <w:p>
      <w:pPr>
        <w:ind w:left="260" w:hanging="252"/>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See Item 15(a)2 above.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00"/>
          </w:cols>
          <w:pgMar w:left="240" w:top="125" w:right="459" w:bottom="1440" w:gutter="0" w:footer="0" w:header="0"/>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 in Santa Clara, California, on this 14th day of March, 2019.</w:t>
      </w:r>
    </w:p>
    <w:p>
      <w:pPr>
        <w:spacing w:after="0" w:line="3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SI-BONE, Inc.</w:t>
      </w:r>
    </w:p>
    <w:p>
      <w:pPr>
        <w:spacing w:after="0" w:line="293"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Jeffrey W. Dunn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(Duly Authorized Officer and Principal Executive Officer</w:t>
      </w:r>
      <w:r>
        <w:rPr>
          <w:rFonts w:ascii="Arial" w:cs="Arial" w:eastAsia="Arial" w:hAnsi="Arial"/>
          <w:sz w:val="14"/>
          <w:szCs w:val="14"/>
          <w:color w:val="auto"/>
        </w:rPr>
        <w:t>)</w:t>
      </w:r>
    </w:p>
    <w:p>
      <w:pPr>
        <w:spacing w:after="0" w:line="200" w:lineRule="exact"/>
        <w:rPr>
          <w:sz w:val="20"/>
          <w:szCs w:val="20"/>
          <w:color w:val="auto"/>
        </w:rPr>
      </w:pPr>
    </w:p>
    <w:p>
      <w:pPr>
        <w:spacing w:after="0" w:line="3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SI-BONE, Inc.</w:t>
      </w:r>
    </w:p>
    <w:p>
      <w:pPr>
        <w:spacing w:after="0" w:line="252" w:lineRule="exact"/>
        <w:rPr>
          <w:sz w:val="20"/>
          <w:szCs w:val="20"/>
          <w:color w:val="auto"/>
        </w:rPr>
      </w:pPr>
    </w:p>
    <w:p>
      <w:pPr>
        <w:ind w:left="6080"/>
        <w:spacing w:after="0"/>
        <w:tabs>
          <w:tab w:leader="none" w:pos="6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Laura A. Francis</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68" w:lineRule="exact"/>
        <w:rPr>
          <w:sz w:val="20"/>
          <w:szCs w:val="20"/>
          <w:color w:val="auto"/>
        </w:rPr>
      </w:pPr>
    </w:p>
    <w:p>
      <w:pPr>
        <w:ind w:firstLine="405"/>
        <w:spacing w:after="0" w:line="218" w:lineRule="exact"/>
        <w:rPr>
          <w:sz w:val="20"/>
          <w:szCs w:val="20"/>
          <w:color w:val="auto"/>
        </w:rPr>
      </w:pPr>
      <w:r>
        <w:rPr>
          <w:rFonts w:ascii="Arial" w:cs="Arial" w:eastAsia="Arial" w:hAnsi="Arial"/>
          <w:sz w:val="17"/>
          <w:szCs w:val="17"/>
          <w:color w:val="auto"/>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or his substitute or substitutes, may lawfully do or cause to be done by virtue hereof.</w:t>
      </w:r>
    </w:p>
    <w:p>
      <w:pPr>
        <w:spacing w:after="0" w:line="206"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380"/>
          </w:cols>
          <w:pgMar w:left="240" w:top="364" w:right="279" w:bottom="1440" w:gutter="0" w:footer="0" w:header="0"/>
        </w:sectPr>
      </w:pPr>
    </w:p>
    <w:bookmarkStart w:id="130" w:name="page131"/>
    <w:bookmarkEnd w:id="130"/>
    <w:p>
      <w:pPr>
        <w:ind w:left="920"/>
        <w:spacing w:after="0"/>
        <w:tabs>
          <w:tab w:leader="none" w:pos="5160" w:val="left"/>
          <w:tab w:leader="none" w:pos="9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23495</wp:posOffset>
            </wp:positionV>
            <wp:extent cx="65176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1"/>
              </w:rPr>
              <w:t>/s/ Jeffrey W. Dunn</w:t>
            </w:r>
          </w:p>
        </w:tc>
        <w:tc>
          <w:tcPr>
            <w:tcW w:w="4860" w:type="dxa"/>
            <w:vAlign w:val="bottom"/>
          </w:tcPr>
          <w:p>
            <w:pPr>
              <w:ind w:left="260"/>
              <w:spacing w:after="0"/>
              <w:rPr>
                <w:sz w:val="20"/>
                <w:szCs w:val="20"/>
                <w:color w:val="auto"/>
              </w:rPr>
            </w:pPr>
            <w:r>
              <w:rPr>
                <w:rFonts w:ascii="Arial" w:cs="Arial" w:eastAsia="Arial" w:hAnsi="Arial"/>
                <w:sz w:val="18"/>
                <w:szCs w:val="18"/>
                <w:color w:val="auto"/>
              </w:rPr>
              <w:t>President and Chief Executive Officer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2"/>
              </w:rPr>
              <w:t>Jeffrey W. Dunn</w:t>
            </w:r>
          </w:p>
        </w:tc>
        <w:tc>
          <w:tcPr>
            <w:tcW w:w="4860" w:type="dxa"/>
            <w:vAlign w:val="bottom"/>
          </w:tcPr>
          <w:p>
            <w:pPr>
              <w:ind w:left="260"/>
              <w:spacing w:after="0"/>
              <w:rPr>
                <w:sz w:val="20"/>
                <w:szCs w:val="20"/>
                <w:color w:val="auto"/>
              </w:rPr>
            </w:pPr>
            <w:r>
              <w:rPr>
                <w:rFonts w:ascii="Arial" w:cs="Arial" w:eastAsia="Arial" w:hAnsi="Arial"/>
                <w:sz w:val="18"/>
                <w:szCs w:val="18"/>
                <w:color w:val="auto"/>
              </w:rPr>
              <w:t>(Principal Executive Officer) and Director</w:t>
            </w:r>
          </w:p>
        </w:tc>
        <w:tc>
          <w:tcPr>
            <w:tcW w:w="2520" w:type="dxa"/>
            <w:vAlign w:val="bottom"/>
          </w:tcPr>
          <w:p>
            <w:pPr>
              <w:spacing w:after="0"/>
              <w:rPr>
                <w:sz w:val="20"/>
                <w:szCs w:val="20"/>
                <w:color w:val="auto"/>
              </w:rPr>
            </w:pPr>
          </w:p>
        </w:tc>
      </w:tr>
      <w:tr>
        <w:trPr>
          <w:trHeight w:val="104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/s/ Laura A. Francis</w:t>
            </w:r>
          </w:p>
        </w:tc>
        <w:tc>
          <w:tcPr>
            <w:tcW w:w="4860" w:type="dxa"/>
            <w:vAlign w:val="bottom"/>
          </w:tcPr>
          <w:p>
            <w:pPr>
              <w:ind w:left="260"/>
              <w:spacing w:after="0"/>
              <w:rPr>
                <w:sz w:val="20"/>
                <w:szCs w:val="20"/>
                <w:color w:val="auto"/>
              </w:rPr>
            </w:pPr>
            <w:r>
              <w:rPr>
                <w:rFonts w:ascii="Arial" w:cs="Arial" w:eastAsia="Arial" w:hAnsi="Arial"/>
                <w:sz w:val="18"/>
                <w:szCs w:val="18"/>
                <w:color w:val="auto"/>
              </w:rPr>
              <w:t>Chief Financial Officer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0"/>
              </w:rPr>
              <w:t>Laura A. Francis</w:t>
            </w:r>
          </w:p>
        </w:tc>
        <w:tc>
          <w:tcPr>
            <w:tcW w:w="4860" w:type="dxa"/>
            <w:vAlign w:val="bottom"/>
          </w:tcPr>
          <w:p>
            <w:pPr>
              <w:ind w:left="260"/>
              <w:spacing w:after="0"/>
              <w:rPr>
                <w:sz w:val="20"/>
                <w:szCs w:val="20"/>
                <w:color w:val="auto"/>
              </w:rPr>
            </w:pPr>
            <w:r>
              <w:rPr>
                <w:rFonts w:ascii="Arial" w:cs="Arial" w:eastAsia="Arial" w:hAnsi="Arial"/>
                <w:sz w:val="18"/>
                <w:szCs w:val="18"/>
                <w:color w:val="auto"/>
              </w:rPr>
              <w:t>(Principal Financial and Accounting Officer)</w:t>
            </w:r>
          </w:p>
        </w:tc>
        <w:tc>
          <w:tcPr>
            <w:tcW w:w="2520" w:type="dxa"/>
            <w:vAlign w:val="bottom"/>
          </w:tcPr>
          <w:p>
            <w:pPr>
              <w:spacing w:after="0"/>
              <w:rPr>
                <w:sz w:val="20"/>
                <w:szCs w:val="20"/>
                <w:color w:val="auto"/>
              </w:rPr>
            </w:pPr>
          </w:p>
        </w:tc>
      </w:tr>
      <w:tr>
        <w:trPr>
          <w:trHeight w:val="104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/s/ David P. Bonita, M.D.</w:t>
            </w:r>
          </w:p>
        </w:tc>
        <w:tc>
          <w:tcPr>
            <w:tcW w:w="48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2"/>
              </w:rPr>
              <w:t>David P. Bonita, M.D.</w:t>
            </w:r>
          </w:p>
        </w:tc>
        <w:tc>
          <w:tcPr>
            <w:tcW w:w="48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104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/s/ Timothy E. Davis, Jr.</w:t>
            </w:r>
          </w:p>
        </w:tc>
        <w:tc>
          <w:tcPr>
            <w:tcW w:w="48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1"/>
              </w:rPr>
              <w:t>Timothy E. Davis, Jr.</w:t>
            </w:r>
          </w:p>
        </w:tc>
        <w:tc>
          <w:tcPr>
            <w:tcW w:w="48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1040"/>
        </w:trPr>
        <w:tc>
          <w:tcPr>
            <w:tcW w:w="2440" w:type="dxa"/>
            <w:vAlign w:val="bottom"/>
          </w:tcPr>
          <w:p>
            <w:pPr>
              <w:jc w:val="center"/>
              <w:spacing w:after="0"/>
              <w:rPr>
                <w:sz w:val="20"/>
                <w:szCs w:val="20"/>
                <w:color w:val="auto"/>
              </w:rPr>
            </w:pPr>
            <w:r>
              <w:rPr>
                <w:rFonts w:ascii="Arial" w:cs="Arial" w:eastAsia="Arial" w:hAnsi="Arial"/>
                <w:sz w:val="18"/>
                <w:szCs w:val="18"/>
                <w:color w:val="auto"/>
                <w:w w:val="91"/>
              </w:rPr>
              <w:t>/s/John G. Freund, M.D.</w:t>
            </w:r>
          </w:p>
        </w:tc>
        <w:tc>
          <w:tcPr>
            <w:tcW w:w="48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2"/>
              </w:rPr>
              <w:t>John G. Freund, M.D.</w:t>
            </w:r>
          </w:p>
        </w:tc>
        <w:tc>
          <w:tcPr>
            <w:tcW w:w="48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1040"/>
        </w:trPr>
        <w:tc>
          <w:tcPr>
            <w:tcW w:w="2440" w:type="dxa"/>
            <w:vAlign w:val="bottom"/>
          </w:tcPr>
          <w:p>
            <w:pPr>
              <w:jc w:val="center"/>
              <w:spacing w:after="0"/>
              <w:rPr>
                <w:sz w:val="20"/>
                <w:szCs w:val="20"/>
                <w:color w:val="auto"/>
              </w:rPr>
            </w:pPr>
            <w:r>
              <w:rPr>
                <w:rFonts w:ascii="Arial" w:cs="Arial" w:eastAsia="Arial" w:hAnsi="Arial"/>
                <w:sz w:val="18"/>
                <w:szCs w:val="18"/>
                <w:color w:val="auto"/>
                <w:w w:val="94"/>
              </w:rPr>
              <w:t>/s/ Gregory K. Hinckley</w:t>
            </w:r>
          </w:p>
        </w:tc>
        <w:tc>
          <w:tcPr>
            <w:tcW w:w="48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4"/>
              </w:rPr>
              <w:t>Gregory K. Hinckley</w:t>
            </w:r>
          </w:p>
        </w:tc>
        <w:tc>
          <w:tcPr>
            <w:tcW w:w="48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1040"/>
        </w:trPr>
        <w:tc>
          <w:tcPr>
            <w:tcW w:w="2440" w:type="dxa"/>
            <w:vAlign w:val="bottom"/>
          </w:tcPr>
          <w:p>
            <w:pPr>
              <w:jc w:val="center"/>
              <w:spacing w:after="0"/>
              <w:rPr>
                <w:sz w:val="20"/>
                <w:szCs w:val="20"/>
                <w:color w:val="auto"/>
              </w:rPr>
            </w:pPr>
            <w:r>
              <w:rPr>
                <w:rFonts w:ascii="Arial" w:cs="Arial" w:eastAsia="Arial" w:hAnsi="Arial"/>
                <w:sz w:val="18"/>
                <w:szCs w:val="18"/>
                <w:color w:val="auto"/>
                <w:w w:val="95"/>
              </w:rPr>
              <w:t>/s/ Karen A. Licitra</w:t>
            </w:r>
          </w:p>
        </w:tc>
        <w:tc>
          <w:tcPr>
            <w:tcW w:w="48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5"/>
              </w:rPr>
              <w:t>Karen A. Licitra</w:t>
            </w:r>
          </w:p>
        </w:tc>
        <w:tc>
          <w:tcPr>
            <w:tcW w:w="48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1040"/>
        </w:trPr>
        <w:tc>
          <w:tcPr>
            <w:tcW w:w="2440" w:type="dxa"/>
            <w:vAlign w:val="bottom"/>
          </w:tcPr>
          <w:p>
            <w:pPr>
              <w:jc w:val="center"/>
              <w:spacing w:after="0"/>
              <w:rPr>
                <w:sz w:val="20"/>
                <w:szCs w:val="20"/>
                <w:color w:val="auto"/>
              </w:rPr>
            </w:pPr>
            <w:r>
              <w:rPr>
                <w:rFonts w:ascii="Arial" w:cs="Arial" w:eastAsia="Arial" w:hAnsi="Arial"/>
                <w:sz w:val="18"/>
                <w:szCs w:val="18"/>
                <w:color w:val="auto"/>
                <w:w w:val="95"/>
              </w:rPr>
              <w:t>/s/ Mark A. Reiley, M.D.</w:t>
            </w:r>
          </w:p>
        </w:tc>
        <w:tc>
          <w:tcPr>
            <w:tcW w:w="48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5"/>
              </w:rPr>
              <w:t>Mark A. Reiley, M.D.</w:t>
            </w:r>
          </w:p>
        </w:tc>
        <w:tc>
          <w:tcPr>
            <w:tcW w:w="48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1040"/>
        </w:trPr>
        <w:tc>
          <w:tcPr>
            <w:tcW w:w="2440" w:type="dxa"/>
            <w:vAlign w:val="bottom"/>
          </w:tcPr>
          <w:p>
            <w:pPr>
              <w:jc w:val="center"/>
              <w:spacing w:after="0"/>
              <w:rPr>
                <w:sz w:val="20"/>
                <w:szCs w:val="20"/>
                <w:color w:val="auto"/>
              </w:rPr>
            </w:pPr>
            <w:r>
              <w:rPr>
                <w:rFonts w:ascii="Arial" w:cs="Arial" w:eastAsia="Arial" w:hAnsi="Arial"/>
                <w:sz w:val="18"/>
                <w:szCs w:val="18"/>
                <w:color w:val="auto"/>
                <w:w w:val="90"/>
              </w:rPr>
              <w:t>/sTimothy B. Petersen.</w:t>
            </w:r>
          </w:p>
        </w:tc>
        <w:tc>
          <w:tcPr>
            <w:tcW w:w="48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0"/>
              </w:rPr>
              <w:t>Timothy B. Petersen</w:t>
            </w:r>
          </w:p>
        </w:tc>
        <w:tc>
          <w:tcPr>
            <w:tcW w:w="48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1040"/>
        </w:trPr>
        <w:tc>
          <w:tcPr>
            <w:tcW w:w="2440" w:type="dxa"/>
            <w:vAlign w:val="bottom"/>
          </w:tcPr>
          <w:p>
            <w:pPr>
              <w:ind w:left="480"/>
              <w:spacing w:after="0"/>
              <w:rPr>
                <w:sz w:val="20"/>
                <w:szCs w:val="20"/>
                <w:color w:val="auto"/>
              </w:rPr>
            </w:pPr>
            <w:r>
              <w:rPr>
                <w:rFonts w:ascii="Arial" w:cs="Arial" w:eastAsia="Arial" w:hAnsi="Arial"/>
                <w:sz w:val="18"/>
                <w:szCs w:val="18"/>
                <w:color w:val="auto"/>
              </w:rPr>
              <w:t>/s/ Keith C. Valentine</w:t>
            </w:r>
          </w:p>
        </w:tc>
        <w:tc>
          <w:tcPr>
            <w:tcW w:w="486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520" w:type="dxa"/>
            <w:vAlign w:val="bottom"/>
          </w:tcPr>
          <w:p>
            <w:pPr>
              <w:ind w:left="1360"/>
              <w:spacing w:after="0"/>
              <w:rPr>
                <w:sz w:val="20"/>
                <w:szCs w:val="20"/>
                <w:color w:val="auto"/>
              </w:rPr>
            </w:pPr>
            <w:r>
              <w:rPr>
                <w:rFonts w:ascii="Arial" w:cs="Arial" w:eastAsia="Arial" w:hAnsi="Arial"/>
                <w:sz w:val="18"/>
                <w:szCs w:val="18"/>
                <w:color w:val="auto"/>
                <w:w w:val="91"/>
              </w:rPr>
              <w:t>March 14, 2019</w:t>
            </w:r>
          </w:p>
        </w:tc>
      </w:tr>
      <w:tr>
        <w:trPr>
          <w:trHeight w:val="27"/>
        </w:trPr>
        <w:tc>
          <w:tcPr>
            <w:tcW w:w="2440" w:type="dxa"/>
            <w:vAlign w:val="bottom"/>
            <w:tcBorders>
              <w:bottom w:val="single" w:sz="8" w:color="auto"/>
            </w:tcBorders>
          </w:tcPr>
          <w:p>
            <w:pPr>
              <w:spacing w:after="0"/>
              <w:rPr>
                <w:sz w:val="2"/>
                <w:szCs w:val="2"/>
                <w:color w:val="auto"/>
              </w:rPr>
            </w:pPr>
          </w:p>
        </w:tc>
        <w:tc>
          <w:tcPr>
            <w:tcW w:w="486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37"/>
        </w:trPr>
        <w:tc>
          <w:tcPr>
            <w:tcW w:w="2440" w:type="dxa"/>
            <w:vAlign w:val="bottom"/>
          </w:tcPr>
          <w:p>
            <w:pPr>
              <w:jc w:val="center"/>
              <w:spacing w:after="0"/>
              <w:rPr>
                <w:sz w:val="20"/>
                <w:szCs w:val="20"/>
                <w:color w:val="auto"/>
              </w:rPr>
            </w:pPr>
            <w:r>
              <w:rPr>
                <w:rFonts w:ascii="Arial" w:cs="Arial" w:eastAsia="Arial" w:hAnsi="Arial"/>
                <w:sz w:val="18"/>
                <w:szCs w:val="18"/>
                <w:color w:val="auto"/>
                <w:w w:val="91"/>
              </w:rPr>
              <w:t>Keith C. Valentine</w:t>
            </w:r>
          </w:p>
        </w:tc>
        <w:tc>
          <w:tcPr>
            <w:tcW w:w="486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ectPr>
          <w:pgSz w:w="11900" w:h="16838" w:orient="portrait"/>
          <w:cols w:equalWidth="0" w:num="1">
            <w:col w:w="9820"/>
          </w:cols>
          <w:pgMar w:left="820" w:top="657" w:right="125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3"/>
          </w:tcPr>
          <w:p>
            <w:pPr>
              <w:spacing w:after="0"/>
              <w:rPr>
                <w:sz w:val="20"/>
                <w:szCs w:val="20"/>
                <w:color w:val="auto"/>
              </w:rPr>
            </w:pPr>
            <w:r>
              <w:rPr>
                <w:rFonts w:ascii="Arial" w:cs="Arial" w:eastAsia="Arial" w:hAnsi="Arial"/>
                <w:sz w:val="18"/>
                <w:szCs w:val="18"/>
                <w:b w:val="1"/>
                <w:bCs w:val="1"/>
                <w:color w:val="auto"/>
              </w:rPr>
              <w:t>List of subsidiaries of the Registrant</w:t>
            </w:r>
          </w:p>
        </w:tc>
        <w:tc>
          <w:tcPr>
            <w:tcW w:w="3860" w:type="dxa"/>
            <w:vAlign w:val="bottom"/>
          </w:tcPr>
          <w:p>
            <w:pPr>
              <w:spacing w:after="0"/>
              <w:rPr>
                <w:sz w:val="20"/>
                <w:szCs w:val="20"/>
                <w:color w:val="auto"/>
              </w:rPr>
            </w:pPr>
          </w:p>
        </w:tc>
      </w:tr>
      <w:tr>
        <w:trPr>
          <w:trHeight w:val="594"/>
        </w:trPr>
        <w:tc>
          <w:tcPr>
            <w:tcW w:w="146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Subsidiary</w:t>
            </w:r>
          </w:p>
        </w:tc>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Jurisdiction</w:t>
            </w:r>
          </w:p>
        </w:tc>
      </w:tr>
      <w:tr>
        <w:trPr>
          <w:trHeight w:val="27"/>
        </w:trPr>
        <w:tc>
          <w:tcPr>
            <w:tcW w:w="14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54"/>
        </w:trPr>
        <w:tc>
          <w:tcPr>
            <w:tcW w:w="1460" w:type="dxa"/>
            <w:vAlign w:val="bottom"/>
          </w:tcPr>
          <w:p>
            <w:pPr>
              <w:spacing w:after="0"/>
              <w:rPr>
                <w:sz w:val="22"/>
                <w:szCs w:val="22"/>
                <w:color w:val="auto"/>
              </w:rPr>
            </w:pPr>
          </w:p>
        </w:tc>
        <w:tc>
          <w:tcPr>
            <w:tcW w:w="4660" w:type="dxa"/>
            <w:vAlign w:val="bottom"/>
            <w:gridSpan w:val="2"/>
          </w:tcPr>
          <w:p>
            <w:pPr>
              <w:ind w:left="20"/>
              <w:spacing w:after="0"/>
              <w:rPr>
                <w:sz w:val="20"/>
                <w:szCs w:val="20"/>
                <w:color w:val="auto"/>
              </w:rPr>
            </w:pPr>
            <w:r>
              <w:rPr>
                <w:rFonts w:ascii="Arial" w:cs="Arial" w:eastAsia="Arial" w:hAnsi="Arial"/>
                <w:sz w:val="20"/>
                <w:szCs w:val="20"/>
                <w:color w:val="auto"/>
              </w:rPr>
              <w:t>SI-BONE S.R.L.</w:t>
            </w:r>
          </w:p>
        </w:tc>
        <w:tc>
          <w:tcPr>
            <w:tcW w:w="3860" w:type="dxa"/>
            <w:vAlign w:val="bottom"/>
          </w:tcPr>
          <w:p>
            <w:pPr>
              <w:ind w:left="40"/>
              <w:spacing w:after="0"/>
              <w:rPr>
                <w:sz w:val="20"/>
                <w:szCs w:val="20"/>
                <w:color w:val="auto"/>
              </w:rPr>
            </w:pPr>
            <w:r>
              <w:rPr>
                <w:rFonts w:ascii="Arial" w:cs="Arial" w:eastAsia="Arial" w:hAnsi="Arial"/>
                <w:sz w:val="18"/>
                <w:szCs w:val="18"/>
                <w:color w:val="auto"/>
              </w:rPr>
              <w:t>Italy</w:t>
            </w:r>
          </w:p>
        </w:tc>
      </w:tr>
      <w:tr>
        <w:trPr>
          <w:trHeight w:val="284"/>
        </w:trPr>
        <w:tc>
          <w:tcPr>
            <w:tcW w:w="146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20"/>
                <w:szCs w:val="20"/>
                <w:color w:val="auto"/>
              </w:rPr>
              <w:t>SI-BONE Deutschland GmbH</w:t>
            </w:r>
          </w:p>
        </w:tc>
        <w:tc>
          <w:tcPr>
            <w:tcW w:w="3860" w:type="dxa"/>
            <w:vAlign w:val="bottom"/>
          </w:tcPr>
          <w:p>
            <w:pPr>
              <w:ind w:left="40"/>
              <w:spacing w:after="0"/>
              <w:rPr>
                <w:sz w:val="20"/>
                <w:szCs w:val="20"/>
                <w:color w:val="auto"/>
              </w:rPr>
            </w:pPr>
            <w:r>
              <w:rPr>
                <w:rFonts w:ascii="Arial" w:cs="Arial" w:eastAsia="Arial" w:hAnsi="Arial"/>
                <w:sz w:val="18"/>
                <w:szCs w:val="18"/>
                <w:color w:val="auto"/>
              </w:rPr>
              <w:t>Germany</w:t>
            </w:r>
          </w:p>
        </w:tc>
      </w:tr>
      <w:tr>
        <w:trPr>
          <w:trHeight w:val="284"/>
        </w:trPr>
        <w:tc>
          <w:tcPr>
            <w:tcW w:w="1460" w:type="dxa"/>
            <w:vAlign w:val="bottom"/>
          </w:tcPr>
          <w:p>
            <w:pPr>
              <w:spacing w:after="0"/>
              <w:rPr>
                <w:sz w:val="24"/>
                <w:szCs w:val="24"/>
                <w:color w:val="auto"/>
              </w:rPr>
            </w:pPr>
          </w:p>
        </w:tc>
        <w:tc>
          <w:tcPr>
            <w:tcW w:w="4660" w:type="dxa"/>
            <w:vAlign w:val="bottom"/>
            <w:gridSpan w:val="2"/>
          </w:tcPr>
          <w:p>
            <w:pPr>
              <w:ind w:left="20"/>
              <w:spacing w:after="0"/>
              <w:rPr>
                <w:sz w:val="20"/>
                <w:szCs w:val="20"/>
                <w:color w:val="auto"/>
              </w:rPr>
            </w:pPr>
            <w:r>
              <w:rPr>
                <w:rFonts w:ascii="Arial" w:cs="Arial" w:eastAsia="Arial" w:hAnsi="Arial"/>
                <w:sz w:val="20"/>
                <w:szCs w:val="20"/>
                <w:color w:val="auto"/>
              </w:rPr>
              <w:t>SI-BONE UK LTD</w:t>
            </w:r>
          </w:p>
        </w:tc>
        <w:tc>
          <w:tcPr>
            <w:tcW w:w="3860" w:type="dxa"/>
            <w:vAlign w:val="bottom"/>
          </w:tcPr>
          <w:p>
            <w:pPr>
              <w:ind w:left="4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1420"/>
          </w:cols>
          <w:pgMar w:left="240" w:top="58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333-227907) of SI-BONE, Inc. of our report dated March 14, 2019 relating to the financial statements, which appears in this Form 10-K.</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2019</w:t>
      </w:r>
    </w:p>
    <w:p>
      <w:pPr>
        <w:sectPr>
          <w:pgSz w:w="11900" w:h="16838" w:orient="portrait"/>
          <w:cols w:equalWidth="0" w:num="1">
            <w:col w:w="11420"/>
          </w:cols>
          <w:pgMar w:left="240" w:top="58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Dunn, certify that:</w:t>
      </w:r>
    </w:p>
    <w:p>
      <w:pPr>
        <w:spacing w:after="0" w:line="293" w:lineRule="exact"/>
        <w:rPr>
          <w:sz w:val="20"/>
          <w:szCs w:val="20"/>
          <w:color w:val="auto"/>
        </w:rPr>
      </w:pPr>
    </w:p>
    <w:p>
      <w:pPr>
        <w:ind w:left="940" w:hanging="412"/>
        <w:spacing w:after="0"/>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Form 10-K of SI-Bone, Inc.;</w:t>
      </w:r>
    </w:p>
    <w:p>
      <w:pPr>
        <w:spacing w:after="0" w:line="319" w:lineRule="exact"/>
        <w:rPr>
          <w:rFonts w:ascii="Arial" w:cs="Arial" w:eastAsia="Arial" w:hAnsi="Arial"/>
          <w:sz w:val="18"/>
          <w:szCs w:val="18"/>
          <w:color w:val="auto"/>
        </w:rPr>
      </w:pPr>
    </w:p>
    <w:p>
      <w:pPr>
        <w:ind w:left="940" w:right="700" w:hanging="412"/>
        <w:spacing w:after="0" w:line="264" w:lineRule="auto"/>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940" w:right="760" w:hanging="412"/>
        <w:spacing w:after="0" w:line="342" w:lineRule="auto"/>
        <w:tabs>
          <w:tab w:leader="none" w:pos="9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8" w:lineRule="exact"/>
        <w:rPr>
          <w:rFonts w:ascii="Arial" w:cs="Arial" w:eastAsia="Arial" w:hAnsi="Arial"/>
          <w:sz w:val="16"/>
          <w:szCs w:val="16"/>
          <w:color w:val="auto"/>
        </w:rPr>
      </w:pPr>
    </w:p>
    <w:p>
      <w:pPr>
        <w:ind w:left="940" w:right="780" w:hanging="412"/>
        <w:spacing w:after="0" w:line="277" w:lineRule="auto"/>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65" w:lineRule="exact"/>
        <w:rPr>
          <w:rFonts w:ascii="Arial" w:cs="Arial" w:eastAsia="Arial" w:hAnsi="Arial"/>
          <w:sz w:val="18"/>
          <w:szCs w:val="18"/>
          <w:color w:val="auto"/>
        </w:rPr>
      </w:pPr>
    </w:p>
    <w:p>
      <w:pPr>
        <w:ind w:left="1360" w:right="660" w:hanging="413"/>
        <w:spacing w:after="0" w:line="286" w:lineRule="auto"/>
        <w:tabs>
          <w:tab w:leader="none" w:pos="13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0" w:lineRule="exact"/>
        <w:rPr>
          <w:rFonts w:ascii="Arial" w:cs="Arial" w:eastAsia="Arial" w:hAnsi="Arial"/>
          <w:sz w:val="17"/>
          <w:szCs w:val="17"/>
          <w:color w:val="auto"/>
        </w:rPr>
      </w:pPr>
    </w:p>
    <w:p>
      <w:pPr>
        <w:ind w:left="1360" w:right="620" w:hanging="413"/>
        <w:spacing w:after="0" w:line="264" w:lineRule="auto"/>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5" w:lineRule="exact"/>
        <w:rPr>
          <w:rFonts w:ascii="Arial" w:cs="Arial" w:eastAsia="Arial" w:hAnsi="Arial"/>
          <w:sz w:val="18"/>
          <w:szCs w:val="18"/>
          <w:color w:val="auto"/>
        </w:rPr>
      </w:pPr>
    </w:p>
    <w:p>
      <w:pPr>
        <w:ind w:left="1360" w:right="720" w:hanging="413"/>
        <w:spacing w:after="0" w:line="286" w:lineRule="auto"/>
        <w:tabs>
          <w:tab w:leader="none" w:pos="1360" w:val="left"/>
        </w:tabs>
        <w:numPr>
          <w:ilvl w:val="1"/>
          <w:numId w:val="8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0" w:lineRule="exact"/>
        <w:rPr>
          <w:rFonts w:ascii="Arial" w:cs="Arial" w:eastAsia="Arial" w:hAnsi="Arial"/>
          <w:sz w:val="17"/>
          <w:szCs w:val="17"/>
          <w:color w:val="auto"/>
        </w:rPr>
      </w:pPr>
    </w:p>
    <w:p>
      <w:pPr>
        <w:ind w:left="940" w:right="680" w:hanging="412"/>
        <w:spacing w:after="0" w:line="264" w:lineRule="auto"/>
        <w:tabs>
          <w:tab w:leader="none" w:pos="9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5" w:lineRule="exact"/>
        <w:rPr>
          <w:rFonts w:ascii="Arial" w:cs="Arial" w:eastAsia="Arial" w:hAnsi="Arial"/>
          <w:sz w:val="18"/>
          <w:szCs w:val="18"/>
          <w:color w:val="auto"/>
        </w:rPr>
      </w:pPr>
    </w:p>
    <w:p>
      <w:pPr>
        <w:ind w:left="1360" w:right="560" w:hanging="413"/>
        <w:spacing w:after="0" w:line="342" w:lineRule="auto"/>
        <w:tabs>
          <w:tab w:leader="none" w:pos="13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8" w:lineRule="exact"/>
        <w:rPr>
          <w:rFonts w:ascii="Arial" w:cs="Arial" w:eastAsia="Arial" w:hAnsi="Arial"/>
          <w:sz w:val="16"/>
          <w:szCs w:val="16"/>
          <w:color w:val="auto"/>
        </w:rPr>
      </w:pPr>
    </w:p>
    <w:p>
      <w:pPr>
        <w:ind w:left="1360" w:right="860" w:hanging="413"/>
        <w:spacing w:after="0" w:line="277" w:lineRule="auto"/>
        <w:tabs>
          <w:tab w:leader="none" w:pos="13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3191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500"/>
        <w:spacing w:after="0"/>
        <w:tabs>
          <w:tab w:leader="none" w:pos="7720" w:val="left"/>
        </w:tabs>
        <w:rPr>
          <w:sz w:val="20"/>
          <w:szCs w:val="20"/>
          <w:color w:val="auto"/>
        </w:rPr>
      </w:pPr>
      <w:r>
        <w:rPr>
          <w:rFonts w:ascii="Arial" w:cs="Arial" w:eastAsia="Arial" w:hAnsi="Arial"/>
          <w:sz w:val="18"/>
          <w:szCs w:val="18"/>
          <w:color w:val="auto"/>
        </w:rPr>
        <w:t>Date: March 14, 2019</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Laura A. Francis, certify that:</w:t>
      </w:r>
    </w:p>
    <w:p>
      <w:pPr>
        <w:spacing w:after="0" w:line="293" w:lineRule="exact"/>
        <w:rPr>
          <w:sz w:val="20"/>
          <w:szCs w:val="20"/>
          <w:color w:val="auto"/>
        </w:rPr>
      </w:pPr>
    </w:p>
    <w:p>
      <w:pPr>
        <w:ind w:left="940" w:hanging="412"/>
        <w:spacing w:after="0"/>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Form 10-K of SI-Bone, Inc.;</w:t>
      </w:r>
    </w:p>
    <w:p>
      <w:pPr>
        <w:spacing w:after="0" w:line="319" w:lineRule="exact"/>
        <w:rPr>
          <w:rFonts w:ascii="Arial" w:cs="Arial" w:eastAsia="Arial" w:hAnsi="Arial"/>
          <w:sz w:val="18"/>
          <w:szCs w:val="18"/>
          <w:color w:val="auto"/>
        </w:rPr>
      </w:pPr>
    </w:p>
    <w:p>
      <w:pPr>
        <w:ind w:left="940" w:right="700" w:hanging="412"/>
        <w:spacing w:after="0" w:line="264" w:lineRule="auto"/>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5" w:lineRule="exact"/>
        <w:rPr>
          <w:rFonts w:ascii="Arial" w:cs="Arial" w:eastAsia="Arial" w:hAnsi="Arial"/>
          <w:sz w:val="18"/>
          <w:szCs w:val="18"/>
          <w:color w:val="auto"/>
        </w:rPr>
      </w:pPr>
    </w:p>
    <w:p>
      <w:pPr>
        <w:ind w:left="940" w:right="760" w:hanging="412"/>
        <w:spacing w:after="0" w:line="342" w:lineRule="auto"/>
        <w:tabs>
          <w:tab w:leader="none" w:pos="9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8" w:lineRule="exact"/>
        <w:rPr>
          <w:rFonts w:ascii="Arial" w:cs="Arial" w:eastAsia="Arial" w:hAnsi="Arial"/>
          <w:sz w:val="16"/>
          <w:szCs w:val="16"/>
          <w:color w:val="auto"/>
        </w:rPr>
      </w:pPr>
    </w:p>
    <w:p>
      <w:pPr>
        <w:ind w:left="940" w:right="780" w:hanging="412"/>
        <w:spacing w:after="0" w:line="277" w:lineRule="auto"/>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64" w:lineRule="exact"/>
        <w:rPr>
          <w:rFonts w:ascii="Arial" w:cs="Arial" w:eastAsia="Arial" w:hAnsi="Arial"/>
          <w:sz w:val="18"/>
          <w:szCs w:val="18"/>
          <w:color w:val="auto"/>
        </w:rPr>
      </w:pPr>
    </w:p>
    <w:p>
      <w:pPr>
        <w:ind w:left="1360" w:right="660" w:hanging="413"/>
        <w:spacing w:after="0" w:line="286" w:lineRule="auto"/>
        <w:tabs>
          <w:tab w:leader="none" w:pos="13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0" w:lineRule="exact"/>
        <w:rPr>
          <w:rFonts w:ascii="Arial" w:cs="Arial" w:eastAsia="Arial" w:hAnsi="Arial"/>
          <w:sz w:val="17"/>
          <w:szCs w:val="17"/>
          <w:color w:val="auto"/>
        </w:rPr>
      </w:pPr>
    </w:p>
    <w:p>
      <w:pPr>
        <w:ind w:left="1360" w:right="620" w:hanging="413"/>
        <w:spacing w:after="0" w:line="264" w:lineRule="auto"/>
        <w:tabs>
          <w:tab w:leader="none" w:pos="13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5" w:lineRule="exact"/>
        <w:rPr>
          <w:rFonts w:ascii="Arial" w:cs="Arial" w:eastAsia="Arial" w:hAnsi="Arial"/>
          <w:sz w:val="18"/>
          <w:szCs w:val="18"/>
          <w:color w:val="auto"/>
        </w:rPr>
      </w:pPr>
    </w:p>
    <w:p>
      <w:pPr>
        <w:ind w:left="1360" w:right="720" w:hanging="413"/>
        <w:spacing w:after="0" w:line="286" w:lineRule="auto"/>
        <w:tabs>
          <w:tab w:leader="none" w:pos="13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60" w:lineRule="exact"/>
        <w:rPr>
          <w:rFonts w:ascii="Arial" w:cs="Arial" w:eastAsia="Arial" w:hAnsi="Arial"/>
          <w:sz w:val="17"/>
          <w:szCs w:val="17"/>
          <w:color w:val="auto"/>
        </w:rPr>
      </w:pPr>
    </w:p>
    <w:p>
      <w:pPr>
        <w:ind w:left="940" w:right="680" w:hanging="412"/>
        <w:spacing w:after="0" w:line="264" w:lineRule="auto"/>
        <w:tabs>
          <w:tab w:leader="none" w:pos="9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5" w:lineRule="exact"/>
        <w:rPr>
          <w:rFonts w:ascii="Arial" w:cs="Arial" w:eastAsia="Arial" w:hAnsi="Arial"/>
          <w:sz w:val="18"/>
          <w:szCs w:val="18"/>
          <w:color w:val="auto"/>
        </w:rPr>
      </w:pPr>
    </w:p>
    <w:p>
      <w:pPr>
        <w:ind w:left="1360" w:right="560" w:hanging="413"/>
        <w:spacing w:after="0" w:line="342" w:lineRule="auto"/>
        <w:tabs>
          <w:tab w:leader="none" w:pos="136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8" w:lineRule="exact"/>
        <w:rPr>
          <w:rFonts w:ascii="Arial" w:cs="Arial" w:eastAsia="Arial" w:hAnsi="Arial"/>
          <w:sz w:val="16"/>
          <w:szCs w:val="16"/>
          <w:color w:val="auto"/>
        </w:rPr>
      </w:pPr>
    </w:p>
    <w:p>
      <w:pPr>
        <w:ind w:left="1360" w:right="860" w:hanging="413"/>
        <w:spacing w:after="0" w:line="277" w:lineRule="auto"/>
        <w:tabs>
          <w:tab w:leader="none" w:pos="13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31750</wp:posOffset>
            </wp:positionV>
            <wp:extent cx="32588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7540" w:right="2200" w:hanging="7035"/>
        <w:spacing w:after="0" w:line="374" w:lineRule="auto"/>
        <w:tabs>
          <w:tab w:leader="none" w:pos="7520" w:val="left"/>
        </w:tabs>
        <w:rPr>
          <w:sz w:val="20"/>
          <w:szCs w:val="20"/>
          <w:color w:val="auto"/>
        </w:rPr>
      </w:pPr>
      <w:r>
        <w:rPr>
          <w:rFonts w:ascii="Arial" w:cs="Arial" w:eastAsia="Arial" w:hAnsi="Arial"/>
          <w:sz w:val="18"/>
          <w:szCs w:val="18"/>
          <w:color w:val="auto"/>
        </w:rPr>
        <w:t>Date: March 14, 2019</w:t>
      </w:r>
      <w:r>
        <w:rPr>
          <w:sz w:val="20"/>
          <w:szCs w:val="20"/>
          <w:color w:val="auto"/>
        </w:rPr>
        <w:tab/>
      </w:r>
      <w:r>
        <w:rPr>
          <w:rFonts w:ascii="Arial" w:cs="Arial" w:eastAsia="Arial" w:hAnsi="Arial"/>
          <w:sz w:val="17"/>
          <w:szCs w:val="17"/>
          <w:color w:val="auto"/>
        </w:rPr>
        <w:t>Laura A. Francis Chief Financial Officer</w:t>
      </w:r>
    </w:p>
    <w:p>
      <w:pPr>
        <w:sectPr>
          <w:pgSz w:w="11900" w:h="16838" w:orient="portrait"/>
          <w:cols w:equalWidth="0" w:num="1">
            <w:col w:w="11420"/>
          </w:cols>
          <w:pgMar w:left="240" w:top="58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9"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Jeffrey W. Dunn, President and Chief Executive Officer of SI-Bone, Inc. (the “Company”), and Laura A. Francis, Chief Financial Officer of the Company, each hereby certify that, to the best of his or her knowledge:</w:t>
      </w:r>
    </w:p>
    <w:p>
      <w:pPr>
        <w:spacing w:after="0" w:line="166" w:lineRule="exact"/>
        <w:rPr>
          <w:sz w:val="20"/>
          <w:szCs w:val="20"/>
          <w:color w:val="auto"/>
        </w:rPr>
      </w:pPr>
    </w:p>
    <w:p>
      <w:pPr>
        <w:ind w:right="700" w:firstLine="8"/>
        <w:spacing w:after="0" w:line="277" w:lineRule="auto"/>
        <w:tabs>
          <w:tab w:leader="none" w:pos="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2018, to which this Certification is attached as Exhibit 32.1 (the “Periodic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31750</wp:posOffset>
            </wp:positionV>
            <wp:extent cx="28816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1000"/>
        <w:spacing w:after="0"/>
        <w:tabs>
          <w:tab w:leader="none" w:pos="7560" w:val="left"/>
        </w:tabs>
        <w:rPr>
          <w:sz w:val="20"/>
          <w:szCs w:val="20"/>
          <w:color w:val="auto"/>
        </w:rPr>
      </w:pPr>
      <w:r>
        <w:rPr>
          <w:rFonts w:ascii="Arial" w:cs="Arial" w:eastAsia="Arial" w:hAnsi="Arial"/>
          <w:sz w:val="18"/>
          <w:szCs w:val="18"/>
          <w:color w:val="auto"/>
        </w:rPr>
        <w:t>Date: March 14, 2019</w:t>
      </w:r>
      <w:r>
        <w:rPr>
          <w:sz w:val="20"/>
          <w:szCs w:val="20"/>
          <w:color w:val="auto"/>
        </w:rPr>
        <w:tab/>
      </w:r>
      <w:r>
        <w:rPr>
          <w:rFonts w:ascii="Arial" w:cs="Arial" w:eastAsia="Arial" w:hAnsi="Arial"/>
          <w:sz w:val="16"/>
          <w:szCs w:val="16"/>
          <w:color w:val="auto"/>
        </w:rPr>
        <w:t>Jeffrey W. Dunn</w:t>
      </w:r>
    </w:p>
    <w:p>
      <w:pPr>
        <w:spacing w:after="0" w:line="6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President and Chief Executive Officer</w:t>
      </w:r>
    </w:p>
    <w:p>
      <w:pPr>
        <w:spacing w:after="0" w:line="33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31750</wp:posOffset>
            </wp:positionV>
            <wp:extent cx="28816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1000"/>
        <w:spacing w:after="0"/>
        <w:tabs>
          <w:tab w:leader="none" w:pos="7560" w:val="left"/>
        </w:tabs>
        <w:rPr>
          <w:sz w:val="20"/>
          <w:szCs w:val="20"/>
          <w:color w:val="auto"/>
        </w:rPr>
      </w:pPr>
      <w:r>
        <w:rPr>
          <w:rFonts w:ascii="Arial" w:cs="Arial" w:eastAsia="Arial" w:hAnsi="Arial"/>
          <w:sz w:val="18"/>
          <w:szCs w:val="18"/>
          <w:color w:val="auto"/>
        </w:rPr>
        <w:t>Date: March 14, 2019</w:t>
      </w:r>
      <w:r>
        <w:rPr>
          <w:sz w:val="20"/>
          <w:szCs w:val="20"/>
          <w:color w:val="auto"/>
        </w:rPr>
        <w:tab/>
      </w:r>
      <w:r>
        <w:rPr>
          <w:rFonts w:ascii="Arial" w:cs="Arial" w:eastAsia="Arial" w:hAnsi="Arial"/>
          <w:sz w:val="16"/>
          <w:szCs w:val="16"/>
          <w:color w:val="auto"/>
        </w:rPr>
        <w:t>Laura A. Francis</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x"/>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decimal"/>
      <w:start w:val="2"/>
    </w:lvl>
  </w:abstractNum>
  <w:abstractNum w:abstractNumId="54">
    <w:nsid w:val="5F5E7FD0"/>
    <w:multiLevelType w:val="hybridMultilevel"/>
    <w:lvl w:ilvl="0">
      <w:lvlJc w:val="left"/>
      <w:lvlText w:val="(%1)"/>
      <w:numFmt w:val="decimal"/>
      <w:start w:val="5"/>
    </w:lvl>
  </w:abstractNum>
  <w:abstractNum w:abstractNumId="55">
    <w:nsid w:val="98A3148"/>
    <w:multiLevelType w:val="hybridMultilevel"/>
    <w:lvl w:ilvl="0">
      <w:lvlJc w:val="left"/>
      <w:lvlText w:val="\emdash "/>
      <w:numFmt w:val="bullet"/>
      <w:start w:val="1"/>
    </w:lvl>
  </w:abstractNum>
  <w:abstractNum w:abstractNumId="56">
    <w:nsid w:val="799D0247"/>
    <w:multiLevelType w:val="hybridMultilevel"/>
    <w:lvl w:ilvl="0">
      <w:lvlJc w:val="left"/>
      <w:lvlText w:val="3"/>
      <w:numFmt w:val="bullet"/>
      <w:start w:val="1"/>
    </w:lvl>
  </w:abstractNum>
  <w:abstractNum w:abstractNumId="57">
    <w:nsid w:val="6B94764"/>
    <w:multiLevelType w:val="hybridMultilevel"/>
    <w:lvl w:ilvl="0">
      <w:lvlJc w:val="left"/>
      <w:lvlText w:val="%1"/>
      <w:numFmt w:val="decimal"/>
      <w:start w:val="439"/>
    </w:lvl>
  </w:abstractNum>
  <w:abstractNum w:abstractNumId="58">
    <w:nsid w:val="42C296BD"/>
    <w:multiLevelType w:val="hybridMultilevel"/>
    <w:lvl w:ilvl="0">
      <w:lvlJc w:val="left"/>
      <w:lvlText w:val="%1"/>
      <w:numFmt w:val="decimal"/>
      <w:start w:val="722"/>
    </w:lvl>
    <w:lvl w:ilvl="1">
      <w:lvlJc w:val="left"/>
      <w:lvlText w:val="(%2)"/>
      <w:numFmt w:val="decimal"/>
      <w:start w:val="5"/>
    </w:lvl>
  </w:abstractNum>
  <w:abstractNum w:abstractNumId="59">
    <w:nsid w:val="168E121F"/>
    <w:multiLevelType w:val="hybridMultilevel"/>
    <w:lvl w:ilvl="0">
      <w:lvlJc w:val="left"/>
      <w:lvlText w:val="%1"/>
      <w:numFmt w:val="decimal"/>
      <w:start w:val="52"/>
    </w:lvl>
  </w:abstractNum>
  <w:abstractNum w:abstractNumId="60">
    <w:nsid w:val="1EBA5D23"/>
    <w:multiLevelType w:val="hybridMultilevel"/>
    <w:lvl w:ilvl="0">
      <w:lvlJc w:val="left"/>
      <w:lvlText w:val="\emdash "/>
      <w:numFmt w:val="bullet"/>
      <w:start w:val="1"/>
    </w:lvl>
  </w:abstractNum>
  <w:abstractNum w:abstractNumId="61">
    <w:nsid w:val="661E3F1E"/>
    <w:multiLevelType w:val="hybridMultilevel"/>
    <w:lvl w:ilvl="0">
      <w:lvlJc w:val="left"/>
      <w:lvlText w:val="(%1)"/>
      <w:numFmt w:val="decimal"/>
      <w:start w:val="209"/>
    </w:lvl>
  </w:abstractNum>
  <w:abstractNum w:abstractNumId="62">
    <w:nsid w:val="5DC79EA8"/>
    <w:multiLevelType w:val="hybridMultilevel"/>
    <w:lvl w:ilvl="0">
      <w:lvlJc w:val="left"/>
      <w:lvlText w:val="(%1)"/>
      <w:numFmt w:val="decimal"/>
      <w:start w:val="759"/>
    </w:lvl>
  </w:abstractNum>
  <w:abstractNum w:abstractNumId="63">
    <w:nsid w:val="540A471C"/>
    <w:multiLevelType w:val="hybridMultilevel"/>
    <w:lvl w:ilvl="0">
      <w:lvlJc w:val="left"/>
      <w:lvlText w:val="(%1)"/>
      <w:numFmt w:val="decimal"/>
      <w:start w:val="752"/>
    </w:lvl>
  </w:abstractNum>
  <w:abstractNum w:abstractNumId="64">
    <w:nsid w:val="7BD3EE7B"/>
    <w:multiLevelType w:val="hybridMultilevel"/>
    <w:lvl w:ilvl="0">
      <w:lvlJc w:val="left"/>
      <w:lvlText w:val="%1"/>
      <w:numFmt w:val="decimal"/>
      <w:start w:val="251"/>
    </w:lvl>
  </w:abstractNum>
  <w:abstractNum w:abstractNumId="65">
    <w:nsid w:val="51D9C564"/>
    <w:multiLevelType w:val="hybridMultilevel"/>
    <w:lvl w:ilvl="0">
      <w:lvlJc w:val="left"/>
      <w:lvlText w:val="(%1)"/>
      <w:numFmt w:val="lowerLetter"/>
      <w:start w:val="5"/>
    </w:lvl>
  </w:abstractNum>
  <w:abstractNum w:abstractNumId="66">
    <w:nsid w:val="613EFDC5"/>
    <w:multiLevelType w:val="hybridMultilevel"/>
    <w:lvl w:ilvl="0">
      <w:lvlJc w:val="left"/>
      <w:lvlText w:val="(%1)"/>
      <w:numFmt w:val="decimal"/>
      <w:start w:val="2"/>
    </w:lvl>
  </w:abstractNum>
  <w:abstractNum w:abstractNumId="67">
    <w:nsid w:val="BF72B14"/>
    <w:multiLevelType w:val="hybridMultilevel"/>
    <w:lvl w:ilvl="0">
      <w:lvlJc w:val="left"/>
      <w:lvlText w:val="(%1)"/>
      <w:numFmt w:val="decimal"/>
      <w:start w:val="2"/>
    </w:lvl>
  </w:abstractNum>
  <w:abstractNum w:abstractNumId="68">
    <w:nsid w:val="11447B73"/>
    <w:multiLevelType w:val="hybridMultilevel"/>
    <w:lvl w:ilvl="0">
      <w:lvlJc w:val="left"/>
      <w:lvlText w:val="(%1)"/>
      <w:numFmt w:val="decimal"/>
      <w:start w:val="5"/>
    </w:lvl>
  </w:abstractNum>
  <w:abstractNum w:abstractNumId="69">
    <w:nsid w:val="42963E5A"/>
    <w:multiLevelType w:val="hybridMultilevel"/>
    <w:lvl w:ilvl="0">
      <w:lvlJc w:val="left"/>
      <w:lvlText w:val="%1."/>
      <w:numFmt w:val="decimal"/>
      <w:start w:val="606"/>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lowerRoman"/>
      <w:start w:val="1"/>
    </w:lvl>
  </w:abstractNum>
  <w:abstractNum w:abstractNumId="72">
    <w:nsid w:val="1A32234B"/>
    <w:multiLevelType w:val="hybridMultilevel"/>
    <w:lvl w:ilvl="0">
      <w:lvlJc w:val="left"/>
      <w:lvlText w:val="(%1)"/>
      <w:numFmt w:val="lowerRoman"/>
      <w:start w:val="2"/>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decimal"/>
      <w:start w:val="14"/>
    </w:lvl>
  </w:abstractNum>
  <w:abstractNum w:abstractNumId="76">
    <w:nsid w:val="60B6DF70"/>
    <w:multiLevelType w:val="hybridMultilevel"/>
    <w:lvl w:ilvl="0">
      <w:lvlJc w:val="left"/>
      <w:lvlText w:val="(%1)"/>
      <w:numFmt w:val="lowerLetter"/>
      <w:start w:val="1"/>
    </w:lvl>
    <w:lvl w:ilvl="1">
      <w:lvlJc w:val="left"/>
      <w:lvlText w:val="%2."/>
      <w:numFmt w:val="decimal"/>
      <w:start w:val="1"/>
    </w:lvl>
  </w:abstractNum>
  <w:abstractNum w:abstractNumId="77">
    <w:nsid w:val="6A5EE64"/>
    <w:multiLevelType w:val="hybridMultilevel"/>
    <w:lvl w:ilvl="0">
      <w:lvlJc w:val="left"/>
      <w:lvlText w:val="*"/>
      <w:numFmt w:val="bullet"/>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lowerLetter"/>
      <w:start w:val="2"/>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91" Type="http://schemas.openxmlformats.org/officeDocument/2006/relationships/image" Target="media/image49.png"/><Relationship Id="rId92" Type="http://schemas.openxmlformats.org/officeDocument/2006/relationships/image" Target="media/image50.png"/><Relationship Id="rId93" Type="http://schemas.openxmlformats.org/officeDocument/2006/relationships/image" Target="media/image51.png"/><Relationship Id="rId94" Type="http://schemas.openxmlformats.org/officeDocument/2006/relationships/image" Target="media/image52.png"/><Relationship Id="rId95" Type="http://schemas.openxmlformats.org/officeDocument/2006/relationships/image" Target="media/image53.png"/><Relationship Id="rId96" Type="http://schemas.openxmlformats.org/officeDocument/2006/relationships/image" Target="media/image54.png"/><Relationship Id="rId97" Type="http://schemas.openxmlformats.org/officeDocument/2006/relationships/image" Target="media/image55.png"/><Relationship Id="rId56" Type="http://schemas.openxmlformats.org/officeDocument/2006/relationships/hyperlink" Target="http://www.sec.gov/Archives/edgar/data/1459839/000119312518303020/d641574dex31.htm" TargetMode="External"/><Relationship Id="rId57" Type="http://schemas.openxmlformats.org/officeDocument/2006/relationships/hyperlink" Target="http://www.sec.gov/Archives/edgar/data/1459839/000119312518293978/d452987dex34.htm" TargetMode="External"/><Relationship Id="rId58" Type="http://schemas.openxmlformats.org/officeDocument/2006/relationships/hyperlink" Target="http://www.sec.gov/Archives/edgar/data/1459839/000119312518293978/d452987dex41.htm" TargetMode="External"/><Relationship Id="rId59" Type="http://schemas.openxmlformats.org/officeDocument/2006/relationships/hyperlink" Target="http://www.sec.gov/Archives/edgar/data/1459839/000119312518278797/d452987dex101.htm" TargetMode="External"/><Relationship Id="rId60" Type="http://schemas.openxmlformats.org/officeDocument/2006/relationships/hyperlink" Target="http://www.sec.gov/Archives/edgar/data/1459839/000119312518293978/d452987dex102.htm" TargetMode="External"/><Relationship Id="rId61" Type="http://schemas.openxmlformats.org/officeDocument/2006/relationships/hyperlink" Target="http://www.sec.gov/Archives/edgar/data/1459839/000119312518293978/d452987dex103.htm" TargetMode="External"/><Relationship Id="rId62" Type="http://schemas.openxmlformats.org/officeDocument/2006/relationships/hyperlink" Target="http://www.sec.gov/Archives/edgar/data/1459839/000119312518293978/d452987dex104.htm" TargetMode="External"/><Relationship Id="rId63" Type="http://schemas.openxmlformats.org/officeDocument/2006/relationships/hyperlink" Target="http://www.sec.gov/Archives/edgar/data/1459839/000119312518293978/d452987dex105.htm" TargetMode="External"/><Relationship Id="rId64" Type="http://schemas.openxmlformats.org/officeDocument/2006/relationships/hyperlink" Target="http://www.sec.gov/Archives/edgar/data/1459839/000119312518293978/d452987dex106.htm" TargetMode="External"/><Relationship Id="rId65" Type="http://schemas.openxmlformats.org/officeDocument/2006/relationships/hyperlink" Target="http://www.sec.gov/Archives/edgar/data/1459839/000119312518278797/d452987dex105.htm" TargetMode="External"/><Relationship Id="rId66" Type="http://schemas.openxmlformats.org/officeDocument/2006/relationships/hyperlink" Target="http://www.sec.gov/Archives/edgar/data/1459839/000119312518278797/d452987dex106.htm" TargetMode="External"/><Relationship Id="rId67" Type="http://schemas.openxmlformats.org/officeDocument/2006/relationships/hyperlink" Target="http://www.sec.gov/Archives/edgar/data/1459839/000119312518278797/d452987dex107.htm" TargetMode="External"/><Relationship Id="rId68" Type="http://schemas.openxmlformats.org/officeDocument/2006/relationships/hyperlink" Target="http://www.sec.gov/Archives/edgar/data/1459839/000119312518278797/d452987dex108.htm" TargetMode="External"/><Relationship Id="rId69" Type="http://schemas.openxmlformats.org/officeDocument/2006/relationships/hyperlink" Target="http://www.sec.gov/Archives/edgar/data/1459839/000119312518278797/d452987dex109.htm" TargetMode="External"/><Relationship Id="rId70" Type="http://schemas.openxmlformats.org/officeDocument/2006/relationships/hyperlink" Target="http://www.sec.gov/Archives/edgar/data/1459839/000119312518278797/d452987dex1010.htm" TargetMode="External"/><Relationship Id="rId71" Type="http://schemas.openxmlformats.org/officeDocument/2006/relationships/hyperlink" Target="http://www.sec.gov/Archives/edgar/data/1459839/000119312518278797/d452987dex1011.htm" TargetMode="External"/><Relationship Id="rId72" Type="http://schemas.openxmlformats.org/officeDocument/2006/relationships/hyperlink" Target="http://www.sec.gov/Archives/edgar/data/1459839/000119312518278797/d452987dex1012.htm" TargetMode="External"/><Relationship Id="rId73" Type="http://schemas.openxmlformats.org/officeDocument/2006/relationships/hyperlink" Target="http://www.sec.gov/Archives/edgar/data/1459839/000119312518278797/d452987dex1013.htm" TargetMode="External"/><Relationship Id="rId74" Type="http://schemas.openxmlformats.org/officeDocument/2006/relationships/hyperlink" Target="http://www.sec.gov/Archives/edgar/data/1459839/000119312518278797/d452987dex1014.htm" TargetMode="External"/><Relationship Id="rId75" Type="http://schemas.openxmlformats.org/officeDocument/2006/relationships/hyperlink" Target="http://www.sec.gov/Archives/edgar/data/1459839/000119312518278797/d452987dex1015.htm" TargetMode="External"/><Relationship Id="rId76" Type="http://schemas.openxmlformats.org/officeDocument/2006/relationships/hyperlink" Target="http://www.sec.gov/Archives/edgar/data/1459839/000119312518278797/d452987dex1016.htm" TargetMode="External"/><Relationship Id="rId77" Type="http://schemas.openxmlformats.org/officeDocument/2006/relationships/hyperlink" Target="http://www.sec.gov/Archives/edgar/data/1459839/000119312518278797/d452987dex1017.htm" TargetMode="External"/><Relationship Id="rId78" Type="http://schemas.openxmlformats.org/officeDocument/2006/relationships/hyperlink" Target="http://www.sec.gov/Archives/edgar/data/1459839/000119312518278797/d452987dex1018.htm" TargetMode="External"/><Relationship Id="rId79" Type="http://schemas.openxmlformats.org/officeDocument/2006/relationships/hyperlink" Target="http://www.sec.gov/Archives/edgar/data/1459839/000119312518293978/d452987dex1021.htm" TargetMode="External"/><Relationship Id="rId80" Type="http://schemas.openxmlformats.org/officeDocument/2006/relationships/hyperlink" Target="http://www.sec.gov/Archives/edgar/data/1459839/000119312518278797/d452987dex1020.htm" TargetMode="External"/><Relationship Id="rId81" Type="http://schemas.openxmlformats.org/officeDocument/2006/relationships/hyperlink" Target="http://www.sec.gov/Archives/edgar/data/1459839/000119312518278797/d452987dex1021.htm" TargetMode="External"/><Relationship Id="rId82" Type="http://schemas.openxmlformats.org/officeDocument/2006/relationships/hyperlink" Target="http://www.sec.gov/Archives/edgar/data/1459839/000119312518278797/d452987dex1022.htm" TargetMode="External"/><Relationship Id="rId83" Type="http://schemas.openxmlformats.org/officeDocument/2006/relationships/hyperlink" Target="http://www.sec.gov/Archives/edgar/data/1459839/000119312518278797/d452987dex1023.htm" TargetMode="External"/><Relationship Id="rId84" Type="http://schemas.openxmlformats.org/officeDocument/2006/relationships/hyperlink" Target="http://www.sec.gov/Archives/edgar/data/1459839/000119312518278797/d452987dex1024.htm" TargetMode="External"/><Relationship Id="rId85" Type="http://schemas.openxmlformats.org/officeDocument/2006/relationships/hyperlink" Target="http://www.sec.gov/Archives/edgar/data/1459839/000119312518278797/d452987dex1025.htm" TargetMode="External"/><Relationship Id="rId86" Type="http://schemas.openxmlformats.org/officeDocument/2006/relationships/hyperlink" Target="http://www.sec.gov/Archives/edgar/data/1459839/000119312518278797/d452987dex1026.htm" TargetMode="External"/><Relationship Id="rId87" Type="http://schemas.openxmlformats.org/officeDocument/2006/relationships/hyperlink" Target="http://www.sec.gov/Archives/edgar/data/1459839/000119312518278797/d452987dex1027.htm" TargetMode="External"/><Relationship Id="rId88" Type="http://schemas.openxmlformats.org/officeDocument/2006/relationships/hyperlink" Target="http://www.sec.gov/Archives/edgar/data/1459839/000119312518278797/d452987dex1028.htm" TargetMode="External"/><Relationship Id="rId89" Type="http://schemas.openxmlformats.org/officeDocument/2006/relationships/hyperlink" Target="http://www.sec.gov/Archives/edgar/data/1459839/000119312518278797/d452987dex1029.htm" TargetMode="External"/><Relationship Id="rId90" Type="http://schemas.openxmlformats.org/officeDocument/2006/relationships/hyperlink" Target="http://www.sec.gov/Archives/edgar/data/1459839/000119312518278797/d452987d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2019-12-28T14:44:25Z</dcterms:created>
  <dcterms:modified xsi:type="dcterms:W3CDTF">2019-12-28T14:44:25Z</dcterms:modified>
</cp:coreProperties>
</file>