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4"/>
          <w:szCs w:val="14"/>
          <w:b w:val="1"/>
          <w:bCs w:val="1"/>
          <w:color w:val="auto"/>
        </w:rPr>
        <w:t>As filed with the U.S. Securities and Exchange Commission on March 1, 2022</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Registration No. 333-</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S-8</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REGISTRATION STATEMENT</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SECURITIES ACT OF 1933</w:t>
      </w:r>
    </w:p>
    <w:p>
      <w:pPr>
        <w:spacing w:after="0" w:line="103"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SI-BONE, Inc.</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880"/>
          </w:cols>
          <w:pgMar w:left="500" w:top="873" w:right="519" w:bottom="1440" w:gutter="0" w:footer="0" w:header="0"/>
        </w:sectPr>
      </w:pPr>
    </w:p>
    <w:p>
      <w:pPr>
        <w:spacing w:after="0" w:line="250" w:lineRule="exact"/>
        <w:rPr>
          <w:sz w:val="24"/>
          <w:szCs w:val="24"/>
          <w:color w:val="auto"/>
        </w:rPr>
      </w:pPr>
    </w:p>
    <w:p>
      <w:pPr>
        <w:ind w:left="26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26-2216351</w:t>
      </w:r>
    </w:p>
    <w:p>
      <w:pPr>
        <w:spacing w:after="0" w:line="50" w:lineRule="exact"/>
        <w:rPr>
          <w:sz w:val="24"/>
          <w:szCs w:val="24"/>
          <w:color w:val="auto"/>
        </w:rPr>
      </w:pPr>
    </w:p>
    <w:p>
      <w:pPr>
        <w:sectPr>
          <w:pgSz w:w="11900" w:h="16838" w:orient="portrait"/>
          <w:cols w:equalWidth="0" w:num="2">
            <w:col w:w="7140" w:space="720"/>
            <w:col w:w="3020"/>
          </w:cols>
          <w:pgMar w:left="500" w:top="873" w:right="519" w:bottom="1440" w:gutter="0" w:footer="0" w:header="0"/>
          <w:type w:val="continuous"/>
        </w:sectPr>
      </w:pPr>
    </w:p>
    <w:p>
      <w:pPr>
        <w:ind w:left="128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2">
            <w:col w:w="6500" w:space="720"/>
            <w:col w:w="3660"/>
          </w:cols>
          <w:pgMar w:left="500" w:top="873" w:right="519" w:bottom="1440" w:gutter="0" w:footer="0" w:header="0"/>
          <w:type w:val="continuous"/>
        </w:sectPr>
      </w:pP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471 El Camino Real, Suite 101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Santa Clara, California 95050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207-0700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SI-BONE, Inc. 2018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SI-BONE, Inc. 2018 Employee Stock Purchase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(Full titles of the plans)</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Anshul Maheshwari</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471 El Camino Real, Suite 101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Santa Clara, California 95050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207-0700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and address of agent for service) (Telephone number, including area code, of agent for service)</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Matthew B. Hemington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3175 Hanover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Palo Alto, California 94304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843-5000</w:t>
      </w:r>
    </w:p>
    <w:p>
      <w:pPr>
        <w:spacing w:after="0" w:line="233" w:lineRule="exact"/>
        <w:rPr>
          <w:sz w:val="24"/>
          <w:szCs w:val="24"/>
          <w:color w:val="auto"/>
        </w:rPr>
      </w:pPr>
    </w:p>
    <w:p>
      <w:pPr>
        <w:jc w:val="cente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1120" w:type="dxa"/>
        <w:tblCellMar>
          <w:top w:w="0" w:type="dxa"/>
          <w:left w:w="0" w:type="dxa"/>
          <w:bottom w:w="0" w:type="dxa"/>
          <w:right w:w="0" w:type="dxa"/>
        </w:tblCellMar>
      </w:tblPr>
      <w:tr>
        <w:trPr>
          <w:trHeight w:val="196"/>
        </w:trPr>
        <w:tc>
          <w:tcPr>
            <w:tcW w:w="26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700" w:type="dxa"/>
            <w:vAlign w:val="bottom"/>
          </w:tcPr>
          <w:p>
            <w:pPr>
              <w:ind w:left="1340"/>
              <w:spacing w:after="0"/>
              <w:rPr>
                <w:sz w:val="20"/>
                <w:szCs w:val="20"/>
                <w:color w:val="auto"/>
              </w:rPr>
            </w:pPr>
            <w:r>
              <w:rPr>
                <w:rFonts w:ascii="Arial" w:cs="Arial" w:eastAsia="Arial" w:hAnsi="Arial"/>
                <w:sz w:val="14"/>
                <w:szCs w:val="14"/>
                <w:color w:val="auto"/>
              </w:rPr>
              <w:t>x</w:t>
            </w:r>
          </w:p>
        </w:tc>
        <w:tc>
          <w:tcPr>
            <w:tcW w:w="2800" w:type="dxa"/>
            <w:vAlign w:val="bottom"/>
          </w:tcPr>
          <w:p>
            <w:pPr>
              <w:ind w:left="280"/>
              <w:spacing w:after="0"/>
              <w:rPr>
                <w:sz w:val="20"/>
                <w:szCs w:val="20"/>
                <w:color w:val="auto"/>
              </w:rPr>
            </w:pPr>
            <w:r>
              <w:rPr>
                <w:rFonts w:ascii="Arial" w:cs="Arial" w:eastAsia="Arial" w:hAnsi="Arial"/>
                <w:sz w:val="14"/>
                <w:szCs w:val="14"/>
                <w:color w:val="auto"/>
              </w:rPr>
              <w:t>Accelerated filer</w:t>
            </w:r>
          </w:p>
        </w:tc>
        <w:tc>
          <w:tcPr>
            <w:tcW w:w="1040" w:type="dxa"/>
            <w:vAlign w:val="bottom"/>
          </w:tcPr>
          <w:p>
            <w:pPr>
              <w:ind w:left="960"/>
              <w:spacing w:after="0"/>
              <w:rPr>
                <w:sz w:val="20"/>
                <w:szCs w:val="20"/>
                <w:color w:val="auto"/>
              </w:rPr>
            </w:pPr>
            <w:r>
              <w:rPr>
                <w:rFonts w:ascii="Arial" w:cs="Arial" w:eastAsia="Arial" w:hAnsi="Arial"/>
                <w:sz w:val="14"/>
                <w:szCs w:val="14"/>
                <w:color w:val="auto"/>
                <w:w w:val="76"/>
              </w:rPr>
              <w:t>o</w:t>
            </w:r>
          </w:p>
        </w:tc>
      </w:tr>
      <w:tr>
        <w:trPr>
          <w:trHeight w:val="425"/>
        </w:trPr>
        <w:tc>
          <w:tcPr>
            <w:tcW w:w="2640" w:type="dxa"/>
            <w:vAlign w:val="bottom"/>
          </w:tcPr>
          <w:p>
            <w:pPr>
              <w:spacing w:after="0"/>
              <w:rPr>
                <w:sz w:val="20"/>
                <w:szCs w:val="20"/>
                <w:color w:val="auto"/>
              </w:rPr>
            </w:pPr>
            <w:r>
              <w:rPr>
                <w:rFonts w:ascii="Arial" w:cs="Arial" w:eastAsia="Arial" w:hAnsi="Arial"/>
                <w:sz w:val="14"/>
                <w:szCs w:val="14"/>
                <w:color w:val="auto"/>
              </w:rPr>
              <w:t>Non-accelerated filer</w:t>
            </w:r>
          </w:p>
        </w:tc>
        <w:tc>
          <w:tcPr>
            <w:tcW w:w="1700" w:type="dxa"/>
            <w:vAlign w:val="bottom"/>
          </w:tcPr>
          <w:p>
            <w:pPr>
              <w:ind w:left="1340"/>
              <w:spacing w:after="0"/>
              <w:rPr>
                <w:sz w:val="20"/>
                <w:szCs w:val="20"/>
                <w:color w:val="auto"/>
              </w:rPr>
            </w:pPr>
            <w:r>
              <w:rPr>
                <w:rFonts w:ascii="Arial" w:cs="Arial" w:eastAsia="Arial" w:hAnsi="Arial"/>
                <w:sz w:val="14"/>
                <w:szCs w:val="14"/>
                <w:color w:val="auto"/>
              </w:rPr>
              <w:t>o</w:t>
            </w:r>
          </w:p>
        </w:tc>
        <w:tc>
          <w:tcPr>
            <w:tcW w:w="2800" w:type="dxa"/>
            <w:vAlign w:val="bottom"/>
          </w:tcPr>
          <w:p>
            <w:pPr>
              <w:ind w:left="280"/>
              <w:spacing w:after="0"/>
              <w:rPr>
                <w:sz w:val="20"/>
                <w:szCs w:val="20"/>
                <w:color w:val="auto"/>
              </w:rPr>
            </w:pPr>
            <w:r>
              <w:rPr>
                <w:rFonts w:ascii="Arial" w:cs="Arial" w:eastAsia="Arial" w:hAnsi="Arial"/>
                <w:sz w:val="14"/>
                <w:szCs w:val="14"/>
                <w:color w:val="auto"/>
              </w:rPr>
              <w:t>Smaller reporting company</w:t>
            </w:r>
          </w:p>
        </w:tc>
        <w:tc>
          <w:tcPr>
            <w:tcW w:w="1040" w:type="dxa"/>
            <w:vAlign w:val="bottom"/>
          </w:tcPr>
          <w:p>
            <w:pPr>
              <w:ind w:left="960"/>
              <w:spacing w:after="0"/>
              <w:rPr>
                <w:sz w:val="20"/>
                <w:szCs w:val="20"/>
                <w:color w:val="auto"/>
              </w:rPr>
            </w:pPr>
            <w:r>
              <w:rPr>
                <w:rFonts w:ascii="Arial" w:cs="Arial" w:eastAsia="Arial" w:hAnsi="Arial"/>
                <w:sz w:val="14"/>
                <w:szCs w:val="14"/>
                <w:color w:val="auto"/>
                <w:w w:val="76"/>
              </w:rPr>
              <w:t>o</w:t>
            </w:r>
          </w:p>
        </w:tc>
      </w:tr>
      <w:tr>
        <w:trPr>
          <w:trHeight w:val="196"/>
        </w:trPr>
        <w:tc>
          <w:tcPr>
            <w:tcW w:w="26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0" w:type="dxa"/>
            <w:vAlign w:val="bottom"/>
          </w:tcPr>
          <w:p>
            <w:pPr>
              <w:ind w:left="280"/>
              <w:spacing w:after="0"/>
              <w:rPr>
                <w:sz w:val="20"/>
                <w:szCs w:val="20"/>
                <w:color w:val="auto"/>
              </w:rPr>
            </w:pPr>
            <w:r>
              <w:rPr>
                <w:rFonts w:ascii="Arial" w:cs="Arial" w:eastAsia="Arial" w:hAnsi="Arial"/>
                <w:sz w:val="14"/>
                <w:szCs w:val="14"/>
                <w:color w:val="auto"/>
              </w:rPr>
              <w:t>Emerging growth company</w:t>
            </w:r>
          </w:p>
        </w:tc>
        <w:tc>
          <w:tcPr>
            <w:tcW w:w="1040" w:type="dxa"/>
            <w:vAlign w:val="bottom"/>
          </w:tcPr>
          <w:p>
            <w:pPr>
              <w:ind w:left="960"/>
              <w:spacing w:after="0"/>
              <w:rPr>
                <w:sz w:val="20"/>
                <w:szCs w:val="20"/>
                <w:color w:val="auto"/>
              </w:rPr>
            </w:pPr>
            <w:r>
              <w:rPr>
                <w:rFonts w:ascii="Arial" w:cs="Arial" w:eastAsia="Arial" w:hAnsi="Arial"/>
                <w:sz w:val="14"/>
                <w:szCs w:val="14"/>
                <w:color w:val="auto"/>
                <w:w w:val="76"/>
              </w:rPr>
              <w:t>o</w:t>
            </w:r>
          </w:p>
        </w:tc>
      </w:tr>
    </w:tbl>
    <w:p>
      <w:pPr>
        <w:spacing w:after="0" w:line="317" w:lineRule="exact"/>
        <w:rPr>
          <w:sz w:val="24"/>
          <w:szCs w:val="24"/>
          <w:color w:val="auto"/>
        </w:rPr>
      </w:pPr>
    </w:p>
    <w:p>
      <w:pPr>
        <w:jc w:val="center"/>
        <w:ind w:left="520" w:right="10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0880"/>
          </w:cols>
          <w:pgMar w:left="500" w:top="873" w:right="5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6"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Pursuant to General Instruction E of Form S-8, SI-BONE, Inc.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is filing this Registration Statement for the purpose of registering</w:t>
      </w:r>
    </w:p>
    <w:p>
      <w:pPr>
        <w:spacing w:after="0" w:line="5" w:lineRule="exact"/>
        <w:rPr>
          <w:sz w:val="20"/>
          <w:szCs w:val="20"/>
          <w:color w:val="auto"/>
        </w:rPr>
      </w:pPr>
    </w:p>
    <w:p>
      <w:pPr>
        <w:jc w:val="both"/>
        <w:ind w:firstLine="8"/>
        <w:spacing w:after="0" w:line="237" w:lineRule="auto"/>
        <w:tabs>
          <w:tab w:leader="none" w:pos="246" w:val="left"/>
        </w:tabs>
        <w:numPr>
          <w:ilvl w:val="0"/>
          <w:numId w:val="1"/>
        </w:numPr>
        <w:rPr>
          <w:rFonts w:ascii="Arial" w:cs="Arial" w:eastAsia="Arial" w:hAnsi="Arial"/>
          <w:sz w:val="17"/>
          <w:szCs w:val="17"/>
          <w:color w:val="auto"/>
        </w:rPr>
      </w:pPr>
      <w:r>
        <w:rPr>
          <w:rFonts w:ascii="Arial" w:cs="Arial" w:eastAsia="Arial" w:hAnsi="Arial"/>
          <w:sz w:val="17"/>
          <w:szCs w:val="17"/>
          <w:color w:val="auto"/>
        </w:rPr>
        <w:t>an additional 1,683,704 shares of its common stock, issuable to eligible persons under its 2018 Equity Incentive Plan (the “2018 Plan”), which common stock is in addition to the shares of common stock previously registered on the Registrant’s Form S-8 registration statements filed on October 19, 2018 (File No. 333-227907), March 22, 2019 (File No. 333-230473), March 11, 2020 (File No. 333-237091) and March 10, 2021 (File No. 333-254086) (the “</w:t>
      </w:r>
      <w:r>
        <w:rPr>
          <w:rFonts w:ascii="Arial" w:cs="Arial" w:eastAsia="Arial" w:hAnsi="Arial"/>
          <w:sz w:val="17"/>
          <w:szCs w:val="17"/>
          <w:b w:val="1"/>
          <w:bCs w:val="1"/>
          <w:i w:val="1"/>
          <w:iCs w:val="1"/>
          <w:color w:val="auto"/>
        </w:rPr>
        <w:t>Prior Forms S-8</w:t>
      </w:r>
      <w:r>
        <w:rPr>
          <w:rFonts w:ascii="Arial" w:cs="Arial" w:eastAsia="Arial" w:hAnsi="Arial"/>
          <w:sz w:val="17"/>
          <w:szCs w:val="17"/>
          <w:color w:val="auto"/>
        </w:rPr>
        <w:t>”) and (b) an additional 336,741 shares of its common stock, issuable to eligible persons under its 2018 Employee Stock Purchase Plan (the “2018 ESPP”), which common stock is in addition to the shares of common stock previously registered on the Prior Forms S-8. The contents of the Prior Forms S-8 are incorporated by reference in this Registration Statement.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INCORPORATION OF CERTAIN DOCUMENTS BY REFERENCE</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8"/>
          <w:szCs w:val="18"/>
          <w:color w:val="auto"/>
        </w:rPr>
        <w:t>The following documents filed by the Registrant with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are incorporated by reference into this Registration Statement:</w:t>
      </w:r>
    </w:p>
    <w:p>
      <w:pPr>
        <w:spacing w:after="0" w:line="130" w:lineRule="exact"/>
        <w:rPr>
          <w:sz w:val="20"/>
          <w:szCs w:val="20"/>
          <w:color w:val="auto"/>
        </w:rPr>
      </w:pPr>
    </w:p>
    <w:p>
      <w:pPr>
        <w:ind w:left="40" w:firstLine="656"/>
        <w:spacing w:after="0" w:line="377" w:lineRule="auto"/>
        <w:tabs>
          <w:tab w:leader="none" w:pos="1094" w:val="left"/>
        </w:tabs>
        <w:numPr>
          <w:ilvl w:val="0"/>
          <w:numId w:val="2"/>
        </w:numPr>
        <w:rPr>
          <w:rFonts w:ascii="Arial" w:cs="Arial" w:eastAsia="Arial" w:hAnsi="Arial"/>
          <w:sz w:val="16"/>
          <w:szCs w:val="16"/>
          <w:color w:val="0000FF"/>
        </w:rPr>
      </w:pPr>
      <w:hyperlink r:id="rId8">
        <w:r>
          <w:rPr>
            <w:rFonts w:ascii="Arial" w:cs="Arial" w:eastAsia="Arial" w:hAnsi="Arial"/>
            <w:sz w:val="16"/>
            <w:szCs w:val="16"/>
            <w:color w:val="auto"/>
          </w:rPr>
          <w:t xml:space="preserve">The contents of the earlier registration statements on Form S-8 relating to the 2018 Plan and 2018 ESPP, filed with the SEC on </w:t>
        </w:r>
        <w:r>
          <w:rPr>
            <w:rFonts w:ascii="Arial" w:cs="Arial" w:eastAsia="Arial" w:hAnsi="Arial"/>
            <w:sz w:val="16"/>
            <w:szCs w:val="16"/>
            <w:u w:val="single" w:color="auto"/>
            <w:color w:val="0000FF"/>
          </w:rPr>
          <w:t>October 19,</w:t>
        </w:r>
      </w:hyperlink>
      <w:r>
        <w:rPr>
          <w:rFonts w:ascii="Arial" w:cs="Arial" w:eastAsia="Arial" w:hAnsi="Arial"/>
          <w:sz w:val="16"/>
          <w:szCs w:val="16"/>
          <w:color w:val="auto"/>
        </w:rPr>
        <w:t xml:space="preserve"> </w:t>
      </w:r>
      <w:hyperlink r:id="rId8">
        <w:r>
          <w:rPr>
            <w:rFonts w:ascii="Arial" w:cs="Arial" w:eastAsia="Arial" w:hAnsi="Arial"/>
            <w:sz w:val="16"/>
            <w:szCs w:val="16"/>
            <w:u w:val="single" w:color="auto"/>
            <w:color w:val="0000FF"/>
          </w:rPr>
          <w:t>2018</w:t>
        </w:r>
        <w:r>
          <w:rPr>
            <w:rFonts w:ascii="Arial" w:cs="Arial" w:eastAsia="Arial" w:hAnsi="Arial"/>
            <w:sz w:val="16"/>
            <w:szCs w:val="16"/>
            <w:color w:val="0000FF"/>
          </w:rPr>
          <w:t xml:space="preserve"> </w:t>
        </w:r>
        <w:r>
          <w:rPr>
            <w:rFonts w:ascii="Arial" w:cs="Arial" w:eastAsia="Arial" w:hAnsi="Arial"/>
            <w:sz w:val="16"/>
            <w:szCs w:val="16"/>
            <w:color w:val="000000"/>
          </w:rPr>
          <w:t>(File No. 333-227907),</w:t>
        </w:r>
        <w:r>
          <w:rPr>
            <w:rFonts w:ascii="Arial" w:cs="Arial" w:eastAsia="Arial" w:hAnsi="Arial"/>
            <w:sz w:val="16"/>
            <w:szCs w:val="16"/>
            <w:color w:val="0000FF"/>
          </w:rPr>
          <w:t xml:space="preserve"> </w:t>
        </w:r>
      </w:hyperlink>
      <w:hyperlink r:id="rId9">
        <w:r>
          <w:rPr>
            <w:rFonts w:ascii="Arial" w:cs="Arial" w:eastAsia="Arial" w:hAnsi="Arial"/>
            <w:sz w:val="16"/>
            <w:szCs w:val="16"/>
            <w:u w:val="single" w:color="auto"/>
            <w:color w:val="0000FF"/>
          </w:rPr>
          <w:t xml:space="preserve">March 22, 2019 </w:t>
        </w:r>
      </w:hyperlink>
      <w:hyperlink r:id="rId8">
        <w:r>
          <w:rPr>
            <w:rFonts w:ascii="Arial" w:cs="Arial" w:eastAsia="Arial" w:hAnsi="Arial"/>
            <w:sz w:val="16"/>
            <w:szCs w:val="16"/>
            <w:color w:val="000000"/>
          </w:rPr>
          <w:t>(File No. 333-230473),</w:t>
        </w:r>
        <w:r>
          <w:rPr>
            <w:rFonts w:ascii="Arial" w:cs="Arial" w:eastAsia="Arial" w:hAnsi="Arial"/>
            <w:sz w:val="16"/>
            <w:szCs w:val="16"/>
            <w:color w:val="0000FF"/>
          </w:rPr>
          <w:t xml:space="preserve"> </w:t>
        </w:r>
      </w:hyperlink>
      <w:hyperlink r:id="rId10">
        <w:r>
          <w:rPr>
            <w:rFonts w:ascii="Arial" w:cs="Arial" w:eastAsia="Arial" w:hAnsi="Arial"/>
            <w:sz w:val="16"/>
            <w:szCs w:val="16"/>
            <w:u w:val="single" w:color="auto"/>
            <w:color w:val="0000FF"/>
          </w:rPr>
          <w:t xml:space="preserve">March 11, 2020 </w:t>
        </w:r>
      </w:hyperlink>
      <w:hyperlink r:id="rId8">
        <w:r>
          <w:rPr>
            <w:rFonts w:ascii="Arial" w:cs="Arial" w:eastAsia="Arial" w:hAnsi="Arial"/>
            <w:sz w:val="16"/>
            <w:szCs w:val="16"/>
            <w:color w:val="000000"/>
          </w:rPr>
          <w:t>(File No. 333-237091) and</w:t>
        </w:r>
        <w:r>
          <w:rPr>
            <w:rFonts w:ascii="Arial" w:cs="Arial" w:eastAsia="Arial" w:hAnsi="Arial"/>
            <w:sz w:val="16"/>
            <w:szCs w:val="16"/>
            <w:color w:val="0000FF"/>
          </w:rPr>
          <w:t xml:space="preserve"> </w:t>
        </w:r>
      </w:hyperlink>
      <w:hyperlink r:id="rId11">
        <w:r>
          <w:rPr>
            <w:rFonts w:ascii="Arial" w:cs="Arial" w:eastAsia="Arial" w:hAnsi="Arial"/>
            <w:sz w:val="16"/>
            <w:szCs w:val="16"/>
            <w:u w:val="single" w:color="auto"/>
            <w:color w:val="0000FF"/>
          </w:rPr>
          <w:t xml:space="preserve">March 10, 2021 </w:t>
        </w:r>
      </w:hyperlink>
      <w:hyperlink r:id="rId8">
        <w:r>
          <w:rPr>
            <w:rFonts w:ascii="Arial" w:cs="Arial" w:eastAsia="Arial" w:hAnsi="Arial"/>
            <w:sz w:val="16"/>
            <w:szCs w:val="16"/>
            <w:color w:val="000000"/>
          </w:rPr>
          <w:t>(File No. 333-254086).</w:t>
        </w:r>
      </w:hyperlink>
    </w:p>
    <w:p>
      <w:pPr>
        <w:spacing w:after="0" w:line="150" w:lineRule="exact"/>
        <w:rPr>
          <w:rFonts w:ascii="Arial" w:cs="Arial" w:eastAsia="Arial" w:hAnsi="Arial"/>
          <w:sz w:val="16"/>
          <w:szCs w:val="16"/>
          <w:color w:val="0000FF"/>
        </w:rPr>
      </w:pPr>
    </w:p>
    <w:p>
      <w:pPr>
        <w:ind w:left="1100" w:hanging="404"/>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Form 10-K for the year ended December 31, 2021, filed with the SEC on </w:t>
      </w:r>
      <w:hyperlink r:id="rId12">
        <w:r>
          <w:rPr>
            <w:rFonts w:ascii="Arial" w:cs="Arial" w:eastAsia="Arial" w:hAnsi="Arial"/>
            <w:sz w:val="18"/>
            <w:szCs w:val="18"/>
            <w:u w:val="single" w:color="auto"/>
            <w:color w:val="0000FF"/>
          </w:rPr>
          <w:t>March 1, 2022</w:t>
        </w:r>
      </w:hyperlink>
      <w:r>
        <w:rPr>
          <w:rFonts w:ascii="Arial" w:cs="Arial" w:eastAsia="Arial" w:hAnsi="Arial"/>
          <w:sz w:val="18"/>
          <w:szCs w:val="18"/>
          <w:color w:val="auto"/>
          <w:highlight w:val="white"/>
        </w:rPr>
        <w:t>.</w:t>
      </w:r>
    </w:p>
    <w:p>
      <w:pPr>
        <w:spacing w:after="0" w:line="265" w:lineRule="exact"/>
        <w:rPr>
          <w:rFonts w:ascii="Arial" w:cs="Arial" w:eastAsia="Arial" w:hAnsi="Arial"/>
          <w:sz w:val="18"/>
          <w:szCs w:val="18"/>
          <w:color w:val="auto"/>
        </w:rPr>
      </w:pPr>
    </w:p>
    <w:p>
      <w:pPr>
        <w:ind w:left="40" w:right="180" w:firstLine="656"/>
        <w:spacing w:after="0" w:line="291" w:lineRule="auto"/>
        <w:tabs>
          <w:tab w:leader="none" w:pos="1064"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Registrant’s Current Reports on Form 8-K filed with the SEC on </w:t>
      </w:r>
      <w:hyperlink r:id="rId13">
        <w:r>
          <w:rPr>
            <w:rFonts w:ascii="Arial" w:cs="Arial" w:eastAsia="Arial" w:hAnsi="Arial"/>
            <w:sz w:val="17"/>
            <w:szCs w:val="17"/>
            <w:u w:val="single" w:color="auto"/>
            <w:color w:val="0000FF"/>
          </w:rPr>
          <w:t>January 10, 2022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(other than the information in Item 2.02, Item 7.01, and related Exhibits 99.1 and 99.2, which is furnished, not filed) and </w:t>
      </w:r>
      <w:hyperlink r:id="rId14">
        <w:r>
          <w:rPr>
            <w:rFonts w:ascii="Arial" w:cs="Arial" w:eastAsia="Arial" w:hAnsi="Arial"/>
            <w:sz w:val="17"/>
            <w:szCs w:val="17"/>
            <w:u w:val="single" w:color="auto"/>
            <w:color w:val="0000FF"/>
          </w:rPr>
          <w:t>February 28, 2022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highlight w:val="white"/>
        </w:rPr>
        <w:t>(other</w:t>
      </w:r>
      <w:r>
        <w:rPr>
          <w:rFonts w:ascii="Arial" w:cs="Arial" w:eastAsia="Arial" w:hAnsi="Arial"/>
          <w:sz w:val="17"/>
          <w:szCs w:val="17"/>
          <w:color w:val="auto"/>
        </w:rPr>
        <w:t xml:space="preserve"> than Item 2.02 and related exhibit).</w:t>
      </w:r>
    </w:p>
    <w:p>
      <w:pPr>
        <w:spacing w:after="0" w:line="187" w:lineRule="exact"/>
        <w:rPr>
          <w:rFonts w:ascii="Arial" w:cs="Arial" w:eastAsia="Arial" w:hAnsi="Arial"/>
          <w:sz w:val="17"/>
          <w:szCs w:val="17"/>
          <w:color w:val="auto"/>
        </w:rPr>
      </w:pPr>
    </w:p>
    <w:p>
      <w:pPr>
        <w:jc w:val="both"/>
        <w:ind w:left="40" w:firstLine="656"/>
        <w:spacing w:after="0" w:line="290" w:lineRule="auto"/>
        <w:tabs>
          <w:tab w:leader="none" w:pos="1133"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which is contained in a registration statement on </w:t>
      </w:r>
      <w:hyperlink r:id="rId15">
        <w:r>
          <w:rPr>
            <w:rFonts w:ascii="Arial" w:cs="Arial" w:eastAsia="Arial" w:hAnsi="Arial"/>
            <w:sz w:val="18"/>
            <w:szCs w:val="18"/>
            <w:u w:val="single" w:color="auto"/>
            <w:color w:val="0000FF"/>
          </w:rPr>
          <w:t>Form 8-A filed on October 11, 2018</w:t>
        </w:r>
      </w:hyperlink>
      <w:r>
        <w:rPr>
          <w:rFonts w:ascii="Arial" w:cs="Arial" w:eastAsia="Arial" w:hAnsi="Arial"/>
          <w:sz w:val="18"/>
          <w:szCs w:val="18"/>
          <w:color w:val="auto"/>
        </w:rPr>
        <w:t xml:space="preserve"> (File No. 001-38701) under the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including any amendment or report filed for the purpose of updating such description, including the Description of SI-BONE, Inc. Common stock filed as Exhibit 4.3 to the Registrant's Form 10-K filed with the SEC on May 5, 2020.</w:t>
      </w:r>
    </w:p>
    <w:p>
      <w:pPr>
        <w:spacing w:after="0" w:line="214" w:lineRule="exact"/>
        <w:rPr>
          <w:rFonts w:ascii="Arial" w:cs="Arial" w:eastAsia="Arial" w:hAnsi="Arial"/>
          <w:sz w:val="18"/>
          <w:szCs w:val="18"/>
          <w:color w:val="auto"/>
        </w:rPr>
      </w:pPr>
    </w:p>
    <w:p>
      <w:pPr>
        <w:jc w:val="both"/>
        <w:ind w:left="40" w:firstLine="656"/>
        <w:spacing w:after="0" w:line="325" w:lineRule="auto"/>
        <w:tabs>
          <w:tab w:leader="none" w:pos="1103"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240"/>
          </w:cols>
          <w:pgMar w:left="320" w:top="769" w:right="339" w:bottom="1440" w:gutter="0" w:footer="0" w:header="0"/>
        </w:sectPr>
      </w:pPr>
    </w:p>
    <w:bookmarkStart w:id="2" w:name="page3"/>
    <w:bookmarkEnd w:id="2"/>
    <w:p>
      <w:pPr>
        <w:spacing w:after="0"/>
        <w:tabs>
          <w:tab w:leader="none" w:pos="820" w:val="left"/>
        </w:tabs>
        <w:rPr>
          <w:sz w:val="20"/>
          <w:szCs w:val="20"/>
          <w:color w:val="auto"/>
        </w:rPr>
      </w:pPr>
      <w:r>
        <w:rPr>
          <w:rFonts w:ascii="Arial" w:cs="Arial" w:eastAsia="Arial" w:hAnsi="Arial"/>
          <w:sz w:val="18"/>
          <w:szCs w:val="18"/>
          <w:b w:val="1"/>
          <w:bCs w:val="1"/>
          <w:color w:val="auto"/>
        </w:rPr>
        <w:t>ITEM 8.</w:t>
        <w:tab/>
        <w:t>EXHIBITS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to this Registration Statement are listed below.</w:t>
      </w:r>
    </w:p>
    <w:p>
      <w:pPr>
        <w:spacing w:after="0" w:line="307" w:lineRule="exact"/>
        <w:rPr>
          <w:sz w:val="20"/>
          <w:szCs w:val="20"/>
          <w:color w:val="auto"/>
        </w:rPr>
      </w:pPr>
    </w:p>
    <w:tbl>
      <w:tblPr>
        <w:tblLayout w:type="fixed"/>
        <w:tblInd w:w="140" w:type="dxa"/>
        <w:tblCellMar>
          <w:top w:w="0" w:type="dxa"/>
          <w:left w:w="0" w:type="dxa"/>
          <w:bottom w:w="0" w:type="dxa"/>
          <w:right w:w="0" w:type="dxa"/>
        </w:tblCellMar>
      </w:tblPr>
      <w:tr>
        <w:trPr>
          <w:trHeight w:val="213"/>
        </w:trPr>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520"/>
              <w:spacing w:after="0"/>
              <w:rPr>
                <w:sz w:val="20"/>
                <w:szCs w:val="20"/>
                <w:color w:val="auto"/>
              </w:rPr>
            </w:pPr>
            <w:r>
              <w:rPr>
                <w:rFonts w:ascii="Arial" w:cs="Arial" w:eastAsia="Arial" w:hAnsi="Arial"/>
                <w:sz w:val="16"/>
                <w:szCs w:val="16"/>
                <w:b w:val="1"/>
                <w:bCs w:val="1"/>
                <w:color w:val="auto"/>
                <w:w w:val="93"/>
              </w:rPr>
              <w:t>Incorporated by Reference</w:t>
            </w:r>
          </w:p>
        </w:tc>
        <w:tc>
          <w:tcPr>
            <w:tcW w:w="1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Exhibit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21"/>
            <w:vMerge w:val="restart"/>
          </w:tcPr>
          <w:p>
            <w:pPr>
              <w:ind w:left="140"/>
              <w:spacing w:after="0"/>
              <w:rPr>
                <w:sz w:val="20"/>
                <w:szCs w:val="20"/>
                <w:color w:val="auto"/>
              </w:rPr>
            </w:pPr>
            <w:r>
              <w:rPr>
                <w:rFonts w:ascii="Arial" w:cs="Arial" w:eastAsia="Arial" w:hAnsi="Arial"/>
                <w:sz w:val="16"/>
                <w:szCs w:val="16"/>
                <w:b w:val="1"/>
                <w:bCs w:val="1"/>
                <w:color w:val="auto"/>
              </w:rPr>
              <w:t>Description</w:t>
            </w: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Schedule</w:t>
            </w:r>
          </w:p>
        </w:tc>
        <w:tc>
          <w:tcPr>
            <w:tcW w:w="13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File Number</w:t>
            </w:r>
          </w:p>
        </w:tc>
        <w:tc>
          <w:tcPr>
            <w:tcW w:w="110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Exhibit</w:t>
            </w:r>
          </w:p>
        </w:tc>
        <w:tc>
          <w:tcPr>
            <w:tcW w:w="172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6"/>
              </w:rPr>
              <w:t>Filed On</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213"/>
        </w:trPr>
        <w:tc>
          <w:tcPr>
            <w:tcW w:w="10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Number</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21"/>
            <w:vMerge w:val="continue"/>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Form</w:t>
            </w:r>
          </w:p>
        </w:tc>
        <w:tc>
          <w:tcPr>
            <w:tcW w:w="1340" w:type="dxa"/>
            <w:vAlign w:val="bottom"/>
            <w:gridSpan w:val="2"/>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r>
        <w:trPr>
          <w:trHeight w:val="185"/>
        </w:trPr>
        <w:tc>
          <w:tcPr>
            <w:tcW w:w="92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80" w:type="dxa"/>
            <w:vAlign w:val="bottom"/>
            <w:tcBorders>
              <w:top w:val="single" w:sz="8" w:color="auto"/>
            </w:tcBorders>
            <w:gridSpan w:val="26"/>
          </w:tcPr>
          <w:p>
            <w:pPr>
              <w:spacing w:after="0" w:line="185" w:lineRule="exact"/>
              <w:rPr>
                <w:rFonts w:ascii="Arial" w:cs="Arial" w:eastAsia="Arial" w:hAnsi="Arial"/>
                <w:sz w:val="18"/>
                <w:szCs w:val="18"/>
                <w:color w:val="0000FF"/>
              </w:rPr>
            </w:pPr>
            <w:hyperlink r:id="rId16">
              <w:r>
                <w:rPr>
                  <w:rFonts w:ascii="Arial" w:cs="Arial" w:eastAsia="Arial" w:hAnsi="Arial"/>
                  <w:sz w:val="18"/>
                  <w:szCs w:val="18"/>
                  <w:color w:val="0000FF"/>
                </w:rPr>
                <w:t>Amended and Restated Certificate of</w:t>
              </w:r>
            </w:hyperlink>
          </w:p>
        </w:tc>
        <w:tc>
          <w:tcPr>
            <w:tcW w:w="120" w:type="dxa"/>
            <w:vAlign w:val="bottom"/>
          </w:tcPr>
          <w:p>
            <w:pPr>
              <w:spacing w:after="0"/>
              <w:rPr>
                <w:sz w:val="16"/>
                <w:szCs w:val="16"/>
                <w:color w:val="auto"/>
              </w:rPr>
            </w:pPr>
          </w:p>
        </w:tc>
        <w:tc>
          <w:tcPr>
            <w:tcW w:w="96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9"/>
              </w:rPr>
              <w:t>8-K</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0"/>
              </w:rPr>
              <w:t>001-38701</w:t>
            </w:r>
          </w:p>
        </w:tc>
        <w:tc>
          <w:tcPr>
            <w:tcW w:w="140" w:type="dxa"/>
            <w:vAlign w:val="bottom"/>
          </w:tcPr>
          <w:p>
            <w:pPr>
              <w:spacing w:after="0"/>
              <w:rPr>
                <w:sz w:val="16"/>
                <w:szCs w:val="16"/>
                <w:color w:val="auto"/>
              </w:rPr>
            </w:pPr>
          </w:p>
        </w:tc>
        <w:tc>
          <w:tcPr>
            <w:tcW w:w="78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center"/>
              <w:ind w:right="91"/>
              <w:spacing w:after="0" w:line="185" w:lineRule="exact"/>
              <w:rPr>
                <w:sz w:val="20"/>
                <w:szCs w:val="20"/>
                <w:color w:val="auto"/>
              </w:rPr>
            </w:pPr>
            <w:r>
              <w:rPr>
                <w:rFonts w:ascii="Arial" w:cs="Arial" w:eastAsia="Arial" w:hAnsi="Arial"/>
                <w:sz w:val="18"/>
                <w:szCs w:val="18"/>
                <w:color w:val="auto"/>
                <w:w w:val="90"/>
              </w:rPr>
              <w:t>October 19, 2018</w:t>
            </w:r>
          </w:p>
        </w:tc>
        <w:tc>
          <w:tcPr>
            <w:tcW w:w="16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80" w:type="dxa"/>
            <w:vAlign w:val="bottom"/>
            <w:tcBorders>
              <w:top w:val="single" w:sz="8" w:color="0000FF"/>
            </w:tcBorders>
            <w:gridSpan w:val="13"/>
          </w:tcPr>
          <w:p>
            <w:pPr>
              <w:spacing w:after="0" w:line="156" w:lineRule="exact"/>
              <w:rPr>
                <w:rFonts w:ascii="Arial" w:cs="Arial" w:eastAsia="Arial" w:hAnsi="Arial"/>
                <w:sz w:val="18"/>
                <w:szCs w:val="18"/>
                <w:color w:val="0000FF"/>
                <w:w w:val="98"/>
              </w:rPr>
            </w:pPr>
            <w:hyperlink r:id="rId16">
              <w:r>
                <w:rPr>
                  <w:rFonts w:ascii="Arial" w:cs="Arial" w:eastAsia="Arial" w:hAnsi="Arial"/>
                  <w:sz w:val="18"/>
                  <w:szCs w:val="18"/>
                  <w:color w:val="0000FF"/>
                  <w:w w:val="98"/>
                </w:rPr>
                <w:t>Incorporation of the Registrant, as</w:t>
              </w:r>
            </w:hyperlink>
          </w:p>
        </w:tc>
        <w:tc>
          <w:tcPr>
            <w:tcW w:w="920" w:type="dxa"/>
            <w:vAlign w:val="bottom"/>
            <w:gridSpan w:val="14"/>
          </w:tcPr>
          <w:p>
            <w:pPr>
              <w:spacing w:after="0" w:line="156" w:lineRule="exact"/>
              <w:rPr>
                <w:rFonts w:ascii="Arial" w:cs="Arial" w:eastAsia="Arial" w:hAnsi="Arial"/>
                <w:sz w:val="18"/>
                <w:szCs w:val="18"/>
                <w:color w:val="0000FF"/>
              </w:rPr>
            </w:pPr>
            <w:hyperlink r:id="rId16">
              <w:r>
                <w:rPr>
                  <w:rFonts w:ascii="Arial" w:cs="Arial" w:eastAsia="Arial" w:hAnsi="Arial"/>
                  <w:sz w:val="18"/>
                  <w:szCs w:val="18"/>
                  <w:color w:val="0000FF"/>
                </w:rPr>
                <w:t>currently in</w:t>
              </w:r>
            </w:hyperlink>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6">
              <w:r>
                <w:rPr>
                  <w:rFonts w:ascii="Arial" w:cs="Arial" w:eastAsia="Arial" w:hAnsi="Arial"/>
                  <w:sz w:val="18"/>
                  <w:szCs w:val="18"/>
                  <w:color w:val="0000FF"/>
                  <w:w w:val="89"/>
                </w:rPr>
                <w:t>effect.</w:t>
              </w:r>
            </w:hyperlink>
          </w:p>
        </w:tc>
        <w:tc>
          <w:tcPr>
            <w:tcW w:w="2880" w:type="dxa"/>
            <w:vAlign w:val="bottom"/>
            <w:tcBorders>
              <w:top w:val="single" w:sz="8" w:color="0000FF"/>
            </w:tcBorders>
            <w:gridSpan w:val="23"/>
          </w:tcPr>
          <w:p>
            <w:pPr>
              <w:spacing w:after="0"/>
              <w:rPr>
                <w:sz w:val="13"/>
                <w:szCs w:val="13"/>
                <w:color w:val="auto"/>
              </w:rPr>
            </w:pPr>
          </w:p>
        </w:tc>
        <w:tc>
          <w:tcPr>
            <w:tcW w:w="26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27"/>
          </w:tcPr>
          <w:p>
            <w:pPr>
              <w:spacing w:after="0"/>
              <w:rPr>
                <w:rFonts w:ascii="Arial" w:cs="Arial" w:eastAsia="Arial" w:hAnsi="Arial"/>
                <w:sz w:val="18"/>
                <w:szCs w:val="18"/>
                <w:color w:val="0000FF"/>
              </w:rPr>
            </w:pPr>
            <w:hyperlink r:id="rId17">
              <w:r>
                <w:rPr>
                  <w:rFonts w:ascii="Arial" w:cs="Arial" w:eastAsia="Arial" w:hAnsi="Arial"/>
                  <w:sz w:val="18"/>
                  <w:szCs w:val="18"/>
                  <w:color w:val="0000FF"/>
                </w:rPr>
                <w:t>Amended and Restated Bylaws of the</w:t>
              </w:r>
            </w:hyperlink>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color w:val="auto"/>
              </w:rPr>
              <w:t>October 5, 2018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17">
              <w:r>
                <w:rPr>
                  <w:rFonts w:ascii="Arial" w:cs="Arial" w:eastAsia="Arial" w:hAnsi="Arial"/>
                  <w:sz w:val="18"/>
                  <w:szCs w:val="18"/>
                  <w:color w:val="0000FF"/>
                  <w:w w:val="90"/>
                </w:rPr>
                <w:t>Registrant, as currently in effect.</w:t>
              </w:r>
            </w:hyperlink>
          </w:p>
        </w:tc>
        <w:tc>
          <w:tcPr>
            <w:tcW w:w="36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27"/>
          </w:tcPr>
          <w:p>
            <w:pPr>
              <w:spacing w:after="0"/>
              <w:rPr>
                <w:rFonts w:ascii="Arial" w:cs="Arial" w:eastAsia="Arial" w:hAnsi="Arial"/>
                <w:sz w:val="18"/>
                <w:szCs w:val="18"/>
                <w:color w:val="0000FF"/>
              </w:rPr>
            </w:pPr>
            <w:hyperlink r:id="rId18">
              <w:r>
                <w:rPr>
                  <w:rFonts w:ascii="Arial" w:cs="Arial" w:eastAsia="Arial" w:hAnsi="Arial"/>
                  <w:sz w:val="18"/>
                  <w:szCs w:val="18"/>
                  <w:color w:val="0000FF"/>
                </w:rPr>
                <w:t>Form of Registrant’s Common Stock</w:t>
              </w:r>
            </w:hyperlink>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color w:val="auto"/>
              </w:rPr>
              <w:t>October 5, 2018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8">
              <w:r>
                <w:rPr>
                  <w:rFonts w:ascii="Arial" w:cs="Arial" w:eastAsia="Arial" w:hAnsi="Arial"/>
                  <w:sz w:val="18"/>
                  <w:szCs w:val="18"/>
                  <w:color w:val="0000FF"/>
                </w:rPr>
                <w:t>Certificate.</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7">
              <w:r>
                <w:rPr>
                  <w:rFonts w:ascii="Arial" w:cs="Arial" w:eastAsia="Arial" w:hAnsi="Arial"/>
                  <w:sz w:val="18"/>
                  <w:szCs w:val="18"/>
                  <w:color w:val="0000FF"/>
                  <w:w w:val="92"/>
                </w:rPr>
                <w:t>Opinion of Cooley LLP.</w:t>
              </w:r>
            </w:hyperlink>
          </w:p>
        </w:tc>
        <w:tc>
          <w:tcPr>
            <w:tcW w:w="1860" w:type="dxa"/>
            <w:vAlign w:val="bottom"/>
            <w:gridSpan w:val="19"/>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209"/>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27"/>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Consent of Cooley LLP (included in</w:t>
              </w:r>
            </w:hyperlink>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2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Exhibit 5.1).</w:t>
              </w:r>
            </w:hyperlink>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2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Consent of PricewaterhouseCoopers LLP,</w:t>
              </w:r>
            </w:hyperlink>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87"/>
              </w:rPr>
            </w:pPr>
            <w:hyperlink w:anchor="page8">
              <w:r>
                <w:rPr>
                  <w:rFonts w:ascii="Arial" w:cs="Arial" w:eastAsia="Arial" w:hAnsi="Arial"/>
                  <w:sz w:val="18"/>
                  <w:szCs w:val="18"/>
                  <w:color w:val="0000FF"/>
                  <w:w w:val="87"/>
                </w:rPr>
                <w:t>Independent Registered Public Accounting</w:t>
              </w:r>
            </w:hyperlink>
          </w:p>
        </w:tc>
        <w:tc>
          <w:tcPr>
            <w:tcW w:w="10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bottom w:val="single" w:sz="8" w:color="0000FF"/>
            </w:tcBorders>
          </w:tcPr>
          <w:p>
            <w:pPr>
              <w:spacing w:after="0" w:line="156" w:lineRule="exact"/>
              <w:rPr>
                <w:rFonts w:ascii="Arial" w:cs="Arial" w:eastAsia="Arial" w:hAnsi="Arial"/>
                <w:sz w:val="18"/>
                <w:szCs w:val="18"/>
                <w:color w:val="0000FF"/>
                <w:w w:val="92"/>
              </w:rPr>
            </w:pPr>
            <w:hyperlink w:anchor="page8">
              <w:r>
                <w:rPr>
                  <w:rFonts w:ascii="Arial" w:cs="Arial" w:eastAsia="Arial" w:hAnsi="Arial"/>
                  <w:sz w:val="18"/>
                  <w:szCs w:val="18"/>
                  <w:color w:val="0000FF"/>
                  <w:w w:val="92"/>
                </w:rPr>
                <w:t>Firm.</w:t>
              </w:r>
            </w:hyperlink>
          </w:p>
        </w:tc>
        <w:tc>
          <w:tcPr>
            <w:tcW w:w="2700" w:type="dxa"/>
            <w:vAlign w:val="bottom"/>
            <w:gridSpan w:val="17"/>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2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2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Power of Attorney (included on the signature</w:t>
              </w:r>
            </w:hyperlink>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page of this Form S-8).</w:t>
              </w:r>
            </w:hyperlink>
          </w:p>
        </w:tc>
        <w:tc>
          <w:tcPr>
            <w:tcW w:w="16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2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27"/>
          </w:tcPr>
          <w:p>
            <w:pPr>
              <w:spacing w:after="0"/>
              <w:rPr>
                <w:rFonts w:ascii="Arial" w:cs="Arial" w:eastAsia="Arial" w:hAnsi="Arial"/>
                <w:sz w:val="18"/>
                <w:szCs w:val="18"/>
                <w:color w:val="0000FF"/>
              </w:rPr>
            </w:pPr>
            <w:hyperlink r:id="rId19">
              <w:r>
                <w:rPr>
                  <w:rFonts w:ascii="Arial" w:cs="Arial" w:eastAsia="Arial" w:hAnsi="Arial"/>
                  <w:sz w:val="18"/>
                  <w:szCs w:val="18"/>
                  <w:color w:val="0000FF"/>
                </w:rPr>
                <w:t>2018 Equity Incentive Plan.</w:t>
              </w:r>
            </w:hyperlink>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color w:val="auto"/>
              </w:rPr>
              <w:t>October 5, 2018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27"/>
          </w:tcPr>
          <w:p>
            <w:pPr>
              <w:spacing w:after="0"/>
              <w:rPr>
                <w:rFonts w:ascii="Arial" w:cs="Arial" w:eastAsia="Arial" w:hAnsi="Arial"/>
                <w:sz w:val="18"/>
                <w:szCs w:val="18"/>
                <w:color w:val="0000FF"/>
              </w:rPr>
            </w:pPr>
            <w:hyperlink r:id="rId20">
              <w:r>
                <w:rPr>
                  <w:rFonts w:ascii="Arial" w:cs="Arial" w:eastAsia="Arial" w:hAnsi="Arial"/>
                  <w:sz w:val="18"/>
                  <w:szCs w:val="18"/>
                  <w:color w:val="0000FF"/>
                </w:rPr>
                <w:t>Forms of Stock Option Grant Notice, Option</w:t>
              </w:r>
            </w:hyperlink>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color w:val="auto"/>
              </w:rPr>
              <w:t>October 5, 2018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tcBorders>
            <w:gridSpan w:val="21"/>
          </w:tcPr>
          <w:p>
            <w:pPr>
              <w:spacing w:after="0" w:line="15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Agreement and Notice of Exercise under the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3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20">
              <w:r>
                <w:rPr>
                  <w:rFonts w:ascii="Arial" w:cs="Arial" w:eastAsia="Arial" w:hAnsi="Arial"/>
                  <w:sz w:val="18"/>
                  <w:szCs w:val="18"/>
                  <w:color w:val="0000FF"/>
                </w:rPr>
                <w:t>2018 Equity Incentive Plan.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27"/>
          </w:tcPr>
          <w:p>
            <w:pPr>
              <w:spacing w:after="0"/>
              <w:rPr>
                <w:rFonts w:ascii="Arial" w:cs="Arial" w:eastAsia="Arial" w:hAnsi="Arial"/>
                <w:sz w:val="18"/>
                <w:szCs w:val="18"/>
                <w:color w:val="0000FF"/>
              </w:rPr>
            </w:pPr>
            <w:hyperlink r:id="rId21">
              <w:r>
                <w:rPr>
                  <w:rFonts w:ascii="Arial" w:cs="Arial" w:eastAsia="Arial" w:hAnsi="Arial"/>
                  <w:sz w:val="18"/>
                  <w:szCs w:val="18"/>
                  <w:color w:val="0000FF"/>
                </w:rPr>
                <w:t>Forms of Restricted Stock Unit Grant Notice</w:t>
              </w:r>
            </w:hyperlink>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color w:val="auto"/>
              </w:rPr>
              <w:t>October 5, 2018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tcBorders>
              <w:top w:val="single" w:sz="8" w:color="0000FF"/>
            </w:tcBorders>
            <w:gridSpan w:val="22"/>
          </w:tcPr>
          <w:p>
            <w:pPr>
              <w:spacing w:after="0" w:line="15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and Restricted Stock Unit Award Agreement</w:t>
              </w:r>
            </w:hyperlink>
          </w:p>
        </w:tc>
        <w:tc>
          <w:tcPr>
            <w:tcW w:w="40" w:type="dxa"/>
            <w:vAlign w:val="bottom"/>
            <w:gridSpan w:val="2"/>
          </w:tcPr>
          <w:p>
            <w:pPr>
              <w:spacing w:after="0"/>
              <w:rPr>
                <w:sz w:val="13"/>
                <w:szCs w:val="13"/>
                <w:color w:val="auto"/>
              </w:rPr>
            </w:pPr>
          </w:p>
        </w:tc>
        <w:tc>
          <w:tcPr>
            <w:tcW w:w="3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under the 2018 Equity Incentive Plan.</w:t>
              </w:r>
            </w:hyperlink>
          </w:p>
        </w:tc>
        <w:tc>
          <w:tcPr>
            <w:tcW w:w="480" w:type="dxa"/>
            <w:vAlign w:val="bottom"/>
            <w:tcBorders>
              <w:top w:val="single" w:sz="8" w:color="0000FF"/>
            </w:tcBorders>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3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20" w:type="dxa"/>
            <w:vAlign w:val="bottom"/>
          </w:tcPr>
          <w:p>
            <w:pPr>
              <w:jc w:val="center"/>
              <w:spacing w:after="0"/>
              <w:rPr>
                <w:sz w:val="20"/>
                <w:szCs w:val="20"/>
                <w:color w:val="auto"/>
              </w:rPr>
            </w:pPr>
            <w:r>
              <w:rPr>
                <w:rFonts w:ascii="Arial" w:cs="Arial" w:eastAsia="Arial" w:hAnsi="Arial"/>
                <w:sz w:val="18"/>
                <w:szCs w:val="18"/>
                <w:color w:val="auto"/>
                <w:w w:val="91"/>
              </w:rPr>
              <w:t>99.4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tcBorders>
              <w:bottom w:val="single" w:sz="8" w:color="0000FF"/>
            </w:tcBorders>
            <w:gridSpan w:val="14"/>
          </w:tcPr>
          <w:p>
            <w:pPr>
              <w:spacing w:after="0"/>
              <w:rPr>
                <w:rFonts w:ascii="Arial" w:cs="Arial" w:eastAsia="Arial" w:hAnsi="Arial"/>
                <w:sz w:val="18"/>
                <w:szCs w:val="18"/>
                <w:color w:val="0000FF"/>
                <w:w w:val="88"/>
              </w:rPr>
            </w:pPr>
            <w:hyperlink r:id="rId22">
              <w:r>
                <w:rPr>
                  <w:rFonts w:ascii="Arial" w:cs="Arial" w:eastAsia="Arial" w:hAnsi="Arial"/>
                  <w:sz w:val="18"/>
                  <w:szCs w:val="18"/>
                  <w:color w:val="0000FF"/>
                  <w:w w:val="88"/>
                </w:rPr>
                <w:t>2018 Employee Stock Purchase Plan.</w:t>
              </w:r>
            </w:hyperlink>
          </w:p>
        </w:tc>
        <w:tc>
          <w:tcPr>
            <w:tcW w:w="900" w:type="dxa"/>
            <w:vAlign w:val="bottom"/>
            <w:gridSpan w:val="13"/>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color w:val="auto"/>
              </w:rPr>
              <w:t>October 5, 2018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jc w:val="center"/>
              <w:spacing w:after="0"/>
              <w:rPr>
                <w:sz w:val="20"/>
                <w:szCs w:val="20"/>
                <w:color w:val="auto"/>
              </w:rPr>
            </w:pPr>
            <w:r>
              <w:rPr>
                <w:rFonts w:ascii="Arial" w:cs="Arial" w:eastAsia="Arial" w:hAnsi="Arial"/>
                <w:sz w:val="18"/>
                <w:szCs w:val="18"/>
                <w:color w:val="auto"/>
                <w:w w:val="91"/>
              </w:rPr>
              <w:t>99.5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27"/>
          </w:tcPr>
          <w:p>
            <w:pPr>
              <w:spacing w:after="0"/>
              <w:rPr>
                <w:rFonts w:ascii="Arial" w:cs="Arial" w:eastAsia="Arial" w:hAnsi="Arial"/>
                <w:sz w:val="18"/>
                <w:szCs w:val="18"/>
                <w:color w:val="0000FF"/>
                <w:w w:val="98"/>
              </w:rPr>
            </w:pPr>
            <w:hyperlink r:id="rId23">
              <w:r>
                <w:rPr>
                  <w:rFonts w:ascii="Arial" w:cs="Arial" w:eastAsia="Arial" w:hAnsi="Arial"/>
                  <w:sz w:val="18"/>
                  <w:szCs w:val="18"/>
                  <w:color w:val="0000FF"/>
                  <w:w w:val="98"/>
                </w:rPr>
                <w:t>Form of Performance-Based Restricted Stock</w:t>
              </w:r>
            </w:hyperlink>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001-38701</w:t>
            </w:r>
          </w:p>
        </w:tc>
        <w:tc>
          <w:tcPr>
            <w:tcW w:w="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January 10, 2022</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3">
              <w:r>
                <w:rPr>
                  <w:rFonts w:ascii="Arial" w:cs="Arial" w:eastAsia="Arial" w:hAnsi="Arial"/>
                  <w:sz w:val="18"/>
                  <w:szCs w:val="18"/>
                  <w:color w:val="0000FF"/>
                </w:rPr>
                <w:t>Unit Agreement</w:t>
              </w:r>
            </w:hyperlink>
          </w:p>
        </w:tc>
        <w:tc>
          <w:tcPr>
            <w:tcW w:w="3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2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Filing Fee Table</w:t>
              </w:r>
            </w:hyperlink>
          </w:p>
        </w:tc>
        <w:tc>
          <w:tcPr>
            <w:tcW w:w="2420" w:type="dxa"/>
            <w:vAlign w:val="bottom"/>
            <w:gridSpan w:val="21"/>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bl>
    <w:p>
      <w:pPr>
        <w:sectPr>
          <w:pgSz w:w="11900" w:h="16838" w:orient="portrait"/>
          <w:cols w:equalWidth="0" w:num="1">
            <w:col w:w="11120"/>
          </w:cols>
          <w:pgMar w:left="320" w:top="769"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Santa Clara, State of California, on this 1st day of March 2022.</w:t>
      </w:r>
    </w:p>
    <w:p>
      <w:pPr>
        <w:spacing w:after="0" w:line="112"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SI-BONE, Inc.</w:t>
      </w:r>
    </w:p>
    <w:p>
      <w:pPr>
        <w:spacing w:after="0" w:line="81" w:lineRule="exact"/>
        <w:rPr>
          <w:sz w:val="20"/>
          <w:szCs w:val="20"/>
          <w:color w:val="auto"/>
        </w:rPr>
      </w:pPr>
    </w:p>
    <w:tbl>
      <w:tblPr>
        <w:tblLayout w:type="fixed"/>
        <w:tblInd w:w="67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Laura A. Francis</w:t>
            </w:r>
          </w:p>
        </w:tc>
      </w:tr>
      <w:tr>
        <w:trPr>
          <w:trHeight w:val="222"/>
        </w:trPr>
        <w:tc>
          <w:tcPr>
            <w:tcW w:w="82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Laura A. Francis</w:t>
            </w:r>
          </w:p>
        </w:tc>
      </w:tr>
      <w:tr>
        <w:trPr>
          <w:trHeight w:val="230"/>
        </w:trPr>
        <w:tc>
          <w:tcPr>
            <w:tcW w:w="82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17" w:lineRule="exact"/>
        <w:rPr>
          <w:sz w:val="20"/>
          <w:szCs w:val="20"/>
          <w:color w:val="auto"/>
        </w:rPr>
      </w:pPr>
    </w:p>
    <w:p>
      <w:pPr>
        <w:jc w:val="both"/>
        <w:ind w:firstLine="567"/>
        <w:spacing w:after="0" w:line="271"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constitutes and appoints Laura A. Francis, and Michael A.</w:t>
      </w:r>
      <w:r>
        <w:rPr>
          <w:rFonts w:ascii="Arial" w:cs="Arial" w:eastAsia="Arial" w:hAnsi="Arial"/>
          <w:sz w:val="17"/>
          <w:szCs w:val="17"/>
          <w:b w:val="1"/>
          <w:bCs w:val="1"/>
          <w:color w:val="auto"/>
        </w:rPr>
        <w:t xml:space="preserve"> </w:t>
      </w:r>
      <w:r>
        <w:rPr>
          <w:rFonts w:ascii="Arial" w:cs="Arial" w:eastAsia="Arial" w:hAnsi="Arial"/>
          <w:sz w:val="17"/>
          <w:szCs w:val="17"/>
          <w:color w:val="auto"/>
        </w:rPr>
        <w:t>Pisetsky, each of them, as his or her true and lawful attorneys-in-fact and agents, each with the full power of substitution, for him or her and in their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70"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1240"/>
          </w:cols>
          <w:pgMar w:left="320" w:top="891" w:right="339" w:bottom="1440" w:gutter="0" w:footer="0" w:header="0"/>
        </w:sectPr>
      </w:pPr>
    </w:p>
    <w:p>
      <w:pPr>
        <w:spacing w:after="0" w:line="9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Signature</w:t>
      </w:r>
    </w:p>
    <w:p>
      <w:pPr>
        <w:spacing w:after="0" w:line="297"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19545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3"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Laura A. Francis</w:t>
      </w:r>
    </w:p>
    <w:p>
      <w:pPr>
        <w:spacing w:after="0" w:line="252" w:lineRule="exact"/>
        <w:rPr>
          <w:sz w:val="20"/>
          <w:szCs w:val="20"/>
          <w:color w:val="auto"/>
        </w:rPr>
      </w:pPr>
    </w:p>
    <w:p>
      <w:pPr>
        <w:jc w:val="center"/>
        <w:ind w:right="660"/>
        <w:spacing w:after="0"/>
        <w:rPr>
          <w:sz w:val="20"/>
          <w:szCs w:val="20"/>
          <w:color w:val="auto"/>
        </w:rPr>
      </w:pPr>
      <w:r>
        <w:rPr>
          <w:rFonts w:ascii="Arial" w:cs="Arial" w:eastAsia="Arial" w:hAnsi="Arial"/>
          <w:sz w:val="17"/>
          <w:szCs w:val="17"/>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22225</wp:posOffset>
            </wp:positionV>
            <wp:extent cx="1954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55"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Anshul Maheshwari</w:t>
      </w:r>
    </w:p>
    <w:p>
      <w:pPr>
        <w:spacing w:after="0" w:line="239" w:lineRule="exact"/>
        <w:rPr>
          <w:sz w:val="20"/>
          <w:szCs w:val="20"/>
          <w:color w:val="auto"/>
        </w:rPr>
      </w:pPr>
    </w:p>
    <w:p>
      <w:pPr>
        <w:jc w:val="center"/>
        <w:ind w:right="660"/>
        <w:spacing w:after="0"/>
        <w:rPr>
          <w:sz w:val="20"/>
          <w:szCs w:val="20"/>
          <w:color w:val="auto"/>
        </w:rPr>
      </w:pPr>
      <w:r>
        <w:rPr>
          <w:rFonts w:ascii="Arial" w:cs="Arial" w:eastAsia="Arial" w:hAnsi="Arial"/>
          <w:sz w:val="17"/>
          <w:szCs w:val="17"/>
          <w:color w:val="auto"/>
        </w:rPr>
        <w:t>/s/ Timothy E.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22225</wp:posOffset>
            </wp:positionV>
            <wp:extent cx="19545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1"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Timothy E. Davis, Jr.</w:t>
      </w:r>
    </w:p>
    <w:p>
      <w:pPr>
        <w:spacing w:after="0" w:line="266"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19545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0"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Jeffrey W. Dunn</w:t>
      </w:r>
    </w:p>
    <w:p>
      <w:pPr>
        <w:spacing w:after="0" w:line="306" w:lineRule="exact"/>
        <w:rPr>
          <w:sz w:val="20"/>
          <w:szCs w:val="20"/>
          <w:color w:val="auto"/>
        </w:rPr>
      </w:pPr>
    </w:p>
    <w:p>
      <w:pPr>
        <w:jc w:val="center"/>
        <w:ind w:right="660"/>
        <w:spacing w:after="0"/>
        <w:rPr>
          <w:sz w:val="20"/>
          <w:szCs w:val="20"/>
          <w:color w:val="auto"/>
        </w:rPr>
      </w:pPr>
      <w:r>
        <w:rPr>
          <w:rFonts w:ascii="Arial" w:cs="Arial" w:eastAsia="Arial" w:hAnsi="Arial"/>
          <w:sz w:val="16"/>
          <w:szCs w:val="16"/>
          <w:color w:val="auto"/>
        </w:rPr>
        <w:t>/s/ John G. Freund,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29210</wp:posOffset>
            </wp:positionV>
            <wp:extent cx="1954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53"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John G. Freund, M.D.</w:t>
      </w:r>
    </w:p>
    <w:p>
      <w:pPr>
        <w:spacing w:after="0" w:line="239"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 Jeryl L. Hilleman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6"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Jeryl L. Hilleman</w:t>
      </w:r>
    </w:p>
    <w:p>
      <w:pPr>
        <w:spacing w:after="0" w:line="266" w:lineRule="exact"/>
        <w:rPr>
          <w:sz w:val="20"/>
          <w:szCs w:val="20"/>
          <w:color w:val="auto"/>
        </w:rPr>
      </w:pPr>
    </w:p>
    <w:p>
      <w:pPr>
        <w:jc w:val="center"/>
        <w:ind w:right="660"/>
        <w:spacing w:after="0"/>
        <w:rPr>
          <w:sz w:val="20"/>
          <w:szCs w:val="20"/>
          <w:color w:val="auto"/>
        </w:rPr>
      </w:pPr>
      <w:r>
        <w:rPr>
          <w:rFonts w:ascii="Arial" w:cs="Arial" w:eastAsia="Arial" w:hAnsi="Arial"/>
          <w:sz w:val="17"/>
          <w:szCs w:val="17"/>
          <w:color w:val="auto"/>
        </w:rPr>
        <w:t>/s/ Gregory K.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22225</wp:posOffset>
            </wp:positionV>
            <wp:extent cx="1954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1"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Gregory K. Hinckley</w:t>
      </w:r>
    </w:p>
    <w:p>
      <w:pPr>
        <w:spacing w:after="0" w:line="266"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 Helen Loh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1954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0"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Helen Loh</w:t>
      </w:r>
    </w:p>
    <w:p>
      <w:pPr>
        <w:spacing w:after="0" w:line="306"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 Mika Nishimura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1954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0"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Mika Nishimura</w:t>
      </w:r>
    </w:p>
    <w:p>
      <w:pPr>
        <w:spacing w:after="0" w:line="306"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 Keith C.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1954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0"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Keith C. Valentine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jc w:val="center"/>
              <w:ind w:right="410"/>
              <w:spacing w:after="0"/>
              <w:rPr>
                <w:sz w:val="20"/>
                <w:szCs w:val="20"/>
                <w:color w:val="auto"/>
              </w:rPr>
            </w:pPr>
            <w:r>
              <w:rPr>
                <w:rFonts w:ascii="Arial" w:cs="Arial" w:eastAsia="Arial" w:hAnsi="Arial"/>
                <w:sz w:val="18"/>
                <w:szCs w:val="18"/>
                <w:b w:val="1"/>
                <w:bCs w:val="1"/>
                <w:color w:val="auto"/>
                <w:w w:val="97"/>
              </w:rPr>
              <w:t>Title</w:t>
            </w:r>
          </w:p>
        </w:tc>
        <w:tc>
          <w:tcPr>
            <w:tcW w:w="1560" w:type="dxa"/>
            <w:vAlign w:val="bottom"/>
          </w:tcPr>
          <w:p>
            <w:pPr>
              <w:jc w:val="center"/>
              <w:ind w:left="390"/>
              <w:spacing w:after="0"/>
              <w:rPr>
                <w:sz w:val="20"/>
                <w:szCs w:val="20"/>
                <w:color w:val="auto"/>
              </w:rPr>
            </w:pPr>
            <w:r>
              <w:rPr>
                <w:rFonts w:ascii="Arial" w:cs="Arial" w:eastAsia="Arial" w:hAnsi="Arial"/>
                <w:sz w:val="18"/>
                <w:szCs w:val="18"/>
                <w:b w:val="1"/>
                <w:bCs w:val="1"/>
                <w:color w:val="auto"/>
                <w:w w:val="92"/>
              </w:rPr>
              <w:t>Date</w:t>
            </w:r>
          </w:p>
        </w:tc>
      </w:tr>
      <w:tr>
        <w:trPr>
          <w:trHeight w:val="405"/>
        </w:trPr>
        <w:tc>
          <w:tcPr>
            <w:tcW w:w="4660" w:type="dxa"/>
            <w:vAlign w:val="bottom"/>
          </w:tcPr>
          <w:p>
            <w:pPr>
              <w:jc w:val="center"/>
              <w:ind w:right="410"/>
              <w:spacing w:after="0"/>
              <w:rPr>
                <w:sz w:val="20"/>
                <w:szCs w:val="20"/>
                <w:color w:val="auto"/>
              </w:rPr>
            </w:pPr>
            <w:r>
              <w:rPr>
                <w:rFonts w:ascii="Arial" w:cs="Arial" w:eastAsia="Arial" w:hAnsi="Arial"/>
                <w:sz w:val="18"/>
                <w:szCs w:val="18"/>
                <w:color w:val="auto"/>
                <w:w w:val="93"/>
              </w:rPr>
              <w:t>Chief Executive Officer and Director</w:t>
            </w:r>
          </w:p>
        </w:tc>
        <w:tc>
          <w:tcPr>
            <w:tcW w:w="1560" w:type="dxa"/>
            <w:vAlign w:val="bottom"/>
          </w:tcPr>
          <w:p>
            <w:pPr>
              <w:jc w:val="center"/>
              <w:ind w:left="410"/>
              <w:spacing w:after="0"/>
              <w:rPr>
                <w:sz w:val="20"/>
                <w:szCs w:val="20"/>
                <w:color w:val="auto"/>
              </w:rPr>
            </w:pPr>
            <w:r>
              <w:rPr>
                <w:rFonts w:ascii="Arial" w:cs="Arial" w:eastAsia="Arial" w:hAnsi="Arial"/>
                <w:sz w:val="18"/>
                <w:szCs w:val="18"/>
                <w:color w:val="auto"/>
                <w:w w:val="92"/>
              </w:rPr>
              <w:t>March 1, 2022</w:t>
            </w:r>
          </w:p>
        </w:tc>
      </w:tr>
      <w:tr>
        <w:trPr>
          <w:trHeight w:val="230"/>
        </w:trPr>
        <w:tc>
          <w:tcPr>
            <w:tcW w:w="4660" w:type="dxa"/>
            <w:vAlign w:val="bottom"/>
          </w:tcPr>
          <w:p>
            <w:pPr>
              <w:jc w:val="center"/>
              <w:ind w:right="39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Duly Authorized Officer and Principal Executive Officer</w:t>
            </w:r>
            <w:r>
              <w:rPr>
                <w:rFonts w:ascii="Arial" w:cs="Arial" w:eastAsia="Arial" w:hAnsi="Arial"/>
                <w:sz w:val="14"/>
                <w:szCs w:val="14"/>
                <w:color w:val="auto"/>
                <w:w w:val="93"/>
              </w:rPr>
              <w:t>)</w:t>
            </w:r>
          </w:p>
        </w:tc>
        <w:tc>
          <w:tcPr>
            <w:tcW w:w="1560" w:type="dxa"/>
            <w:vAlign w:val="bottom"/>
          </w:tcPr>
          <w:p>
            <w:pPr>
              <w:spacing w:after="0"/>
              <w:rPr>
                <w:sz w:val="20"/>
                <w:szCs w:val="20"/>
                <w:color w:val="auto"/>
              </w:rPr>
            </w:pPr>
          </w:p>
        </w:tc>
      </w:tr>
      <w:tr>
        <w:trPr>
          <w:trHeight w:val="499"/>
        </w:trPr>
        <w:tc>
          <w:tcPr>
            <w:tcW w:w="4660" w:type="dxa"/>
            <w:vAlign w:val="bottom"/>
          </w:tcPr>
          <w:p>
            <w:pPr>
              <w:jc w:val="center"/>
              <w:ind w:right="410"/>
              <w:spacing w:after="0"/>
              <w:rPr>
                <w:sz w:val="20"/>
                <w:szCs w:val="20"/>
                <w:color w:val="auto"/>
              </w:rPr>
            </w:pPr>
            <w:r>
              <w:rPr>
                <w:rFonts w:ascii="Arial" w:cs="Arial" w:eastAsia="Arial" w:hAnsi="Arial"/>
                <w:sz w:val="18"/>
                <w:szCs w:val="18"/>
                <w:color w:val="auto"/>
                <w:w w:val="94"/>
              </w:rPr>
              <w:t>Chief Financial Officer</w:t>
            </w:r>
          </w:p>
        </w:tc>
        <w:tc>
          <w:tcPr>
            <w:tcW w:w="1560" w:type="dxa"/>
            <w:vAlign w:val="bottom"/>
          </w:tcPr>
          <w:p>
            <w:pPr>
              <w:jc w:val="center"/>
              <w:ind w:left="410"/>
              <w:spacing w:after="0"/>
              <w:rPr>
                <w:sz w:val="20"/>
                <w:szCs w:val="20"/>
                <w:color w:val="auto"/>
              </w:rPr>
            </w:pPr>
            <w:r>
              <w:rPr>
                <w:rFonts w:ascii="Arial" w:cs="Arial" w:eastAsia="Arial" w:hAnsi="Arial"/>
                <w:sz w:val="18"/>
                <w:szCs w:val="18"/>
                <w:color w:val="auto"/>
                <w:w w:val="92"/>
              </w:rPr>
              <w:t>March 1, 2022</w:t>
            </w:r>
          </w:p>
        </w:tc>
      </w:tr>
      <w:tr>
        <w:trPr>
          <w:trHeight w:val="230"/>
        </w:trPr>
        <w:tc>
          <w:tcPr>
            <w:tcW w:w="4660" w:type="dxa"/>
            <w:vAlign w:val="bottom"/>
          </w:tcPr>
          <w:p>
            <w:pPr>
              <w:jc w:val="center"/>
              <w:ind w:right="410"/>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1560" w:type="dxa"/>
            <w:vAlign w:val="bottom"/>
          </w:tcPr>
          <w:p>
            <w:pPr>
              <w:spacing w:after="0"/>
              <w:rPr>
                <w:sz w:val="20"/>
                <w:szCs w:val="20"/>
                <w:color w:val="auto"/>
              </w:rPr>
            </w:pPr>
          </w:p>
        </w:tc>
      </w:tr>
      <w:tr>
        <w:trPr>
          <w:trHeight w:val="553"/>
        </w:trPr>
        <w:tc>
          <w:tcPr>
            <w:tcW w:w="4660" w:type="dxa"/>
            <w:vAlign w:val="bottom"/>
          </w:tcPr>
          <w:p>
            <w:pPr>
              <w:jc w:val="center"/>
              <w:ind w:right="390"/>
              <w:spacing w:after="0"/>
              <w:rPr>
                <w:sz w:val="20"/>
                <w:szCs w:val="20"/>
                <w:color w:val="auto"/>
              </w:rPr>
            </w:pPr>
            <w:r>
              <w:rPr>
                <w:rFonts w:ascii="Arial" w:cs="Arial" w:eastAsia="Arial" w:hAnsi="Arial"/>
                <w:sz w:val="18"/>
                <w:szCs w:val="18"/>
                <w:color w:val="auto"/>
                <w:w w:val="91"/>
              </w:rPr>
              <w:t>Lead Independent Director, Director</w:t>
            </w:r>
          </w:p>
        </w:tc>
        <w:tc>
          <w:tcPr>
            <w:tcW w:w="1560" w:type="dxa"/>
            <w:vAlign w:val="bottom"/>
          </w:tcPr>
          <w:p>
            <w:pPr>
              <w:jc w:val="center"/>
              <w:ind w:left="410"/>
              <w:spacing w:after="0"/>
              <w:rPr>
                <w:sz w:val="20"/>
                <w:szCs w:val="20"/>
                <w:color w:val="auto"/>
              </w:rPr>
            </w:pPr>
            <w:r>
              <w:rPr>
                <w:rFonts w:ascii="Arial" w:cs="Arial" w:eastAsia="Arial" w:hAnsi="Arial"/>
                <w:sz w:val="18"/>
                <w:szCs w:val="18"/>
                <w:color w:val="auto"/>
                <w:w w:val="92"/>
              </w:rPr>
              <w:t>March 1, 2022</w:t>
            </w:r>
          </w:p>
        </w:tc>
      </w:tr>
      <w:tr>
        <w:trPr>
          <w:trHeight w:val="729"/>
        </w:trPr>
        <w:tc>
          <w:tcPr>
            <w:tcW w:w="4660" w:type="dxa"/>
            <w:vAlign w:val="bottom"/>
          </w:tcPr>
          <w:p>
            <w:pPr>
              <w:jc w:val="center"/>
              <w:ind w:right="410"/>
              <w:spacing w:after="0"/>
              <w:rPr>
                <w:sz w:val="20"/>
                <w:szCs w:val="20"/>
                <w:color w:val="auto"/>
              </w:rPr>
            </w:pPr>
            <w:r>
              <w:rPr>
                <w:rFonts w:ascii="Arial" w:cs="Arial" w:eastAsia="Arial" w:hAnsi="Arial"/>
                <w:sz w:val="18"/>
                <w:szCs w:val="18"/>
                <w:color w:val="auto"/>
                <w:w w:val="92"/>
              </w:rPr>
              <w:t>Executive Chairman, Director</w:t>
            </w:r>
          </w:p>
        </w:tc>
        <w:tc>
          <w:tcPr>
            <w:tcW w:w="1560" w:type="dxa"/>
            <w:vAlign w:val="bottom"/>
          </w:tcPr>
          <w:p>
            <w:pPr>
              <w:jc w:val="center"/>
              <w:ind w:left="410"/>
              <w:spacing w:after="0"/>
              <w:rPr>
                <w:sz w:val="20"/>
                <w:szCs w:val="20"/>
                <w:color w:val="auto"/>
              </w:rPr>
            </w:pPr>
            <w:r>
              <w:rPr>
                <w:rFonts w:ascii="Arial" w:cs="Arial" w:eastAsia="Arial" w:hAnsi="Arial"/>
                <w:sz w:val="18"/>
                <w:szCs w:val="18"/>
                <w:color w:val="auto"/>
                <w:w w:val="92"/>
              </w:rPr>
              <w:t>March 1, 2022</w:t>
            </w:r>
          </w:p>
        </w:tc>
      </w:tr>
      <w:tr>
        <w:trPr>
          <w:trHeight w:val="770"/>
        </w:trPr>
        <w:tc>
          <w:tcPr>
            <w:tcW w:w="4660" w:type="dxa"/>
            <w:vAlign w:val="bottom"/>
          </w:tcPr>
          <w:p>
            <w:pPr>
              <w:jc w:val="center"/>
              <w:ind w:right="410"/>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410"/>
              <w:spacing w:after="0"/>
              <w:rPr>
                <w:sz w:val="20"/>
                <w:szCs w:val="20"/>
                <w:color w:val="auto"/>
              </w:rPr>
            </w:pPr>
            <w:r>
              <w:rPr>
                <w:rFonts w:ascii="Arial" w:cs="Arial" w:eastAsia="Arial" w:hAnsi="Arial"/>
                <w:sz w:val="18"/>
                <w:szCs w:val="18"/>
                <w:color w:val="auto"/>
                <w:w w:val="92"/>
              </w:rPr>
              <w:t>March 1, 2022</w:t>
            </w:r>
          </w:p>
        </w:tc>
      </w:tr>
      <w:tr>
        <w:trPr>
          <w:trHeight w:val="729"/>
        </w:trPr>
        <w:tc>
          <w:tcPr>
            <w:tcW w:w="4660" w:type="dxa"/>
            <w:vAlign w:val="bottom"/>
          </w:tcPr>
          <w:p>
            <w:pPr>
              <w:jc w:val="center"/>
              <w:ind w:right="410"/>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410"/>
              <w:spacing w:after="0"/>
              <w:rPr>
                <w:sz w:val="20"/>
                <w:szCs w:val="20"/>
                <w:color w:val="auto"/>
              </w:rPr>
            </w:pPr>
            <w:r>
              <w:rPr>
                <w:rFonts w:ascii="Arial" w:cs="Arial" w:eastAsia="Arial" w:hAnsi="Arial"/>
                <w:sz w:val="18"/>
                <w:szCs w:val="18"/>
                <w:color w:val="auto"/>
                <w:w w:val="92"/>
              </w:rPr>
              <w:t>March 1, 2022</w:t>
            </w:r>
          </w:p>
        </w:tc>
      </w:tr>
      <w:tr>
        <w:trPr>
          <w:trHeight w:val="689"/>
        </w:trPr>
        <w:tc>
          <w:tcPr>
            <w:tcW w:w="4660" w:type="dxa"/>
            <w:vAlign w:val="bottom"/>
          </w:tcPr>
          <w:p>
            <w:pPr>
              <w:jc w:val="center"/>
              <w:ind w:right="410"/>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410"/>
              <w:spacing w:after="0"/>
              <w:rPr>
                <w:sz w:val="20"/>
                <w:szCs w:val="20"/>
                <w:color w:val="auto"/>
              </w:rPr>
            </w:pPr>
            <w:r>
              <w:rPr>
                <w:rFonts w:ascii="Arial" w:cs="Arial" w:eastAsia="Arial" w:hAnsi="Arial"/>
                <w:sz w:val="18"/>
                <w:szCs w:val="18"/>
                <w:color w:val="auto"/>
                <w:w w:val="92"/>
              </w:rPr>
              <w:t>March 1, 2022</w:t>
            </w:r>
          </w:p>
        </w:tc>
      </w:tr>
      <w:tr>
        <w:trPr>
          <w:trHeight w:val="729"/>
        </w:trPr>
        <w:tc>
          <w:tcPr>
            <w:tcW w:w="4660" w:type="dxa"/>
            <w:vAlign w:val="bottom"/>
          </w:tcPr>
          <w:p>
            <w:pPr>
              <w:jc w:val="center"/>
              <w:ind w:right="410"/>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410"/>
              <w:spacing w:after="0"/>
              <w:rPr>
                <w:sz w:val="20"/>
                <w:szCs w:val="20"/>
                <w:color w:val="auto"/>
              </w:rPr>
            </w:pPr>
            <w:r>
              <w:rPr>
                <w:rFonts w:ascii="Arial" w:cs="Arial" w:eastAsia="Arial" w:hAnsi="Arial"/>
                <w:sz w:val="18"/>
                <w:szCs w:val="18"/>
                <w:color w:val="auto"/>
                <w:w w:val="92"/>
              </w:rPr>
              <w:t>March 1, 2022</w:t>
            </w:r>
          </w:p>
        </w:tc>
      </w:tr>
      <w:tr>
        <w:trPr>
          <w:trHeight w:val="770"/>
        </w:trPr>
        <w:tc>
          <w:tcPr>
            <w:tcW w:w="4660" w:type="dxa"/>
            <w:vAlign w:val="bottom"/>
          </w:tcPr>
          <w:p>
            <w:pPr>
              <w:jc w:val="center"/>
              <w:ind w:right="410"/>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410"/>
              <w:spacing w:after="0"/>
              <w:rPr>
                <w:sz w:val="20"/>
                <w:szCs w:val="20"/>
                <w:color w:val="auto"/>
              </w:rPr>
            </w:pPr>
            <w:r>
              <w:rPr>
                <w:rFonts w:ascii="Arial" w:cs="Arial" w:eastAsia="Arial" w:hAnsi="Arial"/>
                <w:sz w:val="18"/>
                <w:szCs w:val="18"/>
                <w:color w:val="auto"/>
                <w:w w:val="92"/>
              </w:rPr>
              <w:t>March 1, 2022</w:t>
            </w:r>
          </w:p>
        </w:tc>
      </w:tr>
      <w:tr>
        <w:trPr>
          <w:trHeight w:val="769"/>
        </w:trPr>
        <w:tc>
          <w:tcPr>
            <w:tcW w:w="4660" w:type="dxa"/>
            <w:vAlign w:val="bottom"/>
          </w:tcPr>
          <w:p>
            <w:pPr>
              <w:jc w:val="center"/>
              <w:ind w:right="410"/>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410"/>
              <w:spacing w:after="0"/>
              <w:rPr>
                <w:sz w:val="20"/>
                <w:szCs w:val="20"/>
                <w:color w:val="auto"/>
              </w:rPr>
            </w:pPr>
            <w:r>
              <w:rPr>
                <w:rFonts w:ascii="Arial" w:cs="Arial" w:eastAsia="Arial" w:hAnsi="Arial"/>
                <w:sz w:val="18"/>
                <w:szCs w:val="18"/>
                <w:color w:val="auto"/>
                <w:w w:val="92"/>
              </w:rPr>
              <w:t>March 1, 2022</w:t>
            </w:r>
          </w:p>
        </w:tc>
      </w:tr>
    </w:tbl>
    <w:p>
      <w:pPr>
        <w:sectPr>
          <w:pgSz w:w="11900" w:h="16838" w:orient="portrait"/>
          <w:cols w:equalWidth="0" w:num="2">
            <w:col w:w="3860" w:space="720"/>
            <w:col w:w="6660"/>
          </w:cols>
          <w:pgMar w:left="320" w:top="891" w:right="339" w:bottom="1440" w:gutter="0" w:footer="0" w:header="0"/>
          <w:type w:val="continuous"/>
        </w:sectPr>
      </w:pPr>
    </w:p>
    <w:bookmarkStart w:id="5" w:name="page6"/>
    <w:bookmarkEnd w:id="5"/>
    <w:p>
      <w:pPr>
        <w:ind w:left="10180"/>
        <w:spacing w:after="0"/>
        <w:rPr>
          <w:sz w:val="20"/>
          <w:szCs w:val="20"/>
          <w:color w:val="auto"/>
        </w:rPr>
      </w:pPr>
      <w:r>
        <w:rPr>
          <w:rFonts w:ascii="Arial" w:cs="Arial" w:eastAsia="Arial" w:hAnsi="Arial"/>
          <w:sz w:val="19"/>
          <w:szCs w:val="19"/>
          <w:b w:val="1"/>
          <w:bCs w:val="1"/>
          <w:color w:val="auto"/>
        </w:rPr>
        <w:t>Exhibit 107</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Calculation of Filing Fee Table</w:t>
      </w:r>
    </w:p>
    <w:p>
      <w:pPr>
        <w:jc w:val="center"/>
        <w:ind w:right="20"/>
        <w:spacing w:after="0" w:line="219" w:lineRule="auto"/>
        <w:rPr>
          <w:sz w:val="20"/>
          <w:szCs w:val="20"/>
          <w:color w:val="auto"/>
        </w:rPr>
      </w:pPr>
      <w:r>
        <w:rPr>
          <w:rFonts w:ascii="Arial" w:cs="Arial" w:eastAsia="Arial" w:hAnsi="Arial"/>
          <w:sz w:val="18"/>
          <w:szCs w:val="18"/>
          <w:u w:val="single" w:color="auto"/>
          <w:color w:val="auto"/>
        </w:rPr>
        <w:t>Form S-8</w:t>
      </w:r>
    </w:p>
    <w:p>
      <w:pPr>
        <w:jc w:val="center"/>
        <w:ind w:right="20"/>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SI-BONE, Inc.</w:t>
      </w: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Table 1: Newly Registered</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400" w:type="dxa"/>
            <w:vAlign w:val="bottom"/>
            <w:tcBorders>
              <w:top w:val="single" w:sz="8" w:color="auto"/>
              <w:lef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Security Type</w:t>
            </w:r>
          </w:p>
        </w:tc>
        <w:tc>
          <w:tcPr>
            <w:tcW w:w="14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Security Class</w:t>
            </w:r>
          </w:p>
        </w:tc>
        <w:tc>
          <w:tcPr>
            <w:tcW w:w="14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Fee Calculation</w:t>
            </w:r>
          </w:p>
        </w:tc>
        <w:tc>
          <w:tcPr>
            <w:tcW w:w="1340" w:type="dxa"/>
            <w:vAlign w:val="bottom"/>
            <w:tcBorders>
              <w:top w:val="single" w:sz="8" w:color="auto"/>
            </w:tcBorders>
          </w:tcPr>
          <w:p>
            <w:pPr>
              <w:ind w:left="340"/>
              <w:spacing w:after="0" w:line="191" w:lineRule="exact"/>
              <w:rPr>
                <w:sz w:val="20"/>
                <w:szCs w:val="20"/>
                <w:color w:val="auto"/>
              </w:rPr>
            </w:pPr>
            <w:r>
              <w:rPr>
                <w:rFonts w:ascii="Arial" w:cs="Arial" w:eastAsia="Arial" w:hAnsi="Arial"/>
                <w:sz w:val="18"/>
                <w:szCs w:val="18"/>
                <w:b w:val="1"/>
                <w:bCs w:val="1"/>
                <w:color w:val="auto"/>
              </w:rPr>
              <w:t>Amount</w:t>
            </w:r>
          </w:p>
        </w:tc>
        <w:tc>
          <w:tcPr>
            <w:tcW w:w="14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Proposed</w:t>
            </w:r>
          </w:p>
        </w:tc>
        <w:tc>
          <w:tcPr>
            <w:tcW w:w="14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Maximum</w:t>
            </w:r>
          </w:p>
        </w:tc>
        <w:tc>
          <w:tcPr>
            <w:tcW w:w="1440" w:type="dxa"/>
            <w:vAlign w:val="bottom"/>
            <w:tcBorders>
              <w:top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Fee Rate</w:t>
            </w:r>
          </w:p>
        </w:tc>
        <w:tc>
          <w:tcPr>
            <w:tcW w:w="1400" w:type="dxa"/>
            <w:vAlign w:val="bottom"/>
            <w:tcBorders>
              <w:top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Amount of</w:t>
            </w:r>
          </w:p>
        </w:tc>
      </w:tr>
      <w:tr>
        <w:trPr>
          <w:trHeight w:val="189"/>
        </w:trPr>
        <w:tc>
          <w:tcPr>
            <w:tcW w:w="1400" w:type="dxa"/>
            <w:vAlign w:val="bottom"/>
            <w:tcBorders>
              <w:left w:val="single" w:sz="8" w:color="auto"/>
            </w:tcBorders>
          </w:tcPr>
          <w:p>
            <w:pPr>
              <w:spacing w:after="0"/>
              <w:rPr>
                <w:sz w:val="16"/>
                <w:szCs w:val="16"/>
                <w:color w:val="auto"/>
              </w:rPr>
            </w:pPr>
          </w:p>
        </w:tc>
        <w:tc>
          <w:tcPr>
            <w:tcW w:w="14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7"/>
              </w:rPr>
              <w:t>Title</w:t>
            </w:r>
          </w:p>
        </w:tc>
        <w:tc>
          <w:tcPr>
            <w:tcW w:w="14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2"/>
              </w:rPr>
              <w:t>Rule</w:t>
            </w:r>
          </w:p>
        </w:tc>
        <w:tc>
          <w:tcPr>
            <w:tcW w:w="13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0"/>
              </w:rPr>
              <w:t>Registered(1)</w:t>
            </w:r>
          </w:p>
        </w:tc>
        <w:tc>
          <w:tcPr>
            <w:tcW w:w="14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6"/>
              </w:rPr>
              <w:t>Maximum</w:t>
            </w:r>
          </w:p>
        </w:tc>
        <w:tc>
          <w:tcPr>
            <w:tcW w:w="14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7"/>
              </w:rPr>
              <w:t>Aggregate</w:t>
            </w:r>
          </w:p>
        </w:tc>
        <w:tc>
          <w:tcPr>
            <w:tcW w:w="144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9"/>
              </w:rPr>
              <w:t>Registration Fee</w:t>
            </w:r>
          </w:p>
        </w:tc>
      </w:tr>
      <w:tr>
        <w:trPr>
          <w:trHeight w:val="189"/>
        </w:trPr>
        <w:tc>
          <w:tcPr>
            <w:tcW w:w="1400" w:type="dxa"/>
            <w:vAlign w:val="bottom"/>
            <w:tcBorders>
              <w:left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2"/>
              </w:rPr>
              <w:t>Offering Price</w:t>
            </w:r>
          </w:p>
        </w:tc>
        <w:tc>
          <w:tcPr>
            <w:tcW w:w="14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2"/>
              </w:rPr>
              <w:t>Offering Price</w:t>
            </w:r>
          </w:p>
        </w:tc>
        <w:tc>
          <w:tcPr>
            <w:tcW w:w="144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r>
      <w:tr>
        <w:trPr>
          <w:trHeight w:val="241"/>
        </w:trPr>
        <w:tc>
          <w:tcPr>
            <w:tcW w:w="1400" w:type="dxa"/>
            <w:vAlign w:val="bottom"/>
            <w:tcBorders>
              <w:left w:val="single" w:sz="8" w:color="auto"/>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40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r>
      <w:tr>
        <w:trPr>
          <w:trHeight w:val="188"/>
        </w:trPr>
        <w:tc>
          <w:tcPr>
            <w:tcW w:w="1400" w:type="dxa"/>
            <w:vAlign w:val="bottom"/>
            <w:tcBorders>
              <w:left w:val="single" w:sz="8" w:color="auto"/>
            </w:tcBorders>
          </w:tcPr>
          <w:p>
            <w:pPr>
              <w:jc w:val="center"/>
              <w:spacing w:after="0" w:line="189" w:lineRule="exact"/>
              <w:rPr>
                <w:sz w:val="20"/>
                <w:szCs w:val="20"/>
                <w:color w:val="auto"/>
              </w:rPr>
            </w:pPr>
            <w:r>
              <w:rPr>
                <w:rFonts w:ascii="Arial" w:cs="Arial" w:eastAsia="Arial" w:hAnsi="Arial"/>
                <w:sz w:val="18"/>
                <w:szCs w:val="18"/>
                <w:color w:val="auto"/>
                <w:w w:val="95"/>
              </w:rPr>
              <w:t>Equity</w:t>
            </w:r>
          </w:p>
        </w:tc>
        <w:tc>
          <w:tcPr>
            <w:tcW w:w="1440" w:type="dxa"/>
            <w:vAlign w:val="bottom"/>
          </w:tcPr>
          <w:p>
            <w:pPr>
              <w:jc w:val="center"/>
              <w:spacing w:after="0" w:line="189" w:lineRule="exact"/>
              <w:rPr>
                <w:sz w:val="20"/>
                <w:szCs w:val="20"/>
                <w:color w:val="auto"/>
              </w:rPr>
            </w:pPr>
            <w:r>
              <w:rPr>
                <w:rFonts w:ascii="Arial" w:cs="Arial" w:eastAsia="Arial" w:hAnsi="Arial"/>
                <w:sz w:val="18"/>
                <w:szCs w:val="18"/>
                <w:color w:val="auto"/>
                <w:w w:val="92"/>
              </w:rPr>
              <w:t>Common Stock,</w:t>
            </w:r>
          </w:p>
        </w:tc>
        <w:tc>
          <w:tcPr>
            <w:tcW w:w="1420" w:type="dxa"/>
            <w:vAlign w:val="bottom"/>
          </w:tcPr>
          <w:p>
            <w:pPr>
              <w:jc w:val="center"/>
              <w:spacing w:after="0" w:line="189" w:lineRule="exact"/>
              <w:rPr>
                <w:sz w:val="20"/>
                <w:szCs w:val="20"/>
                <w:color w:val="auto"/>
              </w:rPr>
            </w:pPr>
            <w:r>
              <w:rPr>
                <w:rFonts w:ascii="Arial" w:cs="Arial" w:eastAsia="Arial" w:hAnsi="Arial"/>
                <w:sz w:val="18"/>
                <w:szCs w:val="18"/>
                <w:color w:val="auto"/>
                <w:w w:val="92"/>
              </w:rPr>
              <w:t>Other(2)</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89"/>
              </w:rPr>
              <w:t>1,683,704</w:t>
            </w:r>
          </w:p>
        </w:tc>
        <w:tc>
          <w:tcPr>
            <w:tcW w:w="1420" w:type="dxa"/>
            <w:vAlign w:val="bottom"/>
          </w:tcPr>
          <w:p>
            <w:pPr>
              <w:jc w:val="center"/>
              <w:spacing w:after="0" w:line="189" w:lineRule="exact"/>
              <w:rPr>
                <w:sz w:val="20"/>
                <w:szCs w:val="20"/>
                <w:color w:val="auto"/>
              </w:rPr>
            </w:pPr>
            <w:r>
              <w:rPr>
                <w:rFonts w:ascii="Arial" w:cs="Arial" w:eastAsia="Arial" w:hAnsi="Arial"/>
                <w:sz w:val="18"/>
                <w:szCs w:val="18"/>
                <w:color w:val="auto"/>
                <w:w w:val="90"/>
              </w:rPr>
              <w:t>$19.28 (2)</w:t>
            </w:r>
          </w:p>
        </w:tc>
        <w:tc>
          <w:tcPr>
            <w:tcW w:w="1400" w:type="dxa"/>
            <w:vAlign w:val="bottom"/>
          </w:tcPr>
          <w:p>
            <w:pPr>
              <w:jc w:val="center"/>
              <w:spacing w:after="0" w:line="189" w:lineRule="exact"/>
              <w:rPr>
                <w:sz w:val="20"/>
                <w:szCs w:val="20"/>
                <w:color w:val="auto"/>
              </w:rPr>
            </w:pPr>
            <w:r>
              <w:rPr>
                <w:rFonts w:ascii="Arial" w:cs="Arial" w:eastAsia="Arial" w:hAnsi="Arial"/>
                <w:sz w:val="18"/>
                <w:szCs w:val="18"/>
                <w:color w:val="auto"/>
                <w:w w:val="89"/>
              </w:rPr>
              <w:t>$32,461,813</w:t>
            </w:r>
          </w:p>
        </w:tc>
        <w:tc>
          <w:tcPr>
            <w:tcW w:w="14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$92.70 per $1.0</w:t>
            </w:r>
          </w:p>
        </w:tc>
        <w:tc>
          <w:tcPr>
            <w:tcW w:w="14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$3,009.21</w:t>
            </w:r>
          </w:p>
        </w:tc>
      </w:tr>
      <w:tr>
        <w:trPr>
          <w:trHeight w:val="189"/>
        </w:trPr>
        <w:tc>
          <w:tcPr>
            <w:tcW w:w="1400" w:type="dxa"/>
            <w:vAlign w:val="bottom"/>
            <w:tcBorders>
              <w:left w:val="single" w:sz="8" w:color="auto"/>
            </w:tcBorders>
          </w:tcPr>
          <w:p>
            <w:pPr>
              <w:spacing w:after="0"/>
              <w:rPr>
                <w:sz w:val="16"/>
                <w:szCs w:val="16"/>
                <w:color w:val="auto"/>
              </w:rPr>
            </w:pPr>
          </w:p>
        </w:tc>
        <w:tc>
          <w:tcPr>
            <w:tcW w:w="1440" w:type="dxa"/>
            <w:vAlign w:val="bottom"/>
          </w:tcPr>
          <w:p>
            <w:pPr>
              <w:jc w:val="center"/>
              <w:spacing w:after="0" w:line="189" w:lineRule="exact"/>
              <w:rPr>
                <w:sz w:val="20"/>
                <w:szCs w:val="20"/>
                <w:color w:val="auto"/>
              </w:rPr>
            </w:pPr>
            <w:r>
              <w:rPr>
                <w:rFonts w:ascii="Arial" w:cs="Arial" w:eastAsia="Arial" w:hAnsi="Arial"/>
                <w:sz w:val="18"/>
                <w:szCs w:val="18"/>
                <w:color w:val="auto"/>
                <w:w w:val="90"/>
              </w:rPr>
              <w:t>$0.0001 par value</w:t>
            </w:r>
          </w:p>
        </w:tc>
        <w:tc>
          <w:tcPr>
            <w:tcW w:w="1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rPr>
              <w:t>million</w:t>
            </w:r>
          </w:p>
        </w:tc>
        <w:tc>
          <w:tcPr>
            <w:tcW w:w="1400" w:type="dxa"/>
            <w:vAlign w:val="bottom"/>
            <w:tcBorders>
              <w:right w:val="single" w:sz="8" w:color="auto"/>
            </w:tcBorders>
          </w:tcPr>
          <w:p>
            <w:pPr>
              <w:spacing w:after="0"/>
              <w:rPr>
                <w:sz w:val="16"/>
                <w:szCs w:val="16"/>
                <w:color w:val="auto"/>
              </w:rPr>
            </w:pPr>
          </w:p>
        </w:tc>
      </w:tr>
      <w:tr>
        <w:trPr>
          <w:trHeight w:val="189"/>
        </w:trPr>
        <w:tc>
          <w:tcPr>
            <w:tcW w:w="1400" w:type="dxa"/>
            <w:vAlign w:val="bottom"/>
            <w:tcBorders>
              <w:left w:val="single" w:sz="8" w:color="auto"/>
            </w:tcBorders>
          </w:tcPr>
          <w:p>
            <w:pPr>
              <w:spacing w:after="0"/>
              <w:rPr>
                <w:sz w:val="16"/>
                <w:szCs w:val="16"/>
                <w:color w:val="auto"/>
              </w:rPr>
            </w:pPr>
          </w:p>
        </w:tc>
        <w:tc>
          <w:tcPr>
            <w:tcW w:w="1440" w:type="dxa"/>
            <w:vAlign w:val="bottom"/>
          </w:tcPr>
          <w:p>
            <w:pPr>
              <w:jc w:val="center"/>
              <w:spacing w:after="0" w:line="189" w:lineRule="exact"/>
              <w:rPr>
                <w:sz w:val="20"/>
                <w:szCs w:val="20"/>
                <w:color w:val="auto"/>
              </w:rPr>
            </w:pPr>
            <w:r>
              <w:rPr>
                <w:rFonts w:ascii="Arial" w:cs="Arial" w:eastAsia="Arial" w:hAnsi="Arial"/>
                <w:sz w:val="18"/>
                <w:szCs w:val="18"/>
                <w:color w:val="auto"/>
                <w:w w:val="87"/>
              </w:rPr>
              <w:t>per share, SI-</w:t>
            </w:r>
          </w:p>
        </w:tc>
        <w:tc>
          <w:tcPr>
            <w:tcW w:w="1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r>
      <w:tr>
        <w:trPr>
          <w:trHeight w:val="189"/>
        </w:trPr>
        <w:tc>
          <w:tcPr>
            <w:tcW w:w="1400" w:type="dxa"/>
            <w:vAlign w:val="bottom"/>
            <w:tcBorders>
              <w:left w:val="single" w:sz="8" w:color="auto"/>
            </w:tcBorders>
          </w:tcPr>
          <w:p>
            <w:pPr>
              <w:spacing w:after="0"/>
              <w:rPr>
                <w:sz w:val="16"/>
                <w:szCs w:val="16"/>
                <w:color w:val="auto"/>
              </w:rPr>
            </w:pPr>
          </w:p>
        </w:tc>
        <w:tc>
          <w:tcPr>
            <w:tcW w:w="1440" w:type="dxa"/>
            <w:vAlign w:val="bottom"/>
          </w:tcPr>
          <w:p>
            <w:pPr>
              <w:jc w:val="center"/>
              <w:spacing w:after="0" w:line="189" w:lineRule="exact"/>
              <w:rPr>
                <w:sz w:val="20"/>
                <w:szCs w:val="20"/>
                <w:color w:val="auto"/>
              </w:rPr>
            </w:pPr>
            <w:r>
              <w:rPr>
                <w:rFonts w:ascii="Arial" w:cs="Arial" w:eastAsia="Arial" w:hAnsi="Arial"/>
                <w:sz w:val="18"/>
                <w:szCs w:val="18"/>
                <w:color w:val="auto"/>
                <w:w w:val="93"/>
              </w:rPr>
              <w:t>BONE, Inc. 2018</w:t>
            </w:r>
          </w:p>
        </w:tc>
        <w:tc>
          <w:tcPr>
            <w:tcW w:w="1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r>
      <w:tr>
        <w:trPr>
          <w:trHeight w:val="189"/>
        </w:trPr>
        <w:tc>
          <w:tcPr>
            <w:tcW w:w="1400" w:type="dxa"/>
            <w:vAlign w:val="bottom"/>
            <w:tcBorders>
              <w:left w:val="single" w:sz="8" w:color="auto"/>
            </w:tcBorders>
          </w:tcPr>
          <w:p>
            <w:pPr>
              <w:spacing w:after="0"/>
              <w:rPr>
                <w:sz w:val="16"/>
                <w:szCs w:val="16"/>
                <w:color w:val="auto"/>
              </w:rPr>
            </w:pPr>
          </w:p>
        </w:tc>
        <w:tc>
          <w:tcPr>
            <w:tcW w:w="1440" w:type="dxa"/>
            <w:vAlign w:val="bottom"/>
          </w:tcPr>
          <w:p>
            <w:pPr>
              <w:jc w:val="center"/>
              <w:spacing w:after="0" w:line="189" w:lineRule="exact"/>
              <w:rPr>
                <w:sz w:val="20"/>
                <w:szCs w:val="20"/>
                <w:color w:val="auto"/>
              </w:rPr>
            </w:pPr>
            <w:r>
              <w:rPr>
                <w:rFonts w:ascii="Arial" w:cs="Arial" w:eastAsia="Arial" w:hAnsi="Arial"/>
                <w:sz w:val="18"/>
                <w:szCs w:val="18"/>
                <w:color w:val="auto"/>
                <w:w w:val="94"/>
              </w:rPr>
              <w:t>Equity Incentive</w:t>
            </w:r>
          </w:p>
        </w:tc>
        <w:tc>
          <w:tcPr>
            <w:tcW w:w="1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r>
      <w:tr>
        <w:trPr>
          <w:trHeight w:val="237"/>
        </w:trPr>
        <w:tc>
          <w:tcPr>
            <w:tcW w:w="1400" w:type="dxa"/>
            <w:vAlign w:val="bottom"/>
            <w:tcBorders>
              <w:left w:val="single" w:sz="8" w:color="auto"/>
              <w:bottom w:val="single" w:sz="8" w:color="auto"/>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Plan</w:t>
            </w:r>
          </w:p>
        </w:tc>
        <w:tc>
          <w:tcPr>
            <w:tcW w:w="1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r>
      <w:tr>
        <w:trPr>
          <w:trHeight w:val="188"/>
        </w:trPr>
        <w:tc>
          <w:tcPr>
            <w:tcW w:w="1400" w:type="dxa"/>
            <w:vAlign w:val="bottom"/>
            <w:tcBorders>
              <w:left w:val="single" w:sz="8" w:color="auto"/>
            </w:tcBorders>
          </w:tcPr>
          <w:p>
            <w:pPr>
              <w:jc w:val="center"/>
              <w:spacing w:after="0" w:line="189" w:lineRule="exact"/>
              <w:rPr>
                <w:sz w:val="20"/>
                <w:szCs w:val="20"/>
                <w:color w:val="auto"/>
              </w:rPr>
            </w:pPr>
            <w:r>
              <w:rPr>
                <w:rFonts w:ascii="Arial" w:cs="Arial" w:eastAsia="Arial" w:hAnsi="Arial"/>
                <w:sz w:val="18"/>
                <w:szCs w:val="18"/>
                <w:color w:val="auto"/>
                <w:w w:val="95"/>
              </w:rPr>
              <w:t>Equity</w:t>
            </w:r>
          </w:p>
        </w:tc>
        <w:tc>
          <w:tcPr>
            <w:tcW w:w="1440" w:type="dxa"/>
            <w:vAlign w:val="bottom"/>
          </w:tcPr>
          <w:p>
            <w:pPr>
              <w:jc w:val="center"/>
              <w:spacing w:after="0" w:line="189" w:lineRule="exact"/>
              <w:rPr>
                <w:sz w:val="20"/>
                <w:szCs w:val="20"/>
                <w:color w:val="auto"/>
              </w:rPr>
            </w:pPr>
            <w:r>
              <w:rPr>
                <w:rFonts w:ascii="Arial" w:cs="Arial" w:eastAsia="Arial" w:hAnsi="Arial"/>
                <w:sz w:val="18"/>
                <w:szCs w:val="18"/>
                <w:color w:val="auto"/>
                <w:w w:val="92"/>
              </w:rPr>
              <w:t>Common Stock,</w:t>
            </w:r>
          </w:p>
        </w:tc>
        <w:tc>
          <w:tcPr>
            <w:tcW w:w="1420" w:type="dxa"/>
            <w:vAlign w:val="bottom"/>
          </w:tcPr>
          <w:p>
            <w:pPr>
              <w:jc w:val="center"/>
              <w:spacing w:after="0" w:line="189" w:lineRule="exact"/>
              <w:rPr>
                <w:sz w:val="20"/>
                <w:szCs w:val="20"/>
                <w:color w:val="auto"/>
              </w:rPr>
            </w:pPr>
            <w:r>
              <w:rPr>
                <w:rFonts w:ascii="Arial" w:cs="Arial" w:eastAsia="Arial" w:hAnsi="Arial"/>
                <w:sz w:val="18"/>
                <w:szCs w:val="18"/>
                <w:color w:val="auto"/>
                <w:w w:val="92"/>
              </w:rPr>
              <w:t>Other(2)</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2"/>
              </w:rPr>
              <w:t>336,741</w:t>
            </w:r>
          </w:p>
        </w:tc>
        <w:tc>
          <w:tcPr>
            <w:tcW w:w="1420" w:type="dxa"/>
            <w:vAlign w:val="bottom"/>
          </w:tcPr>
          <w:p>
            <w:pPr>
              <w:jc w:val="center"/>
              <w:spacing w:after="0" w:line="189" w:lineRule="exact"/>
              <w:rPr>
                <w:sz w:val="20"/>
                <w:szCs w:val="20"/>
                <w:color w:val="auto"/>
              </w:rPr>
            </w:pPr>
            <w:r>
              <w:rPr>
                <w:rFonts w:ascii="Arial" w:cs="Arial" w:eastAsia="Arial" w:hAnsi="Arial"/>
                <w:sz w:val="18"/>
                <w:szCs w:val="18"/>
                <w:color w:val="auto"/>
                <w:w w:val="90"/>
              </w:rPr>
              <w:t>$16.39 (3)</w:t>
            </w:r>
          </w:p>
        </w:tc>
        <w:tc>
          <w:tcPr>
            <w:tcW w:w="1400" w:type="dxa"/>
            <w:vAlign w:val="bottom"/>
          </w:tcPr>
          <w:p>
            <w:pPr>
              <w:jc w:val="center"/>
              <w:spacing w:after="0" w:line="189" w:lineRule="exact"/>
              <w:rPr>
                <w:sz w:val="20"/>
                <w:szCs w:val="20"/>
                <w:color w:val="auto"/>
              </w:rPr>
            </w:pPr>
            <w:r>
              <w:rPr>
                <w:rFonts w:ascii="Arial" w:cs="Arial" w:eastAsia="Arial" w:hAnsi="Arial"/>
                <w:sz w:val="18"/>
                <w:szCs w:val="18"/>
                <w:color w:val="auto"/>
                <w:w w:val="90"/>
              </w:rPr>
              <w:t>$5,519,185</w:t>
            </w:r>
          </w:p>
        </w:tc>
        <w:tc>
          <w:tcPr>
            <w:tcW w:w="14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$92.70 per $1.0</w:t>
            </w:r>
          </w:p>
        </w:tc>
        <w:tc>
          <w:tcPr>
            <w:tcW w:w="14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$511.63</w:t>
            </w:r>
          </w:p>
        </w:tc>
      </w:tr>
      <w:tr>
        <w:trPr>
          <w:trHeight w:val="189"/>
        </w:trPr>
        <w:tc>
          <w:tcPr>
            <w:tcW w:w="1400" w:type="dxa"/>
            <w:vAlign w:val="bottom"/>
            <w:tcBorders>
              <w:left w:val="single" w:sz="8" w:color="auto"/>
            </w:tcBorders>
          </w:tcPr>
          <w:p>
            <w:pPr>
              <w:spacing w:after="0"/>
              <w:rPr>
                <w:sz w:val="16"/>
                <w:szCs w:val="16"/>
                <w:color w:val="auto"/>
              </w:rPr>
            </w:pPr>
          </w:p>
        </w:tc>
        <w:tc>
          <w:tcPr>
            <w:tcW w:w="1440" w:type="dxa"/>
            <w:vAlign w:val="bottom"/>
          </w:tcPr>
          <w:p>
            <w:pPr>
              <w:jc w:val="center"/>
              <w:spacing w:after="0" w:line="189" w:lineRule="exact"/>
              <w:rPr>
                <w:sz w:val="20"/>
                <w:szCs w:val="20"/>
                <w:color w:val="auto"/>
              </w:rPr>
            </w:pPr>
            <w:r>
              <w:rPr>
                <w:rFonts w:ascii="Arial" w:cs="Arial" w:eastAsia="Arial" w:hAnsi="Arial"/>
                <w:sz w:val="18"/>
                <w:szCs w:val="18"/>
                <w:color w:val="auto"/>
                <w:w w:val="90"/>
              </w:rPr>
              <w:t>$0.0001 par value</w:t>
            </w:r>
          </w:p>
        </w:tc>
        <w:tc>
          <w:tcPr>
            <w:tcW w:w="1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rPr>
              <w:t>million</w:t>
            </w:r>
          </w:p>
        </w:tc>
        <w:tc>
          <w:tcPr>
            <w:tcW w:w="1400" w:type="dxa"/>
            <w:vAlign w:val="bottom"/>
            <w:tcBorders>
              <w:right w:val="single" w:sz="8" w:color="auto"/>
            </w:tcBorders>
          </w:tcPr>
          <w:p>
            <w:pPr>
              <w:spacing w:after="0"/>
              <w:rPr>
                <w:sz w:val="16"/>
                <w:szCs w:val="16"/>
                <w:color w:val="auto"/>
              </w:rPr>
            </w:pPr>
          </w:p>
        </w:tc>
      </w:tr>
      <w:tr>
        <w:trPr>
          <w:trHeight w:val="189"/>
        </w:trPr>
        <w:tc>
          <w:tcPr>
            <w:tcW w:w="1400" w:type="dxa"/>
            <w:vAlign w:val="bottom"/>
            <w:tcBorders>
              <w:left w:val="single" w:sz="8" w:color="auto"/>
            </w:tcBorders>
          </w:tcPr>
          <w:p>
            <w:pPr>
              <w:spacing w:after="0"/>
              <w:rPr>
                <w:sz w:val="16"/>
                <w:szCs w:val="16"/>
                <w:color w:val="auto"/>
              </w:rPr>
            </w:pPr>
          </w:p>
        </w:tc>
        <w:tc>
          <w:tcPr>
            <w:tcW w:w="1440" w:type="dxa"/>
            <w:vAlign w:val="bottom"/>
          </w:tcPr>
          <w:p>
            <w:pPr>
              <w:jc w:val="center"/>
              <w:spacing w:after="0" w:line="189" w:lineRule="exact"/>
              <w:rPr>
                <w:sz w:val="20"/>
                <w:szCs w:val="20"/>
                <w:color w:val="auto"/>
              </w:rPr>
            </w:pPr>
            <w:r>
              <w:rPr>
                <w:rFonts w:ascii="Arial" w:cs="Arial" w:eastAsia="Arial" w:hAnsi="Arial"/>
                <w:sz w:val="18"/>
                <w:szCs w:val="18"/>
                <w:color w:val="auto"/>
                <w:w w:val="87"/>
              </w:rPr>
              <w:t>per share, SI-</w:t>
            </w:r>
          </w:p>
        </w:tc>
        <w:tc>
          <w:tcPr>
            <w:tcW w:w="1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r>
      <w:tr>
        <w:trPr>
          <w:trHeight w:val="189"/>
        </w:trPr>
        <w:tc>
          <w:tcPr>
            <w:tcW w:w="1400" w:type="dxa"/>
            <w:vAlign w:val="bottom"/>
            <w:tcBorders>
              <w:left w:val="single" w:sz="8" w:color="auto"/>
            </w:tcBorders>
          </w:tcPr>
          <w:p>
            <w:pPr>
              <w:spacing w:after="0"/>
              <w:rPr>
                <w:sz w:val="16"/>
                <w:szCs w:val="16"/>
                <w:color w:val="auto"/>
              </w:rPr>
            </w:pPr>
          </w:p>
        </w:tc>
        <w:tc>
          <w:tcPr>
            <w:tcW w:w="1440" w:type="dxa"/>
            <w:vAlign w:val="bottom"/>
          </w:tcPr>
          <w:p>
            <w:pPr>
              <w:jc w:val="center"/>
              <w:spacing w:after="0" w:line="189" w:lineRule="exact"/>
              <w:rPr>
                <w:sz w:val="20"/>
                <w:szCs w:val="20"/>
                <w:color w:val="auto"/>
              </w:rPr>
            </w:pPr>
            <w:r>
              <w:rPr>
                <w:rFonts w:ascii="Arial" w:cs="Arial" w:eastAsia="Arial" w:hAnsi="Arial"/>
                <w:sz w:val="18"/>
                <w:szCs w:val="18"/>
                <w:color w:val="auto"/>
                <w:w w:val="93"/>
              </w:rPr>
              <w:t>BONE, Inc. 2018</w:t>
            </w:r>
          </w:p>
        </w:tc>
        <w:tc>
          <w:tcPr>
            <w:tcW w:w="1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r>
      <w:tr>
        <w:trPr>
          <w:trHeight w:val="189"/>
        </w:trPr>
        <w:tc>
          <w:tcPr>
            <w:tcW w:w="1400" w:type="dxa"/>
            <w:vAlign w:val="bottom"/>
            <w:tcBorders>
              <w:left w:val="single" w:sz="8" w:color="auto"/>
            </w:tcBorders>
          </w:tcPr>
          <w:p>
            <w:pPr>
              <w:spacing w:after="0"/>
              <w:rPr>
                <w:sz w:val="16"/>
                <w:szCs w:val="16"/>
                <w:color w:val="auto"/>
              </w:rPr>
            </w:pPr>
          </w:p>
        </w:tc>
        <w:tc>
          <w:tcPr>
            <w:tcW w:w="1440" w:type="dxa"/>
            <w:vAlign w:val="bottom"/>
          </w:tcPr>
          <w:p>
            <w:pPr>
              <w:jc w:val="center"/>
              <w:spacing w:after="0" w:line="189" w:lineRule="exact"/>
              <w:rPr>
                <w:sz w:val="20"/>
                <w:szCs w:val="20"/>
                <w:color w:val="auto"/>
              </w:rPr>
            </w:pPr>
            <w:r>
              <w:rPr>
                <w:rFonts w:ascii="Arial" w:cs="Arial" w:eastAsia="Arial" w:hAnsi="Arial"/>
                <w:sz w:val="18"/>
                <w:szCs w:val="18"/>
                <w:color w:val="auto"/>
                <w:w w:val="90"/>
              </w:rPr>
              <w:t>Employee Stock</w:t>
            </w:r>
          </w:p>
        </w:tc>
        <w:tc>
          <w:tcPr>
            <w:tcW w:w="1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r>
      <w:tr>
        <w:trPr>
          <w:trHeight w:val="237"/>
        </w:trPr>
        <w:tc>
          <w:tcPr>
            <w:tcW w:w="1400" w:type="dxa"/>
            <w:vAlign w:val="bottom"/>
            <w:tcBorders>
              <w:left w:val="single" w:sz="8" w:color="auto"/>
              <w:bottom w:val="single" w:sz="8" w:color="auto"/>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Purchase Plan</w:t>
            </w:r>
          </w:p>
        </w:tc>
        <w:tc>
          <w:tcPr>
            <w:tcW w:w="1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r>
      <w:tr>
        <w:trPr>
          <w:trHeight w:val="239"/>
        </w:trPr>
        <w:tc>
          <w:tcPr>
            <w:tcW w:w="284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 Offering Amounts</w:t>
            </w:r>
          </w:p>
        </w:tc>
        <w:tc>
          <w:tcPr>
            <w:tcW w:w="1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$37,980,998</w:t>
            </w:r>
          </w:p>
        </w:tc>
        <w:tc>
          <w:tcPr>
            <w:tcW w:w="14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$3,520.84</w:t>
            </w:r>
          </w:p>
        </w:tc>
      </w:tr>
      <w:tr>
        <w:trPr>
          <w:trHeight w:val="237"/>
        </w:trPr>
        <w:tc>
          <w:tcPr>
            <w:tcW w:w="284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 Fees Previously Paid</w:t>
            </w:r>
          </w:p>
        </w:tc>
        <w:tc>
          <w:tcPr>
            <w:tcW w:w="1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36"/>
        </w:trPr>
        <w:tc>
          <w:tcPr>
            <w:tcW w:w="14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91"/>
              </w:rPr>
              <w:t>Total Fee Offsets</w:t>
            </w:r>
          </w:p>
        </w:tc>
        <w:tc>
          <w:tcPr>
            <w:tcW w:w="1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1400" w:type="dxa"/>
            <w:vAlign w:val="bottom"/>
            <w:tcBorders>
              <w:left w:val="single" w:sz="8" w:color="auto"/>
              <w:bottom w:val="single" w:sz="8" w:color="auto"/>
            </w:tcBorders>
          </w:tcPr>
          <w:p>
            <w:pPr>
              <w:spacing w:after="0"/>
              <w:rPr>
                <w:sz w:val="20"/>
                <w:szCs w:val="20"/>
                <w:color w:val="auto"/>
              </w:rPr>
            </w:pPr>
          </w:p>
        </w:tc>
        <w:tc>
          <w:tcPr>
            <w:tcW w:w="2860" w:type="dxa"/>
            <w:vAlign w:val="bottom"/>
            <w:tcBorders>
              <w:bottom w:val="single" w:sz="8" w:color="auto"/>
            </w:tcBorders>
            <w:gridSpan w:val="2"/>
          </w:tcPr>
          <w:p>
            <w:pPr>
              <w:ind w:left="960"/>
              <w:spacing w:after="0"/>
              <w:rPr>
                <w:sz w:val="20"/>
                <w:szCs w:val="20"/>
                <w:color w:val="auto"/>
              </w:rPr>
            </w:pPr>
            <w:r>
              <w:rPr>
                <w:rFonts w:ascii="Arial" w:cs="Arial" w:eastAsia="Arial" w:hAnsi="Arial"/>
                <w:sz w:val="18"/>
                <w:szCs w:val="18"/>
                <w:b w:val="1"/>
                <w:bCs w:val="1"/>
                <w:color w:val="auto"/>
              </w:rPr>
              <w:t>Net Fee Due</w:t>
            </w:r>
          </w:p>
        </w:tc>
        <w:tc>
          <w:tcPr>
            <w:tcW w:w="1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$3,520.84</w:t>
            </w:r>
          </w:p>
        </w:tc>
      </w:tr>
    </w:tbl>
    <w:p>
      <w:pPr>
        <w:spacing w:after="0" w:line="67" w:lineRule="exact"/>
        <w:rPr>
          <w:sz w:val="20"/>
          <w:szCs w:val="20"/>
          <w:color w:val="auto"/>
        </w:rPr>
      </w:pPr>
    </w:p>
    <w:p>
      <w:pPr>
        <w:ind w:right="220" w:firstLine="8"/>
        <w:spacing w:after="0" w:line="246"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Pursuant to Rule 416(a) of the Securities Act of 1933, as amended (the “Securities Act”), this Registration Statement also covers any additional securities that may be offered or become issuable under the SI-BONE, Inc. 2018 Equity Incentive Plan or SI-BONE, Inc. 2018 Employee Stock Purchase (the “2018 ESPP”) in connection with any stock split, stock dividend, recapitalization or any other similar transaction effected without receipt of consideration, which results in an increase in the number of the Registrant’s outstanding shares of Common Stock.</w:t>
      </w:r>
    </w:p>
    <w:p>
      <w:pPr>
        <w:spacing w:after="0" w:line="197" w:lineRule="exact"/>
        <w:rPr>
          <w:rFonts w:ascii="Arial" w:cs="Arial" w:eastAsia="Arial" w:hAnsi="Arial"/>
          <w:sz w:val="17"/>
          <w:szCs w:val="17"/>
          <w:color w:val="auto"/>
        </w:rPr>
      </w:pPr>
    </w:p>
    <w:p>
      <w:pPr>
        <w:jc w:val="both"/>
        <w:ind w:right="220" w:firstLine="8"/>
        <w:spacing w:after="0" w:line="235"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in accordance with Rules 457(c) and 457(h) under the Securities Act, solely for the purposes of calculating the registration fee, based upon $19.28, which is the average of the high and low selling prices of the Registrant’s Common Stock as reported on The Nasdaq Global Market on February 24, 2022.</w:t>
      </w:r>
    </w:p>
    <w:p>
      <w:pPr>
        <w:spacing w:after="0" w:line="201" w:lineRule="exact"/>
        <w:rPr>
          <w:rFonts w:ascii="Arial" w:cs="Arial" w:eastAsia="Arial" w:hAnsi="Arial"/>
          <w:sz w:val="18"/>
          <w:szCs w:val="18"/>
          <w:color w:val="auto"/>
        </w:rPr>
      </w:pPr>
    </w:p>
    <w:p>
      <w:pPr>
        <w:ind w:right="80" w:firstLine="8"/>
        <w:spacing w:after="0" w:line="253"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Estimated in accordance with Rules 457(c) and (h) promulgated under the Securities Act solely for the purpose of calculating the registration fee on the basis of $16.39 per share, the average of the high and low prices of the Registrant’s Common Stock as reported on the Nasdaq Global Market on February 24, 2022, multiplied by 85%, which is the percentage of the price per share applicable to purchases under the 2018 ESPP.</w:t>
      </w:r>
    </w:p>
    <w:p>
      <w:pPr>
        <w:sectPr>
          <w:pgSz w:w="11900" w:h="16838" w:orient="portrait"/>
          <w:cols w:equalWidth="0" w:num="1">
            <w:col w:w="11260"/>
          </w:cols>
          <w:pgMar w:left="320" w:top="1408" w:right="31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139825"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extLst>
                    </a:blip>
                    <a:srcRect/>
                    <a:stretch>
                      <a:fillRect/>
                    </a:stretch>
                  </pic:blipFill>
                  <pic:spPr bwMode="auto">
                    <a:xfrm>
                      <a:off x="0" y="0"/>
                      <a:ext cx="113982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Matthew B. Hemington</w:t>
      </w:r>
    </w:p>
    <w:p>
      <w:pPr>
        <w:spacing w:after="0" w:line="19" w:lineRule="exact"/>
        <w:rPr>
          <w:sz w:val="20"/>
          <w:szCs w:val="20"/>
          <w:color w:val="auto"/>
        </w:rPr>
      </w:pPr>
    </w:p>
    <w:p>
      <w:pPr>
        <w:ind w:right="9440" w:firstLine="8"/>
        <w:spacing w:after="0" w:line="328" w:lineRule="auto"/>
        <w:tabs>
          <w:tab w:leader="none" w:pos="176" w:val="left"/>
        </w:tabs>
        <w:numPr>
          <w:ilvl w:val="0"/>
          <w:numId w:val="4"/>
        </w:numPr>
        <w:rPr>
          <w:rFonts w:ascii="Arial" w:cs="Arial" w:eastAsia="Arial" w:hAnsi="Arial"/>
          <w:sz w:val="14"/>
          <w:szCs w:val="14"/>
          <w:color w:val="auto"/>
        </w:rPr>
      </w:pPr>
      <w:r>
        <w:rPr>
          <w:rFonts w:ascii="Arial" w:cs="Arial" w:eastAsia="Arial" w:hAnsi="Arial"/>
          <w:sz w:val="14"/>
          <w:szCs w:val="14"/>
          <w:color w:val="auto"/>
        </w:rPr>
        <w:t>+1 650 843 5062 hemingtonmb@cooley.com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471 El Camino Real, Suite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acted as counsel to SI-BONE,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of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covering the offering of up to 2,020,445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common stock, par value $0.0001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consisting of (i) 1,683,704 shares of Common Stock issuable pursuant to the Company’s 2018 Equity Incentive Plan (the “</w:t>
      </w:r>
      <w:r>
        <w:rPr>
          <w:rFonts w:ascii="Arial" w:cs="Arial" w:eastAsia="Arial" w:hAnsi="Arial"/>
          <w:sz w:val="18"/>
          <w:szCs w:val="18"/>
          <w:b w:val="1"/>
          <w:bCs w:val="1"/>
          <w:i w:val="1"/>
          <w:iCs w:val="1"/>
          <w:color w:val="auto"/>
        </w:rPr>
        <w:t>2018 EIP</w:t>
      </w:r>
      <w:r>
        <w:rPr>
          <w:rFonts w:ascii="Arial" w:cs="Arial" w:eastAsia="Arial" w:hAnsi="Arial"/>
          <w:sz w:val="18"/>
          <w:szCs w:val="18"/>
          <w:color w:val="auto"/>
        </w:rPr>
        <w:t>”) and (ii) 336,741 shares of Common Stock issuable pursuant to the Company’s 2018 Employee Stock Purchase Plan (together with the Company’s 2018 EIP, the “</w:t>
      </w:r>
      <w:r>
        <w:rPr>
          <w:rFonts w:ascii="Arial" w:cs="Arial" w:eastAsia="Arial" w:hAnsi="Arial"/>
          <w:sz w:val="18"/>
          <w:szCs w:val="18"/>
          <w:b w:val="1"/>
          <w:bCs w:val="1"/>
          <w:i w:val="1"/>
          <w:iCs w:val="1"/>
          <w:color w:val="auto"/>
        </w:rPr>
        <w:t>Plans</w:t>
      </w:r>
      <w:r>
        <w:rPr>
          <w:rFonts w:ascii="Arial" w:cs="Arial" w:eastAsia="Arial" w:hAnsi="Arial"/>
          <w:sz w:val="18"/>
          <w:szCs w:val="18"/>
          <w:color w:val="auto"/>
        </w:rPr>
        <w:t>”).</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In connection with this opinion, we have examined and relied upon (a) the Registration Statement and related prospectus, (b) the Company’s Amended and Restated Certificate of Incorporation and Amended and Restated Bylaws, as currently in effect, (c) the Plans, and (d) such other records, documents,</w:t>
      </w:r>
    </w:p>
    <w:p>
      <w:pPr>
        <w:jc w:val="both"/>
        <w:spacing w:after="0" w:line="299" w:lineRule="auto"/>
        <w:rPr>
          <w:sz w:val="20"/>
          <w:szCs w:val="20"/>
          <w:color w:val="auto"/>
        </w:rPr>
      </w:pPr>
      <w:r>
        <w:rPr>
          <w:rFonts w:ascii="Arial" w:cs="Arial" w:eastAsia="Arial" w:hAnsi="Arial"/>
          <w:sz w:val="16"/>
          <w:szCs w:val="16"/>
          <w:color w:val="auto"/>
        </w:rPr>
        <w:t>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 the accuracy, completeness and authenticity of certificates of public officials and the due authorization, execution and delivery of</w:t>
      </w:r>
    </w:p>
    <w:p>
      <w:pPr>
        <w:spacing w:after="0" w:line="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documents by all persons other than the Company where execution and delivery are prerequisites to the effectiveness thereof. As to certain factual matters, we have relied upon a certificate of an officer of the Company and have not independently verified such matters.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the basis of the foregoing, and in reliance thereon, we are of the opinion that the Shares, when sold and issued in accordance with the Plans, the Registration Statement and the related prospectuses, will be validly issued, fully paid, and nonassessable (except as to shares issued pursuant to certain deferred payment arrangements, which will be fully paid and nonassessable when such deferred payments are made in full).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filing of this opinion as an exhibit to the Registration Statement.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Cooley LLP</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 Matthew B. Hemington</w:t>
            </w:r>
          </w:p>
        </w:tc>
      </w:tr>
      <w:tr>
        <w:trPr>
          <w:trHeight w:val="228"/>
        </w:trPr>
        <w:tc>
          <w:tcPr>
            <w:tcW w:w="64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Matthew B. Hemington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Cooley LLP 3175 Hanover Street Palo Alto, CA 94304-1130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 (650) 843-5000 f: (650) 849-7400 cooley.com</w:t>
      </w:r>
    </w:p>
    <w:p>
      <w:pPr>
        <w:sectPr>
          <w:pgSz w:w="11900" w:h="16838" w:orient="portrait"/>
          <w:cols w:equalWidth="0" w:num="1">
            <w:col w:w="11240"/>
          </w:cols>
          <w:pgMar w:left="320" w:top="769"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S-8 of SI-BONE, Inc. of our report dated March 1, 2022 relating to the financial statements and the effectiveness of internal control over financial reporting, which appears in SI-BONE, Inc.’s Annual Report on Form 10-K for the year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24" Type="http://schemas.openxmlformats.org/officeDocument/2006/relationships/image" Target="media/image1.png"/><Relationship Id="rId25" Type="http://schemas.openxmlformats.org/officeDocument/2006/relationships/image" Target="media/image2.png"/><Relationship Id="rId26" Type="http://schemas.openxmlformats.org/officeDocument/2006/relationships/image" Target="media/image3.png"/><Relationship Id="rId27" Type="http://schemas.openxmlformats.org/officeDocument/2006/relationships/image" Target="media/image4.png"/><Relationship Id="rId28" Type="http://schemas.openxmlformats.org/officeDocument/2006/relationships/image" Target="media/image5.png"/><Relationship Id="rId29" Type="http://schemas.openxmlformats.org/officeDocument/2006/relationships/image" Target="media/image6.png"/><Relationship Id="rId30" Type="http://schemas.openxmlformats.org/officeDocument/2006/relationships/image" Target="media/image7.png"/><Relationship Id="rId31" Type="http://schemas.openxmlformats.org/officeDocument/2006/relationships/image" Target="media/image8.png"/><Relationship Id="rId32" Type="http://schemas.openxmlformats.org/officeDocument/2006/relationships/image" Target="media/image9.png"/><Relationship Id="rId33" Type="http://schemas.openxmlformats.org/officeDocument/2006/relationships/image" Target="media/image10.png"/><Relationship Id="rId34" Type="http://schemas.openxmlformats.org/officeDocument/2006/relationships/image" Target="media/image11.jpeg"/><Relationship Id="rId8" Type="http://schemas.openxmlformats.org/officeDocument/2006/relationships/hyperlink" Target="http://www.sec.gov/Archives/edgar/data/1459839/000119312518303158/d635537ds8.htm" TargetMode="External"/><Relationship Id="rId9" Type="http://schemas.openxmlformats.org/officeDocument/2006/relationships/hyperlink" Target="http://www.sec.gov/Archives/edgar/data/1459839/000145983919000015/s-8evergreen2019.htm" TargetMode="External"/><Relationship Id="rId10" Type="http://schemas.openxmlformats.org/officeDocument/2006/relationships/hyperlink" Target="http://www.sec.gov/Archives/edgar/data/1459839/000145983920000032/s-8evergreen2020.htm" TargetMode="External"/><Relationship Id="rId11" Type="http://schemas.openxmlformats.org/officeDocument/2006/relationships/hyperlink" Target="https://www.sec.gov/Archives/edgar/data/1459839/000145983921000015/s-8evergreenjanuary2021.htm" TargetMode="External"/><Relationship Id="rId12" Type="http://schemas.openxmlformats.org/officeDocument/2006/relationships/hyperlink" Target="https://www.sec.gov/ix?doc=/Archives/edgar/data/0001459839/000145983922000016/sibn-20211231.htm" TargetMode="External"/><Relationship Id="rId13" Type="http://schemas.openxmlformats.org/officeDocument/2006/relationships/hyperlink" Target="https://www.sec.gov/ix?doc=/Archives/edgar/data/1459839/000145983922000006/sibn-20220106.htm" TargetMode="External"/><Relationship Id="rId14" Type="http://schemas.openxmlformats.org/officeDocument/2006/relationships/hyperlink" Target="https://www.sec.gov/ix?doc=/Archives/edgar/data/1459839/000145983922000012/sibn-20220228.htm" TargetMode="External"/><Relationship Id="rId15" Type="http://schemas.openxmlformats.org/officeDocument/2006/relationships/hyperlink" Target="http://www.sec.gov/Archives/edgar/data/1459839/000119312518297571/d486750d8a12b.htm" TargetMode="External"/><Relationship Id="rId16" Type="http://schemas.openxmlformats.org/officeDocument/2006/relationships/hyperlink" Target="http://www.sec.gov/Archives/edgar/data/1459839/000119312518303020/d641574dex31.htm" TargetMode="External"/><Relationship Id="rId17" Type="http://schemas.openxmlformats.org/officeDocument/2006/relationships/hyperlink" Target="http://www.sec.gov/Archives/edgar/data/1459839/000119312518293978/d452987dex34.htm" TargetMode="External"/><Relationship Id="rId18" Type="http://schemas.openxmlformats.org/officeDocument/2006/relationships/hyperlink" Target="http://www.sec.gov/Archives/edgar/data/1459839/000119312518293978/d452987dex41.htm" TargetMode="External"/><Relationship Id="rId19" Type="http://schemas.openxmlformats.org/officeDocument/2006/relationships/hyperlink" Target="http://www.sec.gov/Archives/edgar/data/1459839/000119312518293978/d452987dex103.htm" TargetMode="External"/><Relationship Id="rId20" Type="http://schemas.openxmlformats.org/officeDocument/2006/relationships/hyperlink" Target="http://www.sec.gov/Archives/edgar/data/1459839/000119312518293978/d452987dex104.htm" TargetMode="External"/><Relationship Id="rId21" Type="http://schemas.openxmlformats.org/officeDocument/2006/relationships/hyperlink" Target="http://www.sec.gov/Archives/edgar/data/1459839/000119312518293978/d452987dex105.htm" TargetMode="External"/><Relationship Id="rId22" Type="http://schemas.openxmlformats.org/officeDocument/2006/relationships/hyperlink" Target="http://www.sec.gov/Archives/edgar/data/1459839/000119312518293978/d452987dex106.htm" TargetMode="External"/><Relationship Id="rId23" Type="http://schemas.openxmlformats.org/officeDocument/2006/relationships/hyperlink" Target="https://www.sec.gov/Archives/edgar/data/1459839/000145983922000006/si-bonexformofprsugrant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2022-03-01T17:23:39Z</dcterms:created>
  <dcterms:modified xsi:type="dcterms:W3CDTF">2022-03-01T17:23:39Z</dcterms:modified>
</cp:coreProperties>
</file>