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18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180" w:type="dxa"/>
            <w:vAlign w:val="bottom"/>
            <w:gridSpan w:val="22"/>
            <w:vMerge w:val="restart"/>
          </w:tcPr>
          <w:p>
            <w:pPr>
              <w:jc w:val="center"/>
              <w:ind w:right="5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8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DUNN JEFFREY W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SI-BONE,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SIBN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8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C/O SI-BONE, INC.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 EL CAMINO REAL, SUITE 101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6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272,753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3.42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357,919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272,753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85,166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132,580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00" w:type="dxa"/>
            <w:vAlign w:val="bottom"/>
            <w:gridSpan w:val="2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3.42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272,753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272,753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-6032500</wp:posOffset>
            </wp:positionV>
            <wp:extent cx="7046595" cy="61842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in connection with the Issuer's public offering of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shares issuable on settlement of restricted stock units granted to the Reporting Person. Each restricted stock unit represents a contingent right to receive one share of the Issuer's common stock.</w:t>
      </w:r>
    </w:p>
    <w:p>
      <w:pPr>
        <w:spacing w:after="0" w:line="6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by The Jeffrey W. Dunn Living Trust Dated May 17, 2012.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are fully vested.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0001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Jeffrey W.  05/10/2023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815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362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035986" TargetMode="External"/><Relationship Id="rId9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2023-05-10T18:55:04Z</dcterms:created>
  <dcterms:modified xsi:type="dcterms:W3CDTF">2023-05-10T18:55:04Z</dcterms:modified>
</cp:coreProperties>
</file>