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No.__)</w:t>
      </w:r>
    </w:p>
    <w:p>
      <w:pPr>
        <w:spacing w:after="0" w:line="219"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right="5020" w:firstLine="8"/>
        <w:spacing w:after="0" w:line="230" w:lineRule="exact"/>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203835</wp:posOffset>
            </wp:positionV>
            <wp:extent cx="2202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177165</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2" w:lineRule="exact"/>
        <w:rPr>
          <w:sz w:val="24"/>
          <w:szCs w:val="24"/>
          <w:color w:val="auto"/>
        </w:rPr>
      </w:pPr>
    </w:p>
    <w:p>
      <w:pPr>
        <w:ind w:right="5440" w:firstLine="8"/>
        <w:spacing w:after="0" w:line="532" w:lineRule="auto"/>
        <w:tabs>
          <w:tab w:leader="none" w:pos="34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right="20" w:firstLine="8"/>
        <w:spacing w:after="0" w:line="274" w:lineRule="auto"/>
        <w:tabs>
          <w:tab w:leader="none" w:pos="389"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 w:name="page2"/>
    <w:bookmarkEnd w:id="1"/>
    <w:p>
      <w:pPr>
        <w:ind w:left="2940"/>
        <w:spacing w:after="0"/>
        <w:rPr>
          <w:sz w:val="20"/>
          <w:szCs w:val="20"/>
          <w:color w:val="auto"/>
        </w:rPr>
      </w:pPr>
      <w:r>
        <w:rPr>
          <w:rFonts w:ascii="Arial" w:cs="Arial" w:eastAsia="Arial" w:hAnsi="Arial"/>
          <w:sz w:val="18"/>
          <w:szCs w:val="18"/>
          <w:b w:val="1"/>
          <w:bCs w:val="1"/>
          <w:color w:val="auto"/>
        </w:rPr>
        <w:t>INVITATION TO 2020 ANNUAL MEETING OF STOCKHOLDERS</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DATE: Tuesday, June 16, 2020</w:t>
      </w:r>
    </w:p>
    <w:p>
      <w:pPr>
        <w:spacing w:after="0" w:line="1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TIME: 10:00 a.m., local time</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PLACE: The Offices of Cooley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3175 Hanover Street, Palo Alto, CA 94304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22,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Please join me at the Annual Meeting of Stockholders of SI-BONE, Inc. on June 16, 2020. This year, we will be conducting a hybrid annual meeting, and due to the public health impact of coronavirus 2019 (COVID-19), we are recommending that our stockholders participate in our annual meeting online by way of our live webcast as outlined in this proxy statement. At the annual meeting, we will ask you to:</w:t>
      </w:r>
    </w:p>
    <w:p>
      <w:pPr>
        <w:spacing w:after="0" w:line="196" w:lineRule="exact"/>
        <w:rPr>
          <w:sz w:val="20"/>
          <w:szCs w:val="20"/>
          <w:color w:val="auto"/>
        </w:rPr>
      </w:pPr>
    </w:p>
    <w:p>
      <w:pPr>
        <w:jc w:val="both"/>
        <w:ind w:firstLine="656"/>
        <w:spacing w:after="0" w:line="279" w:lineRule="auto"/>
        <w:tabs>
          <w:tab w:leader="none" w:pos="867"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Board of Directors’ nominees Jeffrey W. Dunn, John G. Freund, M.D. and Gregory K. Hinckley as directors serving in Class II of the Board of Directors of SI-BONE, each to serve until the next annual meeting in which directors in Class II shall be elected, or until a successor is duly elected and qualified;</w:t>
      </w:r>
    </w:p>
    <w:p>
      <w:pPr>
        <w:spacing w:after="0" w:line="196" w:lineRule="exact"/>
        <w:rPr>
          <w:rFonts w:ascii="Arial" w:cs="Arial" w:eastAsia="Arial" w:hAnsi="Arial"/>
          <w:sz w:val="18"/>
          <w:szCs w:val="18"/>
          <w:color w:val="auto"/>
        </w:rPr>
      </w:pPr>
    </w:p>
    <w:p>
      <w:pPr>
        <w:ind w:firstLine="656"/>
        <w:spacing w:after="0" w:line="293" w:lineRule="auto"/>
        <w:tabs>
          <w:tab w:leader="none" w:pos="927"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by the Audit Committee of the Board of Directors of PricewaterhouseCoopers LLP as our independent registered public accounting firm for our fiscal year ending December 31, 2020;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Members of the Board of Directors will also be present.</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Whether or not you are able to attend the annual meeting in person or by webcast, it is important that your shares be represented. We have provided in the accompanying proxy statement instructions on how to vote your shares. Please vote as soon as possible.</w:t>
      </w:r>
    </w:p>
    <w:p>
      <w:pPr>
        <w:spacing w:after="0" w:line="18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Sincerely yours,</w:t>
      </w:r>
    </w:p>
    <w:p>
      <w:pPr>
        <w:spacing w:after="0" w:line="38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31750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Jeffrey W. Dunn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Chairman and Chief Executive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16,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You are cordially invited to attend the Annual Meeting of Stockholders of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The meeting will be held on Tuesday, June 16, 2020 at 10:00 a.m. local time at the offices of Cooley LLP at 3175 Hanover Street, Palo Alto, CA 94304, and will be held in a “hybrid” format, meaning that we will hold the meeting in person and also by live webcast as described in the proxy statement accompanying this notice. The Annual Meeting is being held for the following purposes:</w:t>
      </w:r>
    </w:p>
    <w:p>
      <w:pPr>
        <w:spacing w:after="0" w:line="186" w:lineRule="exact"/>
        <w:rPr>
          <w:sz w:val="20"/>
          <w:szCs w:val="20"/>
          <w:color w:val="auto"/>
        </w:rPr>
      </w:pPr>
    </w:p>
    <w:p>
      <w:pPr>
        <w:ind w:firstLine="8"/>
        <w:spacing w:after="0" w:line="293" w:lineRule="auto"/>
        <w:tabs>
          <w:tab w:leader="none" w:pos="313"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elect the Board of Director’s three nominees for director to serve until the 2023 Annual Meeting of Stockholders or until their successors are elected and qualified.</w:t>
      </w:r>
    </w:p>
    <w:p>
      <w:pPr>
        <w:spacing w:after="0" w:line="169" w:lineRule="exact"/>
        <w:rPr>
          <w:rFonts w:ascii="Arial" w:cs="Arial" w:eastAsia="Arial" w:hAnsi="Arial"/>
          <w:sz w:val="18"/>
          <w:szCs w:val="18"/>
          <w:b w:val="1"/>
          <w:bCs w:val="1"/>
          <w:color w:val="auto"/>
        </w:rPr>
      </w:pPr>
    </w:p>
    <w:p>
      <w:pPr>
        <w:ind w:right="20" w:firstLine="8"/>
        <w:spacing w:after="0" w:line="293" w:lineRule="auto"/>
        <w:tabs>
          <w:tab w:leader="none" w:pos="419"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ratify the selection by the Audit Committee of the Board of Directors of PricewaterhouseCoopers LLP as our independent registered public accounting firm for the fiscal year ending December 31, 2020.</w:t>
      </w:r>
    </w:p>
    <w:p>
      <w:pPr>
        <w:spacing w:after="0" w:line="169" w:lineRule="exact"/>
        <w:rPr>
          <w:rFonts w:ascii="Arial" w:cs="Arial" w:eastAsia="Arial" w:hAnsi="Arial"/>
          <w:sz w:val="18"/>
          <w:szCs w:val="18"/>
          <w:b w:val="1"/>
          <w:b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conduct any other business properly brought before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387" w:lineRule="exact"/>
        <w:rPr>
          <w:sz w:val="20"/>
          <w:szCs w:val="20"/>
          <w:color w:val="auto"/>
        </w:rPr>
      </w:pPr>
    </w:p>
    <w:p>
      <w:pPr>
        <w:jc w:val="both"/>
        <w:ind w:right="340"/>
        <w:spacing w:after="0" w:line="373" w:lineRule="auto"/>
        <w:rPr>
          <w:sz w:val="20"/>
          <w:szCs w:val="20"/>
          <w:color w:val="auto"/>
        </w:rPr>
      </w:pPr>
      <w:r>
        <w:rPr>
          <w:rFonts w:ascii="Arial" w:cs="Arial" w:eastAsia="Arial" w:hAnsi="Arial"/>
          <w:sz w:val="18"/>
          <w:szCs w:val="18"/>
          <w:color w:val="auto"/>
        </w:rPr>
        <w:t>If you determine to attend the Annual Meeting by webcast, you will only be able to do so using your 16-digit control number provided on the proxy or information card to enter the Annual Meeting. Therefore, it is important to retain a copy of your proxy or information card you receive to enable you to gain access to the virtual Annual Meeting.</w:t>
      </w:r>
    </w:p>
    <w:p>
      <w:pPr>
        <w:spacing w:after="0" w:line="34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record date for the Annual Meeting is April 20, 2020.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line="314" w:lineRule="auto"/>
        <w:rPr>
          <w:sz w:val="20"/>
          <w:szCs w:val="20"/>
          <w:color w:val="auto"/>
        </w:rPr>
      </w:pPr>
      <w:r>
        <w:rPr>
          <w:rFonts w:ascii="Arial" w:cs="Arial" w:eastAsia="Arial" w:hAnsi="Arial"/>
          <w:sz w:val="16"/>
          <w:szCs w:val="16"/>
          <w:b w:val="1"/>
          <w:bCs w:val="1"/>
          <w:color w:val="auto"/>
        </w:rPr>
        <w:t>Important Notice Regarding the Availability of Proxy Materials for the 2020 Stockholders’ Meeting to Be Held on June 16, 2020 at the offices of Cooley LLP at 3175 Hanover Street, Palo Alto, CA 94304, and, via live webcast at www.virtualshareholdermeeting.com/SIBN2020. You will need the 16-digit control number provided on the proxy or information card in order to gain access to the Annual Meeting by live webcast.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proxy statement and annual report to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are available at </w:t>
      </w:r>
      <w:r>
        <w:rPr>
          <w:rFonts w:ascii="Arial" w:cs="Arial" w:eastAsia="Arial" w:hAnsi="Arial"/>
          <w:sz w:val="18"/>
          <w:szCs w:val="18"/>
          <w:u w:val="single" w:color="auto"/>
          <w:color w:val="0000EE"/>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1560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Michael A. Pisetsky</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 and General Counsel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 w:name="page4"/>
    <w:bookmarkEnd w:id="3"/>
    <w:p>
      <w:pPr>
        <w:jc w:val="both"/>
        <w:spacing w:after="0" w:line="294" w:lineRule="auto"/>
        <w:rPr>
          <w:sz w:val="20"/>
          <w:szCs w:val="20"/>
          <w:color w:val="auto"/>
        </w:rPr>
      </w:pPr>
      <w:r>
        <w:rPr>
          <w:rFonts w:ascii="Arial" w:cs="Arial" w:eastAsia="Arial" w:hAnsi="Arial"/>
          <w:sz w:val="16"/>
          <w:szCs w:val="16"/>
          <w:b w:val="1"/>
          <w:bCs w:val="1"/>
          <w:color w:val="auto"/>
        </w:rPr>
        <w:t>You are cordially invited to attend the meeting in person or by live webcast as described in the proxy statement accompanying this notice.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in person or by live webcast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We are actively monitoring the public health and travel safety concerns relating to the coronavirus (COVID-19) and the advisories or mandates that federal, state and local governments, and related agencies, may issue. ln the event it is not possible or advisable to hold our annual meeting as currently planned, we will announce the decision to do so via a press release and posting details on our website that will also be filed with the SEC as additional proxy materials. lf you are planning to attend our annual meeting in person, please check our website the week of the meeting.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ind w:left="380"/>
              <w:spacing w:after="0"/>
              <w:rPr>
                <w:sz w:val="20"/>
                <w:szCs w:val="20"/>
                <w:color w:val="auto"/>
              </w:rPr>
            </w:pPr>
            <w:r>
              <w:rPr>
                <w:rFonts w:ascii="Arial" w:cs="Arial" w:eastAsia="Arial" w:hAnsi="Arial"/>
                <w:sz w:val="18"/>
                <w:szCs w:val="18"/>
                <w:b w:val="1"/>
                <w:bCs w:val="1"/>
                <w:color w:val="auto"/>
                <w:w w:val="78"/>
              </w:rPr>
              <w:t>Page</w:t>
            </w:r>
          </w:p>
        </w:tc>
      </w:tr>
      <w:tr>
        <w:trPr>
          <w:trHeight w:val="405"/>
        </w:trPr>
        <w:tc>
          <w:tcPr>
            <w:tcW w:w="898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THESE PROXY MATERIALS AND VOTING</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1</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NO. 1 ELECTION OF DIRECTORS</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6</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INFORMATION REGARDING THE BOARD OF DIRECTORS AND CORPORATE GOVERNANCE</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14">
              <w:r>
                <w:rPr>
                  <w:rFonts w:ascii="Arial" w:cs="Arial" w:eastAsia="Arial" w:hAnsi="Arial"/>
                  <w:sz w:val="18"/>
                  <w:szCs w:val="18"/>
                  <w:u w:val="single" w:color="auto"/>
                  <w:color w:val="0000EE"/>
                  <w:w w:val="79"/>
                </w:rPr>
                <w:t>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Family Relationships</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14">
              <w:r>
                <w:rPr>
                  <w:rFonts w:ascii="Arial" w:cs="Arial" w:eastAsia="Arial" w:hAnsi="Arial"/>
                  <w:sz w:val="18"/>
                  <w:szCs w:val="18"/>
                  <w:u w:val="single" w:color="auto"/>
                  <w:color w:val="0000EE"/>
                  <w:w w:val="79"/>
                </w:rPr>
                <w:t>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Independence of the Board of Directors</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14">
              <w:r>
                <w:rPr>
                  <w:rFonts w:ascii="Arial" w:cs="Arial" w:eastAsia="Arial" w:hAnsi="Arial"/>
                  <w:sz w:val="18"/>
                  <w:szCs w:val="18"/>
                  <w:u w:val="single" w:color="auto"/>
                  <w:color w:val="0000EE"/>
                  <w:w w:val="79"/>
                </w:rPr>
                <w:t>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Leadership Structure</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14">
              <w:r>
                <w:rPr>
                  <w:rFonts w:ascii="Arial" w:cs="Arial" w:eastAsia="Arial" w:hAnsi="Arial"/>
                  <w:sz w:val="18"/>
                  <w:szCs w:val="18"/>
                  <w:u w:val="single" w:color="auto"/>
                  <w:color w:val="0000EE"/>
                  <w:w w:val="79"/>
                </w:rPr>
                <w:t>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Role of the Board in Risk Oversight</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10</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Meetings of The Board of Directors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10</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Committees and Meetings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10</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5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Audit Committee</w:t>
              </w:r>
            </w:hyperlink>
          </w:p>
        </w:tc>
        <w:tc>
          <w:tcPr>
            <w:tcW w:w="740" w:type="dxa"/>
            <w:vAlign w:val="bottom"/>
          </w:tcPr>
          <w:p>
            <w:pPr>
              <w:jc w:val="center"/>
              <w:ind w:left="290"/>
              <w:spacing w:after="0"/>
              <w:rPr>
                <w:rFonts w:ascii="Arial" w:cs="Arial" w:eastAsia="Arial" w:hAnsi="Arial"/>
                <w:sz w:val="18"/>
                <w:szCs w:val="18"/>
                <w:u w:val="single" w:color="auto"/>
                <w:color w:val="0000EE"/>
                <w:w w:val="79"/>
              </w:rPr>
            </w:pPr>
            <w:hyperlink w:anchor="page16">
              <w:r>
                <w:rPr>
                  <w:rFonts w:ascii="Arial" w:cs="Arial" w:eastAsia="Arial" w:hAnsi="Arial"/>
                  <w:sz w:val="18"/>
                  <w:szCs w:val="18"/>
                  <w:u w:val="single" w:color="auto"/>
                  <w:color w:val="0000EE"/>
                  <w:w w:val="79"/>
                </w:rPr>
                <w:t>11</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5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Compensation Committee</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12</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5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Nominating and Corporate Governance Committee</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13</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Stockholder Communications With The Board Of Directors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14</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Code of Business Conduct and Ethics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15</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Corporate Governance Guidelines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15</w:t>
              </w:r>
            </w:hyperlink>
          </w:p>
        </w:tc>
      </w:tr>
      <w:tr>
        <w:trPr>
          <w:trHeight w:val="229"/>
        </w:trPr>
        <w:tc>
          <w:tcPr>
            <w:tcW w:w="8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PROPOSAL NO. 2 RATIFICATION OF SELECTION OF INDEPENDENT REGISTERED PUBLIC ACCOUNTING</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6"/>
        </w:trPr>
        <w:tc>
          <w:tcPr>
            <w:tcW w:w="8980" w:type="dxa"/>
            <w:vAlign w:val="bottom"/>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FIRM</w:t>
              </w:r>
            </w:hyperlink>
          </w:p>
        </w:tc>
        <w:tc>
          <w:tcPr>
            <w:tcW w:w="740" w:type="dxa"/>
            <w:vAlign w:val="bottom"/>
          </w:tcPr>
          <w:p>
            <w:pPr>
              <w:jc w:val="center"/>
              <w:ind w:left="310"/>
              <w:spacing w:after="0" w:line="196" w:lineRule="exact"/>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15</w:t>
              </w:r>
            </w:hyperlink>
          </w:p>
        </w:tc>
      </w:tr>
      <w:tr>
        <w:trPr>
          <w:trHeight w:val="291"/>
        </w:trPr>
        <w:tc>
          <w:tcPr>
            <w:tcW w:w="440" w:type="dxa"/>
            <w:vAlign w:val="bottom"/>
            <w:tcBorders>
              <w:top w:val="single" w:sz="8" w:color="0000EE"/>
            </w:tcBorders>
          </w:tcPr>
          <w:p>
            <w:pPr>
              <w:spacing w:after="0"/>
              <w:rPr>
                <w:sz w:val="24"/>
                <w:szCs w:val="24"/>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Principal Accountant Fees and Services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15</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Pre-Approval Policies and Procedures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17</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SECURITY OWNERSHIP OF CERTAIN BENEFICIAL OWNERS AND MANAGEMENT</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17</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19</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EXECUTIVE COMPENSATION</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19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 Compensation Table</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22</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Outstanding Equity Awards at December 31, 2019</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23</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401(k) Plan</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Emerging Growth Company Status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Pension Benefits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Nonqualified Deferred Compensation</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Employment Severance and Change in Control Agreements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24</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Securities Authorized for Issuance under Equity Compensation Plans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27</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Compensation of Non-Employee Board Members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27</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Non-Employee Director Compensation Policy</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28</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RELATIONSHIPS AND RELATED PARTY TRANSACTIONS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29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Related-Person Transactions Policy and Procedures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29</w:t>
              </w:r>
            </w:hyperlink>
          </w:p>
        </w:tc>
      </w:tr>
      <w:tr>
        <w:trPr>
          <w:trHeight w:val="270"/>
        </w:trPr>
        <w:tc>
          <w:tcPr>
            <w:tcW w:w="440" w:type="dxa"/>
            <w:vAlign w:val="bottom"/>
          </w:tcPr>
          <w:p>
            <w:pPr>
              <w:spacing w:after="0"/>
              <w:rPr>
                <w:sz w:val="23"/>
                <w:szCs w:val="23"/>
                <w:color w:val="auto"/>
              </w:rPr>
            </w:pPr>
          </w:p>
        </w:tc>
        <w:tc>
          <w:tcPr>
            <w:tcW w:w="8540" w:type="dxa"/>
            <w:vAlign w:val="bottom"/>
            <w:gridSpan w:val="2"/>
          </w:tcPr>
          <w:p>
            <w:pPr>
              <w:ind w:left="1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Related-Person Transactions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29</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INDEMNIFICATION AGREEMENTS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31</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HOUSEHOLDING OF PROXY MATERIALS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31</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MATTERS</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31</w:t>
              </w:r>
            </w:hyperlink>
          </w:p>
        </w:tc>
      </w:tr>
      <w:tr>
        <w:trPr>
          <w:trHeight w:val="270"/>
        </w:trPr>
        <w:tc>
          <w:tcPr>
            <w:tcW w:w="898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PROXY CARD</w:t>
              </w:r>
            </w:hyperlink>
          </w:p>
        </w:tc>
        <w:tc>
          <w:tcPr>
            <w:tcW w:w="740" w:type="dxa"/>
            <w:vAlign w:val="bottom"/>
          </w:tcPr>
          <w:p>
            <w:pPr>
              <w:jc w:val="center"/>
              <w:ind w:left="31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32</w:t>
              </w:r>
            </w:hyperlink>
          </w:p>
        </w:tc>
      </w:tr>
    </w:tbl>
    <w:p>
      <w:pPr>
        <w:sectPr>
          <w:pgSz w:w="11900" w:h="16838" w:orient="portrait"/>
          <w:cols w:equalWidth="0" w:num="1">
            <w:col w:w="9720"/>
          </w:cols>
          <w:pgMar w:left="960" w:top="126" w:right="1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2020 ANNUAL MEETING OF STOCKHOLDERS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16, 2020</w:t>
      </w:r>
    </w:p>
    <w:p>
      <w:pPr>
        <w:spacing w:after="0" w:line="23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4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have sent you these proxy materials because our Board of Directors (the “Board” or “Board of Directors”) is soliciting your proxy to vote at the 2020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mail these proxy materials on or about May 1, 2020 to all stockholders of record entitled to vote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The annual meeting will be held on Tuesday, June 16, 2020 at 10:00 a.m. local time at the offices of Cooley LLP at 3175 Hanover Street, Palo Alto, California 94304, and by live webcast. Directions to the annual meeting may be found at </w:t>
      </w:r>
      <w:r>
        <w:rPr>
          <w:rFonts w:ascii="Arial" w:cs="Arial" w:eastAsia="Arial" w:hAnsi="Arial"/>
          <w:sz w:val="18"/>
          <w:szCs w:val="18"/>
          <w:u w:val="single" w:color="auto"/>
          <w:color w:val="0000EE"/>
        </w:rPr>
        <w:t>www.proxyvote.com</w:t>
      </w:r>
      <w:r>
        <w:rPr>
          <w:rFonts w:ascii="Arial" w:cs="Arial" w:eastAsia="Arial" w:hAnsi="Arial"/>
          <w:sz w:val="18"/>
          <w:szCs w:val="18"/>
          <w:color w:val="auto"/>
        </w:rPr>
        <w:t>. Information on how to vote in person at the annual meeting is discussed below.</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invite you to attend the annual meeting by live webcast if you do not want to attend in person.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SI-BONE having a hybrid Annual Meeting?</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Due to concerns regarding the coronavirus outbreak (“COVID-19”) and to assist in protecting the health and well-being of our stockholders and employees, this year’s annual meeting of our stockholders of will be held in a “hybrid” format, meaning that you may attend the annual meeting in person or virtually via the internet. Stockholders attending virtually via the internet will be able to listen and vote regardless of location via the internet at </w:t>
      </w:r>
      <w:r>
        <w:rPr>
          <w:rFonts w:ascii="Arial" w:cs="Arial" w:eastAsia="Arial" w:hAnsi="Arial"/>
          <w:sz w:val="18"/>
          <w:szCs w:val="18"/>
          <w:u w:val="single" w:color="auto"/>
          <w:color w:val="auto"/>
        </w:rPr>
        <w:t>www.virtualshareholdermeeting.com/SIBN2020</w:t>
      </w:r>
      <w:r>
        <w:rPr>
          <w:rFonts w:ascii="Arial" w:cs="Arial" w:eastAsia="Arial" w:hAnsi="Arial"/>
          <w:sz w:val="18"/>
          <w:szCs w:val="18"/>
          <w:color w:val="auto"/>
        </w:rPr>
        <w:t xml:space="preserve"> by using the 16-digit control number included on your proxy card or information card and the instructions that accompanied your proxy materials.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any special measures being taken at the Annual Meeting as a result of the current Coronavirus disease (COVID-19) outbreak?</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are offering our stockholders the ability to participate in the annual meeting via the Internet. In view of the current and rapidly evolving COVID-19 outbreak, we ask that, in considering whether to attend the annual meeting in person, stockholders follow the instructions of the Centers for Disease Control and Prevention (“CDC”) (</w:t>
      </w:r>
      <w:r>
        <w:rPr>
          <w:rFonts w:ascii="Arial" w:cs="Arial" w:eastAsia="Arial" w:hAnsi="Arial"/>
          <w:sz w:val="17"/>
          <w:szCs w:val="17"/>
          <w:u w:val="single" w:color="auto"/>
          <w:color w:val="auto"/>
        </w:rPr>
        <w:t>https://www.cdc.gov/coronavirus/2019-ncov/php/index.html</w:t>
      </w:r>
      <w:r>
        <w:rPr>
          <w:rFonts w:ascii="Arial" w:cs="Arial" w:eastAsia="Arial" w:hAnsi="Arial"/>
          <w:sz w:val="17"/>
          <w:szCs w:val="17"/>
          <w:color w:val="auto"/>
        </w:rPr>
        <w:t>), including recommendations to stay at home for the prescribed 14-day period if returning from a COVID-19-affected region or following potential exposure to COVID-19. We also strongly encourage stockholders not to attend the annual meeting in person if experiencing any of the described COVID-19 symptoms of fever, cough or difficulty breathing. Stockholders attending the annual meeting are requested to follow the hygiene instructions published by CDC, including washing or disinfecting hands upon arrival at the annual meeting, and covering their mouth and nose with their arm when coughing or sneezing and regardless. As a result of the current COVID-19 pandemic, we encourage our stockholders to participate virtually rather than in person.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may take additional precautionary measures in relation to the annual meeting in response to further developments in the COVID-19 outbreak.</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71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Only stockholders of record at the close of business on April 20, 2020, will be entitled to vote at the annual meeting. On this record date, there were 28,425,825 shares of common stock outstanding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on April 20, 2020, your shares were registered directly in your name with our transfer agent, American Stock Transfer &amp; Trust Company, LLC, then you are a stockholder of record. As a stockholder of record, you may vote in person or via webcast at the meeting or vote by proxy. Whether or not you plan to attend the meeting, whether in person or via webcast, we urge you to fill out and return the enclosed proxy card or vote by proxy over the telephone or on the internet as instructed below to ensure your vote is counted.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If on April 20, 2020,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To vote in person at the annual meeting, please contact your broker, bank or other agent for instructions on how to vote your shares. However, even if you plan to attend the annual meeting, we recommend that you vote your shares in advance, so that your vote will be counted if you later decide not to attend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two matters scheduled for a vote:</w:t>
      </w:r>
    </w:p>
    <w:p>
      <w:pPr>
        <w:spacing w:after="0" w:line="2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three directors (Proposal No. 1); and</w:t>
      </w:r>
    </w:p>
    <w:p>
      <w:pPr>
        <w:spacing w:after="0" w:line="23"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Ratification of selection by the Audit Committee of the Board of Directors of PricewaterhouseCoopers LLP as independent registered public accounting firm of SI-BONE for its fiscal year ending December 31, 2020 (Proposal No.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You may either vote “For” all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2020, you may vote “For” or “Against” or abstain from voting.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fairly simple: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If you are a stockholder of record, you may vote in person or via webcast at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in person or via webcast even if you have already voted by proxy.</w:t>
      </w:r>
    </w:p>
    <w:p>
      <w:pPr>
        <w:spacing w:after="0" w:line="164" w:lineRule="exact"/>
        <w:rPr>
          <w:sz w:val="20"/>
          <w:szCs w:val="20"/>
          <w:color w:val="auto"/>
        </w:rPr>
      </w:pPr>
    </w:p>
    <w:p>
      <w:pPr>
        <w:ind w:left="660" w:right="260" w:hanging="328"/>
        <w:spacing w:after="0" w:line="27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vote in person, come to the annual meeting and we will give you a ballot when you arrive, or if you are attending the annual meeting by live webcast follow the instructions at </w:t>
      </w:r>
      <w:r>
        <w:rPr>
          <w:rFonts w:ascii="Arial" w:cs="Arial" w:eastAsia="Arial" w:hAnsi="Arial"/>
          <w:sz w:val="18"/>
          <w:szCs w:val="18"/>
          <w:u w:val="single" w:color="auto"/>
          <w:color w:val="auto"/>
        </w:rPr>
        <w:t>www.virtualshareholdermeeting.com/SIBN2020</w:t>
      </w:r>
      <w:r>
        <w:rPr>
          <w:rFonts w:ascii="Arial" w:cs="Arial" w:eastAsia="Arial" w:hAnsi="Arial"/>
          <w:sz w:val="18"/>
          <w:szCs w:val="18"/>
          <w:color w:val="auto"/>
        </w:rPr>
        <w:t>. You will need the 16-digit control number provided on the proxy card in order to gain access to the annual meeting via webcast.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715" w:right="339" w:bottom="1440" w:gutter="0" w:footer="0" w:header="0"/>
        </w:sectPr>
      </w:pPr>
    </w:p>
    <w:bookmarkStart w:id="7" w:name="page8"/>
    <w:bookmarkEnd w:id="7"/>
    <w:p>
      <w:pPr>
        <w:ind w:left="660" w:right="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company number and control number from the enclosed proxy card. Your telephone vote must be received by 11:59 p.m., Eastern Time on June 12, 2020, to be counted.</w:t>
      </w:r>
    </w:p>
    <w:p>
      <w:pPr>
        <w:jc w:val="both"/>
        <w:ind w:left="660" w:hanging="328"/>
        <w:spacing w:after="0" w:line="279"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To vote through the internet, go to www.proxyvote.com to complete an electronic proxy card. You will be asked to provide the company number and control number from the enclosed proxy card. Your internet vote must be received by 11:59 p.m. Eastern Time on June 12, 2020 to be counted.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3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in person at the annual meeting, please contact your broker, bank or other agent for instructions on how to vote your shares. However, even if you plan to attend the annual meeting, we recommend that you vote your shares in advance, so that your vote will be counted if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share of common stock you own as of April 20, 2020.</w:t>
      </w:r>
    </w:p>
    <w:p>
      <w:pPr>
        <w:spacing w:after="0" w:line="235"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in person or via webcast at the annual meeting, your shares will not be voted.</w:t>
      </w:r>
    </w:p>
    <w:p>
      <w:pPr>
        <w:spacing w:after="0" w:line="17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all three nominees for director, and “For” the ratification of selection by the Audit Committee of the Board of Directors of PricewaterhouseCoopers LLP as independent registered public accounting firm of SI-BONE for its fiscal year ending December 31, 2020. If any other matter is properly presented at the meeting, your proxyholder (one of the individuals named on your proxy card) will vote your shares using his or her best judgment.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the election of directors, is considered to be “non-routine” under NYSE rules meaning that your broker may not vote your shares on that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r>
        <w:rPr>
          <w:rFonts w:ascii="Arial" w:cs="Arial" w:eastAsia="Arial" w:hAnsi="Arial"/>
          <w:sz w:val="17"/>
          <w:szCs w:val="17"/>
          <w:color w:val="7030A0"/>
        </w:rPr>
        <w:t>.</w:t>
      </w:r>
    </w:p>
    <w:p>
      <w:pPr>
        <w:spacing w:after="0" w:line="18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b w:val="1"/>
          <w:bCs w:val="1"/>
          <w:i w:val="1"/>
          <w:iCs w:val="1"/>
          <w:color w:val="auto"/>
        </w:rPr>
        <w:t xml:space="preserve">If you are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71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30"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the attention of our General Counsel and Secretary at 471 El Camino Real, Suite 101, Santa Clara, California 95050.</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You may attend the annual meeting and vote in person or via webcast. Simply attending the meeting will not, by itself, revoke your proxy.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by January 2, 2021, to SI-BONE, Inc., Attn: Michael A. Pisetsky, General Counsel, 471 El Camino Real, Suite 101, Santa Clara, California 95050; provided, however, that if the 2021 annual meeting of stockholders is held before May 17, 2021 or after July 16, 2021, then your proposal must be submitted in writing a reasonable amount of time before the 2021 annual meeting of stockholders.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18, 2021, nor earlier than the close of business on February 17, 2021;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that the date of the annual meeting is held earlier than May 17, 2021, or held later than July 16, 2021, notice by the stockholder to be timely must be so received not earlier than the close of business on the one hundred twentieth (120</w:t>
      </w:r>
      <w:r>
        <w:rPr>
          <w:rFonts w:ascii="Arial" w:cs="Arial" w:eastAsia="Arial" w:hAnsi="Arial"/>
          <w:sz w:val="18"/>
          <w:szCs w:val="18"/>
          <w:color w:val="auto"/>
          <w:vertAlign w:val="superscript"/>
        </w:rPr>
        <w:t>th</w:t>
      </w:r>
      <w:r>
        <w:rPr>
          <w:rFonts w:ascii="Arial" w:cs="Arial" w:eastAsia="Arial" w:hAnsi="Arial"/>
          <w:sz w:val="18"/>
          <w:szCs w:val="18"/>
          <w:color w:val="auto"/>
        </w:rPr>
        <w:t>) day prior to such annual meeting and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8"/>
          <w:szCs w:val="18"/>
          <w:color w:val="auto"/>
        </w:rPr>
        <w:t>) day prior to such annual meeting or the tenth (10</w:t>
      </w:r>
      <w:r>
        <w:rPr>
          <w:rFonts w:ascii="Arial" w:cs="Arial" w:eastAsia="Arial" w:hAnsi="Arial"/>
          <w:sz w:val="18"/>
          <w:szCs w:val="18"/>
          <w:color w:val="auto"/>
          <w:vertAlign w:val="superscript"/>
        </w:rPr>
        <w:t>th</w:t>
      </w:r>
      <w:r>
        <w:rPr>
          <w:rFonts w:ascii="Arial" w:cs="Arial" w:eastAsia="Arial" w:hAnsi="Arial"/>
          <w:sz w:val="18"/>
          <w:szCs w:val="18"/>
          <w:color w:val="auto"/>
        </w:rPr>
        <w:t>) day following the day on which public announcement of the date of such meeting is first made.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Stockholders wishing to make stockholder proposals or nominations for directors should consult our bylaws, which contain additional requirements and information regarding these matters.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1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How are votes counted?</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(a) for the proposal to elect directors, votes “For,” votes “Withheld” and broker non-votes, and (b) with respect to the ratification of selection by the Audit Committee of the Board of Directors of PricewaterhouseCoopers LLP as independent registered public accounting firm of SI-BONE for its fiscal year ending December 31, 2020, or any other proposals, votes “For” and “Against,” abstentions and, if applicable, broker non-votes.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Abstentions will be counted towards the vote total for Proposal No. 2, and will have the same effect as “Against” votes. Broker non-votes have no effect and will not be counted towards the vote total for any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minimum vote needed to approve each proposal and the effect of abstentions and broker non-votes.</w:t>
      </w:r>
    </w:p>
    <w:p>
      <w:pPr>
        <w:sectPr>
          <w:pgSz w:w="11900" w:h="16838" w:orient="portrait"/>
          <w:cols w:equalWidth="0" w:num="1">
            <w:col w:w="11240"/>
          </w:cols>
          <w:pgMar w:left="320" w:top="71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w:t>
      </w:r>
    </w:p>
    <w:p>
      <w:pPr>
        <w:spacing w:after="0" w:line="2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33020</wp:posOffset>
            </wp:positionV>
            <wp:extent cx="3042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8" w:lineRule="exact"/>
        <w:rPr>
          <w:sz w:val="20"/>
          <w:szCs w:val="20"/>
          <w:color w:val="auto"/>
        </w:rPr>
      </w:pPr>
    </w:p>
    <w:p>
      <w:pPr>
        <w:ind w:left="1220" w:hanging="744"/>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79" w:lineRule="exact"/>
        <w:rPr>
          <w:sz w:val="20"/>
          <w:szCs w:val="20"/>
          <w:color w:val="auto"/>
        </w:rPr>
      </w:pPr>
    </w:p>
    <w:p>
      <w:pPr>
        <w:ind w:left="1220" w:hanging="744"/>
        <w:spacing w:after="0" w:line="301" w:lineRule="auto"/>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Ratification of the selection of PricewaterhouseCoopers LLP as SI-BONE’s independent registered public accounting firm for the fiscal year ending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Effect of</w:t>
            </w:r>
          </w:p>
        </w:tc>
      </w:tr>
      <w:tr>
        <w:trPr>
          <w:trHeight w:val="203"/>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Effect of</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Broker Non-</w:t>
            </w:r>
          </w:p>
        </w:tc>
      </w:tr>
      <w:tr>
        <w:trPr>
          <w:trHeight w:val="210"/>
        </w:trPr>
        <w:tc>
          <w:tcPr>
            <w:tcW w:w="3560" w:type="dxa"/>
            <w:vAlign w:val="bottom"/>
            <w:gridSpan w:val="2"/>
          </w:tcPr>
          <w:p>
            <w:pPr>
              <w:ind w:left="720"/>
              <w:spacing w:after="0"/>
              <w:rPr>
                <w:sz w:val="20"/>
                <w:szCs w:val="20"/>
                <w:color w:val="auto"/>
              </w:rPr>
            </w:pPr>
            <w:r>
              <w:rPr>
                <w:rFonts w:ascii="Arial" w:cs="Arial" w:eastAsia="Arial" w:hAnsi="Arial"/>
                <w:sz w:val="16"/>
                <w:szCs w:val="16"/>
                <w:b w:val="1"/>
                <w:bCs w:val="1"/>
                <w:color w:val="auto"/>
              </w:rPr>
              <w:t>Vote Required for Approval</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Abstentions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Votes</w:t>
            </w:r>
          </w:p>
        </w:tc>
      </w:tr>
      <w:tr>
        <w:trPr>
          <w:trHeight w:val="33"/>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Nominees receiving the most “For” votes;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Not</w:t>
            </w:r>
          </w:p>
        </w:tc>
        <w:tc>
          <w:tcPr>
            <w:tcW w:w="1100" w:type="dxa"/>
            <w:vAlign w:val="bottom"/>
          </w:tcPr>
          <w:p>
            <w:pPr>
              <w:ind w:left="40"/>
              <w:spacing w:after="0"/>
              <w:rPr>
                <w:sz w:val="20"/>
                <w:szCs w:val="20"/>
                <w:color w:val="auto"/>
              </w:rPr>
            </w:pPr>
            <w:r>
              <w:rPr>
                <w:rFonts w:ascii="Arial" w:cs="Arial" w:eastAsia="Arial" w:hAnsi="Arial"/>
                <w:sz w:val="18"/>
                <w:szCs w:val="18"/>
                <w:color w:val="auto"/>
              </w:rPr>
              <w:t>No effect</w:t>
            </w:r>
          </w:p>
        </w:tc>
      </w:tr>
      <w:tr>
        <w:trPr>
          <w:trHeight w:val="230"/>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withheld votes will have no effect</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applicable</w:t>
            </w:r>
          </w:p>
        </w:tc>
        <w:tc>
          <w:tcPr>
            <w:tcW w:w="1100" w:type="dxa"/>
            <w:vAlign w:val="bottom"/>
          </w:tcPr>
          <w:p>
            <w:pPr>
              <w:spacing w:after="0"/>
              <w:rPr>
                <w:sz w:val="20"/>
                <w:szCs w:val="20"/>
                <w:color w:val="auto"/>
              </w:rPr>
            </w:pPr>
          </w:p>
        </w:tc>
      </w:tr>
      <w:tr>
        <w:trPr>
          <w:trHeight w:val="256"/>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“For” votes from the holders of a majority</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1100" w:type="dxa"/>
            <w:vAlign w:val="bottom"/>
          </w:tcPr>
          <w:p>
            <w:pPr>
              <w:ind w:left="40"/>
              <w:spacing w:after="0"/>
              <w:rPr>
                <w:sz w:val="20"/>
                <w:szCs w:val="20"/>
                <w:color w:val="auto"/>
              </w:rPr>
            </w:pPr>
            <w:r>
              <w:rPr>
                <w:rFonts w:ascii="Arial" w:cs="Arial" w:eastAsia="Arial" w:hAnsi="Arial"/>
                <w:sz w:val="18"/>
                <w:szCs w:val="18"/>
                <w:color w:val="auto"/>
              </w:rPr>
              <w:t>No effect</w:t>
            </w:r>
          </w:p>
        </w:tc>
      </w:tr>
      <w:tr>
        <w:trPr>
          <w:trHeight w:val="216"/>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of shares present in person, via webcast or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560" w:type="dxa"/>
            <w:vAlign w:val="bottom"/>
            <w:gridSpan w:val="2"/>
          </w:tcPr>
          <w:p>
            <w:pPr>
              <w:ind w:left="100"/>
              <w:spacing w:after="0"/>
              <w:rPr>
                <w:sz w:val="20"/>
                <w:szCs w:val="20"/>
                <w:color w:val="auto"/>
              </w:rPr>
            </w:pPr>
            <w:r>
              <w:rPr>
                <w:rFonts w:ascii="Arial" w:cs="Arial" w:eastAsia="Arial" w:hAnsi="Arial"/>
                <w:sz w:val="18"/>
                <w:szCs w:val="18"/>
                <w:color w:val="auto"/>
                <w:w w:val="97"/>
              </w:rPr>
              <w:t>represented by proxy and entitled to vote 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ind w:left="100"/>
              <w:spacing w:after="0"/>
              <w:rPr>
                <w:sz w:val="20"/>
                <w:szCs w:val="20"/>
                <w:color w:val="auto"/>
              </w:rPr>
            </w:pPr>
            <w:r>
              <w:rPr>
                <w:rFonts w:ascii="Arial" w:cs="Arial" w:eastAsia="Arial" w:hAnsi="Arial"/>
                <w:sz w:val="18"/>
                <w:szCs w:val="18"/>
                <w:color w:val="auto"/>
              </w:rPr>
              <w:t>the matter</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591" w:lineRule="exact"/>
        <w:rPr>
          <w:sz w:val="20"/>
          <w:szCs w:val="20"/>
          <w:color w:val="auto"/>
        </w:rPr>
      </w:pPr>
    </w:p>
    <w:p>
      <w:pPr>
        <w:sectPr>
          <w:pgSz w:w="11900" w:h="16838" w:orient="portrait"/>
          <w:cols w:equalWidth="0" w:num="2">
            <w:col w:w="4540" w:space="540"/>
            <w:col w:w="6160"/>
          </w:cols>
          <w:pgMar w:left="320" w:top="715" w:right="339" w:bottom="1440" w:gutter="0" w:footer="0" w:header="0"/>
          <w:type w:val="continuous"/>
        </w:sectPr>
      </w:pP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a majority of the outstanding shares entitled to vote are present at the meeting in person, via webcast or represented by proxy. On the record date, there were 28,425,825 shares outstanding and entitled to vote. Thus, the holders of 14,212,914 shares must be present in person, via webcast or represented by proxy at the meeting to have a quorum.</w:t>
      </w:r>
    </w:p>
    <w:p>
      <w:pPr>
        <w:spacing w:after="0" w:line="3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or via webcast at the meeting. Abstentions and broker non-votes will be counted towards the quorum requirement. If there is no quorum, the chairman of the meeting or the holders of a majority of shares present at the meeting in person, via webcast or represented by proxy may adjourn the meeting to another date.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30" w:lineRule="exact"/>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w:t>
      </w:r>
      <w:r>
        <w:rPr>
          <w:rFonts w:ascii="MS PGothic" w:cs="MS PGothic" w:eastAsia="MS PGothic" w:hAnsi="MS PGothic"/>
          <w:sz w:val="18"/>
          <w:szCs w:val="18"/>
          <w:color w:val="auto"/>
        </w:rPr>
        <w:t>‑</w:t>
      </w:r>
      <w:r>
        <w:rPr>
          <w:rFonts w:ascii="Arial" w:cs="Arial" w:eastAsia="Arial" w:hAnsi="Arial"/>
          <w:sz w:val="18"/>
          <w:szCs w:val="18"/>
          <w:color w:val="auto"/>
        </w:rPr>
        <w:t>K to publish preliminary results and, within four business days after the final results are known to us, file an additional Form 8-K to publish the final results.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Annual Report to </w:t>
      </w:r>
      <w:r>
        <w:rPr>
          <w:rFonts w:ascii="Arial" w:cs="Arial" w:eastAsia="Arial" w:hAnsi="Arial"/>
          <w:sz w:val="18"/>
          <w:szCs w:val="18"/>
          <w:b w:val="1"/>
          <w:bCs w:val="1"/>
          <w:color w:val="auto"/>
        </w:rPr>
        <w:t>S</w:t>
      </w:r>
      <w:r>
        <w:rPr>
          <w:rFonts w:ascii="Arial" w:cs="Arial" w:eastAsia="Arial" w:hAnsi="Arial"/>
          <w:sz w:val="18"/>
          <w:szCs w:val="18"/>
          <w:color w:val="auto"/>
        </w:rPr>
        <w:t xml:space="preserve">tockholders are available at </w:t>
      </w:r>
      <w:r>
        <w:rPr>
          <w:rFonts w:ascii="Arial" w:cs="Arial" w:eastAsia="Arial" w:hAnsi="Arial"/>
          <w:sz w:val="18"/>
          <w:szCs w:val="18"/>
          <w:u w:val="single" w:color="auto"/>
          <w:color w:val="0000EE"/>
        </w:rPr>
        <w:t>www.proxyvote.com</w:t>
      </w:r>
      <w:r>
        <w:rPr>
          <w:rFonts w:ascii="Arial" w:cs="Arial" w:eastAsia="Arial" w:hAnsi="Arial"/>
          <w:sz w:val="18"/>
          <w:szCs w:val="18"/>
          <w:b w:val="1"/>
          <w:bCs w:val="1"/>
          <w:color w:val="auto"/>
        </w:rPr>
        <w:t>.</w:t>
      </w:r>
    </w:p>
    <w:p>
      <w:pPr>
        <w:sectPr>
          <w:pgSz w:w="11900" w:h="16838" w:orient="portrait"/>
          <w:cols w:equalWidth="0" w:num="1">
            <w:col w:w="11240"/>
          </w:cols>
          <w:pgMar w:left="320" w:top="715"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15" w:right="3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Board of Directors currently consists of eight members and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Board of Directors currently has eight members. There are three directors in the class the term of which office expires in 2020: Mr. Dunn, Dr. Freund and Mr. Hinckley. Each is currently a member of our Board. If elected at the annual meeting, each of the three nominees would serve until the 2023 annual meeting and until his successor has been duly elected and qualified, or, if sooner, until the director’s death, resignation or removal. It is our policy to encourage directors and nominees for director to attend the Annual Meeting. All of our continuing directors and the nominees attended our 2019 annual meeting of stockholders.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Prior to our initial public offering of our common stock our voting agreement and the related provisions of our amended and restated certificate of incorporation as in effect prior to the initial public offering of our common stock governed the election of directors. Under the terms of this voting agreement, the stockholders party thereto agreed to vote their respective shares to elect our directors, which included Mr. Dunn, Dr. Freund and Mr. Hinckley. Upon the closing of our initial public offering, the provisions of this voting agreement terminated and our amended and restated certificate of incorporation was amended and restated to, among other things, remove the related voting provisions.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FOR A THREE-YEAR TERM EXPIRING AT THE 2023 ANNUAL MEETING</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Jeffrey W. Dunn</w:t>
      </w:r>
      <w:r>
        <w:rPr>
          <w:rFonts w:ascii="Arial" w:cs="Arial" w:eastAsia="Arial" w:hAnsi="Arial"/>
          <w:sz w:val="17"/>
          <w:szCs w:val="17"/>
          <w:color w:val="auto"/>
        </w:rPr>
        <w:t>, age 65, has served as our President and Chief Executive Officer and as the Chairman of our Board of Directors since our inception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2008.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15" w:right="339" w:bottom="1440" w:gutter="0" w:footer="0" w:header="0"/>
        </w:sectPr>
      </w:pPr>
    </w:p>
    <w:bookmarkStart w:id="11" w:name="page12"/>
    <w:bookmarkEnd w:id="11"/>
    <w:p>
      <w:pPr>
        <w:jc w:val="both"/>
        <w:spacing w:after="0" w:line="284" w:lineRule="auto"/>
        <w:rPr>
          <w:sz w:val="20"/>
          <w:szCs w:val="20"/>
          <w:color w:val="auto"/>
        </w:rPr>
      </w:pPr>
      <w:r>
        <w:rPr>
          <w:rFonts w:ascii="Arial" w:cs="Arial" w:eastAsia="Arial" w:hAnsi="Arial"/>
          <w:sz w:val="17"/>
          <w:szCs w:val="17"/>
          <w:b w:val="1"/>
          <w:bCs w:val="1"/>
          <w:i w:val="1"/>
          <w:iCs w:val="1"/>
          <w:color w:val="auto"/>
        </w:rPr>
        <w:t>John G. Freund, M.D.</w:t>
      </w:r>
      <w:r>
        <w:rPr>
          <w:rFonts w:ascii="Arial" w:cs="Arial" w:eastAsia="Arial" w:hAnsi="Arial"/>
          <w:sz w:val="17"/>
          <w:szCs w:val="17"/>
          <w:color w:val="auto"/>
        </w:rPr>
        <w:t>, age 66, has served as a member of our Board of Directors since January 2013. Dr. Freund founded Skyline Ventures, a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Sutro Biopharma, Inc., a biotechnology company, since 2014. Dr. Freund also serves on the board of directors of six U.S. registered investment funds managed by affiliates of the Capital Group, Inc. He also previously served on the board of directors of five publicly traded companies, Map Pharmaceuticals, Inc., a biopharmaceutical company, MAKO Surgical Corp., a medical device company, Proteon Therapeutics, Inc., a biotechnology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8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Gregory K. Hinckley</w:t>
      </w:r>
      <w:r>
        <w:rPr>
          <w:rFonts w:ascii="Arial" w:cs="Arial" w:eastAsia="Arial" w:hAnsi="Arial"/>
          <w:sz w:val="16"/>
          <w:szCs w:val="16"/>
          <w:color w:val="auto"/>
        </w:rPr>
        <w:t>, age 73, 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EACH NAMED NOMINEE.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2021 ANNUAL MEETING</w:t>
      </w:r>
    </w:p>
    <w:p>
      <w:pPr>
        <w:spacing w:after="0" w:line="2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Karen A. Licitra</w:t>
      </w:r>
      <w:r>
        <w:rPr>
          <w:rFonts w:ascii="Arial" w:cs="Arial" w:eastAsia="Arial" w:hAnsi="Arial"/>
          <w:sz w:val="16"/>
          <w:szCs w:val="16"/>
          <w:color w:val="auto"/>
        </w:rPr>
        <w:t>, age 60, has served as a member of our Board of Directors since August 2015. From January 2014 through August 2015, Ms. Licitra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Corporate Vice President, Worldwide Government Affairs &amp; Policy at Johnson &amp; Johnson, a medical device,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Since July 2019, Ms. Licitra has served as a member of the board of directors of Angiodynamics, Inc., a medical device company. Ms. Licitra previously served on the board of directors of Novadaq Technologies Inc., a provider of proven comprehensive fluorescence imaging solutions, until the company was acquired by Stryker Corporation in 2017. Ms. Licitra received a B.S. in Commerce from Rider College. We believe Ms. Licitra’s experience working for medical device companies and her knowledge of our company enable her to make valuable contributions to our Board of Directors.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35" w:right="33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6"/>
          <w:szCs w:val="16"/>
          <w:b w:val="1"/>
          <w:bCs w:val="1"/>
          <w:i w:val="1"/>
          <w:iCs w:val="1"/>
          <w:color w:val="auto"/>
        </w:rPr>
        <w:t>Keith C. Valentine</w:t>
      </w:r>
      <w:r>
        <w:rPr>
          <w:rFonts w:ascii="Arial" w:cs="Arial" w:eastAsia="Arial" w:hAnsi="Arial"/>
          <w:sz w:val="16"/>
          <w:szCs w:val="16"/>
          <w:color w:val="auto"/>
        </w:rPr>
        <w:t>, age 52, 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a global medical technology company.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2022 ANNUAL MEETING</w:t>
      </w:r>
    </w:p>
    <w:p>
      <w:pPr>
        <w:spacing w:after="0" w:line="24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Jeryl L. Hilleman</w:t>
      </w:r>
      <w:r>
        <w:rPr>
          <w:rFonts w:ascii="Arial" w:cs="Arial" w:eastAsia="Arial" w:hAnsi="Arial"/>
          <w:sz w:val="17"/>
          <w:szCs w:val="17"/>
          <w:color w:val="auto"/>
        </w:rPr>
        <w:t>, age 62, has served as a member of our Board of Directors since December 2019. Ms. Hilleman brings extensive experience in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and served as a public company CFO for close to 20 years. Most recently, From June 2014 to November 2019, Ms. Hilleman served as the Chief Financial Officer for Intersect ENT, Inc., a publicly-traded commercial drug delivery company focusing on patients with ear, nose and throat conditions. From September 2013 to May 2014, Ms. Hilleman served as Chief Financial Officer and Secretary of Ocera Therapeutics, Inc., a biopharmaceutical company, where she was responsible for managing Ocera’s financial and accounting operations. From 2012 to 2013, Ms. Hilleman provided independent financial and strategic consulting for biotech and cleantech companies. From January 2008 to May 2012, she served as Chief Financial Officer of Amyris, Inc., a multinational, renewable products company based in California and Brazil, where she was responsible for managing Amyris’ financial and accounting operations. Since July 2018, Ms. Hilleman has served as a member of the board of directors and the Audit Committee of Minerva Neurosciences, Inc. and as a member of the board of directors and chair of the audit committee of NovoCure Limited. From January 2005, Ms. Hilleman served as a member of the board of directors of Xenoport, Inc., a biopharmaceutical company, until it was acquired in July 2016.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Mark J. Foley</w:t>
      </w:r>
      <w:r>
        <w:rPr>
          <w:rFonts w:ascii="Arial" w:cs="Arial" w:eastAsia="Arial" w:hAnsi="Arial"/>
          <w:sz w:val="16"/>
          <w:szCs w:val="16"/>
          <w:color w:val="auto"/>
        </w:rPr>
        <w:t>, age 54, has served as a member of our Board of Directors since June 2019. Mr. Foley is currently the President and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Revance Therapeutics and has more than 30 years of operational and investment experience in the healthcare arena. Previously, he was the Chairman, President and CEO of ZELTIQ Aesthetics (ZLTQ), a medical technology company, from 2012 through the company’s acquisition by Allergan (AGN) in April of 2017 while also serving as a Managing Director at RWI Ventures, a venture capital firm focused on life sciences, networking, semiconductor and software investments from 2004 to 2018. Prior to this, Mr. Foley held a variety of senior operating roles in large public companies and venture-backed startups, including U.S. Surgical Corporation, Guidant Corporation, Devices for Vascular Intervention (acquired by Eli Lilly), Perclose (acquired by Abbott) and Ventrica (acquired by Medtronic), where he was the founder and CEO. He is also a board member at Glaukos Corporation (GKOS) where he chairs the nominating, governance and compensation committee. Mr. Foley received a Bachelor of Arts degree from the University of Notre Dame. We believe Mr. Foley’s financial expertise, experience at multiple public healthcare companies and his expertise with the development and commercialization in medical device and biotechnology industries enable him to make valuable contributions to our Board of Directors.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Timothy E. Davis, Jr.</w:t>
      </w:r>
      <w:r>
        <w:rPr>
          <w:rFonts w:ascii="Arial" w:cs="Arial" w:eastAsia="Arial" w:hAnsi="Arial"/>
          <w:sz w:val="17"/>
          <w:szCs w:val="17"/>
          <w:color w:val="auto"/>
        </w:rPr>
        <w:t>, age 50, 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January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Each of our directors, other than Mr. Dunn, is independent as defined under the Nasdaq Global Market listing standards. See “Independence of the Board of Directors” immediately below, which information is incorporated by reference here.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19" w:right="339" w:bottom="1440" w:gutter="0" w:footer="0" w:header="0"/>
        </w:sectPr>
      </w:pPr>
    </w:p>
    <w:bookmarkStart w:id="13" w:name="page14"/>
    <w:bookmarkEnd w:id="13"/>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required under the Nasdaq Global Market (“Nasdaq”) listing standards, a majority of the members of a listed company’s Board of Directors must qualify as “independent,” as affirmatively determined by the Board. The Board consults with SI-BONE’s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SI-BONE, its senior management and its independent auditors, the Board has affirmatively determined that the following seven directors are independent directors within the meaning of the applicable Nasdaq listing standards: Mr. Davis, Mr. Foley, Dr. Freund, Ms. Hilleman, Mr. Hinckley, Ms. Licitra, and Mr. Valentine. In making this determination, the Board found that none of the directors or nominees for director other than Mr. Dunn had a material or other disqualifying relationship with SI-BONE and that each of these directors is “independent” as that term is defined under the rules of the Nasdaq Global Market. Mr. Dunn is not independent given his position as our President and Chief Executive Officer. Accordingly, a majority of our directors are independent, as required under applicable Nasdaq listing rules.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making those independence determinations, the Board took into account certain relationships and transactions that occurred in the ordinary course of business between SI-BONE and entities with which some of our directors are or have been affiliated.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currently chaired by the President and Chief Executive Officer of SI-BONE, Mr. Dunn.</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believe that combining the positions of Chief Executive Officer and Chairman helps to ensure that the Board and management act with a common purpose. In our view, separating the positions of Chief Executive Officer and Chairman has the potential to give rise to divided leadership, which could interfere with good decision-making or weaken SI-BONE’s ability to develop and implement strategy. Instead, we believe that combining the positions of Chief Executive Officer and Chairman provides a single, clear chain of command to execute SI-BONE’s strategic initiatives and business plans. In addition, we believe that a combined Chief Executive Officer/Chairman is better positioned to act as a bridge between management and the Board, facilitating the regular flow of information. We also believe that it is advantageous to have a Chairman with an extensive history with and knowledge of SI-BONE (as is the case with our Chief Executive Officer).</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our stockholders are best served at this time by having a Lead Independent Director, currently Mr. Davis, who is an integral part of our Board structure and a critical aspect of effective corporate governance. Mr. Davis has served as our Lead Independent Director since June 2019. Prior to that, we did not have a Lead Independent Director. Mr. Davis brings considerable skills and experience, as described above, to the role. While our Chief Executive Officer has primary responsibility for preparing the agendas for Board meetings and presiding over the portion of the meetings of the Board of Directors where he is present, our Lead Independent Director has significant responsibilities, which are set forth in our Bylaws, and include, in part, to:</w:t>
      </w:r>
    </w:p>
    <w:p>
      <w:pPr>
        <w:spacing w:after="0" w:line="2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coordinate with the committee chairs regarding meeting agendas and informational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over meetings of the independent directors; and</w:t>
      </w:r>
    </w:p>
    <w:p>
      <w:pPr>
        <w:spacing w:after="0" w:line="22"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coordinate the activities of the other independent directors and perform such other duties as may be established or delegated by the Chairman of the Board of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1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4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administers its oversight function directly as a whole, as well as through various standing committees of our Board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director succession planning, and oversight of healthcare, regulatory, and fraud and abuse compliance.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43"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Our Board of Directors met four times during 2019. Each Board member attended 75% or more of the aggregate number of meetings of the Board and of the committees on which he or she served, held during the portion of the last fiscal year for which he or she was a director or committee member.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The following table provides membership and meeting information for fiscal 2019 for each of the Board committees (Mr. Dunn did not serve on any committees in 2019 or to date):</w:t>
      </w:r>
    </w:p>
    <w:p>
      <w:pPr>
        <w:spacing w:after="0" w:line="32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Nominating and</w:t>
            </w:r>
          </w:p>
        </w:tc>
      </w:tr>
      <w:tr>
        <w:trPr>
          <w:trHeight w:val="216"/>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Corporate</w:t>
            </w:r>
          </w:p>
        </w:tc>
      </w:tr>
      <w:tr>
        <w:trPr>
          <w:trHeight w:val="234"/>
        </w:trPr>
        <w:tc>
          <w:tcPr>
            <w:tcW w:w="4340" w:type="dxa"/>
            <w:vAlign w:val="bottom"/>
            <w:gridSpan w:val="2"/>
          </w:tcPr>
          <w:p>
            <w:pPr>
              <w:ind w:left="140"/>
              <w:spacing w:after="0"/>
              <w:rPr>
                <w:sz w:val="20"/>
                <w:szCs w:val="20"/>
                <w:color w:val="auto"/>
              </w:rPr>
            </w:pPr>
            <w:r>
              <w:rPr>
                <w:rFonts w:ascii="Arial" w:cs="Arial" w:eastAsia="Arial" w:hAnsi="Arial"/>
                <w:sz w:val="18"/>
                <w:szCs w:val="18"/>
                <w:b w:val="1"/>
                <w:bCs w:val="1"/>
                <w:color w:val="auto"/>
              </w:rPr>
              <w:t>Name</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Audit</w:t>
            </w: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Compensation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Governance</w:t>
            </w:r>
          </w:p>
        </w:tc>
      </w:tr>
      <w:tr>
        <w:trPr>
          <w:trHeight w:val="135"/>
        </w:trPr>
        <w:tc>
          <w:tcPr>
            <w:tcW w:w="404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43"/>
        </w:trPr>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6"/>
                <w:szCs w:val="16"/>
                <w:color w:val="auto"/>
              </w:rPr>
              <w:t>(1)</w:t>
            </w:r>
          </w:p>
        </w:tc>
        <w:tc>
          <w:tcPr>
            <w:tcW w:w="1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Timothy E. Davis</w:t>
            </w: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rPr>
              <w:t>X</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Heyward Donigan</w:t>
            </w:r>
            <w:r>
              <w:rPr>
                <w:rFonts w:ascii="Arial" w:cs="Arial" w:eastAsia="Arial" w:hAnsi="Arial"/>
                <w:sz w:val="16"/>
                <w:szCs w:val="16"/>
                <w:color w:val="auto"/>
              </w:rPr>
              <w:t>(2)</w:t>
            </w:r>
          </w:p>
        </w:tc>
        <w:tc>
          <w:tcPr>
            <w:tcW w:w="1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Jeffrey W. Dunn</w:t>
            </w:r>
          </w:p>
        </w:tc>
        <w:tc>
          <w:tcPr>
            <w:tcW w:w="1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 J. Foley</w:t>
            </w:r>
            <w:r>
              <w:rPr>
                <w:rFonts w:ascii="Arial" w:cs="Arial" w:eastAsia="Arial" w:hAnsi="Arial"/>
                <w:sz w:val="16"/>
                <w:szCs w:val="16"/>
                <w:color w:val="auto"/>
              </w:rPr>
              <w:t>(3)</w:t>
            </w:r>
          </w:p>
        </w:tc>
        <w:tc>
          <w:tcPr>
            <w:tcW w:w="1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John G. Freund, M.D.</w:t>
            </w:r>
          </w:p>
        </w:tc>
        <w:tc>
          <w:tcPr>
            <w:tcW w:w="1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Jeryl L. Hilleman</w:t>
            </w:r>
            <w:r>
              <w:rPr>
                <w:rFonts w:ascii="Arial" w:cs="Arial" w:eastAsia="Arial" w:hAnsi="Arial"/>
                <w:sz w:val="16"/>
                <w:szCs w:val="16"/>
                <w:color w:val="auto"/>
              </w:rPr>
              <w:t>(4)</w:t>
            </w:r>
          </w:p>
        </w:tc>
        <w:tc>
          <w:tcPr>
            <w:tcW w:w="17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X*</w:t>
            </w:r>
          </w:p>
        </w:tc>
        <w:tc>
          <w:tcPr>
            <w:tcW w:w="1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6"/>
                <w:szCs w:val="16"/>
                <w:color w:val="auto"/>
              </w:rPr>
              <w:t>(5)</w:t>
            </w: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rPr>
              <w:t>X</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Karen A. Licitra</w:t>
            </w: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21"/>
                <w:szCs w:val="21"/>
                <w:color w:val="auto"/>
              </w:rPr>
            </w:pPr>
          </w:p>
        </w:tc>
      </w:tr>
      <w:tr>
        <w:trPr>
          <w:trHeight w:val="243"/>
        </w:trPr>
        <w:tc>
          <w:tcPr>
            <w:tcW w:w="4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Timothy B. Peterson</w:t>
            </w:r>
            <w:r>
              <w:rPr>
                <w:rFonts w:ascii="Arial" w:cs="Arial" w:eastAsia="Arial" w:hAnsi="Arial"/>
                <w:sz w:val="16"/>
                <w:szCs w:val="16"/>
                <w:color w:val="auto"/>
              </w:rPr>
              <w:t>(6)</w:t>
            </w: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rPr>
              <w:t>X</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 A. Reiley, M.D.</w:t>
            </w:r>
            <w:r>
              <w:rPr>
                <w:rFonts w:ascii="Arial" w:cs="Arial" w:eastAsia="Arial" w:hAnsi="Arial"/>
                <w:sz w:val="16"/>
                <w:szCs w:val="16"/>
                <w:color w:val="auto"/>
              </w:rPr>
              <w:t>(1)</w:t>
            </w: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4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Keith C. Valentine</w:t>
            </w:r>
          </w:p>
        </w:tc>
        <w:tc>
          <w:tcPr>
            <w:tcW w:w="1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97"/>
        </w:trPr>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Total meetings in fiscal 2019</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w:t>
            </w:r>
          </w:p>
        </w:tc>
      </w:tr>
    </w:tbl>
    <w:p>
      <w:pPr>
        <w:spacing w:after="0" w:line="28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83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57" w:lineRule="exact"/>
        <w:rPr>
          <w:sz w:val="20"/>
          <w:szCs w:val="20"/>
          <w:color w:val="auto"/>
        </w:rPr>
      </w:pPr>
    </w:p>
    <w:p>
      <w:pPr>
        <w:ind w:left="260" w:hanging="252"/>
        <w:spacing w:after="0" w:line="293"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Drs. Bonita and Reiley decided to not stand for re-election at our 2019 annual meeting of stockholders, and so ceased to be members of our Board of Directors in June 2019.</w:t>
      </w:r>
    </w:p>
    <w:p>
      <w:pPr>
        <w:spacing w:after="0" w:line="7" w:lineRule="exact"/>
        <w:rPr>
          <w:rFonts w:ascii="Arial" w:cs="Arial" w:eastAsia="Arial" w:hAnsi="Arial"/>
          <w:sz w:val="18"/>
          <w:szCs w:val="18"/>
          <w:color w:val="auto"/>
        </w:rPr>
      </w:pPr>
    </w:p>
    <w:p>
      <w:pPr>
        <w:ind w:left="260" w:hanging="252"/>
        <w:spacing w:after="0" w:line="293" w:lineRule="auto"/>
        <w:tabs>
          <w:tab w:leader="none" w:pos="2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Donigan resigned from the Board, including all committees on which she served, in August 2019. Ms. Donigan’s resignation from all other boards of directors, including ours, was a condition of an offer by Rite Aid Corporation to her to serve as its Chief Executive Officer.</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Foley was elected to the Board in June 2019.</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Hilleman was appointed to the Board and to the Audit Committee in December 2019.</w:t>
      </w:r>
    </w:p>
    <w:p>
      <w:pPr>
        <w:spacing w:after="0" w:line="76" w:lineRule="exact"/>
        <w:rPr>
          <w:rFonts w:ascii="Arial" w:cs="Arial" w:eastAsia="Arial" w:hAnsi="Arial"/>
          <w:sz w:val="18"/>
          <w:szCs w:val="18"/>
          <w:color w:val="auto"/>
        </w:rPr>
      </w:pPr>
    </w:p>
    <w:p>
      <w:pPr>
        <w:ind w:left="260" w:hanging="252"/>
        <w:spacing w:after="0" w:line="324" w:lineRule="auto"/>
        <w:tabs>
          <w:tab w:leader="none" w:pos="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Hinckley served as Chairperson of the Audit Committee until December 2019, when Ms. Hilleman joined the Board and was appointed as Chairperson of the Audit Committee. Although he is no longer the Chairperson, he continues to serve on the Audit Committee.</w:t>
      </w:r>
    </w:p>
    <w:p>
      <w:pPr>
        <w:sectPr>
          <w:pgSz w:w="11900" w:h="16838" w:orient="portrait"/>
          <w:cols w:equalWidth="0" w:num="1">
            <w:col w:w="11240"/>
          </w:cols>
          <w:pgMar w:left="320" w:top="931" w:right="3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31" w:right="339" w:bottom="1440" w:gutter="0" w:footer="0" w:header="0"/>
          <w:type w:val="continuous"/>
        </w:sectPr>
      </w:pPr>
    </w:p>
    <w:bookmarkStart w:id="15" w:name="page16"/>
    <w:bookmarkEnd w:id="15"/>
    <w:p>
      <w:pPr>
        <w:ind w:right="3900" w:firstLine="8"/>
        <w:spacing w:after="0" w:line="51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Petersen resigned from the Board, including all committees on which he served, in June 2019. Below is a description of each committee of the Board.</w:t>
      </w:r>
    </w:p>
    <w:p>
      <w:pPr>
        <w:spacing w:after="0"/>
        <w:rPr>
          <w:sz w:val="20"/>
          <w:szCs w:val="20"/>
          <w:color w:val="auto"/>
        </w:rPr>
      </w:pPr>
      <w:r>
        <w:rPr>
          <w:rFonts w:ascii="Arial" w:cs="Arial" w:eastAsia="Arial" w:hAnsi="Arial"/>
          <w:sz w:val="18"/>
          <w:szCs w:val="18"/>
          <w:b w:val="1"/>
          <w:bCs w:val="1"/>
          <w:color w:val="auto"/>
        </w:rPr>
        <w:t>Audit Committee</w:t>
      </w: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Audit Committee consists of Messrs. Davis and Hinckley, and Ms. Hilleman, each of whom satisfies the independence requirements under the Nasdaq Global Market listing standards and Rule 10A-3(b)(1) of the Exchange Act. The chairperson of our Audit Committee is Ms. Hilleman. Ms. Hilleman joined our Board and became chairperson of the Audit Committee in December 2019; prior to that, Mr. Hinckley served as Chairperson of our Audit Committee. Our Board has determined that each of Messrs. Davis and Hinckley, and Ms. Hilleman is an “audit committee financial expert”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spacing w:after="0" w:line="183" w:lineRule="exact"/>
        <w:rPr>
          <w:sz w:val="20"/>
          <w:szCs w:val="20"/>
          <w:color w:val="auto"/>
        </w:rPr>
      </w:pPr>
    </w:p>
    <w:p>
      <w:pPr>
        <w:ind w:left="660" w:hanging="328"/>
        <w:spacing w:after="0" w:line="26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 evaluating the qualifications, independence and performance of the independent registered public accounting firm;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the scope of the annual audit and the audit fee;</w:t>
      </w:r>
    </w:p>
    <w:p>
      <w:pPr>
        <w:spacing w:after="0" w:line="22" w:lineRule="exact"/>
        <w:rPr>
          <w:rFonts w:ascii="Arial" w:cs="Arial" w:eastAsia="Arial" w:hAnsi="Arial"/>
          <w:sz w:val="18"/>
          <w:szCs w:val="18"/>
          <w:color w:val="auto"/>
        </w:rPr>
      </w:pPr>
    </w:p>
    <w:p>
      <w:pPr>
        <w:ind w:left="660" w:right="20" w:hanging="328"/>
        <w:spacing w:after="0" w:line="26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financial statements and our management’s discussion and analysis of financial condition and results of operations to be included in our annual and quarterly reports to be filed with the SEC;</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and overseeing procedures for employees to submit concerns anonymously about questionable accounting or audit matters;</w:t>
      </w:r>
    </w:p>
    <w:p>
      <w:pPr>
        <w:spacing w:after="0" w:line="34"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party transactions; reviewing and discussing the adequacy and effectiveness of our accounting and financial reporting processes and internal controls and the annual audits of our financial statements;</w:t>
      </w:r>
    </w:p>
    <w:p>
      <w:pPr>
        <w:ind w:left="660" w:hanging="328"/>
        <w:spacing w:after="0" w:line="26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at least annually, the Audit Committee charter and the committee’s performance.</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Audit Committee met seven times during 2019. Our Board has adopted a written Audit Committee charter that is available to stockholders on SI-BONE’s website at www.si-bone.com.</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Audit Committee has reviewed and discussed the audited financial statements for the fiscal year ended December 31, 2019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Jeryl L. Hilleman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K. Hinckley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773"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Compensation Committee consists of Mr. Davis, Mr. Foley and Ms. Licitra, each of whom our Board has determined to be independent under the Nasdaq Global Market listing standards and the rules and regulations of the SEC, a “non-employee director” as defined in Rule 16b-3 promulgated under the Exchange Act. The chairperson of our Compensation Committee is Mr. Davis.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approve, the terms of compensatory arrangements with our executive officers;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administering our employee stock purchase and equity incentive plans;</w:t>
      </w:r>
    </w:p>
    <w:p>
      <w:pPr>
        <w:spacing w:after="0" w:line="130"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61" w:lineRule="exact"/>
        <w:rPr>
          <w:rFonts w:ascii="Arial" w:cs="Arial" w:eastAsia="Arial" w:hAnsi="Arial"/>
          <w:sz w:val="18"/>
          <w:szCs w:val="18"/>
          <w:color w:val="auto"/>
        </w:rPr>
      </w:pPr>
    </w:p>
    <w:p>
      <w:pPr>
        <w:ind w:left="660" w:right="20" w:hanging="328"/>
        <w:spacing w:after="0" w:line="359"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16"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Compensation Committee met six times during 2019. The Board has adopted a written Compensation Committee charter that is available to stockholders on SI-BONE’s website at www.si-bone.com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Typically, our Compensation Committee meets at least four times annually and with greater frequency if necessary. The agenda for each meeting is usually developed by the chair of the Compensation Committee, in consultation with the General Counsel.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935" w:right="339" w:bottom="1440" w:gutter="0" w:footer="0" w:header="0"/>
        </w:sectPr>
      </w:pPr>
    </w:p>
    <w:bookmarkStart w:id="17" w:name="page18"/>
    <w:bookmarkEnd w:id="17"/>
    <w:p>
      <w:pPr>
        <w:spacing w:after="0" w:line="293" w:lineRule="auto"/>
        <w:rPr>
          <w:sz w:val="20"/>
          <w:szCs w:val="20"/>
          <w:color w:val="auto"/>
        </w:rPr>
      </w:pPr>
      <w:r>
        <w:rPr>
          <w:rFonts w:ascii="Arial" w:cs="Arial" w:eastAsia="Arial" w:hAnsi="Arial"/>
          <w:sz w:val="18"/>
          <w:szCs w:val="18"/>
          <w:color w:val="auto"/>
        </w:rPr>
        <w:t>During the past fiscal year, after taking into consideration the six factors prescribed by the SEC and Nasdaq described above, the Compensation Committee engaged Compensia as compensation consultants. The Compensation Committee requested that Compensia:</w:t>
      </w:r>
    </w:p>
    <w:p>
      <w:pPr>
        <w:spacing w:after="0" w:line="170" w:lineRule="exact"/>
        <w:rPr>
          <w:sz w:val="20"/>
          <w:szCs w:val="20"/>
          <w:color w:val="auto"/>
        </w:rPr>
      </w:pPr>
    </w:p>
    <w:p>
      <w:pPr>
        <w:ind w:left="660" w:right="20" w:hanging="328"/>
        <w:spacing w:after="0" w:line="29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efficacy of SI-BONE’s existing compensation strategy and practices in supporting and reinforcing SI-BONE’s long-term strategic goals; and</w:t>
      </w:r>
    </w:p>
    <w:p>
      <w:pPr>
        <w:spacing w:after="0" w:line="61"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in refining SI-BONE’s compensation strategy and in developing and implementing an executive compensation program to execute that strategy.</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Historically, the Compensation Committee has made most of the significant adjustments to annual compensation, determined bonus and equity awards and established new performance objectives at one or more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Nominating and Corporate Governance Committee consists of Dr. Freund and Mr. Valentine, each of whom our Board of Directors has determined to be independent under the Nasdaq Global Market listing standards. The chairperson of our Nominating and Corporate Governance Committee is Mr. Valentine.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3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Nominating and Corporate Governance Committee met four times during 2019. The Board has adopted a written Nominating and Corporate Governance Committee charter that is available to stockholders on SI-BONE’s website and www.si-bone.com.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19"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2019, the Nominating and Corporate Governance Committee paid fees to Korn Ferry to assist in the process of identifying or evaluating director candidates.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attention of the Nominating and Corporate Governance Committee and care of the General Counsel at the following address: 471 El Camino Real, Suite 101, Santa Clara, CA 95050 at least 120 days prior to the anniversary date of the mailing of SI-BONE’s proxy statement for the last Annual Meeting of Stockholders and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prior to this year’s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71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whistleblower hotline and website where people can report violations of the Code of Business Conduct and Ethics anonymously or by name; to date never had a complaint (other than test calls) come in to the hotline.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July 2018, the Board of Directors documented the governance practices followed by SI-BONE by adopting Corporate Governance Guidelines to assure that the Board will have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may be viewed at www.si-bone.com.</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Audit Committee of the Board of Directors has selected PricewaterhouseCoopers LLP as SI-BONE’s independent registered public accounting firm for the fiscal year ending December 31, 2020,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on the matter at the annual meeting will be required to ratify the selection of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represents aggregate fees billed to SI-BONE for the fiscal years ended December 31, 2019 and 2018 by PricewaterhouseCoopers LLP, our independent registered public accounting firm.</w:t>
      </w:r>
    </w:p>
    <w:p>
      <w:pPr>
        <w:spacing w:after="0" w:line="31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1"/>
              </w:rPr>
              <w:t>Fiscal Year Ended</w:t>
            </w:r>
          </w:p>
        </w:tc>
        <w:tc>
          <w:tcPr>
            <w:tcW w:w="56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6"/>
        </w:trPr>
        <w:tc>
          <w:tcPr>
            <w:tcW w:w="5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Audit Fees</w:t>
            </w:r>
          </w:p>
        </w:tc>
        <w:tc>
          <w:tcPr>
            <w:tcW w:w="9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1,017</w:t>
            </w:r>
          </w:p>
        </w:tc>
      </w:tr>
      <w:tr>
        <w:trPr>
          <w:trHeight w:val="243"/>
        </w:trPr>
        <w:tc>
          <w:tcPr>
            <w:tcW w:w="5940" w:type="dxa"/>
            <w:vAlign w:val="bottom"/>
          </w:tcPr>
          <w:p>
            <w:pPr>
              <w:ind w:left="140"/>
              <w:spacing w:after="0"/>
              <w:rPr>
                <w:sz w:val="20"/>
                <w:szCs w:val="20"/>
                <w:color w:val="auto"/>
              </w:rPr>
            </w:pPr>
            <w:r>
              <w:rPr>
                <w:rFonts w:ascii="Arial" w:cs="Arial" w:eastAsia="Arial" w:hAnsi="Arial"/>
                <w:sz w:val="18"/>
                <w:szCs w:val="18"/>
                <w:color w:val="auto"/>
              </w:rPr>
              <w:t>Audit-related Fees</w:t>
            </w:r>
          </w:p>
        </w:tc>
        <w:tc>
          <w:tcPr>
            <w:tcW w:w="98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Fees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5940" w:type="dxa"/>
            <w:vAlign w:val="bottom"/>
          </w:tcPr>
          <w:p>
            <w:pPr>
              <w:ind w:left="140"/>
              <w:spacing w:after="0"/>
              <w:rPr>
                <w:sz w:val="20"/>
                <w:szCs w:val="20"/>
                <w:color w:val="auto"/>
              </w:rPr>
            </w:pPr>
            <w:r>
              <w:rPr>
                <w:rFonts w:ascii="Arial" w:cs="Arial" w:eastAsia="Arial" w:hAnsi="Arial"/>
                <w:sz w:val="18"/>
                <w:szCs w:val="18"/>
                <w:color w:val="auto"/>
              </w:rPr>
              <w:t>All Other Fees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Fees</w:t>
            </w:r>
          </w:p>
        </w:tc>
        <w:tc>
          <w:tcPr>
            <w:tcW w:w="9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1,110</w:t>
            </w:r>
          </w:p>
        </w:tc>
      </w:tr>
      <w:tr>
        <w:trPr>
          <w:trHeight w:val="20"/>
        </w:trPr>
        <w:tc>
          <w:tcPr>
            <w:tcW w:w="5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715" w:right="339" w:bottom="1440" w:gutter="0" w:footer="0" w:header="0"/>
          <w:type w:val="continuous"/>
        </w:sectPr>
      </w:pPr>
    </w:p>
    <w:bookmarkStart w:id="20" w:name="page21"/>
    <w:bookmarkEnd w:id="20"/>
    <w:p>
      <w:pPr>
        <w:jc w:val="both"/>
        <w:ind w:left="660" w:hanging="328"/>
        <w:spacing w:after="0" w:line="263"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 of fees incurred for professional services rendered for the audit of our annual consolidated financial statements,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consolidated financial statements, and other services normally provided by PricewaterhouseCoopers LLP in connection with regulatory filings.</w:t>
      </w:r>
    </w:p>
    <w:p>
      <w:pPr>
        <w:spacing w:after="0" w:line="183"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consist of fees billed for services that are reasonably related to the performance of the audit or review of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are not reported under "Audit Fees"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for professional services for tax compliance, tax advice and tax planning.</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consist of fees for professional services other than the services reported above, including permissible consulting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7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Audit Committee has determined that the rendering of services other than audit services by PricewaterhouseCoopers LLP is compatible with maintaining the principal accountant’s independence.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PROPOSAL NO. 2</w:t>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40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following table sets forth certain information regarding the ownership of SI-BONE’s common stock as of April 1, 2020,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32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28,409,974 shares outstanding on April 1, 2020, adjusted as required by rules promulgated by the SEC.</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20" w:type="dxa"/>
            <w:vAlign w:val="bottom"/>
            <w:gridSpan w:val="2"/>
          </w:tcPr>
          <w:p>
            <w:pPr>
              <w:jc w:val="right"/>
              <w:ind w:right="511"/>
              <w:spacing w:after="0"/>
              <w:rPr>
                <w:sz w:val="20"/>
                <w:szCs w:val="20"/>
                <w:color w:val="auto"/>
              </w:rPr>
            </w:pPr>
            <w:r>
              <w:rPr>
                <w:rFonts w:ascii="Arial" w:cs="Arial" w:eastAsia="Arial" w:hAnsi="Arial"/>
                <w:sz w:val="16"/>
                <w:szCs w:val="16"/>
                <w:b w:val="1"/>
                <w:bCs w:val="1"/>
                <w:color w:val="auto"/>
              </w:rPr>
              <w:t>Total Beneficial Ownership</w:t>
            </w:r>
          </w:p>
        </w:tc>
        <w:tc>
          <w:tcPr>
            <w:tcW w:w="1140" w:type="dxa"/>
            <w:vAlign w:val="bottom"/>
          </w:tcPr>
          <w:p>
            <w:pPr>
              <w:spacing w:after="0"/>
              <w:rPr>
                <w:sz w:val="18"/>
                <w:szCs w:val="18"/>
                <w:color w:val="auto"/>
              </w:rPr>
            </w:pPr>
          </w:p>
        </w:tc>
      </w:tr>
      <w:tr>
        <w:trPr>
          <w:trHeight w:val="33"/>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Right to Acquire</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Shares Within 60</w:t>
            </w: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Number of</w:t>
            </w:r>
          </w:p>
        </w:tc>
        <w:tc>
          <w:tcPr>
            <w:tcW w:w="1140" w:type="dxa"/>
            <w:vAlign w:val="bottom"/>
          </w:tcPr>
          <w:p>
            <w:pPr>
              <w:jc w:val="right"/>
              <w:ind w:right="171"/>
              <w:spacing w:after="0"/>
              <w:rPr>
                <w:sz w:val="20"/>
                <w:szCs w:val="20"/>
                <w:color w:val="auto"/>
              </w:rPr>
            </w:pPr>
            <w:r>
              <w:rPr>
                <w:rFonts w:ascii="Arial" w:cs="Arial" w:eastAsia="Arial" w:hAnsi="Arial"/>
                <w:sz w:val="16"/>
                <w:szCs w:val="16"/>
                <w:b w:val="1"/>
                <w:bCs w:val="1"/>
                <w:color w:val="auto"/>
              </w:rPr>
              <w:t>Percent of</w:t>
            </w:r>
          </w:p>
        </w:tc>
      </w:tr>
      <w:tr>
        <w:trPr>
          <w:trHeight w:val="210"/>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20" w:type="dxa"/>
            <w:vAlign w:val="bottom"/>
            <w:gridSpan w:val="2"/>
          </w:tcPr>
          <w:p>
            <w:pPr>
              <w:ind w:left="1100"/>
              <w:spacing w:after="0"/>
              <w:rPr>
                <w:sz w:val="20"/>
                <w:szCs w:val="20"/>
                <w:color w:val="auto"/>
              </w:rPr>
            </w:pPr>
            <w:r>
              <w:rPr>
                <w:rFonts w:ascii="Arial" w:cs="Arial" w:eastAsia="Arial" w:hAnsi="Arial"/>
                <w:sz w:val="16"/>
                <w:szCs w:val="16"/>
                <w:b w:val="1"/>
                <w:bCs w:val="1"/>
                <w:color w:val="auto"/>
              </w:rPr>
              <w:t>Name of Beneficial Owner</w:t>
            </w:r>
          </w:p>
        </w:tc>
        <w:tc>
          <w:tcPr>
            <w:tcW w:w="1420" w:type="dxa"/>
            <w:vAlign w:val="bottom"/>
          </w:tcPr>
          <w:p>
            <w:pPr>
              <w:jc w:val="right"/>
              <w:ind w:right="131"/>
              <w:spacing w:after="0"/>
              <w:rPr>
                <w:sz w:val="20"/>
                <w:szCs w:val="20"/>
                <w:color w:val="auto"/>
              </w:rPr>
            </w:pPr>
            <w:r>
              <w:rPr>
                <w:rFonts w:ascii="Arial" w:cs="Arial" w:eastAsia="Arial" w:hAnsi="Arial"/>
                <w:sz w:val="16"/>
                <w:szCs w:val="16"/>
                <w:b w:val="1"/>
                <w:bCs w:val="1"/>
                <w:color w:val="auto"/>
              </w:rPr>
              <w:t>Shares Owned</w:t>
            </w:r>
          </w:p>
        </w:tc>
        <w:tc>
          <w:tcPr>
            <w:tcW w:w="154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days</w:t>
            </w:r>
          </w:p>
        </w:tc>
        <w:tc>
          <w:tcPr>
            <w:tcW w:w="1380" w:type="dxa"/>
            <w:vAlign w:val="bottom"/>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right"/>
              <w:ind w:right="331"/>
              <w:spacing w:after="0"/>
              <w:rPr>
                <w:sz w:val="20"/>
                <w:szCs w:val="20"/>
                <w:color w:val="auto"/>
              </w:rPr>
            </w:pPr>
            <w:r>
              <w:rPr>
                <w:rFonts w:ascii="Arial" w:cs="Arial" w:eastAsia="Arial" w:hAnsi="Arial"/>
                <w:sz w:val="16"/>
                <w:szCs w:val="16"/>
                <w:b w:val="1"/>
                <w:bCs w:val="1"/>
                <w:color w:val="auto"/>
              </w:rPr>
              <w:t>Total</w:t>
            </w:r>
          </w:p>
        </w:tc>
      </w:tr>
      <w:tr>
        <w:trPr>
          <w:trHeight w:val="114"/>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237"/>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Timothy E. Davis, Jr.</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6,426</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67,203</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73,629</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Jeffrey W. Dunn</w:t>
            </w:r>
            <w:r>
              <w:rPr>
                <w:rFonts w:ascii="Arial" w:cs="Arial" w:eastAsia="Arial" w:hAnsi="Arial"/>
                <w:sz w:val="16"/>
                <w:szCs w:val="16"/>
                <w:color w:val="auto"/>
              </w:rPr>
              <w:t>(1)</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259,067</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658,375</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917,442</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 J. Foley</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6,559</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6,559</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6"/>
                <w:szCs w:val="16"/>
                <w:color w:val="auto"/>
              </w:rPr>
              <w:t>(2)</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2,819,985</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34,028</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2,854,013</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Jeryl L. Hilleman</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2,186</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2,186</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6"/>
                <w:szCs w:val="16"/>
                <w:color w:val="auto"/>
              </w:rPr>
              <w:t>(3)</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116,394</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34,028</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150,422</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55,436</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55,436</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6"/>
                <w:szCs w:val="16"/>
                <w:color w:val="auto"/>
              </w:rPr>
              <w:t>(4)</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31,374</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34,028</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65,402</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Laura A. Francis</w:t>
            </w:r>
            <w:r>
              <w:rPr>
                <w:rFonts w:ascii="Arial" w:cs="Arial" w:eastAsia="Arial" w:hAnsi="Arial"/>
                <w:sz w:val="16"/>
                <w:szCs w:val="16"/>
                <w:color w:val="auto"/>
              </w:rPr>
              <w:t>(5)</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48,027</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186,624</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234,651</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Anthony J. Recupero</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3,639</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174,587</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178,226</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(11</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3,293,653</w:t>
            </w:r>
          </w:p>
        </w:tc>
        <w:tc>
          <w:tcPr>
            <w:tcW w:w="15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1,322,748</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4,616,401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persons)</w:t>
            </w:r>
            <w:r>
              <w:rPr>
                <w:rFonts w:ascii="Arial" w:cs="Arial" w:eastAsia="Arial" w:hAnsi="Arial"/>
                <w:sz w:val="16"/>
                <w:szCs w:val="16"/>
                <w:color w:val="auto"/>
              </w:rPr>
              <w:t>(6)</w:t>
            </w:r>
          </w:p>
        </w:tc>
        <w:tc>
          <w:tcPr>
            <w:tcW w:w="14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567"/>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5% Stockholders:</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6"/>
                <w:szCs w:val="16"/>
                <w:color w:val="auto"/>
              </w:rPr>
              <w:t>(7)</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2,819,985</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2,819,985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6"/>
                <w:szCs w:val="16"/>
                <w:color w:val="auto"/>
              </w:rPr>
              <w:t>(8)</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1,695,036</w:t>
            </w:r>
          </w:p>
        </w:tc>
        <w:tc>
          <w:tcPr>
            <w:tcW w:w="154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1,695,036</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6"/>
                <w:szCs w:val="16"/>
                <w:color w:val="auto"/>
              </w:rPr>
              <w:t>(9)</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1,446,158</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1,446,158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300" w:type="dxa"/>
            <w:vAlign w:val="bottom"/>
          </w:tcPr>
          <w:p>
            <w:pPr>
              <w:spacing w:after="0"/>
              <w:rPr>
                <w:sz w:val="22"/>
                <w:szCs w:val="22"/>
                <w:color w:val="auto"/>
              </w:rPr>
            </w:pPr>
          </w:p>
        </w:tc>
        <w:tc>
          <w:tcPr>
            <w:tcW w:w="4600" w:type="dxa"/>
            <w:vAlign w:val="bottom"/>
            <w:gridSpan w:val="3"/>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4"/>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Less than one percent.</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715" w:right="339" w:bottom="1440" w:gutter="0" w:footer="0" w:header="0"/>
          <w:type w:val="continuous"/>
        </w:sectPr>
      </w:pPr>
    </w:p>
    <w:bookmarkStart w:id="22" w:name="page23"/>
    <w:bookmarkEnd w:id="22"/>
    <w:p>
      <w:pPr>
        <w:ind w:left="500" w:hanging="492"/>
        <w:spacing w:after="0" w:line="26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shares include (i) 23,263 shares of common stock held by Mr. Dunn and (ii) 235,804 shares of common stock held by Jeffrey W. Dunn as Trustee of the Jeffrey W. Dunn Living Trust Dated May 17, 2012.</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shares consist of the shares held by the Skyline Venture Partners V, L.P. as set forth in footnote 7 below.</w:t>
      </w:r>
    </w:p>
    <w:p>
      <w:pPr>
        <w:spacing w:after="0" w:line="22" w:lineRule="exact"/>
        <w:rPr>
          <w:rFonts w:ascii="Arial" w:cs="Arial" w:eastAsia="Arial" w:hAnsi="Arial"/>
          <w:sz w:val="18"/>
          <w:szCs w:val="18"/>
          <w:color w:val="auto"/>
        </w:rPr>
      </w:pPr>
    </w:p>
    <w:p>
      <w:pPr>
        <w:jc w:val="both"/>
        <w:ind w:left="500" w:hanging="492"/>
        <w:spacing w:after="0" w:line="26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shares include (i) 40,791 shares of common stock held by Mr. Hinckley, of which 753 shares of common stock that are unvested and subject to our right of repurchase as of April 1, 2020 and (ii) 75,603 shares of common stock held by Gregory K. Hinckley and Mary C. Hinckley as Community Property with the Right of Survivorship.</w:t>
      </w:r>
    </w:p>
    <w:p>
      <w:pPr>
        <w:ind w:left="500" w:hanging="492"/>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outstanding shares include 642 shares of common stock that are unvested and subject to our right of repurchase as of April 1, 2020.</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outstanding shares include 1,365 shares of common stock that are unvested and subject to our right of repurchase as of April 1, 2020.</w:t>
      </w:r>
    </w:p>
    <w:p>
      <w:pPr>
        <w:spacing w:after="0" w:line="34" w:lineRule="exact"/>
        <w:rPr>
          <w:rFonts w:ascii="Arial" w:cs="Arial" w:eastAsia="Arial" w:hAnsi="Arial"/>
          <w:sz w:val="17"/>
          <w:szCs w:val="17"/>
          <w:color w:val="auto"/>
        </w:rPr>
      </w:pPr>
    </w:p>
    <w:p>
      <w:pPr>
        <w:jc w:val="both"/>
        <w:ind w:left="500" w:hanging="492"/>
        <w:spacing w:after="0" w:line="281"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Consists of (i) 3,293,65 shares of common stock beneficially owned by our directors and Named Executive Officers as listed in the table, including 8,741 shares of common stock beneficially owned by our other executive officer not listed in the table, of which 2,760 shares of common stock are unvested and subject to our right of repurchase as of April 1, 2020, (ii) the right to acquire 1,322,748 shares of common stock within 60 days of April 1, 2020 by our directors and Named Executive Officers listed in the table, including the right to acquire 69,694 shares of common stock by our other executive officer, of which 174,116 shares would be unvested as of such date.</w:t>
      </w:r>
    </w:p>
    <w:p>
      <w:pPr>
        <w:spacing w:after="0" w:line="3" w:lineRule="exact"/>
        <w:rPr>
          <w:rFonts w:ascii="Arial" w:cs="Arial" w:eastAsia="Arial" w:hAnsi="Arial"/>
          <w:sz w:val="17"/>
          <w:szCs w:val="17"/>
          <w:color w:val="auto"/>
        </w:rPr>
      </w:pPr>
    </w:p>
    <w:p>
      <w:pPr>
        <w:jc w:val="both"/>
        <w:ind w:left="500" w:hanging="492"/>
        <w:spacing w:after="0" w:line="26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John Freund, M.D., a member of our Board, is Managing Director of Skyline Venture Partners V, L.P. and Managing Director of Skyline Venture Management V, LLC and has voting power over these shares. The address of the principal place of business of each of these entities is 525 University Avenue, Suite 1350, Palo Alto, CA 94301.</w:t>
      </w:r>
    </w:p>
    <w:p>
      <w:pPr>
        <w:jc w:val="both"/>
        <w:ind w:left="500" w:hanging="492"/>
        <w:spacing w:after="0" w:line="26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Arboretum Investment Manager IV, LLC (“AIM IV”) is the general partner of Arboretum Ventures IV, L.P. (“AV IV”). Jan L. Garfinkle, Timothy B. Petersen and Paul McCreadie are the managing members of AIM IV and share voting and dispositive power with respect to the shares held by AV IV. Ms. Garfinkle and Messrs. Petersen and McCreadie disclaim beneficial ownership of the shares held by AV IV, except to the extent of their pecuniary interest therein. The address of the principal place of business of each of the entities and individuals 303 Detroit Street, Suite 301, Ann Arbor, Michigan 48104.</w:t>
      </w:r>
    </w:p>
    <w:p>
      <w:pPr>
        <w:jc w:val="both"/>
        <w:ind w:left="500" w:hanging="492"/>
        <w:spacing w:after="0" w:line="235"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a Schedule 13G filed February 7, 2020, reporting beneficial ownership as of December 31, 2019. Blackrock, Inc. has sole voting power over 1,374,991 and sole dispositive power over all of these shares. The address for Blackrock, Inc. is 55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New York, New York 10055.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71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MANAGEMENT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executive officers as of April 1, 2020.</w:t>
      </w: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Age</w:t>
            </w: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Jeffrey W. Dunn</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w:t>
            </w:r>
          </w:p>
        </w:tc>
      </w:tr>
      <w:tr>
        <w:trPr>
          <w:trHeight w:val="27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Laura A. Francis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6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284"/>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Michael A. Pisetsky</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6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General Counsel and Chief Compliance Officer</w:t>
            </w:r>
          </w:p>
        </w:tc>
      </w:tr>
      <w:tr>
        <w:trPr>
          <w:trHeight w:val="27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Anthony J. Recupero.</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6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Commercial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Mr. Dunn’s biography, see “Proposal No. 1 - Election of Directors” above.</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Laura A. Francis </w:t>
      </w:r>
      <w:r>
        <w:rPr>
          <w:rFonts w:ascii="Arial" w:cs="Arial" w:eastAsia="Arial" w:hAnsi="Arial"/>
          <w:sz w:val="16"/>
          <w:szCs w:val="16"/>
          <w:color w:val="auto"/>
        </w:rPr>
        <w:t>has served as our Chief Operating Officer since July 2019, and served as our Chief Financial Officer since May 2015. Prior to joining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Ms. Francis received a B.B.A. from the University of Wisconsin and an M.B.A. from Stanford University. She is a Certified Public Accountant (inactive) in the State of California.</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Michael A. Pisetsky </w:t>
      </w:r>
      <w:r>
        <w:rPr>
          <w:rFonts w:ascii="Arial" w:cs="Arial" w:eastAsia="Arial" w:hAnsi="Arial"/>
          <w:sz w:val="18"/>
          <w:szCs w:val="18"/>
          <w:color w:val="auto"/>
        </w:rPr>
        <w:t>has served as our General Counsel and Chief Compliance Officer since August 2016. Mr. Pisetsky joined us in March 2015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Legal. From August 2011 to March 2015, Mr. Pisetsky practiced law privately advising a number of companies in the medical technology, healthcare services and real estate industries. From August 2008 to July 2011, Mr. Pisetsky practiced law in the Business Department at Cooley LLP in Palo Alto, California, representing a number of medical technology, biotech, healthcare services and general technology clients, from inception to public offering or sale. Mr. Pisetsky received his B.A. with Honors from Harvard College, and received his J.D. (magna cum laude) and M.B.A. concurrently from Duke University.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Chief Commercial Officer since July 2016. Prior to joining us, Mr. Recupero was the President of Catalyst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designed to:</w:t>
      </w:r>
    </w:p>
    <w:p>
      <w:pPr>
        <w:spacing w:after="0" w:line="34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motivate, incentivize and retain employees at the executive level who contribute to our long-term success;</w:t>
      </w:r>
    </w:p>
    <w:p>
      <w:pPr>
        <w:spacing w:after="0" w:line="130"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compensation packages to our executives that are competitive and reward the achievement of our business objectives and effectively align their interests with those of our stockholders; and</w:t>
      </w:r>
    </w:p>
    <w:p>
      <w:pPr>
        <w:spacing w:after="0" w:line="61"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align our executives’ interests with those of our stockholders by focusing on long-term equity incentives that correlate with the growth of sustainable long-term value for our stockholders.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715"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Our Compensation Committee is responsible for the executive compensation programs for our executive officers and reports to our Board of Directors on its discussions, decisions and other actions. Our Chief Executive Officer makes recommendations for the respective executive officers that report to him to our Compensation Committee and typically attends Compensation Committee meetings. Our Chief Executive Officer makes such recommendations (other than with respect to himself) regarding base salary, and short-term and long-term compensation, including equity incentives, for our executive officers based on our results, an executive officer's individual contribution toward these results, the executive officer's role and performance of his or her duties and his or her achievement of individual goals. Our Compensation Committee then reviews the recommendations and other data, including various compensation survey data and publicly available data of our peers, and makes decisions as to the target total direct compensation for each executive officer, including our Chief Executive Officer, as well as each individual compensation element. While our Chief Executive Officer typically attends meetings of the Compensation Committee, the Compensation Committee meets outside the presence of our Chief Executive Officer when discussing his compensation and when discussing certain other matters, as well.</w:t>
      </w:r>
    </w:p>
    <w:p>
      <w:pPr>
        <w:spacing w:after="0" w:line="3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In fiscal year 2019, the Compensation Committee continued to retain Compensia Inc., a national compensation consulting firm with compensation expertise relating to technology and life science companies, to provide it with market information, analysis and other advice relating to executive compensation on an ongoing basis. The Compensation Committee engaged Compensia Inc. to, among other things, assist in developing an appropriate group of peer companies to help us determine the appropriate level of overall compensation for our executive officers, as well as to assess each separate element of compensation, with a goal of ensuring that the compensation we offer to our executive officers, individually as well as in the aggregate, is competitive and fair. We do not believe the retention of, and the work performed by, Compensia Inc. creates any conflict of interest.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Governance Practices and Policies</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endeavor to maintain strong governance standards in our policies and practices related to executive compensation. Below is a summary of our key executive compensation and corporate governance practices.</w:t>
      </w:r>
    </w:p>
    <w:p>
      <w:pPr>
        <w:spacing w:after="0" w:line="305" w:lineRule="exact"/>
        <w:rPr>
          <w:sz w:val="20"/>
          <w:szCs w:val="20"/>
          <w:color w:val="auto"/>
        </w:rPr>
      </w:pPr>
    </w:p>
    <w:tbl>
      <w:tblPr>
        <w:tblLayout w:type="fixed"/>
        <w:tblInd w:w="820" w:type="dxa"/>
        <w:tblCellMar>
          <w:top w:w="0" w:type="dxa"/>
          <w:left w:w="0" w:type="dxa"/>
          <w:bottom w:w="0" w:type="dxa"/>
          <w:right w:w="0" w:type="dxa"/>
        </w:tblCellMar>
      </w:tblPr>
      <w:tr>
        <w:trPr>
          <w:trHeight w:val="270"/>
        </w:trPr>
        <w:tc>
          <w:tcPr>
            <w:tcW w:w="260" w:type="dxa"/>
            <w:vAlign w:val="bottom"/>
            <w:shd w:val="clear" w:color="auto" w:fill="44546A"/>
          </w:tcPr>
          <w:p>
            <w:pPr>
              <w:spacing w:after="0"/>
              <w:rPr>
                <w:sz w:val="23"/>
                <w:szCs w:val="23"/>
                <w:color w:val="auto"/>
              </w:rPr>
            </w:pPr>
          </w:p>
        </w:tc>
        <w:tc>
          <w:tcPr>
            <w:tcW w:w="4720" w:type="dxa"/>
            <w:vAlign w:val="bottom"/>
            <w:shd w:val="clear" w:color="auto" w:fill="44546A"/>
          </w:tcPr>
          <w:p>
            <w:pPr>
              <w:ind w:left="1940"/>
              <w:spacing w:after="0"/>
              <w:rPr>
                <w:sz w:val="20"/>
                <w:szCs w:val="20"/>
                <w:color w:val="auto"/>
              </w:rPr>
            </w:pPr>
            <w:r>
              <w:rPr>
                <w:rFonts w:ascii="Arial" w:cs="Arial" w:eastAsia="Arial" w:hAnsi="Arial"/>
                <w:sz w:val="18"/>
                <w:szCs w:val="18"/>
                <w:b w:val="1"/>
                <w:bCs w:val="1"/>
                <w:color w:val="FFFFFF"/>
              </w:rPr>
              <w:t>What We Do</w:t>
            </w:r>
          </w:p>
        </w:tc>
        <w:tc>
          <w:tcPr>
            <w:tcW w:w="4640" w:type="dxa"/>
            <w:vAlign w:val="bottom"/>
            <w:shd w:val="clear" w:color="auto" w:fill="44546A"/>
          </w:tcPr>
          <w:p>
            <w:pPr>
              <w:ind w:left="1740"/>
              <w:spacing w:after="0"/>
              <w:rPr>
                <w:sz w:val="20"/>
                <w:szCs w:val="20"/>
                <w:color w:val="auto"/>
              </w:rPr>
            </w:pPr>
            <w:r>
              <w:rPr>
                <w:rFonts w:ascii="Arial" w:cs="Arial" w:eastAsia="Arial" w:hAnsi="Arial"/>
                <w:sz w:val="18"/>
                <w:szCs w:val="18"/>
                <w:b w:val="1"/>
                <w:bCs w:val="1"/>
                <w:color w:val="FFFFFF"/>
              </w:rPr>
              <w:t>What We Don’t Do</w:t>
            </w:r>
          </w:p>
        </w:tc>
      </w:tr>
      <w:tr>
        <w:trPr>
          <w:trHeight w:val="229"/>
        </w:trPr>
        <w:tc>
          <w:tcPr>
            <w:tcW w:w="260" w:type="dxa"/>
            <w:vAlign w:val="bottom"/>
          </w:tcPr>
          <w:p>
            <w:pPr>
              <w:ind w:left="20"/>
              <w:spacing w:after="0"/>
              <w:rPr>
                <w:sz w:val="20"/>
                <w:szCs w:val="20"/>
                <w:color w:val="auto"/>
              </w:rPr>
            </w:pPr>
            <w:r>
              <w:rPr>
                <w:rFonts w:ascii="Arial" w:cs="Arial" w:eastAsia="Arial" w:hAnsi="Arial"/>
                <w:sz w:val="18"/>
                <w:szCs w:val="18"/>
                <w:color w:val="auto"/>
              </w:rPr>
              <w:t>ü</w:t>
            </w: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Actively engage in year-round dialogue with our stockholders</w:t>
            </w:r>
          </w:p>
        </w:tc>
        <w:tc>
          <w:tcPr>
            <w:tcW w:w="4640" w:type="dxa"/>
            <w:vAlign w:val="bottom"/>
          </w:tcPr>
          <w:p>
            <w:pPr>
              <w:ind w:left="60"/>
              <w:spacing w:after="0"/>
              <w:rPr>
                <w:sz w:val="20"/>
                <w:szCs w:val="20"/>
                <w:color w:val="auto"/>
              </w:rPr>
            </w:pPr>
            <w:r>
              <w:rPr>
                <w:rFonts w:ascii="Arial" w:cs="Arial" w:eastAsia="Arial" w:hAnsi="Arial"/>
                <w:sz w:val="18"/>
                <w:szCs w:val="18"/>
                <w:color w:val="auto"/>
                <w:w w:val="96"/>
              </w:rPr>
              <w:t>û  No pension plans or Supplemental Executive Retirement</w:t>
            </w:r>
          </w:p>
        </w:tc>
      </w:tr>
      <w:tr>
        <w:trPr>
          <w:trHeight w:val="230"/>
        </w:trPr>
        <w:tc>
          <w:tcPr>
            <w:tcW w:w="26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w w:val="97"/>
              </w:rPr>
              <w:t>and incorporate feedback into our compensation programs</w:t>
            </w:r>
          </w:p>
        </w:tc>
        <w:tc>
          <w:tcPr>
            <w:tcW w:w="4640" w:type="dxa"/>
            <w:vAlign w:val="bottom"/>
          </w:tcPr>
          <w:p>
            <w:pPr>
              <w:ind w:left="340"/>
              <w:spacing w:after="0"/>
              <w:rPr>
                <w:sz w:val="20"/>
                <w:szCs w:val="20"/>
                <w:color w:val="auto"/>
              </w:rPr>
            </w:pPr>
            <w:r>
              <w:rPr>
                <w:rFonts w:ascii="Arial" w:cs="Arial" w:eastAsia="Arial" w:hAnsi="Arial"/>
                <w:sz w:val="18"/>
                <w:szCs w:val="18"/>
                <w:color w:val="auto"/>
              </w:rPr>
              <w:t>Plans</w:t>
            </w:r>
          </w:p>
        </w:tc>
      </w:tr>
      <w:tr>
        <w:trPr>
          <w:trHeight w:val="256"/>
        </w:trPr>
        <w:tc>
          <w:tcPr>
            <w:tcW w:w="260" w:type="dxa"/>
            <w:vAlign w:val="bottom"/>
            <w:tcBorders>
              <w:bottom w:val="single" w:sz="8" w:color="auto"/>
            </w:tcBorders>
          </w:tcPr>
          <w:p>
            <w:pPr>
              <w:spacing w:after="0"/>
              <w:rPr>
                <w:sz w:val="22"/>
                <w:szCs w:val="22"/>
                <w:color w:val="auto"/>
              </w:rPr>
            </w:pPr>
          </w:p>
        </w:tc>
        <w:tc>
          <w:tcPr>
            <w:tcW w:w="4720" w:type="dxa"/>
            <w:vAlign w:val="bottom"/>
            <w:tcBorders>
              <w:bottom w:val="single" w:sz="8" w:color="auto"/>
            </w:tcBorders>
          </w:tcPr>
          <w:p>
            <w:pPr>
              <w:spacing w:after="0"/>
              <w:rPr>
                <w:sz w:val="22"/>
                <w:szCs w:val="22"/>
                <w:color w:val="auto"/>
              </w:rPr>
            </w:pPr>
          </w:p>
        </w:tc>
        <w:tc>
          <w:tcPr>
            <w:tcW w:w="4640" w:type="dxa"/>
            <w:vAlign w:val="bottom"/>
            <w:tcBorders>
              <w:bottom w:val="single" w:sz="8" w:color="auto"/>
            </w:tcBorders>
          </w:tcPr>
          <w:p>
            <w:pPr>
              <w:spacing w:after="0"/>
              <w:rPr>
                <w:sz w:val="22"/>
                <w:szCs w:val="22"/>
                <w:color w:val="auto"/>
              </w:rPr>
            </w:pPr>
          </w:p>
        </w:tc>
      </w:tr>
      <w:tr>
        <w:trPr>
          <w:trHeight w:val="492"/>
        </w:trPr>
        <w:tc>
          <w:tcPr>
            <w:tcW w:w="260" w:type="dxa"/>
            <w:vAlign w:val="bottom"/>
          </w:tcPr>
          <w:p>
            <w:pPr>
              <w:ind w:left="20"/>
              <w:spacing w:after="0"/>
              <w:rPr>
                <w:sz w:val="20"/>
                <w:szCs w:val="20"/>
                <w:color w:val="auto"/>
              </w:rPr>
            </w:pPr>
            <w:r>
              <w:rPr>
                <w:rFonts w:ascii="Arial" w:cs="Arial" w:eastAsia="Arial" w:hAnsi="Arial"/>
                <w:sz w:val="18"/>
                <w:szCs w:val="18"/>
                <w:color w:val="auto"/>
              </w:rPr>
              <w:t>ü</w:t>
            </w:r>
          </w:p>
        </w:tc>
        <w:tc>
          <w:tcPr>
            <w:tcW w:w="4720" w:type="dxa"/>
            <w:vAlign w:val="bottom"/>
          </w:tcPr>
          <w:p>
            <w:pPr>
              <w:ind w:left="140"/>
              <w:spacing w:after="0"/>
              <w:rPr>
                <w:sz w:val="20"/>
                <w:szCs w:val="20"/>
                <w:color w:val="auto"/>
              </w:rPr>
            </w:pPr>
            <w:r>
              <w:rPr>
                <w:rFonts w:ascii="Arial" w:cs="Arial" w:eastAsia="Arial" w:hAnsi="Arial"/>
                <w:sz w:val="18"/>
                <w:szCs w:val="18"/>
                <w:color w:val="auto"/>
              </w:rPr>
              <w:t>Significant portion of compensation for Named Executive</w:t>
            </w:r>
          </w:p>
        </w:tc>
        <w:tc>
          <w:tcPr>
            <w:tcW w:w="4640" w:type="dxa"/>
            <w:vAlign w:val="bottom"/>
          </w:tcPr>
          <w:p>
            <w:pPr>
              <w:ind w:left="60"/>
              <w:spacing w:after="0"/>
              <w:rPr>
                <w:sz w:val="20"/>
                <w:szCs w:val="20"/>
                <w:color w:val="auto"/>
              </w:rPr>
            </w:pPr>
            <w:r>
              <w:rPr>
                <w:rFonts w:ascii="Arial" w:cs="Arial" w:eastAsia="Arial" w:hAnsi="Arial"/>
                <w:sz w:val="18"/>
                <w:szCs w:val="18"/>
                <w:color w:val="auto"/>
              </w:rPr>
              <w:t>û  No hedging or pledging of our securities</w:t>
            </w:r>
          </w:p>
        </w:tc>
      </w:tr>
      <w:tr>
        <w:trPr>
          <w:trHeight w:val="216"/>
        </w:trPr>
        <w:tc>
          <w:tcPr>
            <w:tcW w:w="26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Officers is at risk, based on both company performance</w:t>
            </w:r>
          </w:p>
        </w:tc>
        <w:tc>
          <w:tcPr>
            <w:tcW w:w="464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(financial &amp; stock price) and the individual’s performance</w:t>
            </w:r>
          </w:p>
        </w:tc>
        <w:tc>
          <w:tcPr>
            <w:tcW w:w="4640" w:type="dxa"/>
            <w:vAlign w:val="bottom"/>
          </w:tcPr>
          <w:p>
            <w:pPr>
              <w:spacing w:after="0"/>
              <w:rPr>
                <w:sz w:val="20"/>
                <w:szCs w:val="20"/>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492"/>
        </w:trPr>
        <w:tc>
          <w:tcPr>
            <w:tcW w:w="260" w:type="dxa"/>
            <w:vAlign w:val="bottom"/>
          </w:tcPr>
          <w:p>
            <w:pPr>
              <w:ind w:left="20"/>
              <w:spacing w:after="0"/>
              <w:rPr>
                <w:sz w:val="20"/>
                <w:szCs w:val="20"/>
                <w:color w:val="auto"/>
              </w:rPr>
            </w:pPr>
            <w:r>
              <w:rPr>
                <w:rFonts w:ascii="Arial" w:cs="Arial" w:eastAsia="Arial" w:hAnsi="Arial"/>
                <w:sz w:val="18"/>
                <w:szCs w:val="18"/>
                <w:color w:val="auto"/>
              </w:rPr>
              <w:t>ü</w:t>
            </w:r>
          </w:p>
        </w:tc>
        <w:tc>
          <w:tcPr>
            <w:tcW w:w="4720" w:type="dxa"/>
            <w:vAlign w:val="bottom"/>
          </w:tcPr>
          <w:p>
            <w:pPr>
              <w:ind w:left="200"/>
              <w:spacing w:after="0"/>
              <w:rPr>
                <w:sz w:val="20"/>
                <w:szCs w:val="20"/>
                <w:color w:val="auto"/>
              </w:rPr>
            </w:pPr>
            <w:r>
              <w:rPr>
                <w:rFonts w:ascii="Arial" w:cs="Arial" w:eastAsia="Arial" w:hAnsi="Arial"/>
                <w:sz w:val="18"/>
                <w:szCs w:val="18"/>
                <w:color w:val="auto"/>
                <w:w w:val="92"/>
              </w:rPr>
              <w:t>Provide compensation mix that more heavily weights variable</w:t>
            </w:r>
          </w:p>
        </w:tc>
        <w:tc>
          <w:tcPr>
            <w:tcW w:w="4640" w:type="dxa"/>
            <w:vAlign w:val="bottom"/>
          </w:tcPr>
          <w:p>
            <w:pPr>
              <w:ind w:left="60"/>
              <w:spacing w:after="0"/>
              <w:rPr>
                <w:sz w:val="20"/>
                <w:szCs w:val="20"/>
                <w:color w:val="auto"/>
              </w:rPr>
            </w:pPr>
            <w:r>
              <w:rPr>
                <w:rFonts w:ascii="Arial" w:cs="Arial" w:eastAsia="Arial" w:hAnsi="Arial"/>
                <w:sz w:val="18"/>
                <w:szCs w:val="18"/>
                <w:color w:val="auto"/>
              </w:rPr>
              <w:t>û  No excise tax gross-ups upon a change of control</w:t>
            </w:r>
          </w:p>
        </w:tc>
      </w:tr>
      <w:tr>
        <w:trPr>
          <w:trHeight w:val="230"/>
        </w:trPr>
        <w:tc>
          <w:tcPr>
            <w:tcW w:w="26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pay</w:t>
            </w:r>
          </w:p>
        </w:tc>
        <w:tc>
          <w:tcPr>
            <w:tcW w:w="4640" w:type="dxa"/>
            <w:vAlign w:val="bottom"/>
          </w:tcPr>
          <w:p>
            <w:pPr>
              <w:spacing w:after="0"/>
              <w:rPr>
                <w:sz w:val="20"/>
                <w:szCs w:val="20"/>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4720" w:type="dxa"/>
            <w:vAlign w:val="bottom"/>
            <w:tcBorders>
              <w:bottom w:val="single" w:sz="8" w:color="auto"/>
            </w:tcBorders>
          </w:tcPr>
          <w:p>
            <w:pPr>
              <w:spacing w:after="0"/>
              <w:rPr>
                <w:sz w:val="22"/>
                <w:szCs w:val="22"/>
                <w:color w:val="auto"/>
              </w:rPr>
            </w:pPr>
          </w:p>
        </w:tc>
        <w:tc>
          <w:tcPr>
            <w:tcW w:w="4640" w:type="dxa"/>
            <w:vAlign w:val="bottom"/>
            <w:tcBorders>
              <w:bottom w:val="single" w:sz="8" w:color="auto"/>
            </w:tcBorders>
          </w:tcPr>
          <w:p>
            <w:pPr>
              <w:spacing w:after="0"/>
              <w:rPr>
                <w:sz w:val="22"/>
                <w:szCs w:val="22"/>
                <w:color w:val="auto"/>
              </w:rPr>
            </w:pPr>
          </w:p>
        </w:tc>
      </w:tr>
    </w:tbl>
    <w:p>
      <w:pPr>
        <w:spacing w:after="0" w:line="283" w:lineRule="exact"/>
        <w:rPr>
          <w:sz w:val="20"/>
          <w:szCs w:val="20"/>
          <w:color w:val="auto"/>
        </w:rPr>
      </w:pPr>
    </w:p>
    <w:p>
      <w:pPr>
        <w:ind w:left="1220" w:right="5740" w:hanging="382"/>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Regular reviews of executive compensation and peer group data</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1220" w:right="6200" w:hanging="382"/>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independent compensation consultant advises the Compensation Committee</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1220" w:right="5600" w:hanging="382"/>
        <w:spacing w:after="0" w:line="342" w:lineRule="auto"/>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Annually assess the risk-reward balance of our compensation programs in order to mitigate undue risks 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113030</wp:posOffset>
            </wp:positionV>
            <wp:extent cx="6111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-520700</wp:posOffset>
            </wp:positionV>
            <wp:extent cx="6111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-1155065</wp:posOffset>
            </wp:positionV>
            <wp:extent cx="6111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85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Peer Group</w:t>
      </w:r>
    </w:p>
    <w:p>
      <w:pPr>
        <w:spacing w:after="0" w:line="200" w:lineRule="exact"/>
        <w:rPr>
          <w:sz w:val="20"/>
          <w:szCs w:val="20"/>
          <w:color w:val="auto"/>
        </w:rPr>
      </w:pPr>
    </w:p>
    <w:p>
      <w:pPr>
        <w:spacing w:after="0" w:line="205" w:lineRule="exact"/>
        <w:rPr>
          <w:sz w:val="20"/>
          <w:szCs w:val="20"/>
          <w:color w:val="auto"/>
        </w:rPr>
      </w:pPr>
    </w:p>
    <w:p>
      <w:pPr>
        <w:jc w:val="both"/>
        <w:ind w:left="180" w:firstLine="648"/>
        <w:spacing w:after="0" w:line="290" w:lineRule="auto"/>
        <w:rPr>
          <w:sz w:val="20"/>
          <w:szCs w:val="20"/>
          <w:color w:val="auto"/>
        </w:rPr>
      </w:pPr>
      <w:r>
        <w:rPr>
          <w:rFonts w:ascii="Arial" w:cs="Arial" w:eastAsia="Arial" w:hAnsi="Arial"/>
          <w:sz w:val="17"/>
          <w:szCs w:val="17"/>
          <w:color w:val="auto"/>
        </w:rPr>
        <w:t>The Compensation Committee reviews market data of companies that we believe are comparable to us. With Compensia’s assistance, the Compensation Committee developed a peer group for use when making its fiscal 2019 compensation decisions, which consisted of publicly traded healthcare equipment and technology companies headquartered in the U.S. that generally had revenue between 0.4x and 2.5x SI-BONE’s revenue and had a market capitalization between $200 million and $1 billion. The Compensation Committee referred to compensation data from this peer group and broader survey data (for similarly-sized companies) when making fiscal 2019 base salary, cash bonus and equity award decisions for our executive officers. The following is a list of the public companies that composed our fiscal 2019 peer group:</w:t>
      </w:r>
    </w:p>
    <w:p>
      <w:pPr>
        <w:spacing w:after="0" w:line="292" w:lineRule="exact"/>
        <w:rPr>
          <w:sz w:val="20"/>
          <w:szCs w:val="20"/>
          <w:color w:val="auto"/>
        </w:rPr>
      </w:pPr>
    </w:p>
    <w:tbl>
      <w:tblPr>
        <w:tblLayout w:type="fixed"/>
        <w:tblInd w:w="430" w:type="dxa"/>
        <w:tblCellMar>
          <w:top w:w="0" w:type="dxa"/>
          <w:left w:w="0" w:type="dxa"/>
          <w:bottom w:w="0" w:type="dxa"/>
          <w:right w:w="0" w:type="dxa"/>
        </w:tblCellMar>
      </w:tblPr>
      <w:tr>
        <w:trPr>
          <w:trHeight w:val="257"/>
        </w:trPr>
        <w:tc>
          <w:tcPr>
            <w:tcW w:w="5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Apyx Medical Corporation (formerly Bovie Medical Corporation)</w:t>
            </w:r>
          </w:p>
        </w:tc>
        <w:tc>
          <w:tcPr>
            <w:tcW w:w="5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LeMaitre Vascular, Inc.</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AxoGen, Inc.</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Misonix, Inc.</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Cerus Corporation</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Nevro Corp.</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Cutera, Inc.</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Nuvectra Corporation</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GenMark Diagnostics, Inc.</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OrthoPediatrics Corp.</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Glaukos Corporation</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SeaSpine Holdings Corporation</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Intersect ENT, Inc.</w:t>
            </w:r>
          </w:p>
        </w:tc>
        <w:tc>
          <w:tcPr>
            <w:tcW w:w="5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Tandem Diabetes Care, Inc.</w:t>
            </w: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iRhythm Technologies, Inc.</w:t>
            </w:r>
          </w:p>
        </w:tc>
        <w:tc>
          <w:tcPr>
            <w:tcW w:w="5200" w:type="dxa"/>
            <w:vAlign w:val="bottom"/>
            <w:tcBorders>
              <w:right w:val="single" w:sz="8" w:color="auto"/>
            </w:tcBorders>
          </w:tcPr>
          <w:p>
            <w:pPr>
              <w:spacing w:after="0"/>
              <w:rPr>
                <w:sz w:val="20"/>
                <w:szCs w:val="20"/>
                <w:color w:val="auto"/>
              </w:rPr>
            </w:pPr>
          </w:p>
        </w:tc>
      </w:tr>
      <w:tr>
        <w:trPr>
          <w:trHeight w:val="27"/>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following table shows for the fiscal years ended 2019 and 2018, compensation awarded to or paid to, or earned by, our Chief Executive Officer, Chief Financial Officer and our other most highly compensated executive officers at December 31, 2019 (the “Named Executive Officers”).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Option</w:t>
            </w:r>
          </w:p>
        </w:tc>
        <w:tc>
          <w:tcPr>
            <w:tcW w:w="20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All Other</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2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8"/>
              </w:rPr>
              <w:t>Name and Principal Position</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Year</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Salary</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3"/>
              <w:spacing w:after="0" w:line="243" w:lineRule="exact"/>
              <w:rPr>
                <w:sz w:val="20"/>
                <w:szCs w:val="20"/>
                <w:color w:val="auto"/>
              </w:rPr>
            </w:pPr>
            <w:r>
              <w:rPr>
                <w:rFonts w:ascii="Arial" w:cs="Arial" w:eastAsia="Arial" w:hAnsi="Arial"/>
                <w:sz w:val="28"/>
                <w:szCs w:val="28"/>
                <w:b w:val="1"/>
                <w:bCs w:val="1"/>
                <w:color w:val="auto"/>
                <w:w w:val="82"/>
                <w:vertAlign w:val="subscript"/>
              </w:rPr>
              <w:t>Bonus</w:t>
            </w:r>
            <w:r>
              <w:rPr>
                <w:rFonts w:ascii="Arial" w:cs="Arial" w:eastAsia="Arial" w:hAnsi="Arial"/>
                <w:sz w:val="10"/>
                <w:szCs w:val="10"/>
                <w:b w:val="1"/>
                <w:bCs w:val="1"/>
                <w:color w:val="auto"/>
                <w:w w:val="82"/>
              </w:rPr>
              <w:t>(1)(2)</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Awards</w:t>
            </w:r>
            <w:r>
              <w:rPr>
                <w:rFonts w:ascii="Arial" w:cs="Arial" w:eastAsia="Arial" w:hAnsi="Arial"/>
                <w:sz w:val="21"/>
                <w:szCs w:val="21"/>
                <w:b w:val="1"/>
                <w:bCs w:val="1"/>
                <w:color w:val="auto"/>
                <w:w w:val="93"/>
                <w:vertAlign w:val="superscript"/>
              </w:rPr>
              <w:t>(3)</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0"/>
              </w:rPr>
              <w:t>Awards</w:t>
            </w:r>
            <w:r>
              <w:rPr>
                <w:rFonts w:ascii="Arial" w:cs="Arial" w:eastAsia="Arial" w:hAnsi="Arial"/>
                <w:sz w:val="21"/>
                <w:szCs w:val="21"/>
                <w:b w:val="1"/>
                <w:bCs w:val="1"/>
                <w:color w:val="auto"/>
                <w:w w:val="90"/>
                <w:vertAlign w:val="superscript"/>
              </w:rPr>
              <w:t>(3)</w:t>
            </w:r>
          </w:p>
        </w:tc>
        <w:tc>
          <w:tcPr>
            <w:tcW w:w="2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17"/>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Jeffrey W. Dunn</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591,811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1,498,200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1,534,662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4,185,586</w:t>
            </w:r>
          </w:p>
        </w:tc>
      </w:tr>
      <w:tr>
        <w:trPr>
          <w:trHeight w:val="253"/>
        </w:trPr>
        <w:tc>
          <w:tcPr>
            <w:tcW w:w="22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President and Chief Executive</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19"/>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Officer</w:t>
            </w:r>
          </w:p>
        </w:tc>
        <w:tc>
          <w:tcPr>
            <w:tcW w:w="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466,095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262,546</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696,327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245,692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1,670,660</w:t>
            </w:r>
          </w:p>
        </w:tc>
      </w:tr>
      <w:tr>
        <w:trPr>
          <w:trHeight w:val="507"/>
        </w:trPr>
        <w:tc>
          <w:tcPr>
            <w:tcW w:w="2280" w:type="dxa"/>
            <w:vAlign w:val="bottom"/>
          </w:tcPr>
          <w:p>
            <w:pPr>
              <w:spacing w:after="0"/>
              <w:rPr>
                <w:sz w:val="20"/>
                <w:szCs w:val="20"/>
                <w:color w:val="auto"/>
              </w:rPr>
            </w:pPr>
            <w:r>
              <w:rPr>
                <w:rFonts w:ascii="Arial" w:cs="Arial" w:eastAsia="Arial" w:hAnsi="Arial"/>
                <w:sz w:val="16"/>
                <w:szCs w:val="16"/>
                <w:color w:val="auto"/>
              </w:rPr>
              <w:t>Laura A. Francis</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375,000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258,051</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892,000</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513,982</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20,812</w:t>
            </w:r>
          </w:p>
        </w:tc>
        <w:tc>
          <w:tcPr>
            <w:tcW w:w="2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2,059,845</w:t>
            </w:r>
          </w:p>
        </w:tc>
      </w:tr>
      <w:tr>
        <w:trPr>
          <w:trHeight w:val="253"/>
        </w:trPr>
        <w:tc>
          <w:tcPr>
            <w:tcW w:w="2280" w:type="dxa"/>
            <w:vAlign w:val="bottom"/>
          </w:tcPr>
          <w:p>
            <w:pPr>
              <w:spacing w:after="0"/>
              <w:rPr>
                <w:sz w:val="20"/>
                <w:szCs w:val="20"/>
                <w:color w:val="auto"/>
              </w:rPr>
            </w:pPr>
            <w:r>
              <w:rPr>
                <w:rFonts w:ascii="Arial" w:cs="Arial" w:eastAsia="Arial" w:hAnsi="Arial"/>
                <w:sz w:val="16"/>
                <w:szCs w:val="16"/>
                <w:i w:val="1"/>
                <w:iCs w:val="1"/>
                <w:color w:val="auto"/>
                <w:w w:val="95"/>
              </w:rPr>
              <w:t>Chief Operating Officer and Chief</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06"/>
        </w:trPr>
        <w:tc>
          <w:tcPr>
            <w:tcW w:w="2280" w:type="dxa"/>
            <w:vAlign w:val="bottom"/>
          </w:tcPr>
          <w:p>
            <w:pPr>
              <w:ind w:left="200"/>
              <w:spacing w:after="0"/>
              <w:rPr>
                <w:sz w:val="20"/>
                <w:szCs w:val="20"/>
                <w:color w:val="auto"/>
              </w:rPr>
            </w:pPr>
            <w:r>
              <w:rPr>
                <w:rFonts w:ascii="Arial" w:cs="Arial" w:eastAsia="Arial" w:hAnsi="Arial"/>
                <w:sz w:val="16"/>
                <w:szCs w:val="16"/>
                <w:i w:val="1"/>
                <w:iCs w:val="1"/>
                <w:color w:val="auto"/>
              </w:rPr>
              <w:t>Financial Officer</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318,512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319,418</w:t>
            </w:r>
          </w:p>
        </w:tc>
        <w:tc>
          <w:tcPr>
            <w:tcW w:w="3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77,356</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19,044</w:t>
            </w:r>
          </w:p>
        </w:tc>
        <w:tc>
          <w:tcPr>
            <w:tcW w:w="2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734,330</w:t>
            </w:r>
          </w:p>
        </w:tc>
      </w:tr>
      <w:tr>
        <w:trPr>
          <w:trHeight w:val="303"/>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Anthony J. Recupero</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241,642</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433,400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444,272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20,799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1,470,113</w:t>
            </w:r>
          </w:p>
        </w:tc>
      </w:tr>
      <w:tr>
        <w:trPr>
          <w:trHeight w:val="270"/>
        </w:trPr>
        <w:tc>
          <w:tcPr>
            <w:tcW w:w="22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Chief Commercial Officer</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323,911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145,911</w:t>
            </w: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19,204</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489,026</w:t>
            </w:r>
          </w:p>
        </w:tc>
      </w:tr>
      <w:tr>
        <w:trPr>
          <w:trHeight w:val="33"/>
        </w:trPr>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85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17" w:lineRule="exact"/>
        <w:rPr>
          <w:sz w:val="20"/>
          <w:szCs w:val="20"/>
          <w:color w:val="auto"/>
        </w:rPr>
      </w:pPr>
    </w:p>
    <w:p>
      <w:pPr>
        <w:jc w:val="both"/>
        <w:ind w:left="420" w:hanging="412"/>
        <w:spacing w:after="0" w:line="26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payments upon the achievement of 2019 and 2018 corporate goals, as applicable, as well as individual objectives, which were paid in January 2020 and January 2019, respectively. Our corporate goals included revenue growth, cash flow, expense, profitability management, reimbursement progress and clinical milestones.</w:t>
      </w:r>
    </w:p>
    <w:p>
      <w:pPr>
        <w:spacing w:after="0" w:line="1" w:lineRule="exact"/>
        <w:rPr>
          <w:rFonts w:ascii="Arial" w:cs="Arial" w:eastAsia="Arial" w:hAnsi="Arial"/>
          <w:sz w:val="18"/>
          <w:szCs w:val="18"/>
          <w:color w:val="auto"/>
        </w:rPr>
      </w:pPr>
    </w:p>
    <w:p>
      <w:pPr>
        <w:ind w:left="420" w:right="20" w:hanging="412"/>
        <w:spacing w:after="0" w:line="26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reported in 2018 for Ms. Francis and Mr. Recupero include bonus paid in connection with the completion of our initial public offering in the amounts of $200,000 and $25,000, respectively.</w:t>
      </w:r>
    </w:p>
    <w:p>
      <w:pPr>
        <w:ind w:left="420" w:right="20" w:hanging="412"/>
        <w:spacing w:after="0" w:line="281"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restricted stock units and option awards granted to the officer, computed in accordance with FASB ASC Topic 718. See Note 10 to our financial statements in our Annual Report on Form 10-K, filed with the SEC on March 11, 2020.</w:t>
      </w:r>
    </w:p>
    <w:p>
      <w:pPr>
        <w:spacing w:after="0" w:line="1" w:lineRule="exact"/>
        <w:rPr>
          <w:rFonts w:ascii="Arial" w:cs="Arial" w:eastAsia="Arial" w:hAnsi="Arial"/>
          <w:sz w:val="17"/>
          <w:szCs w:val="17"/>
          <w:color w:val="auto"/>
        </w:rPr>
      </w:pPr>
    </w:p>
    <w:p>
      <w:pPr>
        <w:ind w:left="420" w:hanging="412"/>
        <w:spacing w:after="0" w:line="292"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reported include medical and life insurance premiums paid by us on behalf of our Named Executive Officers and, with respect to our Chief Executive Officer, forgiveness of a note payable to us in 2018 ($231,914).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71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2019, for our Named Executive Officers:</w:t>
      </w:r>
    </w:p>
    <w:p>
      <w:pPr>
        <w:spacing w:after="0" w:line="200" w:lineRule="exact"/>
        <w:rPr>
          <w:sz w:val="20"/>
          <w:szCs w:val="20"/>
          <w:color w:val="auto"/>
        </w:rPr>
      </w:pPr>
    </w:p>
    <w:p>
      <w:pPr>
        <w:spacing w:after="0" w:line="246"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Options 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Unvested (#)</w:t>
            </w:r>
            <w:r>
              <w:rPr>
                <w:rFonts w:ascii="Arial" w:cs="Arial" w:eastAsia="Arial" w:hAnsi="Arial"/>
                <w:sz w:val="8"/>
                <w:szCs w:val="8"/>
                <w:b w:val="1"/>
                <w:bCs w:val="1"/>
                <w:color w:val="auto"/>
                <w:w w:val="94"/>
              </w:rPr>
              <w:t>(1)(2)</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8"/>
                <w:szCs w:val="8"/>
                <w:b w:val="1"/>
                <w:bCs w:val="1"/>
                <w:color w:val="auto"/>
                <w:w w:val="89"/>
              </w:rPr>
              <w:t>(5)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23"/>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Jeffrey W. Dunn</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07/21/14</w:t>
            </w:r>
          </w:p>
        </w:tc>
        <w:tc>
          <w:tcPr>
            <w:tcW w:w="158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3"/>
              </w:rPr>
              <w:t>07/21/14</w:t>
            </w:r>
          </w:p>
        </w:tc>
        <w:tc>
          <w:tcPr>
            <w:tcW w:w="1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272,753</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07/21/24</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05/26/15</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04/15/15</w:t>
            </w:r>
          </w:p>
        </w:tc>
        <w:tc>
          <w:tcPr>
            <w:tcW w:w="1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101,440</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05/25/25</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07/26/16</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06/02/16</w:t>
            </w:r>
          </w:p>
        </w:tc>
        <w:tc>
          <w:tcPr>
            <w:tcW w:w="1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100,543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14,358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07/26/26</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03/01/17</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71,030</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55,230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4.68</w:t>
            </w: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03/01/27</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08/17/17</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16,666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358,319</w:t>
            </w:r>
          </w:p>
        </w:tc>
        <w:tc>
          <w:tcPr>
            <w:tcW w:w="0" w:type="dxa"/>
            <w:vAlign w:val="bottom"/>
          </w:tcPr>
          <w:p>
            <w:pPr>
              <w:spacing w:after="0"/>
              <w:rPr>
                <w:sz w:val="1"/>
                <w:szCs w:val="1"/>
                <w:color w:val="auto"/>
              </w:rPr>
            </w:pPr>
          </w:p>
        </w:tc>
      </w:tr>
      <w:tr>
        <w:trPr>
          <w:trHeight w:val="297"/>
        </w:trPr>
        <w:tc>
          <w:tcPr>
            <w:tcW w:w="1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33,802</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113,698</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22.00</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01/15/29</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55,331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1,189,617</w:t>
            </w:r>
          </w:p>
        </w:tc>
        <w:tc>
          <w:tcPr>
            <w:tcW w:w="0" w:type="dxa"/>
            <w:vAlign w:val="bottom"/>
          </w:tcPr>
          <w:p>
            <w:pPr>
              <w:spacing w:after="0"/>
              <w:rPr>
                <w:sz w:val="1"/>
                <w:szCs w:val="1"/>
                <w:color w:val="auto"/>
              </w:rPr>
            </w:pPr>
          </w:p>
        </w:tc>
      </w:tr>
      <w:tr>
        <w:trPr>
          <w:trHeight w:val="453"/>
        </w:trPr>
        <w:tc>
          <w:tcPr>
            <w:tcW w:w="1160" w:type="dxa"/>
            <w:vAlign w:val="bottom"/>
          </w:tcPr>
          <w:p>
            <w:pPr>
              <w:ind w:left="40"/>
              <w:spacing w:after="0"/>
              <w:rPr>
                <w:sz w:val="20"/>
                <w:szCs w:val="20"/>
                <w:color w:val="auto"/>
              </w:rPr>
            </w:pPr>
            <w:r>
              <w:rPr>
                <w:rFonts w:ascii="Arial" w:cs="Arial" w:eastAsia="Arial" w:hAnsi="Arial"/>
                <w:sz w:val="16"/>
                <w:szCs w:val="16"/>
                <w:color w:val="auto"/>
                <w:w w:val="93"/>
              </w:rPr>
              <w:t>Laura A. Francis</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05/26/15</w:t>
            </w:r>
          </w:p>
        </w:tc>
        <w:tc>
          <w:tcPr>
            <w:tcW w:w="158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05/26/15</w:t>
            </w:r>
          </w:p>
        </w:tc>
        <w:tc>
          <w:tcPr>
            <w:tcW w:w="1260" w:type="dxa"/>
            <w:vAlign w:val="bottom"/>
            <w:gridSpan w:val="2"/>
          </w:tcPr>
          <w:p>
            <w:pPr>
              <w:jc w:val="right"/>
              <w:ind w:right="24"/>
              <w:spacing w:after="0"/>
              <w:rPr>
                <w:sz w:val="20"/>
                <w:szCs w:val="20"/>
                <w:color w:val="auto"/>
              </w:rPr>
            </w:pPr>
            <w:r>
              <w:rPr>
                <w:rFonts w:ascii="Arial" w:cs="Arial" w:eastAsia="Arial" w:hAnsi="Arial"/>
                <w:sz w:val="16"/>
                <w:szCs w:val="16"/>
                <w:color w:val="auto"/>
              </w:rPr>
              <w:t>163,656</w:t>
            </w:r>
          </w:p>
        </w:tc>
        <w:tc>
          <w:tcPr>
            <w:tcW w:w="2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4.32</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05/25/25</w:t>
            </w: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07/26/16</w:t>
            </w:r>
          </w:p>
        </w:tc>
        <w:tc>
          <w:tcPr>
            <w:tcW w:w="158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06/02/16</w:t>
            </w:r>
          </w:p>
        </w:tc>
        <w:tc>
          <w:tcPr>
            <w:tcW w:w="1260" w:type="dxa"/>
            <w:vAlign w:val="bottom"/>
            <w:gridSpan w:val="2"/>
          </w:tcPr>
          <w:p>
            <w:pPr>
              <w:jc w:val="right"/>
              <w:ind w:right="24"/>
              <w:spacing w:after="0"/>
              <w:rPr>
                <w:sz w:val="20"/>
                <w:szCs w:val="20"/>
                <w:color w:val="auto"/>
              </w:rPr>
            </w:pPr>
            <w:r>
              <w:rPr>
                <w:rFonts w:ascii="Arial" w:cs="Arial" w:eastAsia="Arial" w:hAnsi="Arial"/>
                <w:sz w:val="16"/>
                <w:szCs w:val="16"/>
                <w:color w:val="auto"/>
              </w:rPr>
              <w:t>11,361</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4.32</w:t>
            </w:r>
          </w:p>
        </w:tc>
        <w:tc>
          <w:tcPr>
            <w:tcW w:w="3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07/25/26</w:t>
            </w:r>
          </w:p>
        </w:tc>
        <w:tc>
          <w:tcPr>
            <w:tcW w:w="1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03/01/17</w:t>
            </w:r>
          </w:p>
        </w:tc>
        <w:tc>
          <w:tcPr>
            <w:tcW w:w="158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09/06/17</w:t>
            </w:r>
          </w:p>
        </w:tc>
        <w:tc>
          <w:tcPr>
            <w:tcW w:w="1260" w:type="dxa"/>
            <w:vAlign w:val="bottom"/>
            <w:gridSpan w:val="2"/>
          </w:tcPr>
          <w:p>
            <w:pPr>
              <w:jc w:val="right"/>
              <w:ind w:right="24"/>
              <w:spacing w:after="0"/>
              <w:rPr>
                <w:sz w:val="20"/>
                <w:szCs w:val="20"/>
                <w:color w:val="auto"/>
              </w:rPr>
            </w:pPr>
            <w:r>
              <w:rPr>
                <w:rFonts w:ascii="Arial" w:cs="Arial" w:eastAsia="Arial" w:hAnsi="Arial"/>
                <w:sz w:val="16"/>
                <w:szCs w:val="16"/>
                <w:color w:val="auto"/>
              </w:rPr>
              <w:t>388</w:t>
            </w:r>
          </w:p>
        </w:tc>
        <w:tc>
          <w:tcPr>
            <w:tcW w:w="2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16,919</w:t>
            </w:r>
          </w:p>
        </w:tc>
        <w:tc>
          <w:tcPr>
            <w:tcW w:w="100" w:type="dxa"/>
            <w:vAlign w:val="bottom"/>
          </w:tcPr>
          <w:p>
            <w:pPr>
              <w:spacing w:after="0"/>
              <w:rPr>
                <w:sz w:val="23"/>
                <w:szCs w:val="23"/>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4.68</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03/01/27</w:t>
            </w:r>
          </w:p>
        </w:tc>
        <w:tc>
          <w:tcPr>
            <w:tcW w:w="1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08/17/17</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39,797</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01/15/19</w:t>
            </w:r>
          </w:p>
        </w:tc>
        <w:tc>
          <w:tcPr>
            <w:tcW w:w="158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01/15/19</w:t>
            </w:r>
          </w:p>
        </w:tc>
        <w:tc>
          <w:tcPr>
            <w:tcW w:w="1260" w:type="dxa"/>
            <w:vAlign w:val="bottom"/>
            <w:gridSpan w:val="2"/>
          </w:tcPr>
          <w:p>
            <w:pPr>
              <w:jc w:val="right"/>
              <w:ind w:right="24"/>
              <w:spacing w:after="0"/>
              <w:rPr>
                <w:sz w:val="20"/>
                <w:szCs w:val="20"/>
                <w:color w:val="auto"/>
              </w:rPr>
            </w:pPr>
            <w:r>
              <w:rPr>
                <w:rFonts w:ascii="Arial" w:cs="Arial" w:eastAsia="Arial" w:hAnsi="Arial"/>
                <w:sz w:val="16"/>
                <w:szCs w:val="16"/>
                <w:color w:val="auto"/>
              </w:rPr>
              <w:t>11,321</w:t>
            </w:r>
          </w:p>
        </w:tc>
        <w:tc>
          <w:tcPr>
            <w:tcW w:w="2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38,079</w:t>
            </w:r>
          </w:p>
        </w:tc>
        <w:tc>
          <w:tcPr>
            <w:tcW w:w="100" w:type="dxa"/>
            <w:vAlign w:val="bottom"/>
          </w:tcPr>
          <w:p>
            <w:pPr>
              <w:spacing w:after="0"/>
              <w:rPr>
                <w:sz w:val="23"/>
                <w:szCs w:val="23"/>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22.00</w:t>
            </w:r>
          </w:p>
        </w:tc>
        <w:tc>
          <w:tcPr>
            <w:tcW w:w="3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01/15/19</w:t>
            </w:r>
          </w:p>
        </w:tc>
        <w:tc>
          <w:tcPr>
            <w:tcW w:w="100" w:type="dxa"/>
            <w:vAlign w:val="bottom"/>
          </w:tcPr>
          <w:p>
            <w:pPr>
              <w:spacing w:after="0"/>
              <w:rPr>
                <w:sz w:val="23"/>
                <w:szCs w:val="23"/>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18,525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398,288</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07/24/19</w:t>
            </w:r>
          </w:p>
        </w:tc>
        <w:tc>
          <w:tcPr>
            <w:tcW w:w="2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403,125</w:t>
            </w: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Anthony J.</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07/26/16</w:t>
            </w:r>
          </w:p>
        </w:tc>
        <w:tc>
          <w:tcPr>
            <w:tcW w:w="158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3"/>
              </w:rPr>
              <w:t>07/05/16</w:t>
            </w:r>
          </w:p>
        </w:tc>
        <w:tc>
          <w:tcPr>
            <w:tcW w:w="1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92,878</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07/26/26</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Recupero</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03/01/17</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1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30,345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23,598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4.68</w:t>
            </w: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03/01/27</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1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9,785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32,915</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22.00</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01/15/29</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16,006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344,129</w:t>
            </w:r>
          </w:p>
        </w:tc>
        <w:tc>
          <w:tcPr>
            <w:tcW w:w="0" w:type="dxa"/>
            <w:vAlign w:val="bottom"/>
          </w:tcPr>
          <w:p>
            <w:pPr>
              <w:spacing w:after="0"/>
              <w:rPr>
                <w:sz w:val="1"/>
                <w:szCs w:val="1"/>
                <w:color w:val="auto"/>
              </w:rPr>
            </w:pPr>
          </w:p>
        </w:tc>
      </w:tr>
      <w:tr>
        <w:trPr>
          <w:trHeight w:val="46"/>
        </w:trPr>
        <w:tc>
          <w:tcPr>
            <w:tcW w:w="1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598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17" w:lineRule="exact"/>
        <w:rPr>
          <w:sz w:val="20"/>
          <w:szCs w:val="20"/>
          <w:color w:val="auto"/>
        </w:rPr>
      </w:pPr>
    </w:p>
    <w:p>
      <w:pPr>
        <w:ind w:left="420" w:right="20" w:hanging="412"/>
        <w:spacing w:after="0" w:line="266"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as described in “Equity Acceleration” below.</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stock option was repriced in December 2017.</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 restricted stock unit granted outside of our 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For the year ended December 31, 2019, the annual base salaries for each of Messrs. Dunn and Recupero were $540,000 and $330,000, respectively. For the year ended December 31, 2019, the annual base salary for Ms. Francis prior to July 25, 2019 was $350,000. Effective July 25, 2019, Ms. Francis’ annual base salary was increased to $375,000 in connection with her promotion to Chief Operating Officer.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Bonuses</w:t>
      </w: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fiscal year ended December 31, 2019, our named executive officers participated in the 2019 Bonus Plan. Each named executive officer’s bonus was based on our level of achievement by our company of revenue goals (50%), EBITDA goals (20%) and non-financial business goals (30%), each through December 31, 2019. Actual bonuses will be calculated based on actual achievement of the Goals as a percentage multiplied by target bonus, where actual performance can range from 80% to 125%. For fiscal year 2019, the target annual bonuses for our named executive officers were as follows: Mr. Dunn - 75% of base salary, Ms. Francis - 45% of base salary (increased to 50% of base salary for the remaining portion of the year following her promotion to COO &amp; CFO), and Mr. Recupero - 45% of base salary. Based on our company's achievement of the relevant performance goals under the 2019 Bonus Plan, our Compensation Committee determined that the bonuses would be paid at 81.3% of target for each named executive officer. Such amount was then pro-rated for Ms. Francis to reflect her mid-year salary and bonus target adjustments made in connection with her promotion to COO. Bonuses were paid out on January 31, 2020.</w:t>
      </w:r>
    </w:p>
    <w:p>
      <w:pPr>
        <w:sectPr>
          <w:pgSz w:w="11900" w:h="16838" w:orient="portrait"/>
          <w:cols w:equalWidth="0" w:num="1">
            <w:col w:w="11240"/>
          </w:cols>
          <w:pgMar w:left="320" w:top="7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71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401(K) PLAN</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our 401(k) match is up to $1,000 per person per year (for all staff, including Named Executive Officers), and the individual must be on staff at the end of the year to receive the match.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offer letters with each of our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The key terms of employment with our Named Executive Officers for 2018 and 2019 are described below. See “Executive Compensation-Outstanding Equity Awards as of December 31, 2019” for information on outstanding options as of December 31, 2019 for our Named Executive Officers.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W. Dunn</w:t>
      </w:r>
    </w:p>
    <w:p>
      <w:pPr>
        <w:spacing w:after="0" w:line="200" w:lineRule="exact"/>
        <w:rPr>
          <w:sz w:val="20"/>
          <w:szCs w:val="20"/>
          <w:color w:val="auto"/>
        </w:rPr>
      </w:pPr>
    </w:p>
    <w:p>
      <w:pPr>
        <w:spacing w:after="0" w:line="25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December 2009, we entered into an offer letter with Jeffrey W. Dunn, our President and Chief Executive Officer. Mr. Dunn’s annual base salary during the first part of 2018 was $437,750 and Mr. Dunn was eligible for annual variable compensation up to 50% of his base salary. As of April 1, 2018, Mr. Dunn’s annual base salary was increased to $451,320. Upon the closing of our initial public offering, Mr. Dunn’s annual base salary was increased to $540,000 and Mr. Dunn became eligible for annual variable compensation up to 75% of his base salary. 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if applicable.</w:t>
      </w:r>
    </w:p>
    <w:p>
      <w:pPr>
        <w:spacing w:after="0" w:line="3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August 2018, Mr. Dunn was granted 33,333 restricted stock units, 50% of which vested on the first day of the first open trading window (as determined under our insider trading policy) that occurred after the one-year anniversary of the closing of our initial public offering, and 50% of which will vest on the first day of the first open trading window (as determined under our insider trading policy) that will occur after the two-year anniversary of the closing of our initial public offering, subject to Mr. Dunn’s continued service with us through such vesting date.</w:t>
      </w:r>
    </w:p>
    <w:p>
      <w:pPr>
        <w:sectPr>
          <w:pgSz w:w="11900" w:h="16838" w:orient="portrait"/>
          <w:cols w:equalWidth="0" w:num="1">
            <w:col w:w="11240"/>
          </w:cols>
          <w:pgMar w:left="320" w:top="715"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715" w:right="339" w:bottom="1440" w:gutter="0" w:footer="0" w:header="0"/>
          <w:type w:val="continuous"/>
        </w:sectPr>
      </w:pPr>
    </w:p>
    <w:bookmarkStart w:id="29" w:name="page30"/>
    <w:bookmarkEnd w:id="29"/>
    <w:p>
      <w:pPr>
        <w:jc w:val="both"/>
        <w:spacing w:after="0" w:line="279" w:lineRule="auto"/>
        <w:rPr>
          <w:sz w:val="20"/>
          <w:szCs w:val="20"/>
          <w:color w:val="auto"/>
        </w:rPr>
      </w:pPr>
      <w:r>
        <w:rPr>
          <w:rFonts w:ascii="Arial" w:cs="Arial" w:eastAsia="Arial" w:hAnsi="Arial"/>
          <w:sz w:val="18"/>
          <w:szCs w:val="18"/>
          <w:color w:val="auto"/>
        </w:rPr>
        <w:t>Mr. Dunn’s options to purchase 114,901 shares, which were granted in July 2016, and options to purchase 126,260 shares, which were granted in March 2017, will fully vest if we are subject to a change in control before Mr. Dunn’s service terminates, provided he agrees to provide services to the acquiring company for a period not to exceed six months.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Laura A. Francis</w:t>
      </w:r>
    </w:p>
    <w:p>
      <w:pPr>
        <w:spacing w:after="0" w:line="200" w:lineRule="exact"/>
        <w:rPr>
          <w:sz w:val="20"/>
          <w:szCs w:val="20"/>
          <w:color w:val="auto"/>
        </w:rPr>
      </w:pP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April 2015, we entered into an offer letter with Laura A. Francis, our Chief Financial Officer. Ms. Francis’ annual base salary during the first part of 2018 was $302,315 and Ms. Francis was eligible for annual variable compensation up to 35% of her base salary. As of April 1, 2018, Ms. Francis’ annual base salary was increased to $314,106. Upon the closing of our initial public offering, Ms. Francis’s annual base salary was increased to $350,000 and Ms. Francis became eligible for annual variable compensation up to 45% of her base salary. Ms. Francis’s annual base salary was increased to $375,000 and Ms. Francis became eligible for annual variable base compensation up to 50% of her base salary following her promotion to Chief Operating Officer and Chief Financial Officer in July 2019.</w:t>
      </w:r>
    </w:p>
    <w:p>
      <w:pPr>
        <w:spacing w:after="0" w:line="200" w:lineRule="exact"/>
        <w:rPr>
          <w:sz w:val="20"/>
          <w:szCs w:val="20"/>
          <w:color w:val="auto"/>
        </w:rPr>
      </w:pP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200" w:lineRule="exact"/>
        <w:rPr>
          <w:sz w:val="20"/>
          <w:szCs w:val="20"/>
          <w:color w:val="auto"/>
        </w:rPr>
      </w:pPr>
    </w:p>
    <w:p>
      <w:pPr>
        <w:spacing w:after="0" w:line="207"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23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34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within three months prior to or 12 months following the consummation of a change in control (as defined in the letter agreement), we will provide her the following benefits within 60 calendar days of her termination date:</w:t>
      </w:r>
    </w:p>
    <w:p>
      <w:pPr>
        <w:spacing w:after="0" w:line="29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her termination date; and</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34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These severance benefits are contingent on Ms. Francis returning all of our property, continued adherence to the terms and condition of the proprietary information and inventions agreement between us and Ms. Francis, resigning from our Board, if applicable, and executing and not revoking a release of claims. The severance letter agreement for Ms. Francis supersedes the acceleration provisions set forth in her offer letter.</w:t>
      </w: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3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August 2018, Ms. Francis was granted 3,703 restricted stock units, 50% of which vested on the first day of the first open trading window (as determined under our insider trading policy) that occurred after the one-year anniversary of the closing of our initial public offering, and 50% of which will vest on the first day of the first open trading window (as determined under our insider trading policy) that occurs after the two-year anniversary of the closing of our initial public offering, subject to Ms. Francis’ continued service with us through such vesting date.</w:t>
      </w:r>
    </w:p>
    <w:p>
      <w:pPr>
        <w:sectPr>
          <w:pgSz w:w="11900" w:h="16838" w:orient="portrait"/>
          <w:cols w:equalWidth="0" w:num="1">
            <w:col w:w="11240"/>
          </w:cols>
          <w:pgMar w:left="320" w:top="935"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93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Anthony J. Recupero</w:t>
      </w:r>
    </w:p>
    <w:p>
      <w:pPr>
        <w:spacing w:after="0" w:line="200" w:lineRule="exact"/>
        <w:rPr>
          <w:sz w:val="20"/>
          <w:szCs w:val="20"/>
          <w:color w:val="auto"/>
        </w:rPr>
      </w:pPr>
    </w:p>
    <w:p>
      <w:pPr>
        <w:spacing w:after="0" w:line="25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June 2016, we entered into an offer letter with Anthony J. Recupero, our Chief Commercial Officer. Mr. Recupero’s annual base salary during the first part of 2018 was $315,000 and Mr. Recupero was eligible for annual variable compensation up to 40% of his base salary. As of April 1, 2018, Mr. Recupero’s annual base salary was increased to $325,710. Upon the closing of our initial public offering, Mr. Recupero’s annual base salary was increased to $330,000 and Mr. Recupero became eligible for annual variable compensation up to 45% of his base salary.</w:t>
      </w:r>
    </w:p>
    <w:p>
      <w:pPr>
        <w:spacing w:after="0" w:line="38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Mr. Recupero’s offer letter provides that in the event we terminate him for any reason other than for cause (as defined in the letter agreement), we will provide him with the following benefits within 60 calendar days of his termination date:</w:t>
      </w:r>
    </w:p>
    <w:p>
      <w:pPr>
        <w:spacing w:after="0" w:line="27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34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29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his termination date; and</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34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if applicable, and execution and non-revocation of a release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93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with respect to all of our equity compensation plans in effect as of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49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8"/>
              </w:rPr>
              <w:t>securities remaining</w:t>
            </w:r>
          </w:p>
        </w:tc>
      </w:tr>
      <w:tr>
        <w:trPr>
          <w:trHeight w:val="203"/>
        </w:trPr>
        <w:tc>
          <w:tcPr>
            <w:tcW w:w="49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to be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Weighted-</w:t>
            </w: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2"/>
              </w:rPr>
              <w:t>available for</w:t>
            </w:r>
          </w:p>
        </w:tc>
      </w:tr>
      <w:tr>
        <w:trPr>
          <w:trHeight w:val="202"/>
        </w:trPr>
        <w:tc>
          <w:tcPr>
            <w:tcW w:w="49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4"/>
              </w:rPr>
              <w:t>issued upon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average</w:t>
            </w:r>
          </w:p>
        </w:tc>
        <w:tc>
          <w:tcPr>
            <w:tcW w:w="238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88"/>
              </w:rPr>
              <w:t>issuance under equity</w:t>
            </w:r>
          </w:p>
        </w:tc>
      </w:tr>
      <w:tr>
        <w:trPr>
          <w:trHeight w:val="203"/>
        </w:trPr>
        <w:tc>
          <w:tcPr>
            <w:tcW w:w="49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exercise of</w:t>
            </w:r>
          </w:p>
        </w:tc>
        <w:tc>
          <w:tcPr>
            <w:tcW w:w="100" w:type="dxa"/>
            <w:vAlign w:val="bottom"/>
          </w:tcPr>
          <w:p>
            <w:pPr>
              <w:spacing w:after="0"/>
              <w:rPr>
                <w:sz w:val="17"/>
                <w:szCs w:val="17"/>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exercise price of</w:t>
            </w: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6"/>
              </w:rPr>
              <w:t>compensation</w:t>
            </w:r>
          </w:p>
        </w:tc>
      </w:tr>
      <w:tr>
        <w:trPr>
          <w:trHeight w:val="203"/>
        </w:trPr>
        <w:tc>
          <w:tcPr>
            <w:tcW w:w="49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9"/>
              </w:rPr>
              <w:t>outstanding</w:t>
            </w: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0"/>
              </w:rPr>
              <w:t>plans (excluding</w:t>
            </w:r>
          </w:p>
        </w:tc>
      </w:tr>
      <w:tr>
        <w:trPr>
          <w:trHeight w:val="203"/>
        </w:trPr>
        <w:tc>
          <w:tcPr>
            <w:tcW w:w="49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stock 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6"/>
              </w:rPr>
              <w:t>stock options</w:t>
            </w: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9"/>
              </w:rPr>
              <w:t>securities reflected</w:t>
            </w: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Plan Category</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7"/>
              </w:rPr>
              <w:t>(b)</w:t>
            </w:r>
          </w:p>
        </w:tc>
        <w:tc>
          <w:tcPr>
            <w:tcW w:w="23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0"/>
              </w:rPr>
              <w:t>in column (a)</w:t>
            </w:r>
          </w:p>
        </w:tc>
      </w:tr>
      <w:tr>
        <w:trPr>
          <w:trHeight w:val="33"/>
        </w:trPr>
        <w:tc>
          <w:tcPr>
            <w:tcW w:w="4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r>
      <w:tr>
        <w:trPr>
          <w:trHeight w:val="263"/>
        </w:trPr>
        <w:tc>
          <w:tcPr>
            <w:tcW w:w="492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5"/>
                <w:szCs w:val="25"/>
                <w:color w:val="auto"/>
                <w:vertAlign w:val="superscript"/>
              </w:rPr>
              <w:t>(1)</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3,243,495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line="263" w:lineRule="exact"/>
              <w:rPr>
                <w:sz w:val="20"/>
                <w:szCs w:val="20"/>
                <w:color w:val="auto"/>
              </w:rPr>
            </w:pPr>
            <w:r>
              <w:rPr>
                <w:rFonts w:ascii="Arial" w:cs="Arial" w:eastAsia="Arial" w:hAnsi="Arial"/>
                <w:sz w:val="18"/>
                <w:szCs w:val="18"/>
                <w:color w:val="auto"/>
              </w:rPr>
              <w:t xml:space="preserve">6.72  </w:t>
            </w:r>
            <w:r>
              <w:rPr>
                <w:rFonts w:ascii="Arial" w:cs="Arial" w:eastAsia="Arial" w:hAnsi="Arial"/>
                <w:sz w:val="25"/>
                <w:szCs w:val="25"/>
                <w:color w:val="auto"/>
                <w:vertAlign w:val="superscript"/>
              </w:rPr>
              <w:t>(2)</w:t>
            </w:r>
          </w:p>
        </w:tc>
        <w:tc>
          <w:tcPr>
            <w:tcW w:w="2380" w:type="dxa"/>
            <w:vAlign w:val="bottom"/>
            <w:gridSpan w:val="2"/>
            <w:shd w:val="clear" w:color="auto" w:fill="CCEEFF"/>
          </w:tcPr>
          <w:p>
            <w:pPr>
              <w:jc w:val="right"/>
              <w:ind w:right="320"/>
              <w:spacing w:after="0" w:line="263" w:lineRule="exact"/>
              <w:rPr>
                <w:sz w:val="20"/>
                <w:szCs w:val="20"/>
                <w:color w:val="auto"/>
              </w:rPr>
            </w:pPr>
            <w:r>
              <w:rPr>
                <w:rFonts w:ascii="Arial" w:cs="Arial" w:eastAsia="Arial" w:hAnsi="Arial"/>
                <w:sz w:val="18"/>
                <w:szCs w:val="18"/>
                <w:color w:val="auto"/>
              </w:rPr>
              <w:t xml:space="preserve">3,158,652  </w:t>
            </w:r>
            <w:r>
              <w:rPr>
                <w:rFonts w:ascii="Arial" w:cs="Arial" w:eastAsia="Arial" w:hAnsi="Arial"/>
                <w:sz w:val="25"/>
                <w:szCs w:val="25"/>
                <w:color w:val="auto"/>
                <w:vertAlign w:val="superscript"/>
              </w:rPr>
              <w:t>(3)(4)</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18,517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3,262,012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3,158,652</w:t>
            </w:r>
          </w:p>
        </w:tc>
        <w:tc>
          <w:tcPr>
            <w:tcW w:w="62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357" w:lineRule="exact"/>
        <w:rPr>
          <w:sz w:val="20"/>
          <w:szCs w:val="20"/>
          <w:color w:val="auto"/>
        </w:rPr>
      </w:pPr>
    </w:p>
    <w:p>
      <w:pPr>
        <w:ind w:left="420" w:right="240" w:hanging="412"/>
        <w:spacing w:after="0" w:line="29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equity compensation plans approved by security holders are described in Note 10 to our financial statements included in our Annual Report on Form 10 K for the year ended December 31, 2019.</w:t>
      </w:r>
    </w:p>
    <w:p>
      <w:pPr>
        <w:spacing w:after="0" w:line="61" w:lineRule="exact"/>
        <w:rPr>
          <w:rFonts w:ascii="Arial" w:cs="Arial" w:eastAsia="Arial" w:hAnsi="Arial"/>
          <w:sz w:val="18"/>
          <w:szCs w:val="18"/>
          <w:color w:val="auto"/>
        </w:rPr>
      </w:pPr>
    </w:p>
    <w:p>
      <w:pPr>
        <w:ind w:left="420" w:hanging="412"/>
        <w:spacing w:after="0" w:line="29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weighted-average exercise price includes 524,524 shares issuable upon vesting of outstanding awards of restricted stock units, which have no exercise price. Excluding these awards of restricted stock units, the weighted-average exercise price would be $8.02.</w:t>
      </w:r>
    </w:p>
    <w:p>
      <w:pPr>
        <w:spacing w:after="0" w:line="61" w:lineRule="exact"/>
        <w:rPr>
          <w:rFonts w:ascii="Arial" w:cs="Arial" w:eastAsia="Arial" w:hAnsi="Arial"/>
          <w:sz w:val="18"/>
          <w:szCs w:val="18"/>
          <w:color w:val="auto"/>
        </w:rPr>
      </w:pPr>
    </w:p>
    <w:p>
      <w:pPr>
        <w:jc w:val="both"/>
        <w:ind w:left="420" w:hanging="412"/>
        <w:spacing w:after="0" w:line="272"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2,567,295 and 591,357 shares of common stock available for issuance under the 2018 Equity Incentive Plan, or the 2018 Plan, and the 2018 Employee Stock Purchase Plan, or the ESPP, respectively, as of December 31, 2019. As of December 31, 2019, up to a maximum of 21,404 shares of our common stock may be purchased in the current purchase period. The shares issuable pursuant to our ESPP are not included in the number of shares to be issued pursuant to rights outstanding and the weighted-average exercise price of such rights as of December 31, 2019, as those numbers are not known.</w:t>
      </w:r>
    </w:p>
    <w:p>
      <w:pPr>
        <w:spacing w:after="0" w:line="82" w:lineRule="exact"/>
        <w:rPr>
          <w:rFonts w:ascii="Arial" w:cs="Arial" w:eastAsia="Arial" w:hAnsi="Arial"/>
          <w:sz w:val="18"/>
          <w:szCs w:val="18"/>
          <w:color w:val="auto"/>
        </w:rPr>
      </w:pPr>
    </w:p>
    <w:p>
      <w:pPr>
        <w:jc w:val="both"/>
        <w:ind w:left="420" w:hanging="412"/>
        <w:spacing w:after="0" w:line="271"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 which shall be the lesser of (i) or (ii)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NON-EMPLOYEE BOARD MEMBERS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shows for the fiscal year ended December 31, 2019, certain information with respect to the compensation of all non-employee directors of SI-BONE:</w:t>
      </w:r>
    </w:p>
    <w:p>
      <w:pPr>
        <w:spacing w:after="0" w:line="319" w:lineRule="exact"/>
        <w:rPr>
          <w:sz w:val="20"/>
          <w:szCs w:val="20"/>
          <w:color w:val="auto"/>
        </w:rPr>
      </w:pPr>
    </w:p>
    <w:tbl>
      <w:tblPr>
        <w:tblLayout w:type="fixed"/>
        <w:tblInd w:w="110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Fees Earned or</w:t>
            </w:r>
          </w:p>
        </w:tc>
        <w:tc>
          <w:tcPr>
            <w:tcW w:w="32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6"/>
                <w:szCs w:val="16"/>
                <w:b w:val="1"/>
                <w:bCs w:val="1"/>
                <w:color w:val="auto"/>
              </w:rPr>
              <w:t>Option</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3"/>
        </w:trPr>
        <w:tc>
          <w:tcPr>
            <w:tcW w:w="314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Name</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Paid in Cash</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(1)</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4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30,373</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Timothy E. Davis, Jr.</w:t>
            </w:r>
          </w:p>
        </w:tc>
        <w:tc>
          <w:tcPr>
            <w:tcW w:w="2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90,723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124,433</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215,156</w:t>
            </w:r>
          </w:p>
        </w:tc>
      </w:tr>
      <w:tr>
        <w:trPr>
          <w:trHeight w:val="27"/>
        </w:trPr>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Heyward R. Donigan</w:t>
            </w: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207,396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214,874</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Mark J. Foley</w:t>
            </w:r>
          </w:p>
        </w:tc>
        <w:tc>
          <w:tcPr>
            <w:tcW w:w="2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26,703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207,396</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234,099</w:t>
            </w:r>
          </w:p>
        </w:tc>
      </w:tr>
      <w:tr>
        <w:trPr>
          <w:trHeight w:val="27"/>
        </w:trPr>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G. Freund, M.D.</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54,315</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124,433</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178,748</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Jeryl L. Hilleman</w:t>
            </w:r>
          </w:p>
        </w:tc>
        <w:tc>
          <w:tcPr>
            <w:tcW w:w="2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4,767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214,108</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218,875</w:t>
            </w:r>
          </w:p>
        </w:tc>
      </w:tr>
      <w:tr>
        <w:trPr>
          <w:trHeight w:val="27"/>
        </w:trPr>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Gregory K. Hinckley</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78,619</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124,433</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203,052</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Karen A. Licitra</w:t>
            </w:r>
          </w:p>
        </w:tc>
        <w:tc>
          <w:tcPr>
            <w:tcW w:w="2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54,554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124,433</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178,987</w:t>
            </w:r>
          </w:p>
        </w:tc>
      </w:tr>
      <w:tr>
        <w:trPr>
          <w:trHeight w:val="27"/>
        </w:trPr>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Timothy B. Petersen</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31,298</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Mark A. Reiley, M.D.</w:t>
            </w:r>
            <w:r>
              <w:rPr>
                <w:rFonts w:ascii="Arial" w:cs="Arial" w:eastAsia="Arial" w:hAnsi="Arial"/>
                <w:sz w:val="16"/>
                <w:szCs w:val="16"/>
                <w:color w:val="auto"/>
              </w:rPr>
              <w:t>(3)</w:t>
            </w:r>
          </w:p>
        </w:tc>
        <w:tc>
          <w:tcPr>
            <w:tcW w:w="2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64,557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64,557</w:t>
            </w:r>
          </w:p>
        </w:tc>
      </w:tr>
      <w:tr>
        <w:trPr>
          <w:trHeight w:val="27"/>
        </w:trPr>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Keith C. Valentine</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62,718</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124,433</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187,151</w:t>
            </w:r>
          </w:p>
        </w:tc>
      </w:tr>
      <w:tr>
        <w:trPr>
          <w:trHeight w:val="27"/>
        </w:trPr>
        <w:tc>
          <w:tcPr>
            <w:tcW w:w="3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715" w:right="339" w:bottom="1440" w:gutter="0" w:footer="0" w:header="0"/>
          <w:type w:val="continuous"/>
        </w:sectPr>
      </w:pPr>
    </w:p>
    <w:bookmarkStart w:id="32" w:name="page33"/>
    <w:bookmarkEnd w:id="32"/>
    <w:p>
      <w:pPr>
        <w:ind w:left="420" w:hanging="412"/>
        <w:spacing w:after="0" w:line="282"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1276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6985" cy="8890"/>
                    </a:xfrm>
                    <a:prstGeom prst="rect">
                      <a:avLst/>
                    </a:prstGeom>
                    <a:noFill/>
                  </pic:spPr>
                </pic:pic>
              </a:graphicData>
            </a:graphic>
          </wp:anchor>
        </w:drawing>
        <w:t>Represents the aggregate grant date fair value of option awards granted to the non-employee director, computed in accordance with FASB ASC Topic 718. See Note 10 to our financial statements in our Annual Report on Form 10-K, filed with the SEC on March 11, 2020.</w:t>
      </w:r>
    </w:p>
    <w:p>
      <w:pPr>
        <w:ind w:left="420" w:hanging="399"/>
        <w:spacing w:after="0" w:line="266"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Dr. Bonita and Dr. Reiley chose to not stand for re-election at our 2019 annual meeting of stockholders and, accordingly, ceased to be directors in June 2019.</w:t>
      </w:r>
    </w:p>
    <w:p>
      <w:pPr>
        <w:jc w:val="both"/>
        <w:ind w:left="420" w:hanging="399"/>
        <w:spacing w:after="0" w:line="279"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Ms. Donigan was elected as a director at our 2019 annual meeting of stockholders and resigned in August 2019. Ms. Donigan’s resignation from all other boards of directors, including our company's, was a condition of an offer by Rite Aid Corporation to her to serve as its Chief Executive Officer, and was not the result of any disagreement with our company or management.</w:t>
      </w: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lists the aggregate number of shares subject to outstanding stock options held by each of our non-employee directors as of December 31, 2019.</w:t>
      </w:r>
    </w:p>
    <w:p>
      <w:pPr>
        <w:spacing w:after="0" w:line="333"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Subject to</w:t>
            </w: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Options as of</w:t>
            </w:r>
          </w:p>
        </w:tc>
      </w:tr>
      <w:tr>
        <w:trPr>
          <w:trHeight w:val="210"/>
        </w:trPr>
        <w:tc>
          <w:tcPr>
            <w:tcW w:w="6640" w:type="dxa"/>
            <w:vAlign w:val="bottom"/>
            <w:gridSpan w:val="2"/>
          </w:tcPr>
          <w:p>
            <w:pPr>
              <w:ind w:left="3080"/>
              <w:spacing w:after="0"/>
              <w:rPr>
                <w:sz w:val="20"/>
                <w:szCs w:val="20"/>
                <w:color w:val="auto"/>
              </w:rPr>
            </w:pPr>
            <w:r>
              <w:rPr>
                <w:rFonts w:ascii="Arial" w:cs="Arial" w:eastAsia="Arial" w:hAnsi="Arial"/>
                <w:sz w:val="16"/>
                <w:szCs w:val="16"/>
                <w:b w:val="1"/>
                <w:bCs w:val="1"/>
                <w:color w:val="auto"/>
              </w:rPr>
              <w:t>Name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2019</w:t>
            </w:r>
          </w:p>
        </w:tc>
      </w:tr>
      <w:tr>
        <w:trPr>
          <w:trHeight w:val="33"/>
        </w:trPr>
        <w:tc>
          <w:tcPr>
            <w:tcW w:w="6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P. Bonita, M.D.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Timothy E. Davis, Jr.</w:t>
            </w:r>
          </w:p>
        </w:tc>
        <w:tc>
          <w:tcPr>
            <w:tcW w:w="1760" w:type="dxa"/>
            <w:vAlign w:val="bottom"/>
          </w:tcPr>
          <w:p>
            <w:pPr>
              <w:jc w:val="right"/>
              <w:spacing w:after="0"/>
              <w:rPr>
                <w:sz w:val="20"/>
                <w:szCs w:val="20"/>
                <w:color w:val="auto"/>
              </w:rPr>
            </w:pPr>
            <w:r>
              <w:rPr>
                <w:rFonts w:ascii="Arial" w:cs="Arial" w:eastAsia="Arial" w:hAnsi="Arial"/>
                <w:sz w:val="18"/>
                <w:szCs w:val="18"/>
                <w:color w:val="auto"/>
              </w:rPr>
              <w:t>71,138</w:t>
            </w: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Heyward R. Donigan</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Mark J. Foley</w:t>
            </w:r>
          </w:p>
        </w:tc>
        <w:tc>
          <w:tcPr>
            <w:tcW w:w="1760" w:type="dxa"/>
            <w:vAlign w:val="bottom"/>
          </w:tcPr>
          <w:p>
            <w:pPr>
              <w:jc w:val="right"/>
              <w:spacing w:after="0"/>
              <w:rPr>
                <w:sz w:val="20"/>
                <w:szCs w:val="20"/>
                <w:color w:val="auto"/>
              </w:rPr>
            </w:pPr>
            <w:r>
              <w:rPr>
                <w:rFonts w:ascii="Arial" w:cs="Arial" w:eastAsia="Arial" w:hAnsi="Arial"/>
                <w:sz w:val="18"/>
                <w:szCs w:val="18"/>
                <w:color w:val="auto"/>
              </w:rPr>
              <w:t>26,236</w:t>
            </w: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G. Freund, M.D.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Jeryl L. Hilleman</w:t>
            </w:r>
          </w:p>
        </w:tc>
        <w:tc>
          <w:tcPr>
            <w:tcW w:w="1760" w:type="dxa"/>
            <w:vAlign w:val="bottom"/>
          </w:tcPr>
          <w:p>
            <w:pPr>
              <w:jc w:val="right"/>
              <w:spacing w:after="0"/>
              <w:rPr>
                <w:sz w:val="20"/>
                <w:szCs w:val="20"/>
                <w:color w:val="auto"/>
              </w:rPr>
            </w:pPr>
            <w:r>
              <w:rPr>
                <w:rFonts w:ascii="Arial" w:cs="Arial" w:eastAsia="Arial" w:hAnsi="Arial"/>
                <w:sz w:val="18"/>
                <w:szCs w:val="18"/>
                <w:color w:val="auto"/>
              </w:rPr>
              <w:t>26,236</w:t>
            </w: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Gregory K. Hinckley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37,963</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Karen A. Licitra</w:t>
            </w:r>
          </w:p>
        </w:tc>
        <w:tc>
          <w:tcPr>
            <w:tcW w:w="1760" w:type="dxa"/>
            <w:vAlign w:val="bottom"/>
          </w:tcPr>
          <w:p>
            <w:pPr>
              <w:jc w:val="right"/>
              <w:spacing w:after="0"/>
              <w:rPr>
                <w:sz w:val="20"/>
                <w:szCs w:val="20"/>
                <w:color w:val="auto"/>
              </w:rPr>
            </w:pPr>
            <w:r>
              <w:rPr>
                <w:rFonts w:ascii="Arial" w:cs="Arial" w:eastAsia="Arial" w:hAnsi="Arial"/>
                <w:sz w:val="18"/>
                <w:szCs w:val="18"/>
                <w:color w:val="auto"/>
              </w:rPr>
              <w:t>59,371</w:t>
            </w: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Timothy B. Petersen</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Mark A. Reiley, M.D.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Keith C. Valentine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37,963</w:t>
            </w:r>
          </w:p>
        </w:tc>
      </w:tr>
      <w:tr>
        <w:trPr>
          <w:trHeight w:val="27"/>
        </w:trPr>
        <w:tc>
          <w:tcPr>
            <w:tcW w:w="6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non-employee director receives an annual cash retainer of $40,000 for serving on our Board.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chairperson and members of the three committees of our Board are entitled to the following additional annual cash retainers:</w:t>
      </w:r>
    </w:p>
    <w:p>
      <w:pPr>
        <w:spacing w:after="0" w:line="200" w:lineRule="exact"/>
        <w:rPr>
          <w:sz w:val="20"/>
          <w:szCs w:val="20"/>
          <w:color w:val="auto"/>
        </w:rPr>
      </w:pP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10"/>
        </w:trPr>
        <w:tc>
          <w:tcPr>
            <w:tcW w:w="4760" w:type="dxa"/>
            <w:vAlign w:val="bottom"/>
          </w:tcPr>
          <w:p>
            <w:pPr>
              <w:ind w:left="1760"/>
              <w:spacing w:after="0"/>
              <w:rPr>
                <w:sz w:val="20"/>
                <w:szCs w:val="20"/>
                <w:color w:val="auto"/>
              </w:rPr>
            </w:pPr>
            <w:r>
              <w:rPr>
                <w:rFonts w:ascii="Arial" w:cs="Arial" w:eastAsia="Arial" w:hAnsi="Arial"/>
                <w:sz w:val="16"/>
                <w:szCs w:val="16"/>
                <w:b w:val="1"/>
                <w:bCs w:val="1"/>
                <w:color w:val="auto"/>
              </w:rPr>
              <w:t>Board Committee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Chairperson Fee</w:t>
            </w:r>
          </w:p>
        </w:tc>
        <w:tc>
          <w:tcPr>
            <w:tcW w:w="20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6"/>
                <w:szCs w:val="16"/>
                <w:b w:val="1"/>
                <w:bCs w:val="1"/>
                <w:color w:val="auto"/>
              </w:rPr>
              <w:t>Member Fee</w:t>
            </w:r>
          </w:p>
        </w:tc>
      </w:tr>
      <w:tr>
        <w:trPr>
          <w:trHeight w:val="33"/>
        </w:trPr>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Compensation Committee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Lead Independent Director</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
        </w:trPr>
        <w:tc>
          <w:tcPr>
            <w:tcW w:w="4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Each new non-employee director who joins our Board will receive an option to purchase 26,236 shares of our common stock under the 2018 Plan. The shares subject to this option will vest on a monthly basis over 36 months commencing on the grant date, subject to the non-employee director’s continuous service with us on each applicable vesting date.</w:t>
      </w:r>
    </w:p>
    <w:p>
      <w:pPr>
        <w:sectPr>
          <w:pgSz w:w="11900" w:h="16838" w:orient="portrait"/>
          <w:cols w:equalWidth="0" w:num="1">
            <w:col w:w="11240"/>
          </w:cols>
          <w:pgMar w:left="320" w:top="989"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989" w:right="339" w:bottom="1440" w:gutter="0" w:footer="0" w:header="0"/>
          <w:type w:val="continuous"/>
        </w:sectPr>
      </w:pPr>
    </w:p>
    <w:bookmarkStart w:id="33" w:name="page34"/>
    <w:bookmarkEnd w:id="33"/>
    <w:p>
      <w:pPr>
        <w:jc w:val="both"/>
        <w:spacing w:after="0" w:line="279" w:lineRule="auto"/>
        <w:rPr>
          <w:sz w:val="20"/>
          <w:szCs w:val="20"/>
          <w:color w:val="auto"/>
        </w:rPr>
      </w:pPr>
      <w:r>
        <w:rPr>
          <w:rFonts w:ascii="Arial" w:cs="Arial" w:eastAsia="Arial" w:hAnsi="Arial"/>
          <w:sz w:val="18"/>
          <w:szCs w:val="18"/>
          <w:color w:val="auto"/>
        </w:rPr>
        <w:t>On the date of each annual meeting of our stockholders, each continuing non-employee director may receive an option to purchase 15,741 shares of our common stock under the 2018 Plan, vesting on a monthly basis over 12 months commencing on the grant date, subject to the non-employee director’s continuous service with us on each applicable vesting date.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event of a change of control (as defined in the 2018 Plan), any unvested shares subject to these options will fully vest and become exercisable immediately prior to the effective date of such change of control, subject to the non-employee director’s continuous service with us on the effective date of the change of control.</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the closing price of our common stock as reported by the Nasdaq Global Market on the date of grant. Each stock option will have a term of ten years from the date of grant, subject to earlier termination in connection with a termination of the non-employee director’s continuous service with us.</w:t>
      </w:r>
    </w:p>
    <w:p>
      <w:pPr>
        <w:spacing w:after="0" w:line="16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 AND PROCEDURES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RELATED-PERSON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is a description of transactions since January 1, 2018,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discussed above.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Development Agreement with SeaSpine Orthopedics Corporation</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February 2020, we entered into a joint development agreement (the “Development Agreement”) with SeaSpine Orthopedics Corporation (“SeaSpine”) to develop a next generation device for sacropelvic fixation. Mr. Valentine, who serves as the President, Chief Executive Officer and a member of the board of directors of SeaSpine, also serves as a member of our Board of Directors. Pursuant to the development Plan, SeaSpine shall use reasonable efforts to assist in the development of the potential product offering, including licensing certain existing intellectual property to be incorporated into the product. Under the terms of the Development Agreement, we agreed to make monthly payments of approximately $10,000 to SeaSpine to reimburse for full time resources employed by SeaSpine conducting the development activities.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intellectual property incorporated into the product to be developed. We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parties, in situations defined in the Development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71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2020 Public Offering</w:t>
      </w:r>
    </w:p>
    <w:p>
      <w:pPr>
        <w:spacing w:after="0" w:line="200" w:lineRule="exact"/>
        <w:rPr>
          <w:sz w:val="20"/>
          <w:szCs w:val="20"/>
          <w:color w:val="auto"/>
        </w:rPr>
      </w:pP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2020, we issued and sold shares of common stock in an underwritten public offering (the “</w:t>
      </w:r>
      <w:r>
        <w:rPr>
          <w:rFonts w:ascii="Arial" w:cs="Arial" w:eastAsia="Arial" w:hAnsi="Arial"/>
          <w:sz w:val="18"/>
          <w:szCs w:val="18"/>
          <w:b w:val="1"/>
          <w:bCs w:val="1"/>
          <w:i w:val="1"/>
          <w:iCs w:val="1"/>
          <w:color w:val="auto"/>
        </w:rPr>
        <w:t>2020 Public Offering</w:t>
      </w:r>
      <w:r>
        <w:rPr>
          <w:rFonts w:ascii="Arial" w:cs="Arial" w:eastAsia="Arial" w:hAnsi="Arial"/>
          <w:sz w:val="18"/>
          <w:szCs w:val="18"/>
          <w:color w:val="auto"/>
        </w:rPr>
        <w:t>”). Each of Skyline Venture Partners V., L.P., (“</w:t>
      </w:r>
      <w:r>
        <w:rPr>
          <w:rFonts w:ascii="Arial" w:cs="Arial" w:eastAsia="Arial" w:hAnsi="Arial"/>
          <w:sz w:val="18"/>
          <w:szCs w:val="18"/>
          <w:b w:val="1"/>
          <w:bCs w:val="1"/>
          <w:i w:val="1"/>
          <w:iCs w:val="1"/>
          <w:color w:val="auto"/>
        </w:rPr>
        <w:t>Skyline</w:t>
      </w:r>
      <w:r>
        <w:rPr>
          <w:rFonts w:ascii="Arial" w:cs="Arial" w:eastAsia="Arial" w:hAnsi="Arial"/>
          <w:sz w:val="18"/>
          <w:szCs w:val="18"/>
          <w:color w:val="auto"/>
        </w:rPr>
        <w:t>”), Montreux IV, L.P. (“</w:t>
      </w:r>
      <w:r>
        <w:rPr>
          <w:rFonts w:ascii="Arial" w:cs="Arial" w:eastAsia="Arial" w:hAnsi="Arial"/>
          <w:sz w:val="18"/>
          <w:szCs w:val="18"/>
          <w:b w:val="1"/>
          <w:bCs w:val="1"/>
          <w:i w:val="1"/>
          <w:iCs w:val="1"/>
          <w:color w:val="auto"/>
        </w:rPr>
        <w:t>Montreux</w:t>
      </w:r>
      <w:r>
        <w:rPr>
          <w:rFonts w:ascii="Arial" w:cs="Arial" w:eastAsia="Arial" w:hAnsi="Arial"/>
          <w:sz w:val="18"/>
          <w:szCs w:val="18"/>
          <w:color w:val="auto"/>
        </w:rPr>
        <w:t>”) and Arboretum Ventures IV, L.P. (“</w:t>
      </w:r>
      <w:r>
        <w:rPr>
          <w:rFonts w:ascii="Arial" w:cs="Arial" w:eastAsia="Arial" w:hAnsi="Arial"/>
          <w:sz w:val="18"/>
          <w:szCs w:val="18"/>
          <w:b w:val="1"/>
          <w:bCs w:val="1"/>
          <w:i w:val="1"/>
          <w:iCs w:val="1"/>
          <w:color w:val="auto"/>
        </w:rPr>
        <w:t>Arboretum</w:t>
      </w:r>
      <w:r>
        <w:rPr>
          <w:rFonts w:ascii="Arial" w:cs="Arial" w:eastAsia="Arial" w:hAnsi="Arial"/>
          <w:sz w:val="18"/>
          <w:szCs w:val="18"/>
          <w:color w:val="auto"/>
        </w:rPr>
        <w:t>,” and collectively with Skyline and Montreux, the “</w:t>
      </w:r>
      <w:r>
        <w:rPr>
          <w:rFonts w:ascii="Arial" w:cs="Arial" w:eastAsia="Arial" w:hAnsi="Arial"/>
          <w:sz w:val="18"/>
          <w:szCs w:val="18"/>
          <w:b w:val="1"/>
          <w:bCs w:val="1"/>
          <w:i w:val="1"/>
          <w:iCs w:val="1"/>
          <w:color w:val="auto"/>
        </w:rPr>
        <w:t>Selling Shareholders</w:t>
      </w:r>
      <w:r>
        <w:rPr>
          <w:rFonts w:ascii="Arial" w:cs="Arial" w:eastAsia="Arial" w:hAnsi="Arial"/>
          <w:sz w:val="18"/>
          <w:szCs w:val="18"/>
          <w:color w:val="auto"/>
        </w:rPr>
        <w:t>”) sold shares in the offering. Each of the Selling Shareholders held more than 5% of our capital stock at the time of the 2020 Public Offering, and Dr. Freund is a managing partner of Skyline Ventures, an affiliate of Skyline. In connection with the 2020 Public Offering, we, the representatives of the underwriters, and the Selling Shareholders entered into an underwriting agreement pursuant to which Skyline, Montreux and Arboretum sold 1,000,000, 649,947 and 160,000 shares, respectively, for approximately $21,500,000, $13,973,860 and $3,440,000, respectively, before underwriting discounts and commissions.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Loan</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February 2014, we loaned Jeffrey W. Dunn an amount of $437,000 in connection with the exercise of options to purchase 174,110 shares of our common stock, or the 2014 Exercised Options. The loan was evidenced by a promissory note, which accrued interest on the outstanding principal amount at the rate of 1.97% per annum, provided for full recourse and was secured by a pledge of the 2014 Exercised Options. In March 2017, we forgave $231,914 (including principal of $218,500 and interest of $13,414) of this loan. As of December 31, 2017, the outstanding balance of this loan was $231,914, including principal of $219,500, which was forgiven on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9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AND PROXY MATERIALS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General Counsel,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2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 Order of the Board of Directors</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1560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Michael A. Pisetsky</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copy of SI-BONE, Inc.’s Annual Report to the Securities and Exchange Commission on Form 10-K for the fiscal year ended December 31, 2019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702"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457200</wp:posOffset>
            </wp:positionV>
            <wp:extent cx="6172200" cy="7980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457200</wp:posOffset>
            </wp:positionV>
            <wp:extent cx="6172200" cy="7980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bullet"/>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6"/>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ü"/>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2020-04-22T15:20:12Z</dcterms:created>
  <dcterms:modified xsi:type="dcterms:W3CDTF">2020-04-22T15:20:12Z</dcterms:modified>
</cp:coreProperties>
</file>