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HILLEMAN JERYL 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SI-BONE,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w w:val="98"/>
              </w:rPr>
              <w:t>C/O SI-BONE, INC.</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Arial" w:cs="Arial" w:eastAsia="Arial" w:hAnsi="Arial"/>
                <w:sz w:val="17"/>
                <w:szCs w:val="17"/>
                <w:color w:val="0000FF"/>
              </w:rPr>
              <w:t>06/16/2022</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line="168" w:lineRule="exact"/>
              <w:rPr>
                <w:sz w:val="20"/>
                <w:szCs w:val="20"/>
                <w:color w:val="auto"/>
              </w:rPr>
            </w:pPr>
            <w:r>
              <w:rPr>
                <w:rFonts w:ascii="Arial" w:cs="Arial" w:eastAsia="Arial" w:hAnsi="Arial"/>
                <w:sz w:val="17"/>
                <w:szCs w:val="17"/>
                <w:color w:val="0000FF"/>
              </w:rPr>
              <w:t>CLARA</w:t>
            </w:r>
          </w:p>
        </w:tc>
        <w:tc>
          <w:tcPr>
            <w:tcW w:w="8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gridSpan w:val="2"/>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248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9"/>
          </w:tcPr>
          <w:p>
            <w:pPr>
              <w:ind w:lef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06/16/2022</w:t>
            </w: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8,324</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14,645</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5"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8,324 shares issuable on the settlement of restricted stock units granted to the Reporting Person. Each restricted stock unit represents a contingent right to receive one share of the Issuer's common stock.</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/Michael Pisetsky, Attorney- </w:t>
      </w:r>
      <w:r>
        <w:rPr>
          <w:rFonts w:ascii="Arial" w:cs="Arial" w:eastAsia="Arial" w:hAnsi="Arial"/>
          <w:sz w:val="34"/>
          <w:szCs w:val="34"/>
          <w:color w:val="0000FF"/>
          <w:vertAlign w:val="subscript"/>
        </w:rPr>
        <w:t>06/20/2022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Jeryl L Hilleman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40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01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6628"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2022-06-21T15:11:15Z</dcterms:created>
  <dcterms:modified xsi:type="dcterms:W3CDTF">2022-06-21T15:11:15Z</dcterms:modified>
</cp:coreProperties>
</file>