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Date of report (Date of earliest event reported): July 31, 2025</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SI-BONE,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w:t>
      </w:r>
    </w:p>
    <w:tbl>
      <w:tblPr>
        <w:tblW w:w="5410" w:type="dxa"/>
        <w:jc w:val="center"/>
        <w:tblInd w:w="0" w:type="dxa"/>
        <w:tblLayout w:type="fixed"/>
        <w:tblCellMar>
          <w:top w:w="28" w:type="dxa"/>
          <w:left w:w="28" w:type="dxa"/>
          <w:bottom w:w="28" w:type="dxa"/>
          <w:right w:w="28" w:type="dxa"/>
        </w:tblCellMar>
      </w:tblPr>
      <w:tblGrid>
        <w:gridCol w:w="807"/>
        <w:gridCol w:w="711"/>
        <w:gridCol w:w="717"/>
        <w:gridCol w:w="109"/>
        <w:gridCol w:w="109"/>
        <w:gridCol w:w="109"/>
        <w:gridCol w:w="354"/>
        <w:gridCol w:w="354"/>
        <w:gridCol w:w="358"/>
        <w:gridCol w:w="109"/>
        <w:gridCol w:w="109"/>
        <w:gridCol w:w="109"/>
        <w:gridCol w:w="424"/>
        <w:gridCol w:w="424"/>
        <w:gridCol w:w="607"/>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001-38701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26-2216351</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Suite 101</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Santa Clara, CA 95050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(408) 207-0700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include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414" w:type="dxa"/>
        <w:jc w:val="center"/>
        <w:tblInd w:w="0" w:type="dxa"/>
        <w:tblLayout w:type="fixed"/>
        <w:tblCellMar>
          <w:top w:w="28" w:type="dxa"/>
          <w:left w:w="28" w:type="dxa"/>
          <w:bottom w:w="28" w:type="dxa"/>
          <w:right w:w="28" w:type="dxa"/>
        </w:tblCellMar>
      </w:tblPr>
      <w:tblGrid>
        <w:gridCol w:w="1188"/>
        <w:gridCol w:w="1045"/>
        <w:gridCol w:w="1052"/>
        <w:gridCol w:w="534"/>
        <w:gridCol w:w="534"/>
        <w:gridCol w:w="536"/>
        <w:gridCol w:w="1033"/>
        <w:gridCol w:w="1033"/>
        <w:gridCol w:w="1459"/>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Title of each class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Trading Symbol(s) </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 xml:space="preserve">Name of each exchange on which registered </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SIBN</w:t>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August 4, 2025, SI-BONE,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issued a press release (the “</w:t>
      </w:r>
      <w:r>
        <w:rPr>
          <w:rFonts w:ascii="Times New Roman;serif" w:hAnsi="Times New Roman;serif"/>
          <w:b/>
          <w:color w:val="000000"/>
          <w:sz w:val="20"/>
        </w:rPr>
        <w:t>Press Release</w:t>
      </w:r>
      <w:r>
        <w:rPr>
          <w:color w:val="000000"/>
        </w:rPr>
        <w:t>”</w:t>
      </w:r>
      <w:r>
        <w:rPr>
          <w:rFonts w:ascii="Times New Roman;serif" w:hAnsi="Times New Roman;serif"/>
          <w:b w:val="false"/>
          <w:color w:val="000000"/>
          <w:sz w:val="20"/>
        </w:rPr>
        <w:t>) announcing results for the quarter ended June 30, 2025. A copy of the Press Release is attached as Exhibit 99.1 to this current report on Form 8-K and is incorporated by reference herein.</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information under Item 2.02 in this current report on Form 8-K and the related information in the exhibit attached hereto shall not be deemed “filed” for purposes of Section 18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On August 4, 2025, the Company announced that its President, Commercial Operations, Anthony Recupero will retire effective February 15, 2026 (the “</w:t>
      </w:r>
      <w:r>
        <w:rPr>
          <w:rFonts w:ascii="Times New Roman;serif" w:hAnsi="Times New Roman;serif"/>
          <w:b/>
          <w:color w:val="000000"/>
          <w:sz w:val="20"/>
        </w:rPr>
        <w:t>Separation Date</w:t>
      </w:r>
      <w:r>
        <w:rPr>
          <w:color w:val="000000"/>
        </w:rPr>
        <w:t>”</w:t>
      </w:r>
      <w:r>
        <w:rPr>
          <w:rFonts w:ascii="Times New Roman;serif" w:hAnsi="Times New Roman;serif"/>
          <w:b w:val="false"/>
          <w:color w:val="000000"/>
          <w:sz w:val="20"/>
        </w:rPr>
        <w:t xml:space="preserve">). Effective February 16, 2025, he will transition to a 12-month advisory role. Mr. Recupero’s decision to retire was not the result of any disagreement between Mr. Recupero and the Company. The Company also announced the appointment of Nikolas Kerr as Chief Commercial Officer to succeed Mr. Recupero, effective February 16, 2026. As an advisor to the Company, Mr. Recupero will provide consulting services to ensure an orderly transition of his responsibilities to Mr. Kerr. Mr. Kerr currently serves as the Company’s Senior Vice President of Product, Marketing and Business Development.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 connection with Mr. Recupero’s retirement and the Company's leadership transition, on July 31, 2025, the Company and Mr. Recupero entered into a letter agreement of retirement (the “</w:t>
      </w:r>
      <w:r>
        <w:rPr>
          <w:rFonts w:ascii="Times New Roman;serif" w:hAnsi="Times New Roman;serif"/>
          <w:b/>
          <w:color w:val="000000"/>
          <w:sz w:val="20"/>
        </w:rPr>
        <w:t>Retirement Letter</w:t>
      </w:r>
      <w:r>
        <w:rPr>
          <w:color w:val="000000"/>
        </w:rPr>
        <w:t>”</w:t>
      </w:r>
      <w:r>
        <w:rPr>
          <w:rFonts w:ascii="Times New Roman;serif" w:hAnsi="Times New Roman;serif"/>
          <w:b w:val="false"/>
          <w:color w:val="000000"/>
          <w:sz w:val="20"/>
        </w:rPr>
        <w:t>) and a consulting agreement (the “</w:t>
      </w:r>
      <w:r>
        <w:rPr>
          <w:rFonts w:ascii="Times New Roman;serif" w:hAnsi="Times New Roman;serif"/>
          <w:b/>
          <w:color w:val="000000"/>
          <w:sz w:val="20"/>
        </w:rPr>
        <w:t>Consulting Agreement</w:t>
      </w:r>
      <w:r>
        <w:rPr>
          <w:color w:val="000000"/>
        </w:rPr>
        <w:t>”</w:t>
      </w:r>
      <w:r>
        <w:rPr>
          <w:rFonts w:ascii="Times New Roman;serif" w:hAnsi="Times New Roman;serif"/>
          <w:b w:val="false"/>
          <w:color w:val="000000"/>
          <w:sz w:val="20"/>
        </w:rPr>
        <w:t>). The Retirement Letter provides, among other things, that Mr. Recupero will remain an at-will employee in his current role and perform his regular job duties until the Separation Date, will be entitled to receive his current base salary, will continue to be eligible for the Company’s standard benefits, will transition his job duties to the Company’s designated successor to his role and be expected to perform other tasks as requested by the Company, and will be engaged by the Company as an advisor pursuant to the Consulting Agreement immediately following the Separation Date. In addition, Mr. Recupero’s equity awards will continue to vest under the existing terms and conditions set forth in the governing plan documents and option agreement until the Separation Date. The Consulting Agreement sets forth, among other terms and conditions, that: (a) Mr. Recupero’s consulting period (the “</w:t>
      </w:r>
      <w:r>
        <w:rPr>
          <w:rFonts w:ascii="Times New Roman;serif" w:hAnsi="Times New Roman;serif"/>
          <w:b/>
          <w:color w:val="000000"/>
          <w:sz w:val="20"/>
        </w:rPr>
        <w:t>Consulting Term</w:t>
      </w:r>
      <w:r>
        <w:rPr>
          <w:color w:val="000000"/>
        </w:rPr>
        <w:t>”</w:t>
      </w:r>
      <w:r>
        <w:rPr>
          <w:rFonts w:ascii="Times New Roman;serif" w:hAnsi="Times New Roman;serif"/>
          <w:b w:val="false"/>
          <w:color w:val="000000"/>
          <w:sz w:val="20"/>
        </w:rPr>
        <w:t>) will be 12 months; (b) his monthly cash compensation will be $12,500; (c) his outstanding equity awards will continue to vest in accordance with their vesting schedules during the Consulting Term; (d) if his consulting services are terminated by the Company without cause or by him for good reason upon the closing of a change in control or following the closing of a change in control and prior to the expiration of the Consulting Term, subject to Mr. Recupero signing a general release of claims in favor of the Company, the vesting of all of his outstanding equity awards will be accelerated in full; and (e) upon his death or disability or if his consulting services are terminated by the Company without cause or by him for good reason, subject to Mr. Recupero signing a general release of claims in favor of the Company, he will be entitled to monthly cash compensation through the expiration of the Consulting Term and the vesting of his outstanding equity awards will be accelerated solely to the extent as if he remained a consultant through the expiration of the Consulting Term.</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descriptions of the Retirement Letter and Consulting Agreement are qualified in their entirety by the full text of such agreement, copies of which will be filed as an exhibit to the Company’s quarterly report on Form 10-Q for the quarter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225earningsrel.htm">
              <w:r>
                <w:rPr>
                  <w:rStyle w:val="InternetLink"/>
                  <w:rFonts w:ascii="Times New Roman;serif" w:hAnsi="Times New Roman;serif"/>
                  <w:b w:val="false"/>
                  <w:color w:val="000080"/>
                  <w:sz w:val="20"/>
                  <w:u w:val="single"/>
                </w:rPr>
                <w:t xml:space="preserve">Press </w:t>
              </w:r>
            </w:hyperlink>
            <w:hyperlink w:anchor="exhibit991_q225earningsrel.htm">
              <w:r>
                <w:rPr>
                  <w:rStyle w:val="InternetLink"/>
                  <w:rFonts w:ascii="Times New Roman;serif" w:hAnsi="Times New Roman;serif"/>
                  <w:b w:val="false"/>
                  <w:color w:val="000080"/>
                  <w:sz w:val="20"/>
                  <w:u w:val="single"/>
                </w:rPr>
                <w:t>R</w:t>
              </w:r>
            </w:hyperlink>
            <w:hyperlink w:anchor="exhibit991_q225earningsrel.htm">
              <w:r>
                <w:rPr>
                  <w:rStyle w:val="InternetLink"/>
                  <w:rFonts w:ascii="Times New Roman;serif" w:hAnsi="Times New Roman;serif"/>
                  <w:b w:val="false"/>
                  <w:color w:val="000080"/>
                  <w:sz w:val="20"/>
                  <w:u w:val="single"/>
                </w:rPr>
                <w:t>elease dated August 4, 2025</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3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22"/>
        <w:gridCol w:w="222"/>
        <w:gridCol w:w="222"/>
        <w:gridCol w:w="1098"/>
        <w:gridCol w:w="1098"/>
        <w:gridCol w:w="15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r>
      <w:tr>
        <w:trPr/>
        <w:tc>
          <w:tcPr>
            <w:tcW w:w="633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SI-BONE, INC.</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2025</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86"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center"/>
        <w:rPr/>
      </w:pPr>
      <w:r>
        <w:rPr/>
        <w:drawing>
          <wp:inline distT="0" distB="0" distL="0" distR="0">
            <wp:extent cx="1466850" cy="838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66850" cy="838200"/>
                    </a:xfrm>
                    <a:prstGeom prst="rect">
                      <a:avLst/>
                    </a:prstGeom>
                  </pic:spPr>
                </pic:pic>
              </a:graphicData>
            </a:graphic>
          </wp:inline>
        </w:drawing>
      </w:r>
    </w:p>
    <w:p>
      <w:pPr>
        <w:pStyle w:val="TextBody"/>
        <w:bidi w:val="0"/>
        <w:spacing w:lineRule="auto" w:line="369" w:before="0" w:after="0"/>
        <w:jc w:val="center"/>
        <w:rPr>
          <w:rFonts w:ascii="Times New Roman;serif" w:hAnsi="Times New Roman;serif"/>
          <w:b/>
          <w:color w:val="000000"/>
          <w:sz w:val="22"/>
        </w:rPr>
      </w:pPr>
      <w:r>
        <w:rPr>
          <w:rFonts w:ascii="Times New Roman;serif" w:hAnsi="Times New Roman;serif"/>
          <w:b/>
          <w:color w:val="000000"/>
          <w:sz w:val="22"/>
        </w:rPr>
        <w:t>SI-BONE, Inc. Reports Financial Results for the Second Quarter 2025 and Raises 2025 Guidance</w:t>
      </w:r>
    </w:p>
    <w:p>
      <w:pPr>
        <w:pStyle w:val="TextBody"/>
        <w:bidi w:val="0"/>
        <w:spacing w:lineRule="auto" w:line="369" w:before="0" w:after="0"/>
        <w:jc w:val="center"/>
        <w:rPr/>
      </w:pPr>
      <w:r>
        <w:rPr>
          <w:rFonts w:ascii="Times New Roman;serif" w:hAnsi="Times New Roman;serif"/>
          <w:b w:val="false"/>
          <w:i/>
          <w:color w:val="000000"/>
          <w:sz w:val="22"/>
        </w:rPr>
        <w:t>Achieved ~</w:t>
      </w:r>
      <w:r>
        <w:rPr>
          <w:rFonts w:ascii="Times New Roman;serif" w:hAnsi="Times New Roman;serif"/>
          <w:b w:val="false"/>
          <w:color w:val="000000"/>
          <w:sz w:val="22"/>
        </w:rPr>
        <w:t>22%</w:t>
      </w:r>
      <w:r>
        <w:rPr>
          <w:color w:val="000000"/>
        </w:rPr>
        <w:t xml:space="preserve"> </w:t>
      </w:r>
      <w:r>
        <w:rPr>
          <w:rFonts w:ascii="Times New Roman;serif" w:hAnsi="Times New Roman;serif"/>
          <w:b w:val="false"/>
          <w:i/>
          <w:color w:val="000000"/>
          <w:sz w:val="22"/>
        </w:rPr>
        <w:t xml:space="preserve">worldwide revenue growth, positive Adjusted EBITDA and cash flow breakeven </w:t>
      </w:r>
    </w:p>
    <w:p>
      <w:pPr>
        <w:pStyle w:val="TextBody"/>
        <w:bidi w:val="0"/>
        <w:spacing w:before="0" w:after="0"/>
        <w:jc w:val="center"/>
        <w:rPr/>
      </w:pPr>
      <w:r>
        <w:rPr/>
      </w:r>
    </w:p>
    <w:p>
      <w:pPr>
        <w:pStyle w:val="TextBody"/>
        <w:bidi w:val="0"/>
        <w:spacing w:lineRule="auto" w:line="465" w:before="0" w:after="0"/>
        <w:jc w:val="both"/>
        <w:rPr/>
      </w:pPr>
      <w:r>
        <w:rPr>
          <w:rFonts w:ascii="Times New Roman;serif" w:hAnsi="Times New Roman;serif"/>
          <w:b/>
          <w:color w:val="000000"/>
          <w:sz w:val="22"/>
        </w:rPr>
        <w:t>Second Quarter 2025 Financial Highlights</w:t>
      </w:r>
      <w:r>
        <w:rPr>
          <w:color w:val="000000"/>
        </w:rPr>
        <w:t xml:space="preserve"> </w:t>
      </w:r>
      <w:r>
        <w:rPr>
          <w:rFonts w:ascii="Times New Roman;serif" w:hAnsi="Times New Roman;serif"/>
          <w:b w:val="false"/>
          <w:i/>
          <w:color w:val="000000"/>
          <w:sz w:val="22"/>
        </w:rPr>
        <w:t>(all comparisons are to the prior year period)</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Worldwide revenue of $48.6 million, representing growth of 21.7%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U.S. revenue of $46.4 million, representing growth of 22.8%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Gross margin of 79.8%, representing an improvement of 80 basis points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Net loss of $6.2 million, representing an improvement of 31.2%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Positive adjusted EBITDA of $1.0 million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$145.5 million in cash and equivalents, with $1.1 million net cash generated in the quarter </w:t>
      </w:r>
    </w:p>
    <w:p>
      <w:pPr>
        <w:pStyle w:val="TextBody"/>
        <w:bidi w:val="0"/>
        <w:spacing w:lineRule="auto" w:line="465" w:before="0" w:after="0"/>
        <w:jc w:val="both"/>
        <w:rPr/>
      </w:pPr>
      <w:r>
        <w:rPr>
          <w:rFonts w:ascii="Times New Roman;serif" w:hAnsi="Times New Roman;serif"/>
          <w:b/>
          <w:color w:val="000000"/>
          <w:sz w:val="22"/>
        </w:rPr>
        <w:t xml:space="preserve">Recent Operational Highlights </w:t>
      </w:r>
      <w:r>
        <w:rPr>
          <w:rFonts w:ascii="Times New Roman;serif" w:hAnsi="Times New Roman;serif"/>
          <w:b w:val="false"/>
          <w:i/>
          <w:color w:val="000000"/>
          <w:sz w:val="22"/>
        </w:rPr>
        <w:t>(any comparisons are to the prior year period)</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1,440 active U.S. physicians, representing growth of ~25%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$2.1 million in trailing 12-month average revenue per territory, representing an increase of ~23%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CMS final FY2026 hospital inpatient rule confirmed the New Technology Add-On Payment (“NTAP”) effective October 1, 2025, paying an additional amount up to $4,136 for procedures involving iFuse TORQ TNT</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CMS proposed the continuation of the Transitional Pass-Through Payment for Granite for CY2026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In July, launched iFuse TORQ across Europe with first cases performed in multiple countries</w:t>
      </w:r>
    </w:p>
    <w:p>
      <w:pPr>
        <w:pStyle w:val="TextBody"/>
        <w:bidi w:val="0"/>
        <w:spacing w:before="0" w:after="0"/>
        <w:ind w:left="0" w:right="0" w:hanging="90"/>
        <w:jc w:val="both"/>
        <w:rPr/>
      </w:pPr>
      <w:r>
        <w:rPr/>
      </w:r>
    </w:p>
    <w:p>
      <w:pPr>
        <w:pStyle w:val="TextBody"/>
        <w:bidi w:val="0"/>
        <w:spacing w:lineRule="auto" w:line="465" w:before="0" w:after="0"/>
        <w:jc w:val="both"/>
        <w:rPr>
          <w:rFonts w:ascii="Times New Roman;serif" w:hAnsi="Times New Roman;serif"/>
          <w:b/>
          <w:color w:val="000000"/>
          <w:sz w:val="22"/>
        </w:rPr>
      </w:pPr>
      <w:r>
        <w:rPr>
          <w:rFonts w:ascii="Times New Roman;serif" w:hAnsi="Times New Roman;serif"/>
          <w:b/>
          <w:color w:val="000000"/>
          <w:sz w:val="22"/>
        </w:rPr>
        <w:t>Commercial Leadership Update</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 xml:space="preserve">Tony Recupero, President, Commercial Operations, announced his decision to retire effective February 15, 2026. Effective February 16, 2025, he will transition to a 12-month advisory role </w:t>
      </w:r>
    </w:p>
    <w:p>
      <w:pPr>
        <w:pStyle w:val="TextBody"/>
        <w:bidi w:val="0"/>
        <w:spacing w:lineRule="auto" w:line="465" w:before="0" w:after="0"/>
        <w:ind w:left="0" w:right="0" w:hanging="450"/>
        <w:jc w:val="both"/>
        <w:rPr/>
      </w:pPr>
      <w:r>
        <w:rPr>
          <w:color w:val="000000"/>
        </w:rPr>
        <w:t>•</w:t>
      </w:r>
      <w:r>
        <w:rPr>
          <w:rFonts w:ascii="Times New Roman;serif" w:hAnsi="Times New Roman;serif"/>
          <w:b w:val="false"/>
          <w:color w:val="000000"/>
          <w:sz w:val="22"/>
        </w:rPr>
        <w:t>Announced the appointment of Nikolas Kerr, Senior Vice President of Product, Marketing and Business Development, as Chief Commercial Officer to succeed Tony Recupero effective February 16, 2026</w:t>
      </w:r>
    </w:p>
    <w:p>
      <w:pPr>
        <w:pStyle w:val="TextBody"/>
        <w:bidi w:val="0"/>
        <w:spacing w:before="0" w:after="0"/>
        <w:ind w:left="0" w:right="0" w:hanging="90"/>
        <w:jc w:val="both"/>
        <w:rPr/>
      </w:pPr>
      <w:r>
        <w:rPr/>
      </w:r>
    </w:p>
    <w:p>
      <w:pPr>
        <w:pStyle w:val="TextBody"/>
        <w:bidi w:val="0"/>
        <w:spacing w:lineRule="auto" w:line="465" w:before="0" w:after="0"/>
        <w:jc w:val="both"/>
        <w:rPr/>
      </w:pPr>
      <w:r>
        <w:rPr>
          <w:rFonts w:ascii="Times New Roman;serif" w:hAnsi="Times New Roman;serif"/>
          <w:b/>
          <w:color w:val="000000"/>
          <w:sz w:val="22"/>
        </w:rPr>
        <w:t xml:space="preserve">SANTA CLARA, Calif. </w:t>
      </w:r>
      <w:r>
        <w:rPr>
          <w:rFonts w:ascii="Times New Roman;serif" w:hAnsi="Times New Roman;serif"/>
          <w:b w:val="false"/>
          <w:color w:val="000000"/>
          <w:sz w:val="22"/>
        </w:rPr>
        <w:t>August 4, 2025 - SI-BONE, Inc. (Nasdaq: SIBN), a medical device company dedicated to solving sacropelvic disorders, today reported financial results for the quarter ended June 30, 2025.</w:t>
      </w:r>
    </w:p>
    <w:p>
      <w:pPr>
        <w:pStyle w:val="TextBody"/>
        <w:bidi w:val="0"/>
        <w:spacing w:before="0" w:after="0"/>
        <w:jc w:val="both"/>
        <w:rPr/>
      </w:pPr>
      <w:r>
        <w:rPr/>
      </w:r>
    </w:p>
    <w:p>
      <w:pPr>
        <w:pStyle w:val="TextBody"/>
        <w:bidi w:val="0"/>
        <w:spacing w:lineRule="auto" w:line="465"/>
        <w:jc w:val="both"/>
        <w:rPr>
          <w:color w:val="000000"/>
        </w:rPr>
      </w:pPr>
      <w:r>
        <w:rPr>
          <w:color w:val="000000"/>
        </w:rPr>
        <w:t>“</w:t>
      </w:r>
      <w:r>
        <w:rPr>
          <w:rFonts w:ascii="Times New Roman;serif" w:hAnsi="Times New Roman;serif"/>
          <w:b w:val="false"/>
          <w:color w:val="000000"/>
          <w:sz w:val="22"/>
        </w:rPr>
        <w:t xml:space="preserve">Our strong second-quarter performance highlights how our innovation-driven strategy continues to fuel robust engagement across our rapidly expanding physician base,” said Laura Francis, Chief Executive Officer. “We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delivered double-digit procedure volume growth across all our U.S. target markets, propelled by accelerating adoption of our latest product launches and sustained demand for our proven solutions. Beyond top-line momentum, our consistent delivery of positive Adjusted EBITDA and achievement of cash flow breakeven this quarter underscore the power of our asset-light model and disciplined execution.”</w:t>
      </w:r>
    </w:p>
    <w:p>
      <w:pPr>
        <w:pStyle w:val="TextBody"/>
        <w:bidi w:val="0"/>
        <w:spacing w:before="0" w:after="0"/>
        <w:jc w:val="both"/>
        <w:rPr/>
      </w:pPr>
      <w:r>
        <w:rPr/>
      </w:r>
    </w:p>
    <w:p>
      <w:pPr>
        <w:pStyle w:val="TextBody"/>
        <w:bidi w:val="0"/>
        <w:spacing w:lineRule="auto" w:line="465" w:before="0" w:after="0"/>
        <w:jc w:val="both"/>
        <w:rPr>
          <w:color w:val="000000"/>
        </w:rPr>
      </w:pPr>
      <w:r>
        <w:rPr>
          <w:color w:val="000000"/>
        </w:rPr>
        <w:t>“</w:t>
      </w:r>
      <w:r>
        <w:rPr>
          <w:rFonts w:ascii="Times New Roman;serif" w:hAnsi="Times New Roman;serif"/>
          <w:b w:val="false"/>
          <w:color w:val="000000"/>
          <w:sz w:val="22"/>
        </w:rPr>
        <w:t>Given Tony’s decision to retire, I want to extend my deepest thanks to him for his outstanding leadership, partnership, and friendship over the past decade,” Laura Francis continued. “He built the industry’s premier commercial organization, led the successful launch of multiple procedural solutions, and developed a world-class leadership team that positions us for enduring success. With the planned transition in place, I’m excited to partner with Nik in the new role. I’m confident that the best is yet to come as we expand our platform, deepen physician engagement, and deliver sustained, profitable growth.”</w:t>
      </w:r>
    </w:p>
    <w:p>
      <w:pPr>
        <w:pStyle w:val="TextBody"/>
        <w:bidi w:val="0"/>
        <w:spacing w:before="0" w:after="0"/>
        <w:jc w:val="left"/>
        <w:rPr/>
      </w:pPr>
      <w:r>
        <w:rPr/>
      </w:r>
    </w:p>
    <w:p>
      <w:pPr>
        <w:pStyle w:val="TextBody"/>
        <w:bidi w:val="0"/>
        <w:spacing w:lineRule="auto" w:line="333" w:before="55" w:after="30"/>
        <w:jc w:val="left"/>
        <w:rPr>
          <w:rFonts w:ascii="Times New Roman;serif" w:hAnsi="Times New Roman;serif"/>
          <w:b/>
          <w:color w:val="000000"/>
          <w:sz w:val="22"/>
        </w:rPr>
      </w:pPr>
      <w:r>
        <w:rPr>
          <w:rFonts w:ascii="Times New Roman;serif" w:hAnsi="Times New Roman;serif"/>
          <w:b/>
          <w:color w:val="000000"/>
          <w:sz w:val="22"/>
        </w:rPr>
        <w:t>Second Quarter 2025 Financial Results</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Worldwide revenue was $48.6 million in the second quarter 2025, a 21.7% increase from $40.0 million in the corresponding period in 2024. U.S. revenue for the second quarter 2025 was $46.4 million, a 22.8% increase from $37.8 million in the corresponding period in 2024. U.S revenue growth benefited from the strong underlying procedure demand. International revenue for the second quarter 2025 and the prior year period was $2.2 million.</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Gross profit was $38.8 million in the second quarter 2025, an increase of 22.9% from $31.6 million in the corresponding period in 2024. Gross margin was 79.8% for the second quarter 2025 compared to 79.0% in the corresponding period in 2024, representing an improvement of 80 basis points. </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Operating expenses increased 10.0% to $45.8 million in the second quarter 2025, as compared to $41.7 million in the corresponding period in 2024. The change in operating expenses was primarily driven by general commercial activity related to higher revenue and new product rollout as well as elevated general and administrative spend. </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Operating loss improved by 30.5% to $7.0 million in the second quarter 2025, as compared to an operating loss of $10.1 million in the corresponding period in 2024.</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loss improved by 31.2% to $6.2 million, or $0.14 per diluted share in the second quarter 2025, as compared to a net loss of $8.9 million, or $0.22 per diluted share in the corresponding period in 2024.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Adjusted EBITDA was positive $1.0 million in the second quarter 2025, improving from an adjusted EBITDA loss of $2.7 million in the corresponding period in 2024. </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Cash and equivalents as of June 30, 2025 were $145.5 million, compared to $144.4 million as of March 31, 2025. Net cash generated was $1.1 million in the second quarter 2025, compared to $6.3 million in net cash usage during the corresponding period in 2024. </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color w:val="000000"/>
          <w:sz w:val="22"/>
        </w:rPr>
      </w:pPr>
      <w:r>
        <w:rPr>
          <w:rFonts w:ascii="Times New Roman;serif" w:hAnsi="Times New Roman;serif"/>
          <w:b/>
          <w:color w:val="000000"/>
          <w:sz w:val="22"/>
        </w:rPr>
        <w:t xml:space="preserve">Fiscal 2025 Updated Financial Guidance </w:t>
      </w:r>
    </w:p>
    <w:p>
      <w:pPr>
        <w:pStyle w:val="TextBody"/>
        <w:bidi w:val="0"/>
        <w:spacing w:lineRule="auto" w:line="484" w:before="0" w:after="0"/>
        <w:jc w:val="both"/>
        <w:rPr/>
      </w:pPr>
      <w:r>
        <w:rPr>
          <w:rFonts w:ascii="Times New Roman;serif" w:hAnsi="Times New Roman;serif"/>
          <w:b w:val="false"/>
          <w:color w:val="000000"/>
          <w:sz w:val="22"/>
        </w:rPr>
        <w:t>SI-BONE expects 2025 worldwide revenue to be in the range of $195 million to $198 million, implying year-over-year growth of ~17% to ~18%. SI-BONE estimates full year 2025 gross margin to be between 78.5% and 79.0%.</w:t>
      </w:r>
      <w:r>
        <w:rPr>
          <w:color w:val="000000"/>
        </w:rPr>
        <w:t xml:space="preserve"> </w:t>
      </w:r>
      <w:r>
        <w:rPr>
          <w:rFonts w:ascii="Times New Roman;serif" w:hAnsi="Times New Roman;serif"/>
          <w:b w:val="false"/>
          <w:color w:val="000000"/>
          <w:sz w:val="22"/>
        </w:rPr>
        <w:t xml:space="preserve">SI-BONE anticipates operating expenses to grow at ~10% at the mid-point of the revenue guidance and expects to deliver positive adjusted EBITDA for the full year 2025. </w:t>
      </w:r>
    </w:p>
    <w:p>
      <w:pPr>
        <w:pStyle w:val="TextBody"/>
        <w:bidi w:val="0"/>
        <w:spacing w:before="0" w:after="0"/>
        <w:jc w:val="both"/>
        <w:rPr/>
      </w:pPr>
      <w:r>
        <w:rPr/>
      </w:r>
    </w:p>
    <w:tbl>
      <w:tblPr>
        <w:tblW w:w="5444" w:type="dxa"/>
        <w:jc w:val="left"/>
        <w:tblInd w:w="0" w:type="dxa"/>
        <w:tblLayout w:type="fixed"/>
        <w:tblCellMar>
          <w:top w:w="28" w:type="dxa"/>
          <w:left w:w="28" w:type="dxa"/>
          <w:bottom w:w="28" w:type="dxa"/>
          <w:right w:w="28" w:type="dxa"/>
        </w:tblCellMar>
      </w:tblPr>
      <w:tblGrid>
        <w:gridCol w:w="645"/>
        <w:gridCol w:w="569"/>
        <w:gridCol w:w="570"/>
        <w:gridCol w:w="620"/>
        <w:gridCol w:w="620"/>
        <w:gridCol w:w="620"/>
        <w:gridCol w:w="522"/>
        <w:gridCol w:w="522"/>
        <w:gridCol w:w="756"/>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2025 Guidance</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New (August 4, 2025)</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Prior (May 5, 2025)</w:t>
            </w:r>
          </w:p>
        </w:tc>
      </w:tr>
      <w:tr>
        <w:trPr/>
        <w:tc>
          <w:tcPr>
            <w:tcW w:w="178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8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$195M - $198M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~17%-18% growth</w:t>
            </w:r>
          </w:p>
        </w:tc>
        <w:tc>
          <w:tcPr>
            <w:tcW w:w="180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$193.5M - $197.5M</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~16%-18% growth</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78.5% to 79.0%</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growth</w:t>
              <w:br/>
              <w:t>at revenue midpoint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growth</w:t>
              <w:br/>
              <w:t>at revenue midpoint</w:t>
            </w:r>
          </w:p>
        </w:tc>
      </w:tr>
      <w:tr>
        <w:trPr/>
        <w:tc>
          <w:tcPr>
            <w:tcW w:w="178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86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33"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c>
          <w:tcPr>
            <w:tcW w:w="1800"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333" w:before="0" w:after="0"/>
              <w:jc w:val="center"/>
              <w:rPr>
                <w:rFonts w:ascii="Times New Roman;serif" w:hAnsi="Times New Roman;serif"/>
                <w:b w:val="false"/>
                <w:i/>
                <w:color w:val="000000"/>
                <w:sz w:val="20"/>
              </w:rPr>
            </w:pPr>
            <w:r>
              <w:rPr>
                <w:rFonts w:ascii="Times New Roman;serif" w:hAnsi="Times New Roman;serif"/>
                <w:b w:val="false"/>
                <w:i/>
                <w:color w:val="000000"/>
                <w:sz w:val="20"/>
              </w:rPr>
              <w:t>Positive</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878" w:before="0" w:after="0"/>
        <w:jc w:val="both"/>
        <w:rPr>
          <w:rFonts w:ascii="Times New Roman;serif" w:hAnsi="Times New Roman;serif"/>
          <w:b/>
          <w:color w:val="000000"/>
          <w:sz w:val="22"/>
        </w:rPr>
      </w:pPr>
      <w:r>
        <w:rPr>
          <w:rFonts w:ascii="Times New Roman;serif" w:hAnsi="Times New Roman;serif"/>
          <w:b/>
          <w:color w:val="000000"/>
          <w:sz w:val="22"/>
        </w:rPr>
        <w:t>Webcast Information</w:t>
      </w:r>
    </w:p>
    <w:p>
      <w:pPr>
        <w:pStyle w:val="TextBody"/>
        <w:bidi w:val="0"/>
        <w:spacing w:lineRule="auto" w:line="484" w:before="0" w:after="0"/>
        <w:jc w:val="both"/>
        <w:rPr>
          <w:rFonts w:ascii="Times New Roman;serif" w:hAnsi="Times New Roman;serif"/>
          <w:b w:val="false"/>
          <w:color w:val="000000"/>
          <w:sz w:val="22"/>
        </w:rPr>
      </w:pPr>
      <w:r>
        <w:rPr>
          <w:rFonts w:ascii="Times New Roman;serif" w:hAnsi="Times New Roman;serif"/>
          <w:b w:val="false"/>
          <w:color w:val="000000"/>
          <w:sz w:val="22"/>
        </w:rPr>
        <w:t>SI-BONE will host a conference call to discuss the second quarter 2025 financial results after market close on Monday, August 4, 2025 at 4:30 P.M. Eastern Time. The conference call can be accessed live over webcast at https://edge.media-server.com/mmc/p/fnam2tia. Live audio of the webcast will be available on the “Investors” section of the company’s website at: www.si-bone.com. The webcast will be archived and available for replay for at least 90 days after the event.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65" w:before="0" w:after="0"/>
        <w:jc w:val="both"/>
        <w:rPr>
          <w:rFonts w:ascii="Times New Roman;serif" w:hAnsi="Times New Roman;serif"/>
          <w:b/>
          <w:color w:val="000000"/>
          <w:sz w:val="22"/>
        </w:rPr>
      </w:pPr>
      <w:r>
        <w:rPr>
          <w:rFonts w:ascii="Times New Roman;serif" w:hAnsi="Times New Roman;serif"/>
          <w:b/>
          <w:color w:val="000000"/>
          <w:sz w:val="22"/>
        </w:rPr>
        <w:t>About SI-BONE, Inc.</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SI-BONE (NASDAQ: SIBN) is a global leader in developing unique technologies for surgical treatment of sacropelvic disorders. Since pioneering minimally invasive SI joint surgery in 2009, SI-BONE has supported over 4,600 physicians in performing a total of nearly 130,000 procedures. A unique body of clinical evidence supports the use of SI-BONE’s technologies, including four randomized controlled trials and over 175 peer reviewed publications. SI-BONE has leveraged its leadership in minimally invasive SI joint fusion to commercialize novel solutions for adjacent markets, including adult deformity, sacropelvic fixation and pelvic trauma.</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For additional information on the company or the products including risks and benefits, please visit www.si-bone.com.</w:t>
      </w:r>
    </w:p>
    <w:p>
      <w:pPr>
        <w:pStyle w:val="TextBody"/>
        <w:bidi w:val="0"/>
        <w:spacing w:before="0" w:after="0"/>
        <w:jc w:val="both"/>
        <w:rPr/>
      </w:pPr>
      <w:r>
        <w:rPr/>
      </w:r>
    </w:p>
    <w:p>
      <w:pPr>
        <w:pStyle w:val="TextBody"/>
        <w:bidi w:val="0"/>
        <w:spacing w:lineRule="auto" w:line="362"/>
        <w:jc w:val="left"/>
        <w:rPr>
          <w:rFonts w:ascii="Times New Roman;serif" w:hAnsi="Times New Roman;serif"/>
          <w:b w:val="false"/>
          <w:color w:val="000000"/>
          <w:sz w:val="22"/>
        </w:rPr>
      </w:pPr>
      <w:r>
        <w:rPr>
          <w:rFonts w:ascii="Times New Roman;serif" w:hAnsi="Times New Roman;serif"/>
          <w:b w:val="false"/>
          <w:color w:val="000000"/>
          <w:sz w:val="22"/>
        </w:rPr>
        <w:t>iFuse Bedrock Granite, iFuse TORQ, iFuse TORQ TNT and SI-BONE are trademarks of SI-BONE, Inc. ©2025 SI-BONE, Inc. All Rights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The statements in this press release regarding expectations of future events or results, including SI-BONE’s expectations of continued revenue and procedure growth and financial outlook, are “forward-looking” statements. These forward-looking statements are based on SI-BONE’s current expectations and inherently involve significant risks and uncertainties. These risks include SI-BONE’s ability to introduce and commercialize new products and indications, SI-BONE’s ability to maintain favorable reimbursement for procedures using its products, the impact of any future economic weakness or deterioration in economic conditions as a result of tariffs and retaliation by U.S. trading partners on the ability and desire of patients to undergo elective procedures including those using SI-BONE’s products, SI-BONE’s ability to manage risks to its supply chain, future capital requirements driven by new surgical systems requiring instrument tray and implant inventory investment, and the pace of the re-normalization of the healthcare operating environment including the ability and desire of patients and physicians to undergo and perform procedures using SI-BONE’s products. Actual results and the timing of events could differ materially from those anticipated in such forward-looking statements as a result of these and other risks and uncertainties, many of which are described in SI-BONE’s most recent filing on Form 10-K, and SI-BONE’s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pStyle w:val="TextBody"/>
        <w:bidi w:val="0"/>
        <w:spacing w:before="0" w:after="0"/>
        <w:jc w:val="both"/>
        <w:rPr/>
      </w:pPr>
      <w:r>
        <w:rPr/>
      </w:r>
    </w:p>
    <w:p>
      <w:pPr>
        <w:pStyle w:val="TextBody"/>
        <w:bidi w:val="0"/>
        <w:spacing w:lineRule="auto" w:line="465" w:before="0" w:after="0"/>
        <w:jc w:val="both"/>
        <w:rPr>
          <w:rFonts w:ascii="Times New Roman;serif" w:hAnsi="Times New Roman;serif"/>
          <w:b/>
          <w:color w:val="000000"/>
          <w:sz w:val="22"/>
        </w:rPr>
      </w:pPr>
      <w:r>
        <w:rPr>
          <w:rFonts w:ascii="Times New Roman;serif" w:hAnsi="Times New Roman;serif"/>
          <w:b/>
          <w:color w:val="000000"/>
          <w:sz w:val="22"/>
        </w:rPr>
        <w:t>Use of Non-GAAP Financial Measures</w:t>
      </w:r>
    </w:p>
    <w:p>
      <w:pPr>
        <w:pStyle w:val="TextBody"/>
        <w:bidi w:val="0"/>
        <w:spacing w:before="0" w:after="0"/>
        <w:jc w:val="left"/>
        <w:rPr/>
      </w:pPr>
      <w:r>
        <w:rPr/>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SI-BONE uses adjusted EBITDA, a non-GAAP financial measures that excludes from net loss the effects of interest income, interest expense, depreciation and amortization, and stock-based compensation. SI-BONE believes the presentation of adjusted EBITDA is useful to management because it allows management to more consistently analyze period-to-period financial performance and provides meaningful supplemental information with respect to core operational activities used to evaluate management's performance. SI-BONE also believes the presentation of adjusted EBITDA is useful to investors and other interested persons as it enables these persons to use this additional information to assess the company’s performance in using this additional metric that management uses to assess the company’s performance.</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Adjusted EBITDA should be considered supplemental to, and not a substitute for, financial information prepared in accordance with GAAP. Because adjusted EBITDA excludes the effect of items that increase or decrease SI-BONE’s reported results of operations, management strongly encourages investors to review, when they become available, the company's consolidated financial statements and publicly filed reports in their entirety. The company's definition of adjusted EBITDA may differ from similarly titled measures used by others.</w:t>
      </w:r>
    </w:p>
    <w:p>
      <w:pPr>
        <w:pStyle w:val="TextBody"/>
        <w:bidi w:val="0"/>
        <w:spacing w:before="0" w:after="0"/>
        <w:jc w:val="left"/>
        <w:rPr/>
      </w:pPr>
      <w:r>
        <w:rPr/>
      </w:r>
    </w:p>
    <w:p>
      <w:pPr>
        <w:pStyle w:val="TextBody"/>
        <w:bidi w:val="0"/>
        <w:spacing w:lineRule="auto" w:line="386"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Saqib Iqbal</w: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VP, FP&amp;A, and Investor Relations</w:t>
      </w:r>
    </w:p>
    <w:p>
      <w:pPr>
        <w:pStyle w:val="TextBody"/>
        <w:bidi w:val="0"/>
        <w:spacing w:lineRule="auto" w:line="465" w:before="0" w:after="0"/>
        <w:jc w:val="both"/>
        <w:rPr>
          <w:rFonts w:ascii="Times New Roman;serif" w:hAnsi="Times New Roman;serif"/>
          <w:b w:val="false"/>
          <w:color w:val="000000"/>
          <w:sz w:val="22"/>
        </w:rPr>
      </w:pPr>
      <w:r>
        <w:rPr>
          <w:rFonts w:ascii="Times New Roman;serif" w:hAnsi="Times New Roman;serif"/>
          <w:b w:val="false"/>
          <w:color w:val="000000"/>
          <w:sz w:val="22"/>
        </w:rPr>
        <w:t>investors@SI-BONE.com</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77"/>
        <w:gridCol w:w="1098"/>
        <w:gridCol w:w="1022"/>
        <w:gridCol w:w="244"/>
        <w:gridCol w:w="837"/>
        <w:gridCol w:w="109"/>
        <w:gridCol w:w="109"/>
        <w:gridCol w:w="109"/>
        <w:gridCol w:w="109"/>
        <w:gridCol w:w="244"/>
        <w:gridCol w:w="837"/>
        <w:gridCol w:w="109"/>
        <w:gridCol w:w="109"/>
        <w:gridCol w:w="109"/>
        <w:gridCol w:w="109"/>
        <w:gridCol w:w="109"/>
        <w:gridCol w:w="109"/>
        <w:gridCol w:w="134"/>
        <w:gridCol w:w="134"/>
        <w:gridCol w:w="347"/>
        <w:gridCol w:w="942"/>
        <w:gridCol w:w="134"/>
        <w:gridCol w:w="109"/>
        <w:gridCol w:w="109"/>
        <w:gridCol w:w="109"/>
        <w:gridCol w:w="240"/>
        <w:gridCol w:w="841"/>
        <w:gridCol w:w="157"/>
      </w:tblGrid>
      <w:tr>
        <w:trPr/>
        <w:tc>
          <w:tcPr>
            <w:tcW w:w="157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565" w:type="dxa"/>
            <w:gridSpan w:val="6"/>
            <w:tcBorders/>
          </w:tcPr>
          <w:p>
            <w:pPr>
              <w:pStyle w:val="TableContents"/>
              <w:bidi w:val="0"/>
              <w:spacing w:before="0" w:after="283"/>
              <w:jc w:val="left"/>
              <w:rPr>
                <w:sz w:val="4"/>
                <w:szCs w:val="4"/>
              </w:rPr>
            </w:pPr>
            <w:r>
              <w:rPr>
                <w:sz w:val="4"/>
                <w:szCs w:val="4"/>
              </w:rPr>
            </w:r>
          </w:p>
        </w:tc>
      </w:tr>
      <w:tr>
        <w:trPr/>
        <w:tc>
          <w:tcPr>
            <w:tcW w:w="3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77,836 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90,986 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42,788,123 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41,317,627 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9"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42,564,158 </w:t>
            </w:r>
          </w:p>
        </w:tc>
        <w:tc>
          <w:tcPr>
            <w:tcW w:w="13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41,126,009 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7780" w:type="dxa"/>
        <w:jc w:val="center"/>
        <w:tblInd w:w="0" w:type="dxa"/>
        <w:tblLayout w:type="fixed"/>
        <w:tblCellMar>
          <w:top w:w="28" w:type="dxa"/>
          <w:left w:w="28" w:type="dxa"/>
          <w:bottom w:w="28" w:type="dxa"/>
          <w:right w:w="28" w:type="dxa"/>
        </w:tblCellMar>
      </w:tblPr>
      <w:tblGrid>
        <w:gridCol w:w="1705"/>
        <w:gridCol w:w="1499"/>
        <w:gridCol w:w="1506"/>
        <w:gridCol w:w="212"/>
        <w:gridCol w:w="833"/>
        <w:gridCol w:w="109"/>
        <w:gridCol w:w="109"/>
        <w:gridCol w:w="109"/>
        <w:gridCol w:w="109"/>
        <w:gridCol w:w="281"/>
        <w:gridCol w:w="1103"/>
        <w:gridCol w:w="205"/>
      </w:tblGrid>
      <w:tr>
        <w:trPr/>
        <w:tc>
          <w:tcPr>
            <w:tcW w:w="1705"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207,779 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RECONCILIATION OF NET LOSS TO NON-GAAP ADJUSTED EBITDA</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386"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8293" w:type="dxa"/>
        <w:jc w:val="center"/>
        <w:tblInd w:w="0" w:type="dxa"/>
        <w:tblLayout w:type="fixed"/>
        <w:tblCellMar>
          <w:top w:w="28" w:type="dxa"/>
          <w:left w:w="28" w:type="dxa"/>
          <w:bottom w:w="28" w:type="dxa"/>
          <w:right w:w="28" w:type="dxa"/>
        </w:tblCellMar>
      </w:tblPr>
      <w:tblGrid>
        <w:gridCol w:w="941"/>
        <w:gridCol w:w="821"/>
        <w:gridCol w:w="832"/>
        <w:gridCol w:w="109"/>
        <w:gridCol w:w="109"/>
        <w:gridCol w:w="109"/>
        <w:gridCol w:w="219"/>
        <w:gridCol w:w="719"/>
        <w:gridCol w:w="113"/>
        <w:gridCol w:w="113"/>
        <w:gridCol w:w="113"/>
        <w:gridCol w:w="113"/>
        <w:gridCol w:w="219"/>
        <w:gridCol w:w="719"/>
        <w:gridCol w:w="113"/>
        <w:gridCol w:w="109"/>
        <w:gridCol w:w="109"/>
        <w:gridCol w:w="109"/>
        <w:gridCol w:w="211"/>
        <w:gridCol w:w="796"/>
        <w:gridCol w:w="109"/>
        <w:gridCol w:w="109"/>
        <w:gridCol w:w="109"/>
        <w:gridCol w:w="109"/>
        <w:gridCol w:w="211"/>
        <w:gridCol w:w="79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(8,939)</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3001</Words>
  <Characters>17324</Characters>
  <CharactersWithSpaces>20110</CharactersWithSpaces>
  <Paragraphs>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