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Financial Officer</w:t>
      </w:r>
    </w:p>
    <w:p>
      <w:pPr>
        <w:spacing w:after="0" w:line="391"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1"/>
          </w:tcPr>
          <w:p>
            <w:pPr>
              <w:ind w:left="36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00" w:type="dxa"/>
            <w:vAlign w:val="bottom"/>
            <w:gridSpan w:val="11"/>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Arial" w:cs="Arial" w:eastAsia="Arial" w:hAnsi="Arial"/>
                <w:sz w:val="13"/>
                <w:szCs w:val="13"/>
                <w:color w:val="0000FF"/>
              </w:rPr>
              <w:t>M</w:t>
            </w:r>
          </w:p>
        </w:tc>
        <w:tc>
          <w:tcPr>
            <w:tcW w:w="720" w:type="dxa"/>
            <w:vAlign w:val="bottom"/>
          </w:tcPr>
          <w:p>
            <w:pPr>
              <w:ind w:left="300"/>
              <w:spacing w:after="0"/>
              <w:rPr>
                <w:sz w:val="20"/>
                <w:szCs w:val="20"/>
                <w:color w:val="auto"/>
              </w:rPr>
            </w:pPr>
            <w:r>
              <w:rPr>
                <w:rFonts w:ascii="Arial" w:cs="Arial" w:eastAsia="Arial" w:hAnsi="Arial"/>
                <w:sz w:val="17"/>
                <w:szCs w:val="17"/>
                <w:color w:val="0000FF"/>
              </w:rPr>
              <w:t>400</w:t>
            </w:r>
          </w:p>
        </w:tc>
        <w:tc>
          <w:tcPr>
            <w:tcW w:w="640" w:type="dxa"/>
            <w:vAlign w:val="bottom"/>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Arial" w:cs="Arial" w:eastAsia="Arial" w:hAnsi="Arial"/>
                <w:sz w:val="17"/>
                <w:szCs w:val="17"/>
                <w:color w:val="0000FF"/>
              </w:rPr>
              <w:t>179,413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03/01/2021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33.035</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ind w:right="201"/>
              <w:spacing w:after="0"/>
              <w:rPr>
                <w:sz w:val="20"/>
                <w:szCs w:val="20"/>
                <w:color w:val="auto"/>
              </w:rPr>
            </w:pPr>
            <w:r>
              <w:rPr>
                <w:rFonts w:ascii="Arial" w:cs="Arial" w:eastAsia="Arial" w:hAnsi="Arial"/>
                <w:sz w:val="17"/>
                <w:szCs w:val="17"/>
                <w:color w:val="0000FF"/>
              </w:rPr>
              <w:t>179,013</w:t>
            </w:r>
            <w:r>
              <w:rPr>
                <w:rFonts w:ascii="Arial" w:cs="Arial" w:eastAsia="Arial" w:hAnsi="Arial"/>
                <w:sz w:val="21"/>
                <w:szCs w:val="21"/>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03/01/2021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Arial" w:cs="Arial" w:eastAsia="Arial" w:hAnsi="Arial"/>
                <w:sz w:val="13"/>
                <w:szCs w:val="13"/>
                <w:color w:val="0000FF"/>
              </w:rPr>
              <w:t>400</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05/25/2025</w:t>
            </w:r>
          </w:p>
        </w:tc>
        <w:tc>
          <w:tcPr>
            <w:tcW w:w="64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400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00"/>
              <w:spacing w:after="0"/>
              <w:rPr>
                <w:sz w:val="20"/>
                <w:szCs w:val="20"/>
                <w:color w:val="auto"/>
              </w:rPr>
            </w:pPr>
            <w:r>
              <w:rPr>
                <w:rFonts w:ascii="Arial" w:cs="Arial" w:eastAsia="Arial" w:hAnsi="Arial"/>
                <w:sz w:val="13"/>
                <w:szCs w:val="13"/>
                <w:color w:val="0000FF"/>
                <w:w w:val="85"/>
              </w:rPr>
              <w:t>110,750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-3371850</wp:posOffset>
            </wp:positionV>
            <wp:extent cx="7033260" cy="3512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121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$33.00 to $33.10,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5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116,828 shares issuable on the settlement of restricted stock units granted to the Reporting Person. Each restricted stock unit represents a contingent right to receive one shares of the Issuer's common stock.</w:t>
      </w:r>
    </w:p>
    <w:p>
      <w:pPr>
        <w:spacing w:after="0" w:line="23" w:lineRule="exact"/>
        <w:rPr>
          <w:rFonts w:ascii="Arial" w:cs="Arial" w:eastAsia="Arial" w:hAnsi="Arial"/>
          <w:sz w:val="13"/>
          <w:szCs w:val="13"/>
          <w:color w:val="008000"/>
        </w:rPr>
      </w:pPr>
    </w:p>
    <w:p>
      <w:pPr>
        <w:ind w:left="40" w:right="5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-10795</wp:posOffset>
            </wp:positionV>
            <wp:extent cx="1016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03/03/2021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16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6230" cy="8255"/>
                    </a:xfrm>
                    <a:prstGeom prst="rect">
                      <a:avLst/>
                    </a:prstGeom>
                    <a:noFill/>
                  </pic:spPr>
                </pic:pic>
              </a:graphicData>
            </a:graphic>
          </wp:anchor>
        </w:drawing>
      </w:r>
    </w:p>
    <w:p>
      <w:pPr>
        <w:spacing w:after="0" w:line="4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2021-03-03T19:16:08Z</dcterms:created>
  <dcterms:modified xsi:type="dcterms:W3CDTF">2021-03-03T19:16:08Z</dcterms:modified>
</cp:coreProperties>
</file>