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 FILED PURSUANT TO 13d-1(b), (c) AND</w:t>
      </w:r>
    </w:p>
    <w:p>
      <w:pPr>
        <w:spacing w:after="0" w:line="23" w:lineRule="exact"/>
        <w:rPr>
          <w:sz w:val="24"/>
          <w:szCs w:val="24"/>
          <w:color w:val="auto"/>
        </w:rPr>
      </w:pPr>
    </w:p>
    <w:p>
      <w:pPr>
        <w:ind w:left="3320" w:hanging="254"/>
        <w:spacing w:after="0"/>
        <w:tabs>
          <w:tab w:leader="none" w:pos="3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AMENDMENTS THERETO FILED PURSUANT TO 13d-2</w:t>
      </w:r>
    </w:p>
    <w:p>
      <w:pPr>
        <w:spacing w:after="0" w:line="206"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b w:val="1"/>
          <w:bCs w:val="1"/>
          <w:color w:val="auto"/>
        </w:rPr>
        <w:t>(Amendment No. 1)*</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5"/>
          <w:szCs w:val="25"/>
          <w:u w:val="single" w:color="auto"/>
          <w:color w:val="auto"/>
        </w:rPr>
        <w:t>SI-BONE,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825704109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360" w:hanging="482"/>
        <w:spacing w:after="0"/>
        <w:tabs>
          <w:tab w:leader="none" w:pos="5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60" w:hanging="477"/>
        <w:spacing w:after="0"/>
        <w:tabs>
          <w:tab w:leader="none" w:pos="5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60" w:hanging="482"/>
        <w:spacing w:after="0"/>
        <w:tabs>
          <w:tab w:leader="none" w:pos="5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45667G103</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78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560" w:type="dxa"/>
            <w:vAlign w:val="bottom"/>
            <w:gridSpan w:val="2"/>
          </w:tcPr>
          <w:p>
            <w:pPr>
              <w:ind w:left="380"/>
              <w:spacing w:after="0"/>
              <w:rPr>
                <w:sz w:val="20"/>
                <w:szCs w:val="20"/>
                <w:color w:val="auto"/>
              </w:rPr>
            </w:pPr>
            <w:r>
              <w:rPr>
                <w:rFonts w:ascii="Arial" w:cs="Arial" w:eastAsia="Arial" w:hAnsi="Arial"/>
                <w:sz w:val="18"/>
                <w:szCs w:val="18"/>
                <w:color w:val="auto"/>
              </w:rPr>
              <w:t>Gilder, Gagnon, Howe &amp; Co. LLC</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786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Borders>
              <w:right w:val="single" w:sz="8" w:color="auto"/>
            </w:tcBorders>
            <w:vMerge w:val="restart"/>
          </w:tcPr>
          <w:p>
            <w:pPr>
              <w:jc w:val="center"/>
              <w:ind w:left="4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2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16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220" w:type="dxa"/>
            <w:vAlign w:val="bottom"/>
            <w:tcBorders>
              <w:right w:val="single" w:sz="8" w:color="auto"/>
            </w:tcBorders>
          </w:tcPr>
          <w:p>
            <w:pPr>
              <w:jc w:val="center"/>
              <w:ind w:left="3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gridSpan w:val="2"/>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786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786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560" w:type="dxa"/>
            <w:vAlign w:val="bottom"/>
            <w:gridSpan w:val="2"/>
          </w:tcPr>
          <w:p>
            <w:pPr>
              <w:ind w:left="380"/>
              <w:spacing w:after="0"/>
              <w:rPr>
                <w:sz w:val="20"/>
                <w:szCs w:val="20"/>
                <w:color w:val="auto"/>
              </w:rPr>
            </w:pPr>
            <w:r>
              <w:rPr>
                <w:rFonts w:ascii="Arial" w:cs="Arial" w:eastAsia="Arial" w:hAnsi="Arial"/>
                <w:sz w:val="18"/>
                <w:szCs w:val="18"/>
                <w:color w:val="auto"/>
              </w:rPr>
              <w:t>New York</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right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ind w:left="100"/>
              <w:spacing w:after="0"/>
              <w:rPr>
                <w:sz w:val="20"/>
                <w:szCs w:val="20"/>
                <w:color w:val="auto"/>
              </w:rPr>
            </w:pPr>
            <w:r>
              <w:rPr>
                <w:rFonts w:ascii="Arial" w:cs="Arial" w:eastAsia="Arial" w:hAnsi="Arial"/>
                <w:sz w:val="18"/>
                <w:szCs w:val="18"/>
                <w:color w:val="auto"/>
              </w:rPr>
              <w:t>5</w:t>
            </w:r>
          </w:p>
        </w:tc>
        <w:tc>
          <w:tcPr>
            <w:tcW w:w="820" w:type="dxa"/>
            <w:vAlign w:val="bottom"/>
            <w:tcBorders>
              <w:right w:val="single" w:sz="8" w:color="auto"/>
            </w:tcBorders>
          </w:tcPr>
          <w:p>
            <w:pPr>
              <w:spacing w:after="0"/>
              <w:rPr>
                <w:sz w:val="18"/>
                <w:szCs w:val="18"/>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OF</w:t>
            </w: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7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0</w:t>
            </w: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BENEFI-</w:t>
            </w: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60" w:type="dxa"/>
            <w:vAlign w:val="bottom"/>
            <w:tcBorders>
              <w:left w:val="single" w:sz="8" w:color="auto"/>
              <w:right w:val="single" w:sz="8" w:color="auto"/>
            </w:tcBorders>
            <w:vMerge w:val="continue"/>
          </w:tcPr>
          <w:p>
            <w:pPr>
              <w:spacing w:after="0"/>
              <w:rPr>
                <w:sz w:val="8"/>
                <w:szCs w:val="8"/>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6</w:t>
            </w:r>
          </w:p>
        </w:tc>
        <w:tc>
          <w:tcPr>
            <w:tcW w:w="820" w:type="dxa"/>
            <w:vAlign w:val="bottom"/>
            <w:tcBorders>
              <w:right w:val="single" w:sz="8" w:color="auto"/>
            </w:tcBorders>
          </w:tcPr>
          <w:p>
            <w:pPr>
              <w:spacing w:after="0"/>
              <w:rPr>
                <w:sz w:val="8"/>
                <w:szCs w:val="8"/>
                <w:color w:val="auto"/>
              </w:rPr>
            </w:pPr>
          </w:p>
        </w:tc>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2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CIALLY</w:t>
            </w:r>
          </w:p>
        </w:tc>
        <w:tc>
          <w:tcPr>
            <w:tcW w:w="300" w:type="dxa"/>
            <w:vAlign w:val="bottom"/>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740" w:type="dxa"/>
            <w:vAlign w:val="bottom"/>
            <w:vMerge w:val="continue"/>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160" w:type="dxa"/>
            <w:vAlign w:val="bottom"/>
            <w:tcBorders>
              <w:left w:val="single" w:sz="8" w:color="auto"/>
              <w:right w:val="single" w:sz="8" w:color="auto"/>
            </w:tcBorders>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740" w:type="dxa"/>
            <w:vAlign w:val="bottom"/>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OWNED</w:t>
            </w: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74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BY EACH</w:t>
            </w:r>
          </w:p>
        </w:tc>
        <w:tc>
          <w:tcPr>
            <w:tcW w:w="30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740" w:type="dxa"/>
            <w:vAlign w:val="bottom"/>
            <w:vMerge w:val="continue"/>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uto"/>
              <w:right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REPORT-</w:t>
            </w:r>
          </w:p>
        </w:tc>
        <w:tc>
          <w:tcPr>
            <w:tcW w:w="300" w:type="dxa"/>
            <w:vAlign w:val="bottom"/>
          </w:tcPr>
          <w:p>
            <w:pPr>
              <w:ind w:left="100"/>
              <w:spacing w:after="0" w:line="191" w:lineRule="exact"/>
              <w:rPr>
                <w:sz w:val="20"/>
                <w:szCs w:val="20"/>
                <w:color w:val="auto"/>
              </w:rPr>
            </w:pPr>
            <w:r>
              <w:rPr>
                <w:rFonts w:ascii="Arial" w:cs="Arial" w:eastAsia="Arial" w:hAnsi="Arial"/>
                <w:sz w:val="18"/>
                <w:szCs w:val="18"/>
                <w:color w:val="auto"/>
              </w:rPr>
              <w:t>7</w:t>
            </w:r>
          </w:p>
        </w:tc>
        <w:tc>
          <w:tcPr>
            <w:tcW w:w="820" w:type="dxa"/>
            <w:vAlign w:val="bottom"/>
            <w:tcBorders>
              <w:right w:val="single" w:sz="8" w:color="auto"/>
            </w:tcBorders>
          </w:tcPr>
          <w:p>
            <w:pPr>
              <w:spacing w:after="0"/>
              <w:rPr>
                <w:sz w:val="16"/>
                <w:szCs w:val="16"/>
                <w:color w:val="auto"/>
              </w:rPr>
            </w:pPr>
          </w:p>
        </w:tc>
        <w:tc>
          <w:tcPr>
            <w:tcW w:w="6740" w:type="dxa"/>
            <w:vAlign w:val="bottom"/>
          </w:tcPr>
          <w:p>
            <w:pPr>
              <w:ind w:left="60"/>
              <w:spacing w:after="0" w:line="191" w:lineRule="exact"/>
              <w:rPr>
                <w:sz w:val="20"/>
                <w:szCs w:val="20"/>
                <w:color w:val="auto"/>
              </w:rPr>
            </w:pPr>
            <w:r>
              <w:rPr>
                <w:rFonts w:ascii="Arial" w:cs="Arial" w:eastAsia="Arial" w:hAnsi="Arial"/>
                <w:sz w:val="18"/>
                <w:szCs w:val="18"/>
                <w:color w:val="auto"/>
              </w:rPr>
              <w:t>SOLE DISPOSITIVE POWER</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ING</w:t>
            </w: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7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PERSON</w:t>
            </w: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0</w:t>
            </w: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WITH</w:t>
            </w: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6740" w:type="dxa"/>
            <w:vAlign w:val="bottom"/>
            <w:tcBorders>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60" w:type="dxa"/>
            <w:vAlign w:val="bottom"/>
            <w:tcBorders>
              <w:left w:val="single" w:sz="8" w:color="auto"/>
              <w:right w:val="single" w:sz="8" w:color="auto"/>
            </w:tcBorders>
            <w:vMerge w:val="continue"/>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820" w:type="dxa"/>
            <w:vAlign w:val="bottom"/>
            <w:tcBorders>
              <w:right w:val="single" w:sz="8" w:color="auto"/>
            </w:tcBorders>
          </w:tcPr>
          <w:p>
            <w:pPr>
              <w:spacing w:after="0"/>
              <w:rPr>
                <w:sz w:val="7"/>
                <w:szCs w:val="7"/>
                <w:color w:val="auto"/>
              </w:rPr>
            </w:pPr>
          </w:p>
        </w:tc>
        <w:tc>
          <w:tcPr>
            <w:tcW w:w="67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160" w:type="dxa"/>
            <w:vAlign w:val="bottom"/>
            <w:tcBorders>
              <w:left w:val="single" w:sz="8" w:color="auto"/>
              <w:right w:val="single" w:sz="8" w:color="auto"/>
            </w:tcBorders>
          </w:tcPr>
          <w:p>
            <w:pPr>
              <w:spacing w:after="0"/>
              <w:rPr>
                <w:sz w:val="12"/>
                <w:szCs w:val="12"/>
                <w:color w:val="auto"/>
              </w:rPr>
            </w:pPr>
          </w:p>
        </w:tc>
        <w:tc>
          <w:tcPr>
            <w:tcW w:w="300" w:type="dxa"/>
            <w:vAlign w:val="bottom"/>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740" w:type="dxa"/>
            <w:vAlign w:val="bottom"/>
            <w:vMerge w:val="continue"/>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6740" w:type="dxa"/>
            <w:vAlign w:val="bottom"/>
          </w:tcPr>
          <w:p>
            <w:pPr>
              <w:ind w:left="100"/>
              <w:spacing w:after="0"/>
              <w:rPr>
                <w:sz w:val="20"/>
                <w:szCs w:val="20"/>
                <w:color w:val="auto"/>
              </w:rPr>
            </w:pPr>
            <w:r>
              <w:rPr>
                <w:rFonts w:ascii="Arial" w:cs="Arial" w:eastAsia="Arial" w:hAnsi="Arial"/>
                <w:sz w:val="18"/>
                <w:szCs w:val="18"/>
                <w:color w:val="auto"/>
              </w:rPr>
              <w:t>1,218,875</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gridSpan w:val="2"/>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1,218,875</w:t>
            </w:r>
          </w:p>
        </w:tc>
        <w:tc>
          <w:tcPr>
            <w:tcW w:w="674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right w:val="single" w:sz="8" w:color="auto"/>
            </w:tcBorders>
          </w:tcPr>
          <w:p>
            <w:pPr>
              <w:spacing w:after="0"/>
              <w:rPr>
                <w:sz w:val="7"/>
                <w:szCs w:val="7"/>
                <w:color w:val="auto"/>
              </w:rPr>
            </w:pPr>
          </w:p>
        </w:tc>
        <w:tc>
          <w:tcPr>
            <w:tcW w:w="7860" w:type="dxa"/>
            <w:vAlign w:val="bottom"/>
            <w:tcBorders>
              <w:bottom w:val="single" w:sz="8" w:color="auto"/>
            </w:tcBorders>
            <w:gridSpan w:val="3"/>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2220" w:type="dxa"/>
            <w:vAlign w:val="bottom"/>
            <w:tcBorders>
              <w:right w:val="single" w:sz="8" w:color="auto"/>
            </w:tcBorders>
          </w:tcPr>
          <w:p>
            <w:pPr>
              <w:jc w:val="center"/>
              <w:ind w:left="37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7860" w:type="dxa"/>
            <w:vAlign w:val="bottom"/>
            <w:tcBorders>
              <w:bottom w:val="single" w:sz="8" w:color="auto"/>
            </w:tcBorders>
            <w:gridSpan w:val="3"/>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3.6%</w:t>
            </w:r>
          </w:p>
        </w:tc>
        <w:tc>
          <w:tcPr>
            <w:tcW w:w="674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right w:val="single" w:sz="8" w:color="auto"/>
            </w:tcBorders>
          </w:tcPr>
          <w:p>
            <w:pPr>
              <w:spacing w:after="0"/>
              <w:rPr>
                <w:sz w:val="7"/>
                <w:szCs w:val="7"/>
                <w:color w:val="auto"/>
              </w:rPr>
            </w:pPr>
          </w:p>
        </w:tc>
        <w:tc>
          <w:tcPr>
            <w:tcW w:w="7860" w:type="dxa"/>
            <w:vAlign w:val="bottom"/>
            <w:tcBorders>
              <w:bottom w:val="single" w:sz="8" w:color="auto"/>
            </w:tcBorders>
            <w:gridSpan w:val="3"/>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BD</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740" w:type="dxa"/>
            <w:vAlign w:val="bottom"/>
            <w:tcBorders>
              <w:bottom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8"/>
        </w:trPr>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SI-BONE,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417 El Camino Real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101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95050</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825704109</w:t>
      </w:r>
    </w:p>
    <w:p>
      <w:pPr>
        <w:spacing w:after="0" w:line="221" w:lineRule="exact"/>
        <w:rPr>
          <w:sz w:val="20"/>
          <w:szCs w:val="20"/>
          <w:color w:val="auto"/>
        </w:rPr>
      </w:pPr>
    </w:p>
    <w:p>
      <w:pPr>
        <w:ind w:left="1360" w:hanging="1295"/>
        <w:spacing w:after="0" w:line="282" w:lineRule="auto"/>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66" w:lineRule="exact"/>
        <w:rPr>
          <w:sz w:val="20"/>
          <w:szCs w:val="20"/>
          <w:color w:val="auto"/>
        </w:rPr>
      </w:pPr>
    </w:p>
    <w:p>
      <w:pPr>
        <w:ind w:left="1420" w:hanging="737"/>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x  Broker or dealer registered under Section 15 of the Act (15 U.S.C. 78o).</w:t>
      </w:r>
    </w:p>
    <w:p>
      <w:pPr>
        <w:spacing w:after="0" w:line="192"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25"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700" w:right="140" w:hanging="1017"/>
        <w:spacing w:after="0" w:line="239" w:lineRule="exact"/>
        <w:tabs>
          <w:tab w:leader="none" w:pos="1396"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400" w:hanging="717"/>
        <w:spacing w:after="0" w:line="207" w:lineRule="exact"/>
        <w:tabs>
          <w:tab w:leader="none" w:pos="14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1,218,875</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3.6%</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1,218,875</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shares reported include 1,218,875 shares held in customer accounts over which partners and/or employees of the Reporting Person have discretionary authority to dispose of or direct the disposition of the shares.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72"/>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GILDER, GAGNON, HOWE &amp; CO.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Laura Esposito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2022-02-14T06:10:40Z</dcterms:created>
  <dcterms:modified xsi:type="dcterms:W3CDTF">2022-02-14T06:10:40Z</dcterms:modified>
</cp:coreProperties>
</file>