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15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January 12, 2026</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33" w:lineRule="exact"/>
        <w:rPr>
          <w:sz w:val="24"/>
          <w:szCs w:val="24"/>
          <w:color w:val="auto"/>
        </w:rPr>
      </w:pPr>
    </w:p>
    <w:tbl>
      <w:tblPr>
        <w:tblLayout w:type="fixed"/>
        <w:tblInd w:w="1100" w:type="dxa"/>
        <w:tblCellMar>
          <w:top w:w="0" w:type="dxa"/>
          <w:left w:w="0" w:type="dxa"/>
          <w:bottom w:w="0" w:type="dxa"/>
          <w:right w:w="0" w:type="dxa"/>
        </w:tblCellMar>
      </w:tblPr>
      <w:tr>
        <w:trPr>
          <w:trHeight w:val="142"/>
        </w:trPr>
        <w:tc>
          <w:tcPr>
            <w:tcW w:w="2200" w:type="dxa"/>
            <w:vAlign w:val="bottom"/>
          </w:tcPr>
          <w:p>
            <w:pPr>
              <w:jc w:val="center"/>
              <w:ind w:right="86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001-38701</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b w:val="1"/>
                <w:bCs w:val="1"/>
                <w:color w:val="auto"/>
                <w:w w:val="97"/>
              </w:rPr>
              <w:t>26-2216351</w:t>
            </w:r>
          </w:p>
        </w:tc>
      </w:tr>
      <w:tr>
        <w:trPr>
          <w:trHeight w:val="112"/>
        </w:trPr>
        <w:tc>
          <w:tcPr>
            <w:tcW w:w="2200" w:type="dxa"/>
            <w:vAlign w:val="bottom"/>
          </w:tcPr>
          <w:p>
            <w:pPr>
              <w:jc w:val="center"/>
              <w:ind w:right="866"/>
              <w:spacing w:after="0" w:line="112"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4760" w:type="dxa"/>
            <w:vAlign w:val="bottom"/>
          </w:tcPr>
          <w:p>
            <w:pPr>
              <w:jc w:val="center"/>
              <w:ind w:right="46"/>
              <w:spacing w:after="0" w:line="112" w:lineRule="exact"/>
              <w:rPr>
                <w:sz w:val="20"/>
                <w:szCs w:val="20"/>
                <w:color w:val="auto"/>
              </w:rPr>
            </w:pPr>
            <w:r>
              <w:rPr>
                <w:rFonts w:ascii="Times New Roman" w:cs="Times New Roman" w:eastAsia="Times New Roman" w:hAnsi="Times New Roman"/>
                <w:sz w:val="11"/>
                <w:szCs w:val="11"/>
                <w:color w:val="auto"/>
                <w:w w:val="97"/>
              </w:rPr>
              <w:t>(Commission</w:t>
            </w:r>
          </w:p>
        </w:tc>
        <w:tc>
          <w:tcPr>
            <w:tcW w:w="1780" w:type="dxa"/>
            <w:vAlign w:val="bottom"/>
          </w:tcPr>
          <w:p>
            <w:pPr>
              <w:jc w:val="center"/>
              <w:ind w:left="906"/>
              <w:spacing w:after="0" w:line="112"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2200" w:type="dxa"/>
            <w:vAlign w:val="bottom"/>
          </w:tcPr>
          <w:p>
            <w:pPr>
              <w:jc w:val="center"/>
              <w:ind w:right="846"/>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File Number)</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344"/>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471 El Camino Real</w:t>
            </w:r>
          </w:p>
        </w:tc>
        <w:tc>
          <w:tcPr>
            <w:tcW w:w="1780" w:type="dxa"/>
            <w:vAlign w:val="bottom"/>
          </w:tcPr>
          <w:p>
            <w:pPr>
              <w:spacing w:after="0"/>
              <w:rPr>
                <w:sz w:val="24"/>
                <w:szCs w:val="24"/>
                <w:color w:val="auto"/>
              </w:rPr>
            </w:pPr>
          </w:p>
        </w:tc>
      </w:tr>
      <w:tr>
        <w:trPr>
          <w:trHeight w:val="126"/>
        </w:trPr>
        <w:tc>
          <w:tcPr>
            <w:tcW w:w="2200" w:type="dxa"/>
            <w:vAlign w:val="bottom"/>
          </w:tcPr>
          <w:p>
            <w:pPr>
              <w:spacing w:after="0"/>
              <w:rPr>
                <w:sz w:val="10"/>
                <w:szCs w:val="10"/>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Suite 101</w:t>
            </w:r>
          </w:p>
        </w:tc>
        <w:tc>
          <w:tcPr>
            <w:tcW w:w="1780" w:type="dxa"/>
            <w:vAlign w:val="bottom"/>
          </w:tcPr>
          <w:p>
            <w:pPr>
              <w:spacing w:after="0"/>
              <w:rPr>
                <w:sz w:val="10"/>
                <w:szCs w:val="10"/>
                <w:color w:val="auto"/>
              </w:rPr>
            </w:pPr>
          </w:p>
        </w:tc>
      </w:tr>
      <w:tr>
        <w:trPr>
          <w:trHeight w:val="137"/>
        </w:trPr>
        <w:tc>
          <w:tcPr>
            <w:tcW w:w="2200" w:type="dxa"/>
            <w:vAlign w:val="bottom"/>
          </w:tcPr>
          <w:p>
            <w:pPr>
              <w:spacing w:after="0"/>
              <w:rPr>
                <w:sz w:val="11"/>
                <w:szCs w:val="11"/>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Santa Clara, CA 95050</w:t>
            </w:r>
          </w:p>
        </w:tc>
        <w:tc>
          <w:tcPr>
            <w:tcW w:w="1780" w:type="dxa"/>
            <w:vAlign w:val="bottom"/>
          </w:tcPr>
          <w:p>
            <w:pPr>
              <w:spacing w:after="0"/>
              <w:rPr>
                <w:sz w:val="11"/>
                <w:szCs w:val="11"/>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(Address of principal executive offices) (Zip Code)</w:t>
            </w:r>
          </w:p>
        </w:tc>
        <w:tc>
          <w:tcPr>
            <w:tcW w:w="1780" w:type="dxa"/>
            <w:vAlign w:val="bottom"/>
          </w:tcPr>
          <w:p>
            <w:pPr>
              <w:spacing w:after="0"/>
              <w:rPr>
                <w:sz w:val="12"/>
                <w:szCs w:val="12"/>
                <w:color w:val="auto"/>
              </w:rPr>
            </w:pPr>
          </w:p>
        </w:tc>
      </w:tr>
      <w:tr>
        <w:trPr>
          <w:trHeight w:val="283"/>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(408) 207-0700</w:t>
            </w:r>
          </w:p>
        </w:tc>
        <w:tc>
          <w:tcPr>
            <w:tcW w:w="1780" w:type="dxa"/>
            <w:vAlign w:val="bottom"/>
          </w:tcPr>
          <w:p>
            <w:pPr>
              <w:spacing w:after="0"/>
              <w:rPr>
                <w:sz w:val="24"/>
                <w:szCs w:val="24"/>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(Registrant’s telephone number, include area code)</w:t>
            </w:r>
          </w:p>
        </w:tc>
        <w:tc>
          <w:tcPr>
            <w:tcW w:w="1780" w:type="dxa"/>
            <w:vAlign w:val="bottom"/>
          </w:tcPr>
          <w:p>
            <w:pPr>
              <w:spacing w:after="0"/>
              <w:rPr>
                <w:sz w:val="12"/>
                <w:szCs w:val="12"/>
                <w:color w:val="auto"/>
              </w:rPr>
            </w:pPr>
          </w:p>
        </w:tc>
      </w:tr>
      <w:tr>
        <w:trPr>
          <w:trHeight w:val="274"/>
        </w:trPr>
        <w:tc>
          <w:tcPr>
            <w:tcW w:w="2200" w:type="dxa"/>
            <w:vAlign w:val="bottom"/>
          </w:tcPr>
          <w:p>
            <w:pPr>
              <w:spacing w:after="0"/>
              <w:rPr>
                <w:sz w:val="23"/>
                <w:szCs w:val="23"/>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1780" w:type="dxa"/>
            <w:vAlign w:val="bottom"/>
          </w:tcPr>
          <w:p>
            <w:pPr>
              <w:spacing w:after="0"/>
              <w:rPr>
                <w:sz w:val="23"/>
                <w:szCs w:val="23"/>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(Former Name or Former Address, if Changed Since Last Report)</w:t>
            </w:r>
          </w:p>
        </w:tc>
        <w:tc>
          <w:tcPr>
            <w:tcW w:w="1780" w:type="dxa"/>
            <w:vAlign w:val="bottom"/>
          </w:tcPr>
          <w:p>
            <w:pPr>
              <w:spacing w:after="0"/>
              <w:rPr>
                <w:sz w:val="12"/>
                <w:szCs w:val="12"/>
                <w:color w:val="auto"/>
              </w:rPr>
            </w:pPr>
          </w:p>
        </w:tc>
      </w:tr>
    </w:tbl>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98"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89"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1620" w:hanging="562"/>
        <w:spacing w:after="0"/>
        <w:tabs>
          <w:tab w:leader="none" w:pos="1620" w:val="left"/>
        </w:tabs>
        <w:numPr>
          <w:ilvl w:val="1"/>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34" w:lineRule="exact"/>
        <w:rPr>
          <w:sz w:val="24"/>
          <w:szCs w:val="24"/>
          <w:color w:val="auto"/>
        </w:rPr>
      </w:pPr>
    </w:p>
    <w:tbl>
      <w:tblPr>
        <w:tblLayout w:type="fixed"/>
        <w:tblInd w:w="1480" w:type="dxa"/>
        <w:tblCellMar>
          <w:top w:w="0" w:type="dxa"/>
          <w:left w:w="0" w:type="dxa"/>
          <w:bottom w:w="0" w:type="dxa"/>
          <w:right w:w="0" w:type="dxa"/>
        </w:tblCellMar>
      </w:tblPr>
      <w:tr>
        <w:trPr>
          <w:trHeight w:val="140"/>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900" w:type="dxa"/>
            <w:vAlign w:val="bottom"/>
            <w:gridSpan w:val="3"/>
          </w:tcPr>
          <w:p>
            <w:pPr>
              <w:ind w:left="5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00" w:type="dxa"/>
            <w:vAlign w:val="bottom"/>
          </w:tcPr>
          <w:p>
            <w:pPr>
              <w:spacing w:after="0"/>
              <w:rPr>
                <w:sz w:val="12"/>
                <w:szCs w:val="12"/>
                <w:color w:val="auto"/>
              </w:rPr>
            </w:pPr>
          </w:p>
        </w:tc>
      </w:tr>
      <w:tr>
        <w:trPr>
          <w:trHeight w:val="130"/>
        </w:trPr>
        <w:tc>
          <w:tcPr>
            <w:tcW w:w="560" w:type="dxa"/>
            <w:vAlign w:val="bottom"/>
          </w:tcPr>
          <w:p>
            <w:pPr>
              <w:spacing w:after="0"/>
              <w:rPr>
                <w:sz w:val="11"/>
                <w:szCs w:val="11"/>
                <w:color w:val="auto"/>
              </w:rPr>
            </w:pPr>
          </w:p>
        </w:tc>
        <w:tc>
          <w:tcPr>
            <w:tcW w:w="186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7"/>
        </w:trPr>
        <w:tc>
          <w:tcPr>
            <w:tcW w:w="242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w w:val="97"/>
              </w:rPr>
              <w:t>Common Stock, par value $0.0001 per share</w:t>
            </w:r>
          </w:p>
        </w:tc>
        <w:tc>
          <w:tcPr>
            <w:tcW w:w="1260" w:type="dxa"/>
            <w:vAlign w:val="bottom"/>
          </w:tcPr>
          <w:p>
            <w:pPr>
              <w:spacing w:after="0"/>
              <w:rPr>
                <w:sz w:val="12"/>
                <w:szCs w:val="12"/>
                <w:color w:val="auto"/>
              </w:rPr>
            </w:pPr>
          </w:p>
        </w:tc>
        <w:tc>
          <w:tcPr>
            <w:tcW w:w="2640" w:type="dxa"/>
            <w:vAlign w:val="bottom"/>
            <w:gridSpan w:val="2"/>
          </w:tcPr>
          <w:p>
            <w:pPr>
              <w:jc w:val="center"/>
              <w:ind w:right="1760"/>
              <w:spacing w:after="0"/>
              <w:rPr>
                <w:sz w:val="20"/>
                <w:szCs w:val="20"/>
                <w:color w:val="auto"/>
              </w:rPr>
            </w:pPr>
            <w:r>
              <w:rPr>
                <w:rFonts w:ascii="Times New Roman" w:cs="Times New Roman" w:eastAsia="Times New Roman" w:hAnsi="Times New Roman"/>
                <w:sz w:val="11"/>
                <w:szCs w:val="11"/>
                <w:color w:val="auto"/>
                <w:w w:val="95"/>
              </w:rPr>
              <w:t>SIBN</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The Nasdaq Global Market</w:t>
            </w:r>
          </w:p>
        </w:tc>
      </w:tr>
    </w:tbl>
    <w:p>
      <w:pPr>
        <w:spacing w:after="0" w:line="2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jc w:val="center"/>
        <w:ind w:right="-119"/>
        <w:spacing w:after="0" w:line="127" w:lineRule="exact"/>
        <w:tabs>
          <w:tab w:leader="none" w:pos="12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171" w:lineRule="exact"/>
        <w:rPr>
          <w:sz w:val="24"/>
          <w:szCs w:val="24"/>
          <w:color w:val="auto"/>
        </w:rPr>
      </w:pPr>
    </w:p>
    <w:p>
      <w:pPr>
        <w:ind w:left="12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474980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06" w:right="439" w:bottom="1440" w:gutter="0" w:footer="0" w:header="0"/>
        </w:sectPr>
      </w:pPr>
    </w:p>
    <w:bookmarkStart w:id="1" w:name="page2"/>
    <w:bookmarkEnd w:id="1"/>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w:t>
      </w:r>
      <w:r>
        <w:rPr>
          <w:rFonts w:ascii="Times New Roman" w:cs="Times New Roman" w:eastAsia="Times New Roman" w:hAnsi="Times New Roman"/>
          <w:sz w:val="10"/>
          <w:szCs w:val="10"/>
          <w:color w:val="auto"/>
        </w:rPr>
        <w:t>January 12, 2026</w:t>
      </w:r>
      <w:r>
        <w:rPr>
          <w:rFonts w:ascii="Times New Roman" w:cs="Times New Roman" w:eastAsia="Times New Roman" w:hAnsi="Times New Roman"/>
          <w:sz w:val="12"/>
          <w:szCs w:val="12"/>
          <w:color w:val="auto"/>
        </w:rPr>
        <w:t>, SI-BONE, Inc. (the "Company") issued a press release (the “Press Release”) announcing preliminary unaudited revenue and cash and equivalents for the fourth quarter and full year 2025. A copy of the Press Release is attached as Exhibit 99.1 to this current report on Form 8-K and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Members of the Company's management team expect to meet with investors and analysts the week of January 12, 2026, to discuss the Company performance, using presentation materials which are furnished and attached as Exhibit 99.2.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r>
      <w:tr>
        <w:trPr>
          <w:trHeight w:val="351"/>
        </w:trPr>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tcPr>
          <w:p>
            <w:pPr>
              <w:ind w:left="27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8"/>
        </w:trPr>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2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dated January 12, 2026</w:t>
            </w:r>
          </w:p>
        </w:tc>
      </w:tr>
      <w:tr>
        <w:trPr>
          <w:trHeight w:val="133"/>
        </w:trPr>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Presentation dated January 12, 2026</w:t>
            </w:r>
          </w:p>
        </w:tc>
        <w:tc>
          <w:tcPr>
            <w:tcW w:w="20" w:type="dxa"/>
            <w:vAlign w:val="bottom"/>
            <w:tcBorders>
              <w:top w:val="single" w:sz="8" w:color="0000FF"/>
            </w:tcBorders>
          </w:tcPr>
          <w:p>
            <w:pPr>
              <w:spacing w:after="0"/>
              <w:rPr>
                <w:sz w:val="11"/>
                <w:szCs w:val="11"/>
                <w:color w:val="auto"/>
              </w:rPr>
            </w:pPr>
          </w:p>
        </w:tc>
        <w:tc>
          <w:tcPr>
            <w:tcW w:w="7820" w:type="dxa"/>
            <w:vAlign w:val="bottom"/>
          </w:tcPr>
          <w:p>
            <w:pPr>
              <w:spacing w:after="0"/>
              <w:rPr>
                <w:sz w:val="11"/>
                <w:szCs w:val="11"/>
                <w:color w:val="auto"/>
              </w:rPr>
            </w:pPr>
          </w:p>
        </w:tc>
      </w:tr>
      <w:tr>
        <w:trPr>
          <w:trHeight w:val="160"/>
        </w:trPr>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tc>
      </w:tr>
    </w:tbl>
    <w:p>
      <w:pPr>
        <w:spacing w:after="0" w:line="21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452755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980" w:type="dxa"/>
            <w:vAlign w:val="bottom"/>
            <w:gridSpan w:val="2"/>
          </w:tcPr>
          <w:p>
            <w:pPr>
              <w:ind w:left="1400"/>
              <w:spacing w:after="0"/>
              <w:rPr>
                <w:sz w:val="20"/>
                <w:szCs w:val="20"/>
                <w:color w:val="auto"/>
              </w:rPr>
            </w:pPr>
            <w:r>
              <w:rPr>
                <w:rFonts w:ascii="Times New Roman" w:cs="Times New Roman" w:eastAsia="Times New Roman" w:hAnsi="Times New Roman"/>
                <w:sz w:val="12"/>
                <w:szCs w:val="12"/>
                <w:b w:val="1"/>
                <w:bCs w:val="1"/>
                <w:color w:val="auto"/>
              </w:rPr>
              <w:t>SI-BONE, INC.</w:t>
            </w:r>
          </w:p>
        </w:tc>
      </w:tr>
      <w:tr>
        <w:trPr>
          <w:trHeight w:val="306"/>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6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January 12, 2026</w:t>
            </w:r>
          </w:p>
        </w:tc>
        <w:tc>
          <w:tcPr>
            <w:tcW w:w="210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By:</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Anshul Maheshwari</w:t>
            </w:r>
          </w:p>
        </w:tc>
      </w:tr>
      <w:tr>
        <w:trPr>
          <w:trHeight w:val="144"/>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Anshul Maheshwari</w:t>
            </w:r>
          </w:p>
        </w:tc>
      </w:tr>
    </w:tbl>
    <w:p>
      <w:pPr>
        <w:ind w:left="54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ectPr>
          <w:pgSz w:w="11900" w:h="16838" w:orient="portrait"/>
          <w:cols w:equalWidth="0" w:num="1">
            <w:col w:w="11280"/>
          </w:cols>
          <w:pgMar w:left="300" w:top="63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19050</wp:posOffset>
            </wp:positionV>
            <wp:extent cx="880110" cy="50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011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SI-BONE Announces Preliminary Revenue for the Fourth Quarter and Full Year 2025</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Fiscal Year 2025 worldwide revenue of $200.8 to $200.9 million, representing growth of ~20%</w:t>
      </w:r>
    </w:p>
    <w:p>
      <w:pPr>
        <w:spacing w:after="0" w:line="203"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3"/>
          <w:szCs w:val="13"/>
          <w:b w:val="1"/>
          <w:bCs w:val="1"/>
          <w:color w:val="auto"/>
        </w:rPr>
        <w:t>SANTA CLARA, Calif.</w:t>
      </w:r>
      <w:r>
        <w:rPr>
          <w:rFonts w:ascii="Times New Roman" w:cs="Times New Roman" w:eastAsia="Times New Roman" w:hAnsi="Times New Roman"/>
          <w:sz w:val="13"/>
          <w:szCs w:val="13"/>
          <w:color w:val="auto"/>
        </w:rPr>
        <w:t>, January 12, 2026 – SI-BONE, Inc. (Nasdaq: SIBN), the global leader in developing procedural solutions to address clinical challenges associated with compromised bone, today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announced its preliminary and unaudited revenue and cash and cash equivalents for fourth quarter and full year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Fourth Quarter 2025 Summary </w:t>
      </w:r>
      <w:r>
        <w:rPr>
          <w:rFonts w:ascii="Times New Roman" w:cs="Times New Roman" w:eastAsia="Times New Roman" w:hAnsi="Times New Roman"/>
          <w:sz w:val="13"/>
          <w:szCs w:val="13"/>
          <w:i w:val="1"/>
          <w:iCs w:val="1"/>
          <w:color w:val="auto"/>
        </w:rPr>
        <w:t>(any comparisons are to the prior year period)</w:t>
      </w:r>
    </w:p>
    <w:p>
      <w:pPr>
        <w:spacing w:after="0" w:line="6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Worldwide revenue between $56.2 - $56.3 million, representing ~15% growth</w:t>
      </w:r>
    </w:p>
    <w:p>
      <w:pPr>
        <w:spacing w:after="0" w:line="5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between $53.3 - $53.4 million, representing ~14% growth</w:t>
      </w:r>
    </w:p>
    <w:p>
      <w:pPr>
        <w:spacing w:after="0" w:line="5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~1,640 active physicians in the U.S., an increase of 250 physicians, representing ~18% growth</w:t>
      </w:r>
    </w:p>
    <w:p>
      <w:pPr>
        <w:spacing w:after="0" w:line="5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equivalents of ~$147.7 million, implying net cash generation of ~$2.0 million in the quarter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Fiscal Year 2025 Summary </w:t>
      </w:r>
      <w:r>
        <w:rPr>
          <w:rFonts w:ascii="Times New Roman" w:cs="Times New Roman" w:eastAsia="Times New Roman" w:hAnsi="Times New Roman"/>
          <w:sz w:val="13"/>
          <w:szCs w:val="13"/>
          <w:i w:val="1"/>
          <w:iCs w:val="1"/>
          <w:color w:val="auto"/>
        </w:rPr>
        <w:t>(any comparisons are to the prior year period)</w:t>
      </w:r>
    </w:p>
    <w:p>
      <w:pPr>
        <w:spacing w:after="0" w:line="7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Worldwide revenue between $200.8 - $200.9 million, representing ~20% growth</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between $190.9 - $191.0 million, representing ~21% growth</w:t>
      </w:r>
    </w:p>
    <w:p>
      <w:pPr>
        <w:spacing w:after="0" w:line="220" w:lineRule="exact"/>
        <w:rPr>
          <w:sz w:val="20"/>
          <w:szCs w:val="20"/>
          <w:color w:val="auto"/>
        </w:rPr>
      </w:pPr>
    </w:p>
    <w:p>
      <w:pPr>
        <w:ind w:right="20"/>
        <w:spacing w:after="0" w:line="367" w:lineRule="auto"/>
        <w:rPr>
          <w:sz w:val="20"/>
          <w:szCs w:val="20"/>
          <w:color w:val="auto"/>
        </w:rPr>
      </w:pPr>
      <w:r>
        <w:rPr>
          <w:rFonts w:ascii="Times New Roman" w:cs="Times New Roman" w:eastAsia="Times New Roman" w:hAnsi="Times New Roman"/>
          <w:sz w:val="13"/>
          <w:szCs w:val="13"/>
          <w:color w:val="auto"/>
        </w:rPr>
        <w:t>The fourth quarter and full year 2025 revenue and cash and equivalents are included in this release on a preliminary basis, prior to the completion of SI-BONE's financial closing procedures and audit procedures by its external auditors and therefore may be subject to adjustment. SI-BONE expects to provide fourth quarter and full year 2025 financial results during its fourth quarter 2025 earnings call in late February 2026.</w:t>
      </w:r>
    </w:p>
    <w:p>
      <w:pPr>
        <w:sectPr>
          <w:pgSz w:w="11900" w:h="16838" w:orient="portrait"/>
          <w:cols w:equalWidth="0" w:num="1">
            <w:col w:w="11300"/>
          </w:cols>
          <w:pgMar w:left="300" w:top="64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About SI-BONE, Inc.</w:t>
      </w:r>
    </w:p>
    <w:p>
      <w:pPr>
        <w:spacing w:after="0" w:line="69"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3"/>
          <w:szCs w:val="13"/>
          <w:color w:val="auto"/>
        </w:rPr>
        <w:t>SI-BONE (NASDAQ: SIBN) is the global leader in developing procedural solutions to address clinical challenges associated with compromised bone. SI-BONE's expertise in additive manufacturing has resulted in a technology platform with market-leading applications in SI joint fusion, adult spinal deformity and pelvic trauma. Since 2009, SI-BONE has supported physicians in performing a total of over 140,000 procedures. A unique body of clinical evidence supports the use of SI-BONE’s technologies, including four randomized controlled trials and over 200 peer reviewed publications.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additional information on the company or the products, including risks and benefits, please visit www.si-bone.com.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SI-BONE® is a registered trademark of SI-BONE, Inc. ©2026 SI-BONE, Inc. All Rights Reserved.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70C0"/>
        </w:rPr>
        <w:t>Forward Looking Statements</w:t>
      </w:r>
    </w:p>
    <w:p>
      <w:pPr>
        <w:spacing w:after="0" w:line="23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3"/>
          <w:szCs w:val="13"/>
          <w:color w:val="auto"/>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preliminary fourth quarter and full year 2025 revenue and cash and cash equivalents, which are subject to continued review by SI-BONE and its auditors and significant adjustments may be made before final results are determined, SI-BONE’s ability to introduce and commercialize new products and indications, SI-BONE’s ability to maintain favorable reimbursement for procedures using its products, the impact of any future economic weakness or deterioration in economic conditions as a result of tariffs and retaliation by U.S. trading partners on the ability and desire of patients to undergo elective procedures including those using SI-BONE’s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filings on Form 10-K and Form 10-Q,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Saqib Iqbal</w:t>
      </w:r>
    </w:p>
    <w:p>
      <w:pPr>
        <w:sectPr>
          <w:pgSz w:w="11900" w:h="16838" w:orient="portrait"/>
          <w:cols w:equalWidth="0" w:num="1">
            <w:col w:w="11300"/>
          </w:cols>
          <w:pgMar w:left="300" w:top="67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VP, FP&amp;A, and Investor Relations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investors@SI-BONE.com</w:t>
      </w:r>
    </w:p>
    <w:p>
      <w:pPr>
        <w:sectPr>
          <w:pgSz w:w="11900" w:h="16838" w:orient="portrait"/>
          <w:cols w:equalWidth="0" w:num="1">
            <w:col w:w="10159"/>
          </w:cols>
          <w:pgMar w:left="300" w:top="674"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2026-01-12T08:17:41Z</dcterms:created>
  <dcterms:modified xsi:type="dcterms:W3CDTF">2026-01-12T08:17:41Z</dcterms:modified>
</cp:coreProperties>
</file>