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43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43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FRANCIS LAURA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SI-BONE,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SIBN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01/05/2024</w:t>
            </w:r>
          </w:p>
        </w:tc>
        <w:tc>
          <w:tcPr>
            <w:tcW w:w="2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40" w:type="dxa"/>
            <w:vAlign w:val="bottom"/>
            <w:gridSpan w:val="3"/>
            <w:vMerge w:val="continue"/>
          </w:tcPr>
          <w:p>
            <w:pPr>
              <w:spacing w:after="0"/>
              <w:rPr>
                <w:sz w:val="11"/>
                <w:szCs w:val="11"/>
                <w:color w:val="auto"/>
              </w:rPr>
            </w:pPr>
          </w:p>
        </w:tc>
        <w:tc>
          <w:tcPr>
            <w:tcW w:w="2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100,653</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439,410</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100,653</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540,063</w:t>
            </w:r>
            <w:r>
              <w:rPr>
                <w:rFonts w:ascii="Times New Roman" w:cs="Times New Roman" w:eastAsia="Times New Roman" w:hAnsi="Times New Roman"/>
                <w:sz w:val="22"/>
                <w:szCs w:val="22"/>
                <w:color w:val="008000"/>
                <w:w w:val="91"/>
                <w:vertAlign w:val="superscript"/>
              </w:rPr>
              <w:t>(3)(4)</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98,282</w:t>
            </w:r>
            <w:r>
              <w:rPr>
                <w:rFonts w:ascii="Times New Roman" w:cs="Times New Roman" w:eastAsia="Times New Roman" w:hAnsi="Times New Roman"/>
                <w:sz w:val="22"/>
                <w:szCs w:val="22"/>
                <w:color w:val="008000"/>
                <w:w w:val="97"/>
                <w:vertAlign w:val="superscript"/>
              </w:rPr>
              <w:t>(4)</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over four years beginning on January 1, 2024, and will be released in quarterly installments, subject to the Reporting Person's continued service through each relevant vesting date.</w:t>
      </w:r>
    </w:p>
    <w:p>
      <w:pPr>
        <w:spacing w:after="0" w:line="2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if at all, over three years based on the Issuer's total shareholder return (TSR) as measured against the TSR of the company at the median of the range TSRs of a set of peer companies established by the Issuer as set forth in the grant.</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436,551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transfer of shares from the Reporting Person to The David &amp; Laura Francis Joint Rev Tr.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David &amp; Laura Francis Joint Rev Tr.</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Laura A.</w:t>
        <w:tab/>
        <w:t>01/05/2024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3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2024-01-05T16:53:31Z</dcterms:created>
  <dcterms:modified xsi:type="dcterms:W3CDTF">2024-01-05T16:53:31Z</dcterms:modified>
</cp:coreProperties>
</file>