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SCHEDULE 14A INFORMATION</w:t>
      </w:r>
    </w:p>
    <w:p>
      <w:pPr>
        <w:pStyle w:val="TextBody"/>
        <w:bidi w:val="0"/>
        <w:spacing w:lineRule="auto" w:line="312" w:before="0" w:after="0"/>
        <w:jc w:val="center"/>
        <w:rPr>
          <w:rFonts w:ascii="Arial;sans-serif" w:hAnsi="Arial;sans-serif"/>
          <w:b w:val="false"/>
          <w:color w:val="000000"/>
          <w:sz w:val="20"/>
        </w:rPr>
      </w:pPr>
      <w:r>
        <w:rPr>
          <w:rFonts w:ascii="Arial;sans-serif" w:hAnsi="Arial;sans-serif"/>
          <w:b w:val="false"/>
          <w:color w:val="000000"/>
          <w:sz w:val="20"/>
        </w:rPr>
        <w:t>Proxy Statement Pursuant to Section 14(a) of the Securities Exchange Act of 1934</w:t>
      </w:r>
    </w:p>
    <w:p>
      <w:pPr>
        <w:pStyle w:val="TextBody"/>
        <w:bidi w:val="0"/>
        <w:spacing w:lineRule="auto" w:line="312" w:before="0" w:after="0"/>
        <w:jc w:val="center"/>
        <w:rPr>
          <w:rFonts w:ascii="Arial;sans-serif" w:hAnsi="Arial;sans-serif"/>
          <w:b w:val="false"/>
          <w:color w:val="000000"/>
          <w:sz w:val="20"/>
        </w:rPr>
      </w:pPr>
      <w:r>
        <w:rPr>
          <w:rFonts w:ascii="Arial;sans-serif" w:hAnsi="Arial;sans-serif"/>
          <w:b w:val="false"/>
          <w:color w:val="000000"/>
          <w:sz w:val="20"/>
        </w:rPr>
        <w:t>(Amendment No.__)</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rPr>
        <w:t xml:space="preserve">Filed by the Registrant </w:t>
      </w:r>
      <w:r>
        <w:rPr>
          <w:color w:val="000000"/>
        </w:rPr>
        <w:t>☑</w:t>
      </w:r>
    </w:p>
    <w:p>
      <w:pPr>
        <w:pStyle w:val="TextBody"/>
        <w:bidi w:val="0"/>
        <w:spacing w:lineRule="auto" w:line="312" w:before="0" w:after="0"/>
        <w:jc w:val="both"/>
        <w:rPr/>
      </w:pPr>
      <w:r>
        <w:rPr>
          <w:rFonts w:ascii="Arial;sans-serif" w:hAnsi="Arial;sans-serif"/>
          <w:b w:val="false"/>
          <w:color w:val="000000"/>
          <w:sz w:val="20"/>
        </w:rPr>
        <w:t xml:space="preserve">Filed by a Party other than the Registrant </w:t>
      </w:r>
      <w:r>
        <w:rPr>
          <w:color w:val="000000"/>
        </w:rPr>
        <w: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Preliminary Proxy Statement</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Confidential, for Use of the Commission Only (as permitted by Rule 14a-6(e)(2))</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Definitive Proxy Statement</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Definitive Additional Materials</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Soliciting Material Pursuant to § 240.14a-12</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SI-BONE,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(Name of Registrant as Specified In Its Charter)</w:t>
      </w:r>
    </w:p>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N/A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2" w:before="0" w:after="240"/>
        <w:jc w:val="center"/>
        <w:rPr>
          <w:rFonts w:ascii="Arial;sans-serif" w:hAnsi="Arial;sans-serif"/>
          <w:b w:val="false"/>
          <w:color w:val="000000"/>
          <w:sz w:val="20"/>
        </w:rPr>
      </w:pPr>
      <w:r>
        <w:rPr>
          <w:rFonts w:ascii="Arial;sans-serif" w:hAnsi="Arial;sans-serif"/>
          <w:b w:val="false"/>
          <w:color w:val="000000"/>
          <w:sz w:val="20"/>
        </w:rPr>
        <w:t>(Name of Person(s) Filing Proxy Statement if Other Than the Registrant)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No fee required.</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Fee paid previously with preliminary materials.</w:t>
      </w:r>
    </w:p>
    <w:p>
      <w:pPr>
        <w:pStyle w:val="TextBody"/>
        <w:bidi w:val="0"/>
        <w:spacing w:lineRule="auto" w:line="312" w:before="0" w:after="0"/>
        <w:jc w:val="both"/>
        <w:rPr/>
      </w:pPr>
      <w:r>
        <w:rPr>
          <w:color w:val="000000"/>
        </w:rPr>
        <w:t xml:space="preserve">☐ </w:t>
      </w:r>
      <w:r>
        <w:rPr>
          <w:rFonts w:ascii="Arial;sans-serif" w:hAnsi="Arial;sans-serif"/>
          <w:b w:val="false"/>
          <w:color w:val="000000"/>
          <w:sz w:val="20"/>
        </w:rPr>
        <w:t>Fee computed on table in exhibit required by Item 25(b) per Exchange Act Rules 14a-6(i)(1) and 0-11.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6821" w:type="dxa"/>
        <w:jc w:val="left"/>
        <w:tblInd w:w="0" w:type="dxa"/>
        <w:tblLayout w:type="fixed"/>
        <w:tblCellMar>
          <w:top w:w="28" w:type="dxa"/>
          <w:left w:w="28" w:type="dxa"/>
          <w:bottom w:w="28" w:type="dxa"/>
          <w:right w:w="28" w:type="dxa"/>
        </w:tblCellMar>
      </w:tblPr>
      <w:tblGrid>
        <w:gridCol w:w="1850"/>
        <w:gridCol w:w="1629"/>
        <w:gridCol w:w="1636"/>
        <w:gridCol w:w="499"/>
        <w:gridCol w:w="499"/>
        <w:gridCol w:w="708"/>
      </w:tblGrid>
      <w:tr>
        <w:trPr/>
        <w:tc>
          <w:tcPr>
            <w:tcW w:w="18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471 El Camino Real, Suite 101 Santa Clara, California 95050</w:t>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0125" cy="361950"/>
                          </a:xfrm>
                          <a:prstGeom prst="rect">
                            <a:avLst/>
                          </a:prstGeom>
                        </pic:spPr>
                      </pic:pic>
                    </a:graphicData>
                  </a:graphic>
                </wp:inline>
              </w:drawing>
            </w:r>
            <w:bookmarkStart w:id="0" w:name="i-1"/>
            <w:bookmarkEnd w:id="0"/>
          </w:p>
        </w:tc>
      </w:tr>
    </w:tbl>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Invitation to 2026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DATE: Thursday, June 4, 2026</w:t>
      </w:r>
    </w:p>
    <w:p>
      <w:pPr>
        <w:pStyle w:val="TextBody"/>
        <w:bidi w:val="0"/>
        <w:spacing w:lineRule="auto" w:line="288" w:before="0" w:after="480"/>
        <w:jc w:val="both"/>
        <w:rPr>
          <w:rFonts w:ascii="Arial;sans-serif" w:hAnsi="Arial;sans-serif"/>
          <w:b/>
          <w:color w:val="000000"/>
          <w:sz w:val="18"/>
        </w:rPr>
      </w:pPr>
      <w:r>
        <w:rPr>
          <w:rFonts w:ascii="Arial;sans-serif" w:hAnsi="Arial;sans-serif"/>
          <w:b/>
          <w:color w:val="000000"/>
          <w:sz w:val="18"/>
        </w:rPr>
        <w:t>TIME: 8:00 a.m., Pacific Time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April 21, 2026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Dear Stockholders:</w:t>
      </w:r>
    </w:p>
    <w:p>
      <w:pPr>
        <w:pStyle w:val="TextBody"/>
        <w:bidi w:val="0"/>
        <w:spacing w:lineRule="auto" w:line="288" w:before="120" w:after="120"/>
        <w:jc w:val="both"/>
        <w:rPr/>
      </w:pPr>
      <w:r>
        <w:rPr>
          <w:rFonts w:ascii="Arial;sans-serif" w:hAnsi="Arial;sans-serif"/>
          <w:b w:val="false"/>
          <w:color w:val="000000"/>
          <w:sz w:val="18"/>
        </w:rPr>
        <w:t>It is my pleasure to invite you to attend SI-BONE’s Annual Meeting of Stockholders (the “</w:t>
      </w:r>
      <w:r>
        <w:rPr>
          <w:rFonts w:ascii="Arial;sans-serif" w:hAnsi="Arial;sans-serif"/>
          <w:b/>
          <w:color w:val="000000"/>
          <w:sz w:val="18"/>
        </w:rPr>
        <w:t>Annual Meeting</w:t>
      </w:r>
      <w:r>
        <w:rPr>
          <w:color w:val="000000"/>
        </w:rPr>
        <w:t>”</w:t>
      </w:r>
      <w:r>
        <w:rPr>
          <w:rFonts w:ascii="Arial;sans-serif" w:hAnsi="Arial;sans-serif"/>
          <w:b w:val="false"/>
          <w:color w:val="000000"/>
          <w:sz w:val="18"/>
        </w:rPr>
        <w:t xml:space="preserve">) on Thursday, June 4, 2026 at 8:00 a.m., Pacific Time. The attached Notice of Annual Meeting of Stockholders and Proxy Statement will serve as your guide to the business we will conduct at the Annual Meeting.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made significant and measurable progress during 2025, including the following:</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Achieved worldwide revenue of $200.9 million, representing an annual increase of ~20%;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Over 2,400 U.S. physicians performed nearly 22,000 procedures;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Surpassed 140,000 procedures performed by physicians worldwide since inception;</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Net loss of $18.9 million, representing an annual improvement of ~39%;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Delivered positive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of $8.9 million, as compared to a loss of $5.1 million in 2024;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Exited the year with a solid balance sheet with $147.8 million in cash and equivalents;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Launched iFuse TORQ across Europe;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Granted New Technology Add-On Payment effective October 1, 2025, providing incremental reimbursement to hospitals for eligible inpatient procedures using iFuse TORQ TNT. </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We will hold our Annual Meeting virtually in an effort to make it convenient for our stockholders to attend. During our Annual Meeting, we will discuss each item of business described in the Notice of Annual Meeting and Proxy Statement enclosed with this letter, which we encourage you to read carefully. We will also address any questions submitted before or during the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Your vote is very important to us, and I urge you to vote your shares as promptly as possible. You may vote by Internet or by telephone. If you received a paper copy of the proxy card by mail, you may sign, date, and return the proxy card in the enclosed envelope.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Finally, I continue to be humbled by the exceptional performance of the entire SI-BONE team, working diligently to introduce new products and continuing to train and educate physicians to grow our core business. On behalf of the Board, management team and employees, thank you for your continued confidence and support as we advance our mission to help patients rise up and reach for the stars. We look forward to your participation in this year’s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Sincerely yours,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 Laura Francis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Laura Francis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Chief Executive Officer</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For a full reconciliation of Adjusted EBITDA to net loss, the most directly comparable financial measure calculated in accordance with generally accepted accounting principles, see Appendix A 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v:textbox>
                <w10:wrap type="none"/>
              </v:rect>
            </w:pict>
          </mc:Fallback>
        </mc:AlternateContent>
      </w:r>
    </w:p>
    <w:tbl>
      <w:tblPr>
        <w:tblW w:w="6821" w:type="dxa"/>
        <w:jc w:val="left"/>
        <w:tblInd w:w="0" w:type="dxa"/>
        <w:tblLayout w:type="fixed"/>
        <w:tblCellMar>
          <w:top w:w="28" w:type="dxa"/>
          <w:left w:w="28" w:type="dxa"/>
          <w:bottom w:w="28" w:type="dxa"/>
          <w:right w:w="28" w:type="dxa"/>
        </w:tblCellMar>
      </w:tblPr>
      <w:tblGrid>
        <w:gridCol w:w="1850"/>
        <w:gridCol w:w="1629"/>
        <w:gridCol w:w="1636"/>
        <w:gridCol w:w="499"/>
        <w:gridCol w:w="499"/>
        <w:gridCol w:w="708"/>
      </w:tblGrid>
      <w:tr>
        <w:trPr/>
        <w:tc>
          <w:tcPr>
            <w:tcW w:w="18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471 El Camino Real, Suite 101 Santa Clara, California 95050</w:t>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0125" cy="361950"/>
                          </a:xfrm>
                          <a:prstGeom prst="rect">
                            <a:avLst/>
                          </a:prstGeom>
                        </pic:spPr>
                      </pic:pic>
                    </a:graphicData>
                  </a:graphic>
                </wp:inline>
              </w:drawing>
            </w:r>
            <w:bookmarkStart w:id="1" w:name="i-2"/>
            <w:bookmarkEnd w:id="1"/>
          </w:p>
        </w:tc>
      </w:tr>
    </w:tbl>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Notice of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Dear Stockholder: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 are cordially invited to attend the virtual Annual Meeting of Stockholders of SI-BONE, Inc., a Delaware corporation. The meeting will be a completely virtual meeting of stockholders and will be held on Thursday, June 4, 2026 at 8:00 a.m. Pacific Time by live webcast as described in the Proxy Statement accompanying this Notice. The Annual Meeting is being held for the following purposes: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25"/>
        <w:gridCol w:w="2747"/>
        <w:gridCol w:w="3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1</w:t>
            </w:r>
          </w:p>
        </w:tc>
        <w:tc>
          <w:tcPr>
            <w:tcW w:w="9863" w:type="dxa"/>
            <w:gridSpan w:val="3"/>
            <w:tcBorders/>
            <w:shd w:fill="F1F2F2"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elect the Board of Directors’ two nominees for director to serve until the 2029 Annual Meeting of Stockholders or until their successors are elected and qualified.</w:t>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ratify the selection by the Audit Committee of the Board of Directors of PricewaterhouseCoopers LLP as our independent registered public accounting firm for the fiscal year ending December 31, 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3</w:t>
            </w:r>
          </w:p>
        </w:tc>
        <w:tc>
          <w:tcPr>
            <w:tcW w:w="9863" w:type="dxa"/>
            <w:gridSpan w:val="3"/>
            <w:tcBorders/>
            <w:shd w:fill="F1F2F2"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provide an advisory, non-binding vote on the compensation of our named executive officers, as disclosed in this proxy statement.</w:t>
            </w:r>
          </w:p>
        </w:tc>
      </w:tr>
      <w:tr>
        <w:trPr/>
        <w:tc>
          <w:tcPr>
            <w:tcW w:w="342"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1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conduct any other business properly brought before the meeting.</w:t>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These items of business are more fully described in the Proxy Statement accompanying this Notice.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 will be able to attend the virtual Annual Meeting and submit your questions and vote your shares online during the meeting, by visiting www.virtualshareholdermeeting.com/SIBN2026 and using your 16-digit control number provided on your proxy card or voting instruction card to enter the virtual Annual Meeting. You will only be able to submit your questions and vote your shares by using your 16-digit control number provided on your proxy card or voting instruction card to enter the virtual Annual Meeting. Without your 16-digit control number, you will only be able to enter as a guest in “listen-only” mode and will not be able to submit your questions or vote your shares. Therefore, it is important to retain a copy of your proxy card or voting instruction card to enable you to gain participation access to the virtual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stockholder list will also be available during the Annual Meeting at www.virtualshareholdermeeting.com/SIBN2026. Instructions on how stockholders of record can view the stockholder list during the Annual Meeting are posted at www.virtualshareholdermeeting.com/SIBN2026. The record date for the Annual Meeting is April 6, 2026. Only stockholders of record at the close of business on that date may vote at the meeting or any adjournment thereof.</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 Michael A. Pisetsky</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Michael A. Pisetsky</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Secretary and Chief Business &amp; Legal Affairs Officer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Santa Clara, California</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April 21, 2026</w:t>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74A33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Important Notice Regarding the Availability of Proxy Materials for the 2026 Annual Meeting of Stockholders to be Held on June 4, 2026 via live webcast at www.virtualshareholdermeeting.com/SIBN2026. You will need the 16-digit control number provided on the proxy or information card in order to gain participation access to the Annual Meeting.</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The proxy statement and annual report to stockholders are available at www.proxyvote.com.</w:t>
            </w:r>
          </w:p>
        </w:tc>
      </w:tr>
      <w:tr>
        <w:trPr/>
        <w:tc>
          <w:tcPr>
            <w:tcW w:w="10205"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5"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v:textbox>
                <w10:wrap type="none"/>
              </v:rect>
            </w:pict>
          </mc:Fallback>
        </mc:AlternateContent>
      </w:r>
    </w:p>
    <w:tbl>
      <w:tblPr>
        <w:tblW w:w="6821" w:type="dxa"/>
        <w:jc w:val="left"/>
        <w:tblInd w:w="0" w:type="dxa"/>
        <w:tblLayout w:type="fixed"/>
        <w:tblCellMar>
          <w:top w:w="28" w:type="dxa"/>
          <w:left w:w="28" w:type="dxa"/>
          <w:bottom w:w="28" w:type="dxa"/>
          <w:right w:w="28" w:type="dxa"/>
        </w:tblCellMar>
      </w:tblPr>
      <w:tblGrid>
        <w:gridCol w:w="1850"/>
        <w:gridCol w:w="1629"/>
        <w:gridCol w:w="1636"/>
        <w:gridCol w:w="499"/>
        <w:gridCol w:w="499"/>
        <w:gridCol w:w="708"/>
      </w:tblGrid>
      <w:tr>
        <w:trPr/>
        <w:tc>
          <w:tcPr>
            <w:tcW w:w="18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471 El Camino Real, Suite 101 Santa Clara, California 95050</w:t>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3619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0125" cy="361950"/>
                          </a:xfrm>
                          <a:prstGeom prst="rect">
                            <a:avLst/>
                          </a:prstGeom>
                        </pic:spPr>
                      </pic:pic>
                    </a:graphicData>
                  </a:graphic>
                </wp:inline>
              </w:drawing>
            </w:r>
            <w:bookmarkStart w:id="2" w:name="i-3"/>
            <w:bookmarkEnd w:id="2"/>
          </w:p>
        </w:tc>
      </w:tr>
    </w:tbl>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 are cordially invited to attend the meeting by live webcast as described in the proxy statement accompanying this notice. Whether or not you expect to attend the meeting, please vote as soon as possible in order to ensure your representation at the meeting. You may vote over the internet or by a toll-free telephone number, or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pStyle w:val="TextBody"/>
        <w:bidi w:val="0"/>
        <w:spacing w:lineRule="auto" w:line="333" w:before="240" w:after="283"/>
        <w:jc w:val="left"/>
        <w:rPr>
          <w:rFonts w:ascii="Arial;sans-serif" w:hAnsi="Arial;sans-serif"/>
          <w:b/>
          <w:color w:val="000000"/>
          <w:sz w:val="32"/>
        </w:rPr>
      </w:pPr>
      <w:r>
        <w:rPr>
          <w:rFonts w:ascii="Arial;sans-serif" w:hAnsi="Arial;sans-serif"/>
          <w:b/>
          <w:color w:val="000000"/>
          <w:sz w:val="32"/>
        </w:rPr>
        <w:t>Proxy Statement for the 2026 Annual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TO BE HELD ON June 4, 2026</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IMPORTANT NOTICE REGARDING THE INTERNET AVAILABILITY OF PROXY MATERIALS FOR THE ANNUAL MEETING OF STOCKHOLDERS TO BE HELD ON June 4, 2026</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This proxy statement and our 2026 Annual Report to Stockholders, which includes our Annual Report on Form 10-K for the fiscal year ended December 31, 2025, are available on our website at https://investor.si-bone.com/financial-information/sec-filings and www.proxyvote.com.</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MEETING AGENDA</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66"/>
        <w:gridCol w:w="1770"/>
        <w:gridCol w:w="1776"/>
        <w:gridCol w:w="1203"/>
        <w:gridCol w:w="1050"/>
        <w:gridCol w:w="1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Proposal Description</w:t>
            </w:r>
          </w:p>
        </w:tc>
        <w:tc>
          <w:tcPr>
            <w:tcW w:w="3751"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Vote Required for Approval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1</w:t>
            </w:r>
          </w:p>
        </w:tc>
        <w:tc>
          <w:tcPr>
            <w:tcW w:w="6112"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To elect the Board of Directors’ two nominees for director to serve until the 2029 Annual Meeting of Stockholders or until their successors are elected and qualified. </w:t>
            </w:r>
          </w:p>
        </w:tc>
        <w:tc>
          <w:tcPr>
            <w:tcW w:w="3751"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two nominees receiving the most “For” votes will be elected; and “Withheld” votes will have no effect.</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2</w:t>
            </w:r>
          </w:p>
        </w:tc>
        <w:tc>
          <w:tcPr>
            <w:tcW w:w="611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ratify the selection by the Audit Committee of the Board of Directors of PricewaterhouseCoopers LLP as our independent registered public accounting firm for the fiscal year ending December 31, 2026.</w:t>
            </w:r>
          </w:p>
        </w:tc>
        <w:tc>
          <w:tcPr>
            <w:tcW w:w="3751"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color w:val="000000"/>
              </w:rPr>
            </w:pPr>
            <w:r>
              <w:rPr>
                <w:color w:val="000000"/>
              </w:rPr>
              <w:t>“</w:t>
            </w:r>
            <w:r>
              <w:rPr>
                <w:rFonts w:ascii="Arial;sans-serif" w:hAnsi="Arial;sans-serif"/>
                <w:b w:val="false"/>
                <w:color w:val="000000"/>
                <w:sz w:val="18"/>
              </w:rPr>
              <w:t>For” votes from the holders of a majority of shares present, via webcast or represented by proxy and entitled to vote on the matter.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3</w:t>
            </w:r>
          </w:p>
        </w:tc>
        <w:tc>
          <w:tcPr>
            <w:tcW w:w="6112"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provide an advisory, non-binding vote on the compensation of our named executive officers, as disclosed in this proxy statement.</w:t>
            </w:r>
          </w:p>
        </w:tc>
        <w:tc>
          <w:tcPr>
            <w:tcW w:w="3751"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color w:val="000000"/>
              </w:rPr>
            </w:pPr>
            <w:r>
              <w:rPr>
                <w:color w:val="000000"/>
              </w:rPr>
              <w:t>“</w:t>
            </w:r>
            <w:r>
              <w:rPr>
                <w:rFonts w:ascii="Arial;sans-serif" w:hAnsi="Arial;sans-serif"/>
                <w:b w:val="false"/>
                <w:color w:val="000000"/>
                <w:sz w:val="18"/>
              </w:rPr>
              <w:t>For” votes from the holders of a majority of shares present, via webcast or represented by proxy and entitled to vote on the matter.</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7"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22" w:type="dxa"/>
        <w:jc w:val="left"/>
        <w:tblInd w:w="0" w:type="dxa"/>
        <w:tblLayout w:type="fixed"/>
        <w:tblCellMar>
          <w:top w:w="28" w:type="dxa"/>
          <w:left w:w="28" w:type="dxa"/>
          <w:bottom w:w="28" w:type="dxa"/>
          <w:right w:w="28" w:type="dxa"/>
        </w:tblCellMar>
      </w:tblPr>
      <w:tblGrid>
        <w:gridCol w:w="2809"/>
        <w:gridCol w:w="2465"/>
        <w:gridCol w:w="2480"/>
        <w:gridCol w:w="165"/>
        <w:gridCol w:w="165"/>
        <w:gridCol w:w="166"/>
        <w:gridCol w:w="109"/>
        <w:gridCol w:w="109"/>
        <w:gridCol w:w="154"/>
      </w:tblGrid>
      <w:tr>
        <w:trPr/>
        <w:tc>
          <w:tcPr>
            <w:tcW w:w="28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Arial;sans-serif" w:hAnsi="Arial;sans-serif"/>
                <w:b/>
                <w:color w:val="000000"/>
                <w:sz w:val="16"/>
              </w:rPr>
            </w:pPr>
            <w:r>
              <w:rPr>
                <w:rFonts w:ascii="Arial;sans-serif" w:hAnsi="Arial;sans-serif"/>
                <w:b/>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0">
              <w:r>
                <w:rPr>
                  <w:rStyle w:val="InternetLink"/>
                  <w:rFonts w:ascii="Arial;sans-serif" w:hAnsi="Arial;sans-serif"/>
                  <w:b/>
                  <w:strike w:val="false"/>
                  <w:dstrike w:val="false"/>
                  <w:color w:val="74A333"/>
                  <w:sz w:val="18"/>
                  <w:u w:val="none"/>
                  <w:effect w:val="none"/>
                </w:rPr>
                <w:t>Questions and Answers about these Proxy Materials and Voting</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0">
              <w:r>
                <w:rPr>
                  <w:rStyle w:val="InternetLink"/>
                  <w:rFonts w:ascii="Arial;sans-serif" w:hAnsi="Arial;sans-serif"/>
                  <w:b/>
                  <w:strike w:val="false"/>
                  <w:dstrike w:val="false"/>
                  <w:color w:val="74A333"/>
                  <w:sz w:val="18"/>
                  <w:u w:val="none"/>
                  <w:effect w:val="none"/>
                </w:rPr>
                <w:t>1</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11">
              <w:r>
                <w:rPr>
                  <w:rStyle w:val="InternetLink"/>
                  <w:rFonts w:ascii="Arial;sans-serif" w:hAnsi="Arial;sans-serif"/>
                  <w:b/>
                  <w:strike w:val="false"/>
                  <w:dstrike w:val="false"/>
                  <w:color w:val="74A333"/>
                  <w:sz w:val="18"/>
                  <w:u w:val="none"/>
                  <w:effect w:val="none"/>
                </w:rPr>
                <w:t>Proposal No. 1 Election of Directors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11">
              <w:r>
                <w:rPr>
                  <w:rStyle w:val="InternetLink"/>
                  <w:rFonts w:ascii="Arial;sans-serif" w:hAnsi="Arial;sans-serif"/>
                  <w:b/>
                  <w:strike w:val="false"/>
                  <w:dstrike w:val="false"/>
                  <w:color w:val="74A333"/>
                  <w:sz w:val="18"/>
                  <w:u w:val="none"/>
                  <w:effect w:val="none"/>
                </w:rPr>
                <w:t>7</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26">
              <w:r>
                <w:rPr>
                  <w:rStyle w:val="InternetLink"/>
                  <w:rFonts w:ascii="Arial;sans-serif" w:hAnsi="Arial;sans-serif"/>
                  <w:b/>
                  <w:strike w:val="false"/>
                  <w:dstrike w:val="false"/>
                  <w:color w:val="74A333"/>
                  <w:sz w:val="18"/>
                  <w:u w:val="none"/>
                  <w:effect w:val="none"/>
                </w:rPr>
                <w:t>Information Regarding the Board of Directors and Corporate Governance</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26">
              <w:r>
                <w:rPr>
                  <w:rStyle w:val="InternetLink"/>
                  <w:rFonts w:ascii="Arial;sans-serif" w:hAnsi="Arial;sans-serif"/>
                  <w:b/>
                  <w:strike w:val="false"/>
                  <w:dstrike w:val="false"/>
                  <w:color w:val="74A333"/>
                  <w:sz w:val="18"/>
                  <w:u w:val="none"/>
                  <w:effect w:val="none"/>
                </w:rPr>
                <w:t>15</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43">
              <w:r>
                <w:rPr>
                  <w:rStyle w:val="InternetLink"/>
                  <w:rFonts w:ascii="Arial;sans-serif" w:hAnsi="Arial;sans-serif"/>
                  <w:b/>
                  <w:strike w:val="false"/>
                  <w:dstrike w:val="false"/>
                  <w:color w:val="74A333"/>
                  <w:sz w:val="18"/>
                  <w:u w:val="none"/>
                  <w:effect w:val="none"/>
                </w:rPr>
                <w:t>Proposal No. 2 Ratification of Selection of Independent Registered Public Accounting Firm</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43">
              <w:r>
                <w:rPr>
                  <w:rStyle w:val="InternetLink"/>
                  <w:rFonts w:ascii="Arial;sans-serif" w:hAnsi="Arial;sans-serif"/>
                  <w:b/>
                  <w:strike w:val="false"/>
                  <w:dstrike w:val="false"/>
                  <w:color w:val="74A333"/>
                  <w:sz w:val="18"/>
                  <w:u w:val="none"/>
                  <w:effect w:val="none"/>
                </w:rPr>
                <w:t>23</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58">
              <w:r>
                <w:rPr>
                  <w:rStyle w:val="InternetLink"/>
                  <w:rFonts w:ascii="Arial;sans-serif" w:hAnsi="Arial;sans-serif"/>
                  <w:b/>
                  <w:strike w:val="false"/>
                  <w:dstrike w:val="false"/>
                  <w:color w:val="74A333"/>
                  <w:sz w:val="18"/>
                  <w:u w:val="none"/>
                  <w:effect w:val="none"/>
                </w:rPr>
                <w:t>Proposal No. 3 Advisory, Non-Binding Vote on Executive Compensation</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58">
              <w:r>
                <w:rPr>
                  <w:rStyle w:val="InternetLink"/>
                  <w:rFonts w:ascii="Arial;sans-serif" w:hAnsi="Arial;sans-serif"/>
                  <w:b/>
                  <w:strike w:val="false"/>
                  <w:dstrike w:val="false"/>
                  <w:color w:val="74A333"/>
                  <w:sz w:val="18"/>
                  <w:u w:val="none"/>
                  <w:effect w:val="none"/>
                </w:rPr>
                <w:t>25</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73">
              <w:r>
                <w:rPr>
                  <w:rStyle w:val="InternetLink"/>
                  <w:rFonts w:ascii="Arial;sans-serif" w:hAnsi="Arial;sans-serif"/>
                  <w:b/>
                  <w:strike w:val="false"/>
                  <w:dstrike w:val="false"/>
                  <w:color w:val="74A333"/>
                  <w:sz w:val="18"/>
                  <w:u w:val="none"/>
                  <w:effect w:val="none"/>
                </w:rPr>
                <w:t>Security Ownership of Certain Beneficial Owners and Management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73">
              <w:r>
                <w:rPr>
                  <w:rStyle w:val="InternetLink"/>
                  <w:rFonts w:ascii="Arial;sans-serif" w:hAnsi="Arial;sans-serif"/>
                  <w:b/>
                  <w:strike w:val="false"/>
                  <w:dstrike w:val="false"/>
                  <w:color w:val="74A333"/>
                  <w:sz w:val="18"/>
                  <w:u w:val="none"/>
                  <w:effect w:val="none"/>
                </w:rPr>
                <w:t>26</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188">
              <w:r>
                <w:rPr>
                  <w:rStyle w:val="InternetLink"/>
                  <w:rFonts w:ascii="Arial;sans-serif" w:hAnsi="Arial;sans-serif"/>
                  <w:b/>
                  <w:strike w:val="false"/>
                  <w:dstrike w:val="false"/>
                  <w:color w:val="74A333"/>
                  <w:sz w:val="18"/>
                  <w:u w:val="none"/>
                  <w:effect w:val="none"/>
                </w:rPr>
                <w:t>Management</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188">
              <w:r>
                <w:rPr>
                  <w:rStyle w:val="InternetLink"/>
                  <w:rFonts w:ascii="Arial;sans-serif" w:hAnsi="Arial;sans-serif"/>
                  <w:b/>
                  <w:strike w:val="false"/>
                  <w:dstrike w:val="false"/>
                  <w:color w:val="74A333"/>
                  <w:sz w:val="18"/>
                  <w:u w:val="none"/>
                  <w:effect w:val="none"/>
                </w:rPr>
                <w:t>28</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203">
              <w:r>
                <w:rPr>
                  <w:rStyle w:val="InternetLink"/>
                  <w:rFonts w:ascii="Arial;sans-serif" w:hAnsi="Arial;sans-serif"/>
                  <w:b/>
                  <w:strike w:val="false"/>
                  <w:dstrike w:val="false"/>
                  <w:color w:val="74A333"/>
                  <w:sz w:val="18"/>
                  <w:u w:val="none"/>
                  <w:effect w:val="none"/>
                </w:rPr>
                <w:t>Executive Compensation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203">
              <w:r>
                <w:rPr>
                  <w:rStyle w:val="InternetLink"/>
                  <w:rFonts w:ascii="Arial;sans-serif" w:hAnsi="Arial;sans-serif"/>
                  <w:b/>
                  <w:strike w:val="false"/>
                  <w:dstrike w:val="false"/>
                  <w:color w:val="74A333"/>
                  <w:sz w:val="18"/>
                  <w:u w:val="none"/>
                  <w:effect w:val="none"/>
                </w:rPr>
                <w:t>29</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219">
              <w:r>
                <w:rPr>
                  <w:rStyle w:val="InternetLink"/>
                  <w:rFonts w:ascii="Arial;sans-serif" w:hAnsi="Arial;sans-serif"/>
                  <w:b/>
                  <w:strike w:val="false"/>
                  <w:dstrike w:val="false"/>
                  <w:color w:val="74A333"/>
                  <w:sz w:val="18"/>
                  <w:u w:val="none"/>
                  <w:effect w:val="none"/>
                </w:rPr>
                <w:t>Certain Relationships and Related Party Transactions</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219">
              <w:r>
                <w:rPr>
                  <w:rStyle w:val="InternetLink"/>
                  <w:rFonts w:ascii="Arial;sans-serif" w:hAnsi="Arial;sans-serif"/>
                  <w:b/>
                  <w:strike w:val="false"/>
                  <w:dstrike w:val="false"/>
                  <w:color w:val="74A333"/>
                  <w:sz w:val="18"/>
                  <w:u w:val="none"/>
                  <w:effect w:val="none"/>
                </w:rPr>
                <w:t>55</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235">
              <w:r>
                <w:rPr>
                  <w:rStyle w:val="InternetLink"/>
                  <w:rFonts w:ascii="Arial;sans-serif" w:hAnsi="Arial;sans-serif"/>
                  <w:b/>
                  <w:strike w:val="false"/>
                  <w:dstrike w:val="false"/>
                  <w:color w:val="74A333"/>
                  <w:sz w:val="18"/>
                  <w:u w:val="none"/>
                  <w:effect w:val="none"/>
                </w:rPr>
                <w:t>Indemnification Agreements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235">
              <w:r>
                <w:rPr>
                  <w:rStyle w:val="InternetLink"/>
                  <w:rFonts w:ascii="Arial;sans-serif" w:hAnsi="Arial;sans-serif"/>
                  <w:b/>
                  <w:strike w:val="false"/>
                  <w:dstrike w:val="false"/>
                  <w:color w:val="74A333"/>
                  <w:sz w:val="18"/>
                  <w:u w:val="none"/>
                  <w:effect w:val="none"/>
                </w:rPr>
                <w:t>55</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250">
              <w:r>
                <w:rPr>
                  <w:rStyle w:val="InternetLink"/>
                  <w:rFonts w:ascii="Arial;sans-serif" w:hAnsi="Arial;sans-serif"/>
                  <w:b/>
                  <w:strike w:val="false"/>
                  <w:dstrike w:val="false"/>
                  <w:color w:val="74A333"/>
                  <w:sz w:val="18"/>
                  <w:u w:val="none"/>
                  <w:effect w:val="none"/>
                </w:rPr>
                <w:t>Householding of Proxy Materials</w:t>
              </w:r>
            </w:hyperlink>
          </w:p>
        </w:tc>
        <w:tc>
          <w:tcPr>
            <w:tcW w:w="496"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250">
              <w:r>
                <w:rPr>
                  <w:rStyle w:val="InternetLink"/>
                  <w:rFonts w:ascii="Arial;sans-serif" w:hAnsi="Arial;sans-serif"/>
                  <w:b/>
                  <w:strike w:val="false"/>
                  <w:dstrike w:val="false"/>
                  <w:color w:val="74A333"/>
                  <w:sz w:val="18"/>
                  <w:u w:val="none"/>
                  <w:effect w:val="none"/>
                </w:rPr>
                <w:t>56</w:t>
              </w:r>
            </w:hyperlink>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hyperlink w:anchor="i8a60f2144124483ca4e2f372b73cbbe2_265">
              <w:r>
                <w:rPr>
                  <w:rStyle w:val="InternetLink"/>
                  <w:rFonts w:ascii="Arial;sans-serif" w:hAnsi="Arial;sans-serif"/>
                  <w:b/>
                  <w:strike w:val="false"/>
                  <w:dstrike w:val="false"/>
                  <w:color w:val="74A333"/>
                  <w:sz w:val="18"/>
                  <w:u w:val="none"/>
                  <w:effect w:val="none"/>
                </w:rPr>
                <w:t>Other Matters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pPr>
            <w:hyperlink w:anchor="i8a60f2144124483ca4e2f372b73cbbe2_265">
              <w:r>
                <w:rPr>
                  <w:rStyle w:val="InternetLink"/>
                  <w:rFonts w:ascii="Arial;sans-serif" w:hAnsi="Arial;sans-serif"/>
                  <w:b/>
                  <w:strike w:val="false"/>
                  <w:dstrike w:val="false"/>
                  <w:color w:val="74A333"/>
                  <w:sz w:val="18"/>
                  <w:u w:val="none"/>
                  <w:effect w:val="none"/>
                </w:rPr>
                <w:t>56</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40" w:before="0" w:after="120"/>
              <w:jc w:val="left"/>
              <w:rPr/>
            </w:pPr>
            <w:hyperlink w:anchor="i8a60f2144124483ca4e2f372b73cbbe2_280">
              <w:r>
                <w:rPr>
                  <w:rStyle w:val="InternetLink"/>
                  <w:rFonts w:ascii="Arial;sans-serif" w:hAnsi="Arial;sans-serif"/>
                  <w:b/>
                  <w:strike w:val="false"/>
                  <w:dstrike w:val="false"/>
                  <w:color w:val="74A333"/>
                  <w:sz w:val="18"/>
                  <w:u w:val="none"/>
                  <w:effect w:val="none"/>
                </w:rPr>
                <w:t>APPENDIX A</w:t>
              </w:r>
            </w:hyperlink>
          </w:p>
        </w:tc>
        <w:tc>
          <w:tcPr>
            <w:tcW w:w="49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40" w:before="0" w:after="120"/>
              <w:jc w:val="right"/>
              <w:rPr/>
            </w:pPr>
            <w:hyperlink w:anchor="i8a60f2144124483ca4e2f372b73cbbe2_280">
              <w:r>
                <w:rPr>
                  <w:rStyle w:val="InternetLink"/>
                  <w:rFonts w:ascii="Arial;sans-serif" w:hAnsi="Arial;sans-serif"/>
                  <w:b/>
                  <w:strike w:val="false"/>
                  <w:dstrike w:val="false"/>
                  <w:color w:val="74A333"/>
                  <w:sz w:val="18"/>
                  <w:u w:val="none"/>
                  <w:effect w:val="none"/>
                </w:rPr>
                <w:t>57</w:t>
              </w:r>
            </w:hyperlink>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8"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Questions and Answers about these Proxy Materials and Voting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WHY DID I RECEIVE A NOTICE REGARDING THE AVAILABILITY OF PROXY MATERIALS ON THE INTERNET?</w:t>
      </w:r>
    </w:p>
    <w:p>
      <w:pPr>
        <w:pStyle w:val="TextBody"/>
        <w:bidi w:val="0"/>
        <w:spacing w:lineRule="auto" w:line="288" w:before="120" w:after="120"/>
        <w:jc w:val="both"/>
        <w:rPr/>
      </w:pPr>
      <w:r>
        <w:rPr>
          <w:rFonts w:ascii="Arial;sans-serif" w:hAnsi="Arial;sans-serif"/>
          <w:b w:val="false"/>
          <w:color w:val="000000"/>
          <w:sz w:val="18"/>
        </w:rPr>
        <w:t>Pursuant to rules adopted by the Securities and Exchange Commission (the “</w:t>
      </w:r>
      <w:r>
        <w:rPr>
          <w:rFonts w:ascii="Arial;sans-serif" w:hAnsi="Arial;sans-serif"/>
          <w:b/>
          <w:color w:val="000000"/>
          <w:sz w:val="18"/>
        </w:rPr>
        <w:t>SEC</w:t>
      </w:r>
      <w:r>
        <w:rPr>
          <w:color w:val="000000"/>
        </w:rPr>
        <w:t>”</w:t>
      </w:r>
      <w:r>
        <w:rPr>
          <w:rFonts w:ascii="Arial;sans-serif" w:hAnsi="Arial;sans-serif"/>
          <w:b w:val="false"/>
          <w:color w:val="000000"/>
          <w:sz w:val="18"/>
        </w:rPr>
        <w:t>), we have elected to provide access to our proxy materials on the internet. Accordingly, we have sent you a Notice of Internet Availability of Proxy Materials (the “</w:t>
      </w:r>
      <w:r>
        <w:rPr>
          <w:rFonts w:ascii="Arial;sans-serif" w:hAnsi="Arial;sans-serif"/>
          <w:b/>
          <w:color w:val="000000"/>
          <w:sz w:val="18"/>
        </w:rPr>
        <w:t>Notice</w:t>
      </w:r>
      <w:r>
        <w:rPr>
          <w:color w:val="000000"/>
        </w:rPr>
        <w:t>”</w:t>
      </w:r>
      <w:r>
        <w:rPr>
          <w:rFonts w:ascii="Arial;sans-serif" w:hAnsi="Arial;sans-serif"/>
          <w:b w:val="false"/>
          <w:color w:val="000000"/>
          <w:sz w:val="18"/>
        </w:rPr>
        <w:t>) because our board of directors (the “</w:t>
      </w:r>
      <w:r>
        <w:rPr>
          <w:rFonts w:ascii="Arial;sans-serif" w:hAnsi="Arial;sans-serif"/>
          <w:b/>
          <w:color w:val="000000"/>
          <w:sz w:val="18"/>
        </w:rPr>
        <w:t>Board</w:t>
      </w:r>
      <w:r>
        <w:rPr>
          <w:color w:val="000000"/>
        </w:rPr>
        <w:t xml:space="preserve">” </w:t>
      </w:r>
      <w:r>
        <w:rPr>
          <w:rFonts w:ascii="Arial;sans-serif" w:hAnsi="Arial;sans-serif"/>
          <w:b w:val="false"/>
          <w:color w:val="000000"/>
          <w:sz w:val="18"/>
        </w:rPr>
        <w:t>or “</w:t>
      </w:r>
      <w:r>
        <w:rPr>
          <w:rFonts w:ascii="Arial;sans-serif" w:hAnsi="Arial;sans-serif"/>
          <w:b/>
          <w:color w:val="000000"/>
          <w:sz w:val="18"/>
        </w:rPr>
        <w:t>Board of Directors</w:t>
      </w:r>
      <w:r>
        <w:rPr>
          <w:color w:val="000000"/>
        </w:rPr>
        <w:t>”</w:t>
      </w:r>
      <w:r>
        <w:rPr>
          <w:rFonts w:ascii="Arial;sans-serif" w:hAnsi="Arial;sans-serif"/>
          <w:b w:val="false"/>
          <w:color w:val="000000"/>
          <w:sz w:val="18"/>
        </w:rPr>
        <w:t>) is soliciting your proxy to vote at the 2026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intend to first mail this Notice and make our proxy materials available to stockholders on or about April 21, 2026.</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DO I ATTEND THE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Annual Meeting will be held on Thursday, June 4, 2026 at 8:00 a.m. Pacific Time by live webcast. There will not be a physical meeting location and you will not be able to attend the meeting in-person physically. We invite you to attend the Annual Meeting by live webcast. Online check-in will begin approximately 15 minutes prior to the start of the Annual Meeting. We encourage our stockholders to enter the meeting in advance of the designated start time to have ample time for check-in procedures. To attend the Annual Meeting virtually via the internet, please visit www.virtualshareholdermeeting.com/SIBN2026 and use the 16-digit control number provided on your proxy card or voting instruction card you receive in order to be above to submit your questions and vote your shares. Therefore, it is important to retain a copy of your proxy card or voting instruction card you receive to enable you to gain participation access to the Annual Meeting. However, as noted above, you do not need to attend the Annual Meeting to vote your shares. Instead, you may simply complete, sign and return a proxy card or voting instruction card in the envelope provided with the proxy card or voting instruction card, or follow the instructions below to submit your proxy over the telephone or on the internet.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do not have your 16-digit control number, you will be able to enter as a guest and listen to the Annual Meeting, but you will not be able to submit questions or vote your shares during the Annual Meeting. See caption below titled “Attending the Annual Meeting as a Guest.”</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ATTENDING THE ANNUAL MEETING AS A GUEST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Guests may enter the Annual Meeting in “listen-only” mode by visiting www.virtualshareholdermeeting.com/SIBN2026 and providing the information requested in the “Guest Login” section. Guests will not have the ability to submit questions or vote shares at the Annual Meeting.</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WHY IS SI-BONE HAVING A VIRTUAL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facilitate stockholder participation in the Annual Meeting, this year’s Annual Meeting will be held virtually via the internet. Stockholders attending virtually via the internet will be able to listen, submit questions and vote shares via the internet at www.virtualshareholdermeeting.com/SIBN2026 by using the 16-digit control number included on their proxy card or voting instruction cards and following the instructions that accompanied your proxy materials.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WHO CAN VOTE AT THE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Only stockholders of record at the close of business on April 6, 2026 will be entitled to vote at the Annual Meeting. On this record date, there were 44,243,715 shares of common stock outstanding and entitled to vote.</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on April 6, 2026, your shares are registered directly in your name with our transfer agent, Equiniti Trust Company, LLC, then you are a stockholder of record. As a stockholder of record, you may vote via webcast at the meeting or vote by proxy. Whether or not you plan to attend the meeting via webcast, we urge you to vote by proxy via mail, over the telephone or on the internet as instructed below to ensure your vote is 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0885"/>
                <wp:effectExtent l="0" t="0" r="0" b="0"/>
                <wp:wrapNone/>
                <wp:docPr id="9" name="Frame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Beneficial Owner: Shares Registered in the Name of a Broker or Bank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on April 6, 2026, your shares are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stockholder of record regarding how to vote the shares in your account. You are also invited to attend the Annual Meeting. Many stockholders of record will provide you with a 16-digit control number via email or in a voting instruction form with the Notice in order to attend, submit your questions and vote your shares at the Annual Meeting. If you did not receive a 16-digit control number via email or on the Notice or voting instruction form, you will be provided with other instructions from your broker, bank or other stockholder of record that must be followed, including any requirement to obtain a valid legal proxy, in order for your broker, bank or other stockholder of record to vote your shares per your instructions or to attend and vote your shares at the Annual Meeting. Many brokers, banks or other stockholders of record allow a stockholder to obtain a valid legal proxy either online or by mail, and we recommend that you contact your broker, bank or other stockholder of record to do so.</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WHO CAN ASK QUESTIONS AT THE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are attending the Annual Meeting as a stockholder of record or as a beneficial owner, questions can be submitted by accessing the meeting center at www.virtualshareholdermeeting.com/SIBN2026, entering your 16-digit control number and following the instructions. Instructions on how to ask questions during the Annual Meeting are posted at www.virtualshareholdermeeting.com/SIBN2026. Guests will not have the ability to ask questions during the Annual Meeting.</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List of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list of stockholders entitled to vote at the Annual Meeting will be available for examination for any purpose germane to the Annual Meeting during normal business hours for ten days prior to the Annual Meeting at our corporate headquarters. Please email us at StockholderCommunications@si-bone.com to arrange a time to review. The stockholder list will also be available during the Annual Meeting at www.virtualshareholdermeeting.com/SIBN2026. Instructions on how stockholders of record can view the stockholder list during the Annual Meeting are posted at www.virtualshareholdermeeting.com/SIBN2026.</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AM I VOTING 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are three matters scheduled for a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89"/>
        <w:gridCol w:w="2720"/>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1</w:t>
            </w:r>
          </w:p>
        </w:tc>
        <w:tc>
          <w:tcPr>
            <w:tcW w:w="9863"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Election of the Board of Directors’ two nominees for director to serve until the 2029 Annual Meeting of Stockholders or until their successors are elected and qualified (Proposal No. 1);</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Ratification of selection by the Audit Committee of the Board of Directors of PricewaterhouseCoopers LLP as our independent registered public accounting firm of SI-BONE for the fiscal year ending December 31, 2026 (Proposal No. 2); and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3</w:t>
            </w:r>
          </w:p>
        </w:tc>
        <w:tc>
          <w:tcPr>
            <w:tcW w:w="9863"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Advisory, non-binding vote on the compensation of our named executive officers, as disclosed in this proxy statement (Proposal No. 3).</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IF ANOTHER MATTER IS PROPERLY BROUGHT BEFORE THE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14a-4(c)(1) under the Exchange Act, in accordance with their best judgment.</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DO I VOTE?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 may either vote “For” all of the nominees to the Board of Directors or you may “Withhold” your vote for any nominee you specify. For the ratification of selection by the Audit Committee of the Board of Directors of PricewaterhouseCoopers LLP as our independent registered public accounting firm for the fiscal year ending December 31, 2026, and the advisory approval of the compensation of our named executive officers, as disclosed in this proxy statement in accordance with SEC rules, you may vote “For” or “Against” or abstain from voting. For any of the other matters to be voted on, you may vote “For” or “Against” or abstain from voting.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procedures for voting are fairly simple: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0885"/>
                <wp:effectExtent l="0" t="0" r="0" b="0"/>
                <wp:wrapNone/>
                <wp:docPr id="10" name="Frame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are a stockholder of record, you may vote via webcast at the Annual Meeting, vote by proxy over the telephone,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and vote via webcast even if you have already voted by proxy.</w:t>
      </w:r>
    </w:p>
    <w:tbl>
      <w:tblPr>
        <w:tblW w:w="10205" w:type="dxa"/>
        <w:jc w:val="left"/>
        <w:tblInd w:w="0" w:type="dxa"/>
        <w:tblLayout w:type="fixed"/>
        <w:tblCellMar>
          <w:top w:w="28" w:type="dxa"/>
          <w:left w:w="28" w:type="dxa"/>
          <w:bottom w:w="28" w:type="dxa"/>
          <w:right w:w="28" w:type="dxa"/>
        </w:tblCellMar>
      </w:tblPr>
      <w:tblGrid>
        <w:gridCol w:w="1336"/>
        <w:gridCol w:w="1171"/>
        <w:gridCol w:w="1182"/>
        <w:gridCol w:w="109"/>
        <w:gridCol w:w="109"/>
        <w:gridCol w:w="109"/>
        <w:gridCol w:w="528"/>
        <w:gridCol w:w="528"/>
        <w:gridCol w:w="534"/>
        <w:gridCol w:w="109"/>
        <w:gridCol w:w="109"/>
        <w:gridCol w:w="109"/>
        <w:gridCol w:w="550"/>
        <w:gridCol w:w="550"/>
        <w:gridCol w:w="557"/>
        <w:gridCol w:w="109"/>
        <w:gridCol w:w="109"/>
        <w:gridCol w:w="109"/>
        <w:gridCol w:w="667"/>
        <w:gridCol w:w="667"/>
        <w:gridCol w:w="954"/>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75" w:after="30"/>
              <w:jc w:val="both"/>
              <w:rPr/>
            </w:pPr>
            <w:r>
              <w:rPr/>
              <w:drawing>
                <wp:inline distT="0" distB="0" distL="0" distR="0">
                  <wp:extent cx="361950" cy="3619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61950" cy="361950"/>
                          </a:xfrm>
                          <a:prstGeom prst="rect">
                            <a:avLst/>
                          </a:prstGeom>
                        </pic:spPr>
                      </pic:pic>
                    </a:graphicData>
                  </a:graphic>
                </wp:inline>
              </w:drawing>
            </w:r>
            <w:bookmarkStart w:id="3" w:name="i-4"/>
            <w:bookmarkEnd w:id="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75" w:after="30"/>
              <w:jc w:val="both"/>
              <w:rPr/>
            </w:pPr>
            <w:r>
              <w:rPr/>
              <w:drawing>
                <wp:inline distT="0" distB="0" distL="0" distR="0">
                  <wp:extent cx="361950" cy="3619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61950" cy="361950"/>
                          </a:xfrm>
                          <a:prstGeom prst="rect">
                            <a:avLst/>
                          </a:prstGeom>
                        </pic:spPr>
                      </pic:pic>
                    </a:graphicData>
                  </a:graphic>
                </wp:inline>
              </w:drawing>
            </w:r>
            <w:bookmarkStart w:id="4" w:name="i-5"/>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75" w:after="30"/>
              <w:jc w:val="both"/>
              <w:rPr/>
            </w:pPr>
            <w:r>
              <w:rPr/>
              <w:drawing>
                <wp:inline distT="0" distB="0" distL="0" distR="0">
                  <wp:extent cx="361950" cy="3619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61950" cy="361950"/>
                          </a:xfrm>
                          <a:prstGeom prst="rect">
                            <a:avLst/>
                          </a:prstGeom>
                        </pic:spPr>
                      </pic:pic>
                    </a:graphicData>
                  </a:graphic>
                </wp:inline>
              </w:drawing>
            </w:r>
            <w:bookmarkStart w:id="5" w:name="i-6"/>
            <w:bookmarkEnd w:id="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75" w:after="30"/>
              <w:jc w:val="both"/>
              <w:rPr/>
            </w:pPr>
            <w:r>
              <w:rPr/>
              <w:drawing>
                <wp:inline distT="0" distB="0" distL="0" distR="0">
                  <wp:extent cx="361950" cy="3619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61950" cy="361950"/>
                          </a:xfrm>
                          <a:prstGeom prst="rect">
                            <a:avLst/>
                          </a:prstGeom>
                        </pic:spPr>
                      </pic:pic>
                    </a:graphicData>
                  </a:graphic>
                </wp:inline>
              </w:drawing>
            </w:r>
            <w:bookmarkStart w:id="6" w:name="i-7"/>
            <w:bookmarkEnd w:id="6"/>
          </w:p>
        </w:tc>
      </w:tr>
      <w:tr>
        <w:trPr/>
        <w:tc>
          <w:tcPr>
            <w:tcW w:w="3689" w:type="dxa"/>
            <w:gridSpan w:val="3"/>
            <w:tcBorders/>
            <w:tcMar>
              <w:top w:w="0" w:type="dxa"/>
              <w:left w:w="0" w:type="dxa"/>
              <w:bottom w:w="0" w:type="dxa"/>
              <w:right w:w="0" w:type="dxa"/>
            </w:tcMar>
            <w:vAlign w:val="center"/>
          </w:tcPr>
          <w:p>
            <w:pPr>
              <w:pStyle w:val="TableContents"/>
              <w:bidi w:val="0"/>
              <w:spacing w:lineRule="auto" w:line="333" w:before="75" w:after="60"/>
              <w:jc w:val="left"/>
              <w:rPr>
                <w:rFonts w:ascii="Arial;sans-serif" w:hAnsi="Arial;sans-serif"/>
                <w:b/>
                <w:color w:val="74A333"/>
                <w:sz w:val="18"/>
              </w:rPr>
            </w:pPr>
            <w:r>
              <w:rPr>
                <w:rFonts w:ascii="Arial;sans-serif" w:hAnsi="Arial;sans-serif"/>
                <w:b/>
                <w:color w:val="74A333"/>
                <w:sz w:val="18"/>
              </w:rPr>
              <w:t>Vote during the Meeting</w:t>
            </w:r>
          </w:p>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At the live webcast, if you are a stockholder of record, you may vote by following the instructions at www.virtualshareholdermeeting.com/SIBN2026. You will need the 16-digit control number provided on your proxy card or voting instruction card in order to vote your shares at the Annual Meeting via webcast.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333" w:before="75" w:after="60"/>
              <w:jc w:val="left"/>
              <w:rPr>
                <w:rFonts w:ascii="Arial;sans-serif" w:hAnsi="Arial;sans-serif"/>
                <w:b/>
                <w:color w:val="74A333"/>
                <w:sz w:val="18"/>
              </w:rPr>
            </w:pPr>
            <w:r>
              <w:rPr>
                <w:rFonts w:ascii="Arial;sans-serif" w:hAnsi="Arial;sans-serif"/>
                <w:b/>
                <w:color w:val="74A333"/>
                <w:sz w:val="18"/>
              </w:rPr>
              <w:t>Vote by Mail</w:t>
            </w:r>
          </w:p>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received a proxy card by mail, you may vote by completing, signing and dating the proxy card and returning it promptly in the envelope provided. If you return your completed, signed and dated proxy card to us before the Annual Meeting, we will vote your shares as you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333" w:before="75" w:after="60"/>
              <w:jc w:val="left"/>
              <w:rPr>
                <w:rFonts w:ascii="Arial;sans-serif" w:hAnsi="Arial;sans-serif"/>
                <w:b/>
                <w:color w:val="74A333"/>
                <w:sz w:val="18"/>
              </w:rPr>
            </w:pPr>
            <w:r>
              <w:rPr>
                <w:rFonts w:ascii="Arial;sans-serif" w:hAnsi="Arial;sans-serif"/>
                <w:b/>
                <w:color w:val="74A333"/>
                <w:sz w:val="18"/>
              </w:rPr>
              <w:t>Vote by Phone</w:t>
            </w:r>
          </w:p>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Dial toll-free 1-800-690-6903 using a touch-tone phone and follow the recorded instructions. You will be asked to provide the 16-digit control number provided on your proxy card or voting instruction card. Your telephone vote must be received by 8:59 p.m., Pacific Time on June 3, 2026 to be counted.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333" w:before="75" w:after="60"/>
              <w:jc w:val="left"/>
              <w:rPr>
                <w:rFonts w:ascii="Arial;sans-serif" w:hAnsi="Arial;sans-serif"/>
                <w:b/>
                <w:color w:val="74A333"/>
                <w:sz w:val="18"/>
              </w:rPr>
            </w:pPr>
            <w:r>
              <w:rPr>
                <w:rFonts w:ascii="Arial;sans-serif" w:hAnsi="Arial;sans-serif"/>
                <w:b/>
                <w:color w:val="74A333"/>
                <w:sz w:val="18"/>
              </w:rPr>
              <w:t>Vote by Internet</w:t>
            </w:r>
          </w:p>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Go to www.proxyvote.com to complete an electronic proxy card. You will be asked to provide the 16-digit control number provided on your proxy card or voting instruction card. Your internet vote must be received by 8:59 p.m., Pacific Time on June 3, 2026 to be counted.</w:t>
            </w:r>
          </w:p>
        </w:tc>
      </w:tr>
    </w:tbl>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Beneficial Owner: Shares Registered in the Name of Broker or Bank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are a beneficial owner of shares registered in the name of your broker, bank or other stockholder of record, you should have received a voting instruction form with the Notice from that organization rather than from us. Simply complete and mail the voting instruction form to ensure that your vote is counted. Alternatively, you may vote by telephone or over the internet as instructed by your broker, bank or other stockholder of record. To vote at the live webcast, you may be able to do so if your broker, bank or other stockholder of record has provided you with a 16-digit control number, or if you have otherwise received a valid proxy. See “Who can vote at the Annual Meeting?” above. To receive a valid proxy, follow the instructions from your broker, bank or other agent included with the Notice, or contact your broker, bank or other agent to request a proxy form.</w:t>
      </w:r>
    </w:p>
    <w:tbl>
      <w:tblPr>
        <w:tblW w:w="10205" w:type="dxa"/>
        <w:jc w:val="left"/>
        <w:tblInd w:w="0" w:type="dxa"/>
        <w:tblLayout w:type="fixed"/>
        <w:tblCellMar>
          <w:top w:w="28" w:type="dxa"/>
          <w:left w:w="28" w:type="dxa"/>
          <w:bottom w:w="28" w:type="dxa"/>
          <w:right w:w="28" w:type="dxa"/>
        </w:tblCellMar>
      </w:tblPr>
      <w:tblGrid>
        <w:gridCol w:w="3565"/>
        <w:gridCol w:w="3125"/>
        <w:gridCol w:w="3142"/>
        <w:gridCol w:w="109"/>
        <w:gridCol w:w="109"/>
        <w:gridCol w:w="155"/>
      </w:tblGrid>
      <w:tr>
        <w:trPr/>
        <w:tc>
          <w:tcPr>
            <w:tcW w:w="3565"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shd w:fill="74A33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MANY VOTES DO I HAVE?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each matter to be voted upon, you have one vote for each share of common stock you own as of April 6, 2026.</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If I AM A STOCKHOLDER OF RECORD AND I DO NOT VOTE, OR IF I RETURN A PROXY CARD OR OTHERWISE VOTE WITHOUT GIVING SPECIFIC VOTING INSTRUCTIONS, WHAT HAPPENS?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are a stockholder of record and do not vote by completing your proxy card, by telephone, through the internet or via webcast at the Annual Meeting, your shares will not be voted.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return a signed and dated proxy card or otherwise vote without marking voting selections, your shares will be voted, as applicable, “For” the election of all of the nominees for director, “For” the ratification of selection by the Audit Committee of the Board of Directors of PricewaterhouseCoopers LLP as our independent registered public accounting firm for the fiscal year ending December 31, 2026, and “For” the advisory approval of the compensation of our named executive officers, as disclosed in this proxy statement in accordance with SEC rules. If any other matter is properly presented at the meeting, your proxy holder (one of the individuals named on your proxy card) will vote your shares using his or her best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0885"/>
                <wp:effectExtent l="0" t="0" r="0" b="0"/>
                <wp:wrapNone/>
                <wp:docPr id="15" name="Frame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IF I AM A BENEFICIAL OWNER OF SHARES HELD IN STREET NAME AND I DO NOT PROVIDE MY BROKER OR BANK WITH VOTING INSTRUCTIONS, WHAT HAPPENS?</w:t>
      </w:r>
    </w:p>
    <w:p>
      <w:pPr>
        <w:pStyle w:val="TextBody"/>
        <w:bidi w:val="0"/>
        <w:spacing w:lineRule="auto" w:line="288" w:before="120" w:after="120"/>
        <w:jc w:val="both"/>
        <w:rPr/>
      </w:pPr>
      <w:r>
        <w:rPr>
          <w:rFonts w:ascii="Arial;sans-serif" w:hAnsi="Arial;sans-serif"/>
          <w:b w:val="false"/>
          <w:color w:val="000000"/>
          <w:sz w:val="18"/>
        </w:rPr>
        <w:t>If you are a beneficial owner of shares held in street name and you do not instruct your broker, bank or other stockholder of record how to vote your shares, your broker, bank or other stockholder of record may still be able to vote your shares in its discretion. In this regard, under the rules of the New York Stock Exchange (“</w:t>
      </w:r>
      <w:r>
        <w:rPr>
          <w:rFonts w:ascii="Arial;sans-serif" w:hAnsi="Arial;sans-serif"/>
          <w:b/>
          <w:color w:val="000000"/>
          <w:sz w:val="18"/>
        </w:rPr>
        <w:t>NYSE</w:t>
      </w:r>
      <w:r>
        <w:rPr>
          <w:color w:val="000000"/>
        </w:rPr>
        <w:t>”</w:t>
      </w:r>
      <w:r>
        <w:rPr>
          <w:rFonts w:ascii="Arial;sans-serif" w:hAnsi="Arial;sans-serif"/>
          <w:b w:val="false"/>
          <w:color w:val="000000"/>
          <w:sz w:val="18"/>
        </w:rPr>
        <w:t>), which are also applicable to Nasdaq-listed companies, brokers, banks and other securities intermediaries may use their discretion to vote your “uninstructed” shares with respect to matters considered to be “routine” under NYSE rules, but not with respect to “non-routine” matters. In this regard, Proposals Nos. 1 and 3 are considered to be “non-routine” under NYSE rules meaning that your broker may not vote your shares on those proposals in the absence of your voting instructions. However, Proposal No. 2 is considered to be a “routine” matter under NYSE rules meaning that if you do not return voting instructions to your broker by its deadline, your shares may be voted by your broker in its discretion on Proposal No. 2.</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WHO IS THIS PROXY SOLICITATION MADE BY?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Your proxy is being solicited on behalf of the Board for use at the Annual Meeting.</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WHO IS PAYING FOR THIS PROXY SOLICITATION?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stockholders of record for the cost of forwarding proxy materials to beneficial owners.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DOES IT MEAN IF I RECEIVE MORE THAN ONE NOTICE?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receive more than one Notice, your shares may be registered in more than one name or in different accounts. Please follow the voting instructions on the Notices to ensure that all of your shares are voted.</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CAN I CHANGE MY VOTE AFTER SUBMITTING MY PROXY?</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Stockholder of Record: Shares Registered in Your Name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Yes. You can revoke your proxy at any time before the final vote at the meeting. If you are the record holder of your shares, you may revoke your proxy in any one of the following ways: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You may submit another properly completed proxy card with a later date.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You may grant a subsequent proxy by telephone or through the internet.</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You may send a timely written notice that you are revoking your proxy to SI-BONE, Inc., Attn: Secretary and Chief Business &amp; Legal Affairs Officer, at 471 El Camino Real, Suite 101, Santa Clara, California 95050.</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You may attend the Annual Meeting and vote via webcast. Simply attending the meeting will not, by itself, revoke your proxy.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Unless you vote via webcast, your most current proxy card or telephone or internet proxy is the one that is counted.</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Beneficial Owner: Shares Registered in the Name of Broker or Bank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your shares are held by your broker, bank or other stockholder of record, you should follow the instructions provided by your broker, bank or other stockholder of record regarding how to change or revoke your proxy. Simply attending the meeting will not, by itself, revoke your proxy.</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WHEN ARE STOCKHOLDER PROPOSALS DUE FOR NEXT YEAR’S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be considered for inclusion in next year’s proxy materials, your proposal must be submitted in writing and received by our Secretary no later than December 22, 2026. All such proposals should be addressed to SI-BONE, Inc., Attn: Chief Business &amp; Legal Affairs Officer, at 471 El Camino Real, Suite 101, Santa Clara, California 95050, or if sent after July 1, 2026, at 88 W Plumeria Dr, San Jose, California 95131. However, if the 2027 annual meeting of stockholders is held before May 5, 2027 or after July 4, 2027, then your proposal must be submitted in writing and received by our Secretary a reasonable time before we begin to print and send our proxy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0885"/>
                <wp:effectExtent l="0" t="0" r="0" b="0"/>
                <wp:wrapNone/>
                <wp:docPr id="16" name="Frame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wish to submit a proposal (including a director nomination) at the meeting that is not to be included in next year’s proxy materials, your proposal must be submitted in writing and received by our Secretary no earlier than the close of business on February 4, 2027 and no later than the close of business on March 6, 2027. All such proposals should be addressed to SI-BONE, Inc., Attn: Chief Business &amp; Legal Affairs Officer, at 88 W Plumeria Dr, San Jose, California 95131. However, if the 2027 annual meeting of stockholders is held before May 5, 2027, or after July 4, 2027, then your proposal must be submitted in writing and received by our Secretary no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comply with the universal proxy rules, stockholders who intend to solicit proxies in support of director nominees other than our nominees must provide notice that sets forth the information required by Rule 14a-19 under the Exchange Act no later than April 5, 2027. However, if the 2027 annual meeting of the stockholders is held before May 5, 2027, or after July 4, 2027, for your notice to be timely, it must be so received by our Secretary by the later of sixty (60) days prior to such annual meeting or the tenth (10th) day following the day on which public announcement of the date of such annual meeting is first made.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Stockholders wishing to make stockholder proposals or nominations for directors should consult our bylaws and Rule 14a-19 under the Exchange Act, which contain additional requirements and information regarding these matters.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ARE VOTES COUNTED?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Votes will be counted by the inspector of election appointed for the meeting, who will separately count: (a) with respect to the proposal to elect directors, votes “For,” votes “Withheld,” and broker non-votes; (b) with respect to the ratification of selection by the Audit Committee of the Board of Directors of PricewaterhouseCoopers LLP as our independent registered public accounting firm for the fiscal year ending December 31, 2026, votes “For”, votes “Against,” and abstentions; (c) with respect to the advisory approval of the compensation of our named executive officers, as disclosed in this proxy statement in accordance with SEC rules, votes “For”, votes “Against,” abstentions, and broker non-votes; and (d) for any other proposals, votes “For”, votes “Against,” abstentions and, if applicable, broker non-votes.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Abstentions will be counted towards the vote total for each of Proposals No. 2 and No. 3 and will have the same effect as “Against” votes. Broker non-votes on Proposals No. 1 and No. 3 will have no effect and will not be counted towards the vote total for any of those proposals. As Proposal No. 2 is a “routine” matter we do not expect there to be any broker non-votes, but if there are broker non-votes, they will have no effect and will not be counted towards the vote total.</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ARE “BROKER NON-VOTES”?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securities intermediary cannot vote the shares. These unvoted shares are counted as “broker non-votes.”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0885"/>
                <wp:effectExtent l="0" t="0" r="0" b="0"/>
                <wp:wrapNone/>
                <wp:docPr id="17" name="Frame1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MANY VOTES ARE NEEDED TO APPROVE EACH PROPOSAL?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minimum number votes needed to approve each proposal and the effect of abstentions and broker non-votes.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35"/>
        <w:gridCol w:w="1149"/>
        <w:gridCol w:w="1152"/>
        <w:gridCol w:w="1085"/>
        <w:gridCol w:w="915"/>
        <w:gridCol w:w="918"/>
        <w:gridCol w:w="428"/>
        <w:gridCol w:w="428"/>
        <w:gridCol w:w="429"/>
        <w:gridCol w:w="385"/>
        <w:gridCol w:w="385"/>
        <w:gridCol w:w="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Proposal Description</w:t>
            </w:r>
          </w:p>
        </w:tc>
        <w:tc>
          <w:tcPr>
            <w:tcW w:w="2918"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Vote Required for Approval</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Effect of Abstentions</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Effect of Broker Non-Votes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1</w:t>
            </w:r>
          </w:p>
        </w:tc>
        <w:tc>
          <w:tcPr>
            <w:tcW w:w="4336"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Election of the Board of Directors’ two nominees for director to serve until the 2029 Annual Meeting of Stockholders or until their successors are elected and qualified</w:t>
            </w:r>
          </w:p>
        </w:tc>
        <w:tc>
          <w:tcPr>
            <w:tcW w:w="2918"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two nominees receiving the most “For” votes will be elected; “Withheld” votes will have no effect. </w:t>
            </w:r>
          </w:p>
        </w:tc>
        <w:tc>
          <w:tcPr>
            <w:tcW w:w="1285"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Not applicable</w:t>
            </w:r>
          </w:p>
        </w:tc>
        <w:tc>
          <w:tcPr>
            <w:tcW w:w="13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2</w:t>
            </w:r>
          </w:p>
        </w:tc>
        <w:tc>
          <w:tcPr>
            <w:tcW w:w="4336"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Ratification of the selection of PricewaterhouseCoopers LLP as our independent registered public accounting firm for the fiscal year ending December 31, 2026</w:t>
            </w:r>
          </w:p>
        </w:tc>
        <w:tc>
          <w:tcPr>
            <w:tcW w:w="2918"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rPr>
            </w:pPr>
            <w:r>
              <w:rPr>
                <w:color w:val="000000"/>
              </w:rPr>
              <w:t>“</w:t>
            </w:r>
            <w:r>
              <w:rPr>
                <w:rFonts w:ascii="Arial;sans-serif" w:hAnsi="Arial;sans-serif"/>
                <w:b w:val="false"/>
                <w:color w:val="000000"/>
                <w:sz w:val="18"/>
              </w:rPr>
              <w:t xml:space="preserve">For” votes from the holders of a majority of shares present via webcast or represented by proxy and entitled to vote on the matter. </w:t>
            </w:r>
          </w:p>
        </w:tc>
        <w:tc>
          <w:tcPr>
            <w:tcW w:w="128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Against</w:t>
            </w:r>
          </w:p>
        </w:tc>
        <w:tc>
          <w:tcPr>
            <w:tcW w:w="132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Not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center"/>
              <w:rPr>
                <w:rFonts w:ascii="Arial;sans-serif" w:hAnsi="Arial;sans-serif"/>
                <w:b/>
                <w:color w:val="74A333"/>
                <w:sz w:val="24"/>
              </w:rPr>
            </w:pPr>
            <w:r>
              <w:rPr>
                <w:rFonts w:ascii="Arial;sans-serif" w:hAnsi="Arial;sans-serif"/>
                <w:b/>
                <w:color w:val="74A333"/>
                <w:sz w:val="24"/>
              </w:rPr>
              <w:t>3</w:t>
            </w:r>
          </w:p>
        </w:tc>
        <w:tc>
          <w:tcPr>
            <w:tcW w:w="4336"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Advisory, non-binding vote on the compensation of our named executive officers, as disclosed in this proxy statement</w:t>
            </w:r>
          </w:p>
        </w:tc>
        <w:tc>
          <w:tcPr>
            <w:tcW w:w="2918"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color w:val="000000"/>
              </w:rPr>
            </w:pPr>
            <w:r>
              <w:rPr>
                <w:color w:val="000000"/>
              </w:rPr>
              <w:t>“</w:t>
            </w:r>
            <w:r>
              <w:rPr>
                <w:rFonts w:ascii="Arial;sans-serif" w:hAnsi="Arial;sans-serif"/>
                <w:b w:val="false"/>
                <w:color w:val="000000"/>
                <w:sz w:val="18"/>
              </w:rPr>
              <w:t xml:space="preserve">For” votes from the holders of a majority of shares present via webcast or represented by proxy and entitled to vote on the matter. </w:t>
            </w:r>
          </w:p>
        </w:tc>
        <w:tc>
          <w:tcPr>
            <w:tcW w:w="1285"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Against</w:t>
            </w:r>
          </w:p>
        </w:tc>
        <w:tc>
          <w:tcPr>
            <w:tcW w:w="13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No effect</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IS THE QUORUM REQUIREMENT?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quorum of stockholders is necessary to hold a valid meeting. A quorum will be present if stockholders holding at least a majority of the outstanding shares entitled to vote are present at the meeting via webcast or represented by proxy. On the record date, there were 44,243,715 shares outstanding and entitled to vote. Thus, the holders of 22,121,858 shares must be present at the meeting via webcast or represented by proxy to have a quorum.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you are a stockholder of record your shares will be counted towards the quorum only if you submit a valid proxy (or one is submitted on your behalf by your broker, bank or other securities intermediary) or if you vote via webcast at the meeting. Abstentions and broker non-votes will be counted towards the quorum requirement. If there is no quorum, the chairperson of the meeting or the holders of a majority of shares present at the meeting via webcast or represented by proxy may adjourn the meeting to another date.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HOW CAN I FIND OUT THE RESULTS OF THE VOTING AT THE ANNUAL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WHAT PROXY MATERIALS ARE AVAILABLE ON THE INTERNET?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proxy statement and Annual Report to Stockholders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0885"/>
                <wp:effectExtent l="0" t="0" r="0" b="0"/>
                <wp:wrapNone/>
                <wp:docPr id="18" name="Frame1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Proposal No. 1</w:t>
        <w:br/>
        <w:t>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is divided into three classes. Each class consists, as nearly as possible, of one-third of the total number of directors, and each class has a three-year term.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currently has eight members. There are three directors in Class II, the term of which class expires in 2026: Jeffrey W. Dunn, John G. Freund, M.D., and Gregory K. Hinckley. Each is currently a member of our Board of Directors. Mr. Dunn and Mr. Freund have been nominated for re-election as directors at the Annual Meeting. Mr. Hinckley is not standing for re-election and will therefore step down as a director and as a member of the Compensation Committee upon the expiration of his term at the conclusion of the Annual Meeting. Mr. Hinckley’s decision not to stand for re-election is not due to any disagreement with the Company on any matter relating to the Company’s operations, policies or practices. Accordingly, the size of our Board of Directors will be reduced to seven directors effective at the close of the Annual Meeting. If elected at the Annual Meeting, each of the nominees would serve until the 2029 annual meeting and until his successor has been duly elected and qualified, or, if sooner, until the director’s death, resignation or removal. It is our policy to encourage directors and nominees for director to attend the Annual Meeting. All eight of our current directors attended our 2025 annual meeting of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Mr. Dunn and Mr. Freund were previously elected by our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presents, for the Class II nominees for election at the Annual Meeting and our other directors who will continue in office after the Annual Meeting, their independence and position or office held, as well as their age as of April 21, 2026:</w:t>
      </w:r>
    </w:p>
    <w:tbl>
      <w:tblPr>
        <w:tblW w:w="4485" w:type="dxa"/>
        <w:jc w:val="left"/>
        <w:tblInd w:w="0" w:type="dxa"/>
        <w:tblLayout w:type="fixed"/>
        <w:tblCellMar>
          <w:top w:w="28" w:type="dxa"/>
          <w:left w:w="28" w:type="dxa"/>
          <w:bottom w:w="28" w:type="dxa"/>
          <w:right w:w="28" w:type="dxa"/>
        </w:tblCellMar>
      </w:tblPr>
      <w:tblGrid>
        <w:gridCol w:w="124"/>
        <w:gridCol w:w="109"/>
        <w:gridCol w:w="109"/>
        <w:gridCol w:w="617"/>
        <w:gridCol w:w="617"/>
        <w:gridCol w:w="626"/>
        <w:gridCol w:w="150"/>
        <w:gridCol w:w="150"/>
        <w:gridCol w:w="151"/>
        <w:gridCol w:w="393"/>
        <w:gridCol w:w="393"/>
        <w:gridCol w:w="400"/>
        <w:gridCol w:w="189"/>
        <w:gridCol w:w="18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Name</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Age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Position</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Class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Timothy E. Davis, Jr.</w:t>
            </w:r>
          </w:p>
        </w:tc>
        <w:tc>
          <w:tcPr>
            <w:tcW w:w="4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11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18"/>
              </w:rPr>
              <w:t>Director</w:t>
            </w:r>
            <w:r>
              <w:rPr>
                <w:rFonts w:ascii="Arial;sans-serif" w:hAnsi="Arial;sans-serif"/>
                <w:b w:val="false"/>
                <w:color w:val="000000"/>
                <w:sz w:val="12"/>
              </w:rPr>
              <w:t>1</w:t>
            </w:r>
          </w:p>
        </w:tc>
        <w:tc>
          <w:tcPr>
            <w:tcW w:w="64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Laura A. Francis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CEO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Jeryl L. Hilleman</w:t>
            </w:r>
          </w:p>
        </w:tc>
        <w:tc>
          <w:tcPr>
            <w:tcW w:w="4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68</w:t>
            </w:r>
          </w:p>
        </w:tc>
        <w:tc>
          <w:tcPr>
            <w:tcW w:w="11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Director</w:t>
            </w:r>
          </w:p>
        </w:tc>
        <w:tc>
          <w:tcPr>
            <w:tcW w:w="64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Jeffrey W. Dunn</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71</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18"/>
              </w:rPr>
              <w:t>Chairperson</w:t>
            </w:r>
            <w:r>
              <w:rPr>
                <w:rFonts w:ascii="Arial;sans-serif" w:hAnsi="Arial;sans-serif"/>
                <w:b w:val="false"/>
                <w:color w:val="000000"/>
                <w:sz w:val="12"/>
              </w:rPr>
              <w:t>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II</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John G. Freund, M.D.</w:t>
            </w:r>
          </w:p>
        </w:tc>
        <w:tc>
          <w:tcPr>
            <w:tcW w:w="4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118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Director</w:t>
            </w:r>
          </w:p>
        </w:tc>
        <w:tc>
          <w:tcPr>
            <w:tcW w:w="64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II</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Mika Nishimura</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Director</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III</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Thomas A. West</w:t>
            </w:r>
          </w:p>
        </w:tc>
        <w:tc>
          <w:tcPr>
            <w:tcW w:w="45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118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Director</w:t>
            </w:r>
          </w:p>
        </w:tc>
        <w:tc>
          <w:tcPr>
            <w:tcW w:w="64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III</w:t>
            </w:r>
          </w:p>
        </w:tc>
      </w:tr>
    </w:tbl>
    <w:p>
      <w:pPr>
        <w:pStyle w:val="TextBody"/>
        <w:bidi w:val="0"/>
        <w:spacing w:lineRule="auto" w:line="333"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    Mr. Davis will serve as the Lead Independent Director until the conclusion of the Annual Meeting.</w:t>
      </w:r>
    </w:p>
    <w:p>
      <w:pPr>
        <w:pStyle w:val="TextBody"/>
        <w:bidi w:val="0"/>
        <w:spacing w:lineRule="auto" w:line="333" w:before="0" w:after="240"/>
        <w:ind w:left="0" w:right="0" w:hanging="360"/>
        <w:jc w:val="both"/>
        <w:rPr>
          <w:rFonts w:ascii="Arial;sans-serif" w:hAnsi="Arial;sans-serif"/>
          <w:b w:val="false"/>
          <w:color w:val="000000"/>
          <w:sz w:val="16"/>
        </w:rPr>
      </w:pPr>
      <w:r>
        <w:rPr>
          <w:rFonts w:ascii="Arial;sans-serif" w:hAnsi="Arial;sans-serif"/>
          <w:b w:val="false"/>
          <w:color w:val="000000"/>
          <w:sz w:val="16"/>
        </w:rPr>
        <w:t>2.    Mr. Dunn is expected to become independent on May 1, 2026.</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is a brief biography of each nominee and each director whose term will continue after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0885"/>
                <wp:effectExtent l="0" t="0" r="0" b="0"/>
                <wp:wrapNone/>
                <wp:docPr id="19" name="Frame1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240"/>
        <w:jc w:val="both"/>
        <w:rPr>
          <w:rFonts w:ascii="Arial;sans-serif" w:hAnsi="Arial;sans-serif"/>
          <w:b w:val="false"/>
          <w:color w:val="000000"/>
          <w:sz w:val="24"/>
        </w:rPr>
      </w:pPr>
      <w:r>
        <w:rPr>
          <w:rFonts w:ascii="Arial;sans-serif" w:hAnsi="Arial;sans-serif"/>
          <w:b w:val="false"/>
          <w:color w:val="000000"/>
          <w:sz w:val="24"/>
        </w:rPr>
        <w:t>NOMINEES FOR ELECTION FOR A THREE-YEAR TERM EXPIRING AT THE 2029 ANNUAL MEETING</w:t>
      </w:r>
    </w:p>
    <w:tbl>
      <w:tblPr>
        <w:tblW w:w="10205" w:type="dxa"/>
        <w:jc w:val="left"/>
        <w:tblInd w:w="0" w:type="dxa"/>
        <w:tblLayout w:type="fixed"/>
        <w:tblCellMar>
          <w:top w:w="28" w:type="dxa"/>
          <w:left w:w="28" w:type="dxa"/>
          <w:bottom w:w="28" w:type="dxa"/>
          <w:right w:w="28" w:type="dxa"/>
        </w:tblCellMar>
      </w:tblPr>
      <w:tblGrid>
        <w:gridCol w:w="923"/>
        <w:gridCol w:w="811"/>
        <w:gridCol w:w="812"/>
        <w:gridCol w:w="2243"/>
        <w:gridCol w:w="2243"/>
        <w:gridCol w:w="3173"/>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Chairperson | Age: 71 | Director Since: 2008</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1552575" cy="1552575"/>
                          </a:xfrm>
                          <a:prstGeom prst="rect">
                            <a:avLst/>
                          </a:prstGeom>
                        </pic:spPr>
                      </pic:pic>
                    </a:graphicData>
                  </a:graphic>
                </wp:inline>
              </w:drawing>
            </w:r>
            <w:bookmarkStart w:id="7" w:name="i-8"/>
            <w:bookmarkEnd w:id="7"/>
          </w:p>
          <w:p>
            <w:pPr>
              <w:pStyle w:val="TableContents"/>
              <w:bidi w:val="0"/>
              <w:spacing w:lineRule="auto" w:line="288" w:before="0" w:after="120"/>
              <w:jc w:val="left"/>
              <w:rPr>
                <w:rFonts w:ascii="Arial;sans-serif" w:hAnsi="Arial;sans-serif"/>
                <w:b/>
                <w:color w:val="74A333"/>
                <w:sz w:val="24"/>
              </w:rPr>
            </w:pPr>
            <w:r>
              <w:rPr>
                <w:rFonts w:ascii="Arial;sans-serif" w:hAnsi="Arial;sans-serif"/>
                <w:b/>
                <w:color w:val="74A333"/>
                <w:sz w:val="24"/>
              </w:rPr>
              <w:t>Jeffrey W. Dunn</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Jeffrey W. Dunn</w:t>
            </w:r>
            <w:r>
              <w:rPr>
                <w:color w:val="000000"/>
              </w:rPr>
              <w:t xml:space="preserve"> </w:t>
            </w:r>
            <w:r>
              <w:rPr>
                <w:rFonts w:ascii="Arial;sans-serif" w:hAnsi="Arial;sans-serif"/>
                <w:b w:val="false"/>
                <w:color w:val="000000"/>
                <w:sz w:val="18"/>
              </w:rPr>
              <w:t xml:space="preserve">has served as the Chairperson of our board of directors since our inception in April 2008 (including as Executive Chair from April 2021 to May 2023), and he served as our CEO and President for 13 years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During his career, Mr. Dunn held executive positions with Evans and Sutherland, Cygnet Systems, Inc., Avnet, Inc. and Xerox Corporation. Mr. Dunn received a B.A. from Colgate University and an M.B.A. from Babson College. </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Mr. Dunn’s experience in the industry, his prior role as our President and Chief Executive Officer, and his knowledge of our company enable him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0885"/>
                <wp:effectExtent l="0" t="0" r="0" b="0"/>
                <wp:wrapNone/>
                <wp:docPr id="21" name="Frame1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2619"/>
        <w:gridCol w:w="2083"/>
        <w:gridCol w:w="295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Director | Age: 72 | Director Since: 2013</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1552575" cy="1552575"/>
                          </a:xfrm>
                          <a:prstGeom prst="rect">
                            <a:avLst/>
                          </a:prstGeom>
                        </pic:spPr>
                      </pic:pic>
                    </a:graphicData>
                  </a:graphic>
                </wp:inline>
              </w:drawing>
            </w:r>
            <w:bookmarkStart w:id="8" w:name="i-9"/>
            <w:bookmarkEnd w:id="8"/>
          </w:p>
          <w:p>
            <w:pPr>
              <w:pStyle w:val="TableContents"/>
              <w:bidi w:val="0"/>
              <w:spacing w:lineRule="auto" w:line="240" w:before="0" w:after="120"/>
              <w:jc w:val="left"/>
              <w:rPr>
                <w:rFonts w:ascii="Arial;sans-serif" w:hAnsi="Arial;sans-serif"/>
                <w:b/>
                <w:color w:val="74A333"/>
                <w:sz w:val="24"/>
              </w:rPr>
            </w:pPr>
            <w:r>
              <w:rPr>
                <w:rFonts w:ascii="Arial;sans-serif" w:hAnsi="Arial;sans-serif"/>
                <w:b/>
                <w:color w:val="74A333"/>
                <w:sz w:val="24"/>
              </w:rPr>
              <w:t>John G. Freund, M.D.</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 xml:space="preserve">John G. Freund, M.D., </w:t>
            </w:r>
            <w:r>
              <w:rPr>
                <w:rFonts w:ascii="Arial;sans-serif" w:hAnsi="Arial;sans-serif"/>
                <w:b w:val="false"/>
                <w:color w:val="000000"/>
                <w:sz w:val="18"/>
              </w:rPr>
              <w:t xml:space="preserve">has served as a member of our Board of Directors since January 2013. Dr. Freund founded Skyline Ventures, a venture capital firm, in October 1997 and served as a Managing Director until December 2022. In 2016, Dr. Freund co-founded and was Chief Executive Officer of Arixa Pharmaceuticals, Inc. an antibiotic company, which was acquired by Pfizer in October 2020. Prior to founding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was acquired by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serves on the board of directors of Collegium Pharmaceuticals, Inc., a specialty pharmaceutical company, and formerly served on the board of directors of Sutro Biopharma, Inc., a biotechnology company, from 2014 to 2025. Dr. Freund also serves on the board of directors of a number of U.S. registered investment funds managed by affiliates of the Capital Group, Inc. He also previously served on the board of directors of a number of publicly traded companies, Map Pharmaceuticals, Inc., a biopharmaceutical company, MAKO Surgical Corp., a medical device company, Proteon Therapeutics, Inc., a biotechnology company, Concert Pharmaceuticals, Inc., a biopharmaceutical company and XenoPort, Inc., a biopharmaceutical company, where he served as Chairman. Dr. Freund is a member of the Advisory Board for the Harvard Business School Healthcare Initiative. Dr. Freund received a B.A. in History from Harvard College, an M.D. from Harvard Medical School, and an M.B.A. from Harvard Business School, where he was a Baker Scholar. </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Dr. Freund’s experience with medical device companies, his role in the venture capital industry, and his knowledge of our company enable him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00" w:type="dxa"/>
        <w:jc w:val="left"/>
        <w:tblInd w:w="0" w:type="dxa"/>
        <w:tblLayout w:type="fixed"/>
        <w:tblCellMar>
          <w:top w:w="28" w:type="dxa"/>
          <w:left w:w="28" w:type="dxa"/>
          <w:bottom w:w="28" w:type="dxa"/>
          <w:right w:w="28" w:type="dxa"/>
        </w:tblCellMar>
      </w:tblPr>
      <w:tblGrid>
        <w:gridCol w:w="2208"/>
        <w:gridCol w:w="1939"/>
        <w:gridCol w:w="2753"/>
      </w:tblGrid>
      <w:tr>
        <w:trPr/>
        <w:tc>
          <w:tcPr>
            <w:tcW w:w="220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74A33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The Board of Directors recommends a vote IN FAVOR of each named nominee.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0885"/>
                <wp:effectExtent l="0" t="0" r="0" b="0"/>
                <wp:wrapNone/>
                <wp:docPr id="23" name="Frame1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240"/>
        <w:jc w:val="both"/>
        <w:rPr>
          <w:rFonts w:ascii="Arial;sans-serif" w:hAnsi="Arial;sans-serif"/>
          <w:b w:val="false"/>
          <w:color w:val="000000"/>
          <w:sz w:val="24"/>
        </w:rPr>
      </w:pPr>
      <w:r>
        <w:rPr>
          <w:rFonts w:ascii="Arial;sans-serif" w:hAnsi="Arial;sans-serif"/>
          <w:b w:val="false"/>
          <w:color w:val="000000"/>
          <w:sz w:val="24"/>
        </w:rPr>
        <w:t>DIRECTORS CONTINUING IN OFFICE UNTIL THE 2028 ANNUAL MEETING</w:t>
      </w:r>
    </w:p>
    <w:tbl>
      <w:tblPr>
        <w:tblW w:w="10205" w:type="dxa"/>
        <w:jc w:val="left"/>
        <w:tblInd w:w="0" w:type="dxa"/>
        <w:tblLayout w:type="fixed"/>
        <w:tblCellMar>
          <w:top w:w="28" w:type="dxa"/>
          <w:left w:w="28" w:type="dxa"/>
          <w:bottom w:w="28" w:type="dxa"/>
          <w:right w:w="28" w:type="dxa"/>
        </w:tblCellMar>
      </w:tblPr>
      <w:tblGrid>
        <w:gridCol w:w="923"/>
        <w:gridCol w:w="811"/>
        <w:gridCol w:w="812"/>
        <w:gridCol w:w="2409"/>
        <w:gridCol w:w="2170"/>
        <w:gridCol w:w="3080"/>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Director | Age: 56 | Director Since: 2008</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552575" cy="1552575"/>
                          </a:xfrm>
                          <a:prstGeom prst="rect">
                            <a:avLst/>
                          </a:prstGeom>
                        </pic:spPr>
                      </pic:pic>
                    </a:graphicData>
                  </a:graphic>
                </wp:inline>
              </w:drawing>
            </w:r>
            <w:bookmarkStart w:id="9" w:name="i-10"/>
            <w:bookmarkEnd w:id="9"/>
          </w:p>
          <w:p>
            <w:pPr>
              <w:pStyle w:val="TableContents"/>
              <w:bidi w:val="0"/>
              <w:spacing w:lineRule="auto" w:line="288" w:before="0" w:after="120"/>
              <w:jc w:val="both"/>
              <w:rPr>
                <w:rFonts w:ascii="Arial;sans-serif" w:hAnsi="Arial;sans-serif"/>
                <w:b/>
                <w:color w:val="74A333"/>
                <w:sz w:val="24"/>
              </w:rPr>
            </w:pPr>
            <w:r>
              <w:rPr>
                <w:rFonts w:ascii="Arial;sans-serif" w:hAnsi="Arial;sans-serif"/>
                <w:b/>
                <w:color w:val="74A333"/>
                <w:sz w:val="24"/>
              </w:rPr>
              <w:t>Timothy E. Davis, Jr.</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Timothy E. Davis, Jr.</w:t>
            </w:r>
            <w:r>
              <w:rPr>
                <w:color w:val="000000"/>
              </w:rPr>
              <w:t xml:space="preserve"> </w:t>
            </w:r>
            <w:r>
              <w:rPr>
                <w:rFonts w:ascii="Arial;sans-serif" w:hAnsi="Arial;sans-serif"/>
                <w:b w:val="false"/>
                <w:color w:val="000000"/>
                <w:sz w:val="18"/>
              </w:rPr>
              <w:t>has served as a member of our Board of Directors since our inception in April 2008, and he is the chairperson of our Compensation Committee. Mr. Davis is our Lead Independent Director and will serve in such role until the conclusion of the Annual Meeting. Mr. Davis has served as President and Chief Executive Officer of BioTissue Holdings Inc., a privately held company focusing on the development and clinical application of human birth tissue-based products for the ocular clinical market, since January 2022. From February 2017 through December 2021, Mr. Davis served as President and Chief Executive Officer of Active Implants, LLC, a company that provides orthopedic implant solutions. Previously, Mr. Davis served as Chief Executive Officer of MicroPort Orthopedics, Inc. and President of the OrthoRecon Business as well as a number of executive positions for of Wright Medical Group, Inc. Prior to his operating career, Mr. Davis spent a decade in the life sciences venture capital industry with MB Venture Partners, LLC, and Vector Fund Management, LP. Mr. Davis received a B.E. degree in Biomedical Engineering from Vanderbilt University and an M.B.A. from the J.L. Kellogg Graduate School of Management at Northwestern University.</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Mr. Davis’ experience in the industry, his experience in compensation matters, and his knowledge of our company enable him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0885"/>
                <wp:effectExtent l="0" t="0" r="0" b="0"/>
                <wp:wrapNone/>
                <wp:docPr id="25" name="Frame1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2372"/>
        <w:gridCol w:w="2185"/>
        <w:gridCol w:w="310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CEO | Age: 59 | Director Since: 2021</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552575" cy="1552575"/>
                          </a:xfrm>
                          <a:prstGeom prst="rect">
                            <a:avLst/>
                          </a:prstGeom>
                        </pic:spPr>
                      </pic:pic>
                    </a:graphicData>
                  </a:graphic>
                </wp:inline>
              </w:drawing>
            </w:r>
            <w:bookmarkStart w:id="10" w:name="i-11"/>
            <w:bookmarkEnd w:id="10"/>
          </w:p>
          <w:p>
            <w:pPr>
              <w:pStyle w:val="TableContents"/>
              <w:bidi w:val="0"/>
              <w:spacing w:lineRule="auto" w:line="288" w:before="0" w:after="120"/>
              <w:jc w:val="both"/>
              <w:rPr>
                <w:rFonts w:ascii="Arial;sans-serif" w:hAnsi="Arial;sans-serif"/>
                <w:b/>
                <w:color w:val="74A333"/>
                <w:sz w:val="24"/>
              </w:rPr>
            </w:pPr>
            <w:r>
              <w:rPr>
                <w:rFonts w:ascii="Arial;sans-serif" w:hAnsi="Arial;sans-serif"/>
                <w:b/>
                <w:color w:val="74A333"/>
                <w:sz w:val="24"/>
              </w:rPr>
              <w:t>Laura A. Francis</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 xml:space="preserve">Laura A. Francis </w:t>
            </w:r>
            <w:r>
              <w:rPr>
                <w:rFonts w:ascii="Arial;sans-serif" w:hAnsi="Arial;sans-serif"/>
                <w:b w:val="false"/>
                <w:color w:val="000000"/>
                <w:sz w:val="18"/>
              </w:rPr>
              <w:t>has served as our Chief Executive Officer and as a member of our Board of Directors since April 2021. Previously, she served as our 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February 2025, Ms. Francis has served as a member of the board of directors of Bruker BioSciences Corporation, a public life science tools and diagnostics company. From January 2019 to May 2024, Ms. Francis served as a member of the board of directors of ShockWave Medical, Inc, a medical device company, including serving as chair of its audit committee and on its compensation committee. Ms. Francis received a B.B.A. from the University of Wisconsin and an M.B.A. from Stanford University. She is a Certified Public Accountant (inactive) in the State of California.</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Ms. Francis’s experience in the industry, her role as our Chief Executive Officer, and her knowledge of our company enable her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0885"/>
                <wp:effectExtent l="0" t="0" r="0" b="0"/>
                <wp:wrapNone/>
                <wp:docPr id="27" name="Frame1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2448"/>
        <w:gridCol w:w="2153"/>
        <w:gridCol w:w="305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Director | Age: 68 | Director Since: 2019</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552575" cy="1552575"/>
                          </a:xfrm>
                          <a:prstGeom prst="rect">
                            <a:avLst/>
                          </a:prstGeom>
                        </pic:spPr>
                      </pic:pic>
                    </a:graphicData>
                  </a:graphic>
                </wp:inline>
              </w:drawing>
            </w:r>
            <w:bookmarkStart w:id="11" w:name="i-12"/>
            <w:bookmarkEnd w:id="11"/>
          </w:p>
          <w:p>
            <w:pPr>
              <w:pStyle w:val="TableContents"/>
              <w:bidi w:val="0"/>
              <w:spacing w:lineRule="auto" w:line="288" w:before="0" w:after="120"/>
              <w:jc w:val="both"/>
              <w:rPr>
                <w:rFonts w:ascii="Arial;sans-serif" w:hAnsi="Arial;sans-serif"/>
                <w:b/>
                <w:color w:val="74A333"/>
                <w:sz w:val="24"/>
              </w:rPr>
            </w:pPr>
            <w:r>
              <w:rPr>
                <w:rFonts w:ascii="Arial;sans-serif" w:hAnsi="Arial;sans-serif"/>
                <w:b/>
                <w:color w:val="74A333"/>
                <w:sz w:val="24"/>
              </w:rPr>
              <w:t>Jeryl L. Hilleman</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Jeryl L. Hilleman</w:t>
            </w:r>
            <w:r>
              <w:rPr>
                <w:color w:val="000000"/>
              </w:rPr>
              <w:t xml:space="preserve"> </w:t>
            </w:r>
            <w:r>
              <w:rPr>
                <w:rFonts w:ascii="Arial;sans-serif" w:hAnsi="Arial;sans-serif"/>
                <w:b w:val="false"/>
                <w:color w:val="000000"/>
                <w:sz w:val="18"/>
              </w:rPr>
              <w:t>has served as a member of our Board of Directors since December 2019, and she is the chairperson of our Audit Committee. Ms. Hilleman brings extensive experience in life sciences and served as a public company CFO for close to 20 years. Most recently, from June 2014 to November 2019, Ms. Hilleman served as the Chief Financial Officer for Intersect ENT, Inc., a commercial medical device company. Prior to Intersect ENT, Ms. Hilleman served as Chief Financial Officer of several other public healthcare companies. Ms. Hilleman has served as a member of the board of directors and the chair of the Audit Committee of NovoCure, Limited since July 2018 and as a director and chair of the board of Omada Health, Inc. since July 2018. Ms. Hilleman previously served as a member of the board of directors of HilleVax, Inc. From July 2021 to September 2025, Cutera, Inc. from July 2024 to February 2025, Minerva Neurosciences, Inc. from July 2018 to August 2024, Talis Biomedical Corporation from February 2021 to June 2022, and Xenoport, Inc. from January 2005 to July 2016. Ms. Hilleman received a B.A. in History from Brown University and an M.B.A. from the Wharton School at the University of Pennsylvania.</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Ms. Hilleman’s financial experience, experience with medical device companies, and her knowledge of our company enable her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0885"/>
                <wp:effectExtent l="0" t="0" r="0" b="0"/>
                <wp:wrapNone/>
                <wp:docPr id="29" name="Frame1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240"/>
        <w:jc w:val="both"/>
        <w:rPr>
          <w:rFonts w:ascii="Arial;sans-serif" w:hAnsi="Arial;sans-serif"/>
          <w:b w:val="false"/>
          <w:color w:val="000000"/>
          <w:sz w:val="24"/>
        </w:rPr>
      </w:pPr>
      <w:r>
        <w:rPr>
          <w:rFonts w:ascii="Arial;sans-serif" w:hAnsi="Arial;sans-serif"/>
          <w:b w:val="false"/>
          <w:color w:val="000000"/>
          <w:sz w:val="24"/>
        </w:rPr>
        <w:t>DIRECTORS CONTINUING IN OFFICE UNTIL THE 2027 ANNUAL MEETING</w:t>
      </w:r>
    </w:p>
    <w:tbl>
      <w:tblPr>
        <w:tblW w:w="10205" w:type="dxa"/>
        <w:jc w:val="left"/>
        <w:tblInd w:w="0" w:type="dxa"/>
        <w:tblLayout w:type="fixed"/>
        <w:tblCellMar>
          <w:top w:w="28" w:type="dxa"/>
          <w:left w:w="28" w:type="dxa"/>
          <w:bottom w:w="28" w:type="dxa"/>
          <w:right w:w="28" w:type="dxa"/>
        </w:tblCellMar>
      </w:tblPr>
      <w:tblGrid>
        <w:gridCol w:w="923"/>
        <w:gridCol w:w="811"/>
        <w:gridCol w:w="812"/>
        <w:gridCol w:w="2654"/>
        <w:gridCol w:w="2068"/>
        <w:gridCol w:w="293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Director | Age: 62 | Director Since: 2021</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552575" cy="1552575"/>
                          </a:xfrm>
                          <a:prstGeom prst="rect">
                            <a:avLst/>
                          </a:prstGeom>
                        </pic:spPr>
                      </pic:pic>
                    </a:graphicData>
                  </a:graphic>
                </wp:inline>
              </w:drawing>
            </w:r>
            <w:bookmarkStart w:id="12" w:name="i-13"/>
            <w:bookmarkEnd w:id="12"/>
          </w:p>
          <w:p>
            <w:pPr>
              <w:pStyle w:val="TableContents"/>
              <w:bidi w:val="0"/>
              <w:spacing w:lineRule="auto" w:line="288" w:before="0" w:after="120"/>
              <w:jc w:val="both"/>
              <w:rPr>
                <w:rFonts w:ascii="Arial;sans-serif" w:hAnsi="Arial;sans-serif"/>
                <w:b/>
                <w:color w:val="74A333"/>
                <w:sz w:val="24"/>
              </w:rPr>
            </w:pPr>
            <w:r>
              <w:rPr>
                <w:rFonts w:ascii="Arial;sans-serif" w:hAnsi="Arial;sans-serif"/>
                <w:b/>
                <w:color w:val="74A333"/>
                <w:sz w:val="24"/>
              </w:rPr>
              <w:t>Mika Nishimura</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Mika Nishimura</w:t>
            </w:r>
            <w:r>
              <w:rPr>
                <w:color w:val="000000"/>
              </w:rPr>
              <w:t xml:space="preserve"> </w:t>
            </w:r>
            <w:r>
              <w:rPr>
                <w:rFonts w:ascii="Arial;sans-serif" w:hAnsi="Arial;sans-serif"/>
                <w:b w:val="false"/>
                <w:color w:val="000000"/>
                <w:sz w:val="18"/>
              </w:rPr>
              <w:t>has served as a member of our Board of Directors since March 2021, and she is the chairperson of our Nominating and Corporate Governance Committee. Since 2011, Ms. Nishimura has served as an Operational Partner with Gilde Healthcare Partners, a life-science venture fund. Ms. Nishimura has served as a board member and the chair of the Nominating and Corporate Governance Committee for Accuray, Incorporated, a radiation therapy company since August 2021, and has served as a board advisor to Tristel, plc, a UK-based company since January 2021. Since June 2022, Ms. Nishimura has served as a member of the board of directors and the Audit, Compensation, and Nominating committees, and is the chair of the Healthcare Compliance Committee of HOYA Corporation. Since June 2025, Ms. Nishimura has served as a member of the board of directors and the Compensation Committee of NEC Corporation.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Inc. in 2015. Earlier in her career, Ms. Nishimura was Vice President, International Sales Operations and Marketing at ev3 Inc. Ms. Nishimura has a BA in Economics from Yale University and an MBA from Harvard Graduate School of Business Administration.</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that Ms. Nishimura’s experience working for medical device companies across multiple phases of commercialization will enable her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0885"/>
                <wp:effectExtent l="0" t="0" r="0" b="0"/>
                <wp:wrapNone/>
                <wp:docPr id="31" name="Frame1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23"/>
        <w:gridCol w:w="811"/>
        <w:gridCol w:w="812"/>
        <w:gridCol w:w="2616"/>
        <w:gridCol w:w="2084"/>
        <w:gridCol w:w="2959"/>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tcMar>
              <w:top w:w="0" w:type="dxa"/>
              <w:left w:w="0" w:type="dxa"/>
              <w:bottom w:w="0" w:type="dxa"/>
              <w:right w:w="0" w:type="dxa"/>
            </w:tcMar>
            <w:vAlign w:val="center"/>
          </w:tcPr>
          <w:p>
            <w:pPr>
              <w:pStyle w:val="TableContents"/>
              <w:bidi w:val="0"/>
              <w:spacing w:lineRule="auto" w:line="240" w:before="240" w:after="120"/>
              <w:jc w:val="both"/>
              <w:rPr>
                <w:rFonts w:ascii="Arial;sans-serif" w:hAnsi="Arial;sans-serif"/>
                <w:b w:val="false"/>
                <w:color w:val="000000"/>
                <w:sz w:val="24"/>
              </w:rPr>
            </w:pPr>
            <w:r>
              <w:rPr>
                <w:rFonts w:ascii="Arial;sans-serif" w:hAnsi="Arial;sans-serif"/>
                <w:b w:val="false"/>
                <w:color w:val="000000"/>
                <w:sz w:val="24"/>
              </w:rPr>
              <w:t>Director | Age: 62 | Director Since: 2024</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120"/>
              <w:jc w:val="left"/>
              <w:rPr/>
            </w:pPr>
            <w:r>
              <w:rPr/>
              <w:drawing>
                <wp:inline distT="0" distB="0" distL="0" distR="0">
                  <wp:extent cx="1552575" cy="1552575"/>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552575" cy="1552575"/>
                          </a:xfrm>
                          <a:prstGeom prst="rect">
                            <a:avLst/>
                          </a:prstGeom>
                        </pic:spPr>
                      </pic:pic>
                    </a:graphicData>
                  </a:graphic>
                </wp:inline>
              </w:drawing>
            </w:r>
            <w:bookmarkStart w:id="13" w:name="i-14"/>
            <w:bookmarkEnd w:id="13"/>
          </w:p>
          <w:p>
            <w:pPr>
              <w:pStyle w:val="TableContents"/>
              <w:bidi w:val="0"/>
              <w:spacing w:lineRule="auto" w:line="288" w:before="0" w:after="120"/>
              <w:jc w:val="both"/>
              <w:rPr>
                <w:rFonts w:ascii="Arial;sans-serif" w:hAnsi="Arial;sans-serif"/>
                <w:b/>
                <w:color w:val="74A333"/>
                <w:sz w:val="24"/>
              </w:rPr>
            </w:pPr>
            <w:r>
              <w:rPr>
                <w:rFonts w:ascii="Arial;sans-serif" w:hAnsi="Arial;sans-serif"/>
                <w:b/>
                <w:color w:val="74A333"/>
                <w:sz w:val="24"/>
              </w:rPr>
              <w:t>Thomas A. West</w:t>
            </w:r>
          </w:p>
        </w:tc>
        <w:tc>
          <w:tcPr>
            <w:tcW w:w="7659" w:type="dxa"/>
            <w:gridSpan w:val="3"/>
            <w:tcBorders/>
            <w:tcMar>
              <w:top w:w="0" w:type="dxa"/>
              <w:left w:w="0" w:type="dxa"/>
              <w:bottom w:w="0" w:type="dxa"/>
              <w:right w:w="0" w:type="dxa"/>
            </w:tcMar>
            <w:vAlign w:val="center"/>
          </w:tcPr>
          <w:p>
            <w:pPr>
              <w:pStyle w:val="TableContents"/>
              <w:bidi w:val="0"/>
              <w:spacing w:lineRule="auto" w:line="288" w:before="120" w:after="240"/>
              <w:jc w:val="both"/>
              <w:rPr/>
            </w:pPr>
            <w:r>
              <w:rPr>
                <w:rFonts w:ascii="Arial;sans-serif" w:hAnsi="Arial;sans-serif"/>
                <w:b/>
                <w:color w:val="74A333"/>
                <w:sz w:val="18"/>
              </w:rPr>
              <w:t xml:space="preserve">Thomas A. West </w:t>
            </w:r>
            <w:r>
              <w:rPr>
                <w:rFonts w:ascii="Arial;sans-serif" w:hAnsi="Arial;sans-serif"/>
                <w:b w:val="false"/>
                <w:color w:val="000000"/>
                <w:sz w:val="18"/>
              </w:rPr>
              <w:t>has served as a member of our Board of Directors since June 2024. From August 2022 until its acquisition by Boston Scientific in January 2026, Mr. West served as the President and CEO of Nalu Medical, Inc., a medical device company focused on developing and commercializing innovative and minimally-invasive neurostimulation solutions for chronic intractable pain. He will continue to lead the Nalu business at Boston Scientific through the integration phase. Before joining Nalu, Mr. West served from 2019 to 2022 as President, Chief Executive Officer and Director at Intersect ENT, Inc., a publicly traded medical device and drug delivery company in the sinus surgery space, that was acquired by Medtronic in May 2022. Prior to Intersect, Mr. West served as Worldwide President, Diagnostic Solutions at Hologic, Inc., a medical technology company, from 2015 to 2019. Mr. West began his healthcare career at Johnson &amp; Johnson, where he assumed roles of increasing responsibility over a twenty-three-year tenure including Worldwide President of Strategy and Business Development for the Johnson &amp; Johnson Family of Diabetes Solutions Companies, Division President of LifeScan North America and Division President of LifeScan Europe, Middle East and Africa. Mr. West previously served as an independent member of the Board of Directors at Inogen, Inc., a medical device company in the respiratory field, and Orthofix Medical, Inc., a medical device company in the orthopedics and spine space. He has also previously served as a member of the Board of Directors of the medical technology trade associations, AdvaMed, and Biocom California. Mr. West received a B.A. in Politics and Economics from Princeton University and an MBA from the University of Pennsylvania, Wharton School.</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7659" w:type="dxa"/>
            <w:gridSpan w:val="3"/>
            <w:tcBorders/>
            <w:shd w:fill="74A333" w:val="clear"/>
            <w:tcMar>
              <w:top w:w="0" w:type="dxa"/>
              <w:left w:w="0" w:type="dxa"/>
              <w:bottom w:w="0" w:type="dxa"/>
              <w:right w:w="0" w:type="dxa"/>
            </w:tcMar>
            <w:vAlign w:val="center"/>
          </w:tcPr>
          <w:p>
            <w:pPr>
              <w:pStyle w:val="TableContents"/>
              <w:bidi w:val="0"/>
              <w:spacing w:lineRule="auto" w:line="362" w:before="0" w:after="0"/>
              <w:jc w:val="both"/>
              <w:rPr>
                <w:rFonts w:ascii="Arial;sans-serif" w:hAnsi="Arial;sans-serif"/>
                <w:b/>
                <w:color w:val="FFFFFF"/>
                <w:sz w:val="18"/>
              </w:rPr>
            </w:pPr>
            <w:r>
              <w:rPr>
                <w:rFonts w:ascii="Arial;sans-serif" w:hAnsi="Arial;sans-serif"/>
                <w:b/>
                <w:color w:val="FFFFFF"/>
                <w:sz w:val="18"/>
              </w:rPr>
              <w:t>We believe that Mr. West’s extensive experience in the medical device industry will enable him to make valuable contributions to our Board of Directors.</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Each of our current directors, other than Mr. Dunn and Ms. Francis, is independent as defined under the Nasdaq Global Market listing standards, and Mr. Dunn is expected to become independent on May 1, 2026. See “Independence of the Board of Directors” immediately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0885"/>
                <wp:effectExtent l="0" t="0" r="0" b="0"/>
                <wp:wrapNone/>
                <wp:docPr id="33" name="Frame1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Information Regarding the Board of Directors and 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FAMILY RELATIONSHIPS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are no family relationships among the directors and executive officers.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INDEPENDENCE OF THE BOARD OF DIRECTORS</w:t>
      </w:r>
    </w:p>
    <w:p>
      <w:pPr>
        <w:pStyle w:val="TextBody"/>
        <w:bidi w:val="0"/>
        <w:spacing w:lineRule="auto" w:line="288" w:before="120" w:after="120"/>
        <w:jc w:val="both"/>
        <w:rPr/>
      </w:pPr>
      <w:r>
        <w:rPr>
          <w:rFonts w:ascii="Arial;sans-serif" w:hAnsi="Arial;sans-serif"/>
          <w:b w:val="false"/>
          <w:color w:val="000000"/>
          <w:sz w:val="18"/>
        </w:rPr>
        <w:t>As required under the Nasdaq Global Market (“</w:t>
      </w:r>
      <w:r>
        <w:rPr>
          <w:rFonts w:ascii="Arial;sans-serif" w:hAnsi="Arial;sans-serif"/>
          <w:b/>
          <w:color w:val="000000"/>
          <w:sz w:val="18"/>
        </w:rPr>
        <w:t>Nasdaq</w:t>
      </w:r>
      <w:r>
        <w:rPr>
          <w:color w:val="000000"/>
        </w:rPr>
        <w:t>”</w:t>
      </w:r>
      <w:r>
        <w:rPr>
          <w:rFonts w:ascii="Arial;sans-serif" w:hAnsi="Arial;sans-serif"/>
          <w:b w:val="false"/>
          <w:color w:val="000000"/>
          <w:sz w:val="18"/>
        </w:rPr>
        <w:t>) listing standards, a majority of the members of a listed company’s Board of Directors must qualify as “independent,” as affirmatively determined by the Board of Directors. The Board of Directors consults with SI-BONE’s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Consistent with these considerations, after review of all relevant identified transactions or relationships between each director, or any of his or her family members, and SI-BONE, its senior management and its independent auditors, the Board of Directors has affirmatively determined that (i) the following current directors are independent directors within the meaning of the applicable Nasdaq listing standards: Mr. Davis, Ms. Hilleman, Mr. Hinckley (who is not standing for re-election at the Annual Meeting), Ms. Nishimura, and Mr. West, and (ii) Dr. Freund, a current director as well as a nominee for director, is an independent director within the meaning of the applicable Nasdaq listing standards. In making this determination, the Board of Directors found that none of the directors or nominees for director other than Mr. Dunn and Ms. Francis had a material or other disqualifying relationship with SI-BONE and that each of these directors is “independent” as that term is defined under the Nasdaq Global Market listing standards. Mr. Dunn is not independent given his position as our former Executive Chairperson until May 1, 2023, but he is expected to become independent on May 1, 2026. Ms. Francis is not independent given her position as our Chief Executive Officer. Accordingly, a majority of our directors are independent, as required under applicable Nasdaq listing standards.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TERM OF SERVICE OF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described in Proposal No. 1 above, our directors serve for staggered three-year terms. We believe that a classified board, with a supermajority vote of our stockholders required to amend our certificate of incorporation and bylaws and thereby change this structure and/or to take other significant stockholder actions, is in the best long-term interest of our stockholders because it improves board stability and encourages long-term planning. These governance structures are also shared among a majority of our peer companies, including within our compensation peer group described below. As our company matures, we will continue to evaluate this and other decisions we have made regarding our corporate governance structures. Members of our leadership team hold regular meetings with investors and their governance representatives to discuss their views. While some stockholders have, as a matter of general application, a preference for one-year terms for directors and a simple majority vote to amend our certificate of incorporation or bylaws, we have not generally encountered significant or specific objections to the corporate governance decisions we have made.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BOARD SKILLS AND ATTRIBUTES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following matrix provides information regarding our current directors, including certain types of knowledge, skills, experiences and attributes possessed by one or more of our directors which our Board of Directors believes are most relevant to our business and industry, and which may vary from year to year.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director does not mean such director is unable to contribute to the decision-making process in that area. The type and degree of knowledge, skill and experience listed below may vary among our directors. Currently three of our directors (38%) are women and one of our directors (13%) represents a diverse demographic background.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0885"/>
                <wp:effectExtent l="0" t="0" r="0" b="0"/>
                <wp:wrapNone/>
                <wp:docPr id="34" name="Frame2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070" w:type="dxa"/>
        <w:jc w:val="left"/>
        <w:tblInd w:w="0" w:type="dxa"/>
        <w:tblLayout w:type="fixed"/>
        <w:tblCellMar>
          <w:top w:w="28" w:type="dxa"/>
          <w:left w:w="28" w:type="dxa"/>
          <w:bottom w:w="28" w:type="dxa"/>
          <w:right w:w="28" w:type="dxa"/>
        </w:tblCellMar>
      </w:tblPr>
      <w:tblGrid>
        <w:gridCol w:w="1493"/>
        <w:gridCol w:w="1312"/>
        <w:gridCol w:w="1319"/>
        <w:gridCol w:w="200"/>
        <w:gridCol w:w="200"/>
        <w:gridCol w:w="201"/>
        <w:gridCol w:w="185"/>
        <w:gridCol w:w="185"/>
        <w:gridCol w:w="186"/>
        <w:gridCol w:w="250"/>
        <w:gridCol w:w="250"/>
        <w:gridCol w:w="251"/>
        <w:gridCol w:w="235"/>
        <w:gridCol w:w="235"/>
        <w:gridCol w:w="236"/>
        <w:gridCol w:w="299"/>
        <w:gridCol w:w="299"/>
        <w:gridCol w:w="301"/>
        <w:gridCol w:w="285"/>
        <w:gridCol w:w="285"/>
        <w:gridCol w:w="286"/>
        <w:gridCol w:w="330"/>
        <w:gridCol w:w="330"/>
        <w:gridCol w:w="331"/>
        <w:gridCol w:w="171"/>
        <w:gridCol w:w="171"/>
        <w:gridCol w:w="244"/>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Knowledge, Skills &amp; Experience </w:t>
            </w:r>
          </w:p>
        </w:tc>
        <w:tc>
          <w:tcPr>
            <w:tcW w:w="601"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Davis</w:t>
            </w:r>
          </w:p>
        </w:tc>
        <w:tc>
          <w:tcPr>
            <w:tcW w:w="55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Dunn</w:t>
            </w:r>
          </w:p>
        </w:tc>
        <w:tc>
          <w:tcPr>
            <w:tcW w:w="751"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Francis</w:t>
            </w:r>
          </w:p>
        </w:tc>
        <w:tc>
          <w:tcPr>
            <w:tcW w:w="70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Freund</w:t>
            </w:r>
          </w:p>
        </w:tc>
        <w:tc>
          <w:tcPr>
            <w:tcW w:w="899"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 xml:space="preserve">Hilleman </w:t>
            </w:r>
          </w:p>
        </w:tc>
        <w:tc>
          <w:tcPr>
            <w:tcW w:w="85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Hinckley</w:t>
            </w:r>
          </w:p>
        </w:tc>
        <w:tc>
          <w:tcPr>
            <w:tcW w:w="991"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Nishimura</w:t>
            </w:r>
          </w:p>
        </w:tc>
        <w:tc>
          <w:tcPr>
            <w:tcW w:w="58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West</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Public Company CEO / CFO Experience</w:t>
            </w:r>
          </w:p>
        </w:tc>
        <w:tc>
          <w:tcPr>
            <w:tcW w:w="6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99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Risk Management / Healthcare Compliance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Human Capital Management</w:t>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99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Medical Device Industry Knowledge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Mergers &amp; Acquisitions</w:t>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9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99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Regulatory and Clinical</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Information Technology / Cybersecurity Oversight</w:t>
            </w:r>
          </w:p>
        </w:tc>
        <w:tc>
          <w:tcPr>
            <w:tcW w:w="6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Supply Chain Operations</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color w:val="74A333"/>
              </w:rPr>
            </w:pPr>
            <w:r>
              <w:rPr>
                <w:color w:val="74A333"/>
              </w:rPr>
              <w:t>•</w:t>
            </w:r>
          </w:p>
        </w:tc>
      </w:tr>
      <w:tr>
        <w:trPr/>
        <w:tc>
          <w:tcPr>
            <w:tcW w:w="412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Global Business Experience</w:t>
            </w:r>
          </w:p>
        </w:tc>
        <w:tc>
          <w:tcPr>
            <w:tcW w:w="60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55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75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70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85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99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c>
          <w:tcPr>
            <w:tcW w:w="58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color w:val="74A333"/>
              </w:rPr>
            </w:pPr>
            <w:r>
              <w:rPr>
                <w:color w:val="74A333"/>
              </w:rPr>
              <w:t>•</w:t>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BOARD LEADERSHIP STRUCTURE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is currently chaired by Mr. Dunn. Mr. Dunn served as our Executive Chairperson from April 2021, when he ceased to serve as our Chief Executive Officer, until May 2023, at which time he became non-executive Chairperson of the Board. We believe that the separation of the two roles of Chairperson of the Board and Chief Executive Officer is most beneficial in furthering SI-BONE’s ability to develop and implement strategy. In particular, in making this determination, Mr. Dunn, as our former Chief Executive Officer, will continue to have intimate knowledge of our operations, both historically and currently, which will enable him to continue to act as a bridge between management and the Board. Further, Mr. Dunn serving as Chairperson alleviates the need for Ms. Francis to take on the responsibilities of Chairperson, enabling her to focus on her responsibilities in her role as our Chief Executive Officer.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Mr. Dunn is not independent given his position as our former Executive Chairperson until May 1, 2023, and he is expected to become independent on May 1, 2026. As such, during this time, the Board of Directors believes that our stockholders have been best served by having a Lead Independent Director, who has been an integral part of our Board structure and a critical aspect of effective corporate governance. Mr. Davis has served our Lead Independent Director and will continue to serve in such role until the conclusion of the Annual Meeting. Mr. Davis has brought considerable skills and experience, as described above, to the role. Upon Mr. Dunn’s expected attainment of independence on May 1, 2026, the Board believes that the separation of the roles of the non-executive Chairperson and Chief Executive Officer, with Mr. Dunn serving as an independent Chairperson, will provide independent Board leadership, and accordingly, Mr. Davis’ Lead Independent Director role will not continue following the conclusion of the Annual Meeting. </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ROLE OF THE BOARD OF DIRECTORS IN RISK OVERSIGHT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One of the key functions of our Board of Directors is to inform oversight of our risk management process. In particular, our Board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0885"/>
                <wp:effectExtent l="0" t="0" r="0" b="0"/>
                <wp:wrapNone/>
                <wp:docPr id="35" name="Frame2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development of and reporting on our sustainability program, and oversight of healthcare, regulatory, and fraud and abuse compliance.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MEETINGS OF THE BOARD OF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met four times during 2025. Each member of the Board of Directors attended 75% or more of the aggregate number of meetings of the Board of Directors and of the committees on which he or she served, held during the portion of the last fiscal year for which he or she was a director or committee member.</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BOARD COMMITTEES AND MEETINGS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has three committees: an Audit Committee, a Compensation Committee and a Nominating and Corporate Governance Committee. The following table provides membership and meeting information during 2025 for each of the Board committees (neither Mr. Dunn nor Ms. Francis has served on any committee to date):</w:t>
      </w:r>
    </w:p>
    <w:tbl>
      <w:tblPr>
        <w:tblW w:w="8712" w:type="dxa"/>
        <w:jc w:val="left"/>
        <w:tblInd w:w="0" w:type="dxa"/>
        <w:tblLayout w:type="fixed"/>
        <w:tblCellMar>
          <w:top w:w="28" w:type="dxa"/>
          <w:left w:w="28" w:type="dxa"/>
          <w:bottom w:w="28" w:type="dxa"/>
          <w:right w:w="28" w:type="dxa"/>
        </w:tblCellMar>
      </w:tblPr>
      <w:tblGrid>
        <w:gridCol w:w="124"/>
        <w:gridCol w:w="109"/>
        <w:gridCol w:w="109"/>
        <w:gridCol w:w="985"/>
        <w:gridCol w:w="985"/>
        <w:gridCol w:w="999"/>
        <w:gridCol w:w="185"/>
        <w:gridCol w:w="185"/>
        <w:gridCol w:w="186"/>
        <w:gridCol w:w="450"/>
        <w:gridCol w:w="450"/>
        <w:gridCol w:w="451"/>
        <w:gridCol w:w="1021"/>
        <w:gridCol w:w="1021"/>
        <w:gridCol w:w="14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Name</w:t>
            </w:r>
          </w:p>
        </w:tc>
        <w:tc>
          <w:tcPr>
            <w:tcW w:w="55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Audit</w:t>
            </w:r>
          </w:p>
        </w:tc>
        <w:tc>
          <w:tcPr>
            <w:tcW w:w="1351"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Compensation</w:t>
            </w:r>
          </w:p>
        </w:tc>
        <w:tc>
          <w:tcPr>
            <w:tcW w:w="3494"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Nominating and Corporate Governance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Timothy E. Davis, Jr.</w:t>
            </w:r>
          </w:p>
        </w:tc>
        <w:tc>
          <w:tcPr>
            <w:tcW w:w="5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c>
          <w:tcPr>
            <w:tcW w:w="1351"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C</w:t>
            </w:r>
          </w:p>
        </w:tc>
        <w:tc>
          <w:tcPr>
            <w:tcW w:w="349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John G. Freund, M.D.</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Jeryl L. Hilleman</w:t>
            </w:r>
          </w:p>
        </w:tc>
        <w:tc>
          <w:tcPr>
            <w:tcW w:w="55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C</w:t>
            </w:r>
          </w:p>
        </w:tc>
        <w:tc>
          <w:tcPr>
            <w:tcW w:w="13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Gregory K. Hinckley</w:t>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Mika Nishimura</w:t>
            </w:r>
          </w:p>
        </w:tc>
        <w:tc>
          <w:tcPr>
            <w:tcW w:w="55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Thomas A. West</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74A333"/>
                <w:sz w:val="18"/>
              </w:rPr>
            </w:pPr>
            <w:r>
              <w:rPr>
                <w:rFonts w:ascii="Arial;sans-serif" w:hAnsi="Arial;sans-serif"/>
                <w:b/>
                <w:color w:val="74A333"/>
                <w:sz w:val="18"/>
              </w:rPr>
              <w:t>M</w:t>
            </w:r>
          </w:p>
        </w:tc>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Total meetings in fiscal year 2025</w:t>
            </w:r>
          </w:p>
        </w:tc>
        <w:tc>
          <w:tcPr>
            <w:tcW w:w="55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35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49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lineRule="auto" w:line="333" w:before="60" w:after="300"/>
        <w:jc w:val="both"/>
        <w:rPr/>
      </w:pPr>
      <w:r>
        <w:rPr>
          <w:rFonts w:ascii="Arial;sans-serif" w:hAnsi="Arial;sans-serif"/>
          <w:b/>
          <w:color w:val="74A333"/>
          <w:sz w:val="16"/>
        </w:rPr>
        <w:t>C</w:t>
      </w:r>
      <w:r>
        <w:rPr>
          <w:color w:val="000000"/>
        </w:rPr>
        <w:t xml:space="preserve"> </w:t>
      </w:r>
      <w:r>
        <w:rPr>
          <w:rFonts w:ascii="Arial;sans-serif" w:hAnsi="Arial;sans-serif"/>
          <w:b w:val="false"/>
          <w:color w:val="000000"/>
          <w:sz w:val="16"/>
        </w:rPr>
        <w:t xml:space="preserve">- Committee Chairperson </w:t>
      </w:r>
      <w:r>
        <w:rPr>
          <w:rFonts w:ascii="Arial;sans-serif" w:hAnsi="Arial;sans-serif"/>
          <w:b/>
          <w:color w:val="74A333"/>
          <w:sz w:val="16"/>
        </w:rPr>
        <w:t>M</w:t>
      </w:r>
      <w:r>
        <w:rPr>
          <w:color w:val="000000"/>
        </w:rPr>
        <w:t xml:space="preserve"> </w:t>
      </w:r>
      <w:r>
        <w:rPr>
          <w:rFonts w:ascii="Arial;sans-serif" w:hAnsi="Arial;sans-serif"/>
          <w:b w:val="false"/>
          <w:color w:val="000000"/>
          <w:sz w:val="16"/>
        </w:rPr>
        <w:t>- Member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Following the 2026 Annual Meeting and as recommended by our Nominating and Corporate Governance Committee and approved by our Board of Directors, Mr. Dunn is expected to join the Compensation Committee as a member.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has adopted a written charter for each of the Audit Committee, the Compensation Committee, and the Nominating and Corporate Governance Committee. All of these charters are available to stockholders on SI-BONE’s website at www.si-bone.com.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Below is a description of each committee of the Board of Directors.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AUDIT COMMITTEE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Audit Committee currently consists of Mr. Davis, Ms. Hilleman, and Mr. West, each of whom satisfies the independence requirements under the Nasdaq Global Market listing standards and Rule 10A-3(b)(1) of the Exchange Act. The chairperson of our Audit Committee is Ms. Hilleman. Our Board has determined that each of Mr. Davis, Ms. Hilleman, and Mr. West is “audit committee financial expert”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selecting a qualified firm to serve as the independent registered public accounting firm to audit our financial statements;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evaluating the qualifications, independence and performance of the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0885"/>
                <wp:effectExtent l="0" t="0" r="0" b="0"/>
                <wp:wrapNone/>
                <wp:docPr id="36" name="Frame2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determining the scope of the annual audit and the audit fee;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our financial statements and our management’s discussion and analysis of financial condition and results of operations to be included in our annual and quarterly reports to be filed with the SEC;</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considering the adequacy of our internal controls;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developing and overseeing procedures for employees to submit concerns anonymously about questionable accounting or audit matters;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related party transactions;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discussing the adequacy and effectiveness of our accounting and financial reporting processes, and the annual audits of our financial statements;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approving (or, as permitted, pre-approving) all audit and all permissible non-audit service to be performed by the independent registered public accounting firm;</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our guidelines and policies with respect to financial and information security risk management and the use of artificial intelligence impacting financial reporting and internal controls;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at least annually, the Audit Committee charter and the committee’s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reviews the Nasdaq listing standards’ definition of independence for Audit Committee members on an annual basis and has determined that all Audit Committee members are independent (as independence is currently defined in Rule 5605(c)(2)(A)(i) and (ii) of the Nasdaq listing standards).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COMPENSATION COMMITTEE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Compensation Committee currently consists of Mr. Davis, Mr. Hinckley, and Mr. West. The chairperson of our Compensation Committee is Mr. Davis. At the conclusion of the 2026 Annual Meeting, Mr. Hinckley will cease to serve as a member of our Compensation Committee upon the expiration of his term, and as recommended by our Nominating and Corporate Governance Committee and approved by our Board of Directors, Mr. Dunn is expected to join the Compensation Committee as a member. Our Board has determined Mr. Davis, Mr. Hinckley, and Mr. West to be independent under the Nasdaq Global Market listing standards, and a “non-employee director” as defined in Rule 16b-3 promulgated under the Exchange Act. Mr. Dunn is not independent given his position as our former Executive Chairperson until May 1, 2023, but he is expected to become independent on May 1, 2026.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approving, or in the case of our Chief Executive Officer, recommending that our Board approves compensation of our executive officers;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recommending to our Board the compensation of our directors;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approving, or recommending that our Board approve, the terms of compensatory arrangements with our executive officers;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administering our employee stock purchase and equity incentive plans;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selecting independent compensation consultants and assessing whether there are any conflicts of interest with any of the committee’s compensation advisors;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and establishing general policies relating to compensation and benefits of our employees;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reviewing our overall compensation philosophy.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0885"/>
                <wp:effectExtent l="0" t="0" r="0" b="0"/>
                <wp:wrapNone/>
                <wp:docPr id="37" name="Frame2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Committee Processes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Typically, our Compensation Committee meets at least four times annually and with greater frequency if necessary. The agenda for each meeting is usually developed by the chairperson of the Compensation Committee, in consultation with the Chief Business &amp; Legal Affairs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her compensation or individual performance objectives. The charter of the Compensation Committee grants the Compensation Committee full access to all of our books, records, facilities and personnel. In addition, under the charter,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its compensation consultant. The Compensation Committee requested that Compensia:</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evaluate the efficacy of our existing compensation strategy and practices in supporting and reinforcing our long-term strategic goals;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assist in refining our compensation strategy and in developing and implementing an executive compensation program to execute that strategy;</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benchmark our use of equity in our compensation program against equity utilization of its peers;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 the adequacy and appropriateness of our compensation of our independent directors and recommend annual updates to our non-employee director compensation policy;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perform an annual independent compensation risk assessment.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our business operations and strategy, key performance metrics and strategic goals, as well as the labor markets in which we compete. Compensia ultimately developed recommendations that were presented to the Compensation Committee for its consideration. Following an active dialogue with Compensia, the Compensation Committee approved the recommendations of Compensia.</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Historically, the Compensation Committee has made most of the significant adjustments to annual compensation, determined bonus and equity awards and established new performance objectives over the course of several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the Company’s performance objectives for the current year. For executives other than the Chief Executive Officer, the Compensation Committee solicits and considers evaluations and recommendations submitted to the Compensation Committee by the Chief Executive Officer. In the case of the Chief Executive Officer, the Board conducts the evaluation of her performance, which determines any adjustments to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0885"/>
                <wp:effectExtent l="0" t="0" r="0" b="0"/>
                <wp:wrapNone/>
                <wp:docPr id="38" name="Frame2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19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and recommendations of the Compensation Committee’s compensation consultant, including analyses of executive and director compensation paid at other companies identified by the consultant.</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Committee Interlocks and Insider Participation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fiscal year ended December 31, 2025, our Compensation Committee consisted of Mr. Davis, Mr. Hinckley, and Mr. West. None of the members of our Compensation Committee is currently or has been at any time one of our officers or employees. During the fiscal year ended December 31, 2025, none of our executive officers served on the board of directors or compensation committee of any other company that has an executive officer serving on our Board of Directors or our Compensation Committee.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NOMINATING AND CORPORATE GOVERNANCE COMMITTEE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Nominating and Corporate Governance Committee currently consists of Dr. Freund, Ms. Hilleman, and Ms. Nishimura. The chairperson of our Nominating and Corporate Governance Committee is Ms. Nishimura. Our Board of Directors has determined Dr. Freund, Ms. Hilleman, and Ms. Nishimura each to be independent under the Nasdaq Global Market listing standards.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Specific responsibilities of our Nominating and Corporate Governance Committee include: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identifying, evaluating, and selecting, or recommending that our Board approve, nominees for election to our Board;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overseeing the process of evaluating the performance of our Board of Directors;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reviewing developments in corporate governance practices;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evaluating the adequacy of our corporate governance practices and reporting;</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developing and making recommendations to our Board regarding corporate governance guidelines and matters;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overseeing administration of our healthcare compliance program.</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The Nominating and Corporate Governance Committee believes that director candidates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having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Potential director candidates are reviewed in the context of the current composition of the Board, our operating requirements and the long-term interests of our stockholders. In conducting this assessment, the Nominating and Corporate Governance Committee considers diversity of skills, experience, personal background, perspective and such other factors as it deems appropriate, given the current needs of the Board and the Company, to maintain a balance of knowledge, experience and capability.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potential director candidates, the Nominating and Corporate Governance Committee also determines whether they are independent based upon applicable Nasdaq listing standards, applicable SEC rules and regulations and the advice of counsel, if necessary. The Nominating and Corporate Governance Committee then uses its network of contacts to compile a list of potential director candidates, but may also engage, if it deems appropriate, a professional search firm. The Nominating and Corporate Governance Committee conducts any appropriate and necessary inquiries into the backgrounds and qualifications of potential director candidates after considering the function and needs of the Board. The Nominating and Corporate Governance Committee meets to discuss and consider the potential director candidates’ qualifications and then selects a candidate for recommendation to the Board by majority vote.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Nominating and Corporate Governance Committee will consider director candidates recommended by stockholders. The Nominating and Corporate Governance Committee does not intend to alter the manner in which it evaluates director candidates, including the minimum criteria set forth above, based on whether or not the director candidate was recommended by a stockholder. Stockholders who wish to recommend individuals for consideration by the Nominating and Corporate Governance Committee to become nominees for election to the Board may do so by delivering a written recommendation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0885"/>
                <wp:effectExtent l="0" t="0" r="0" b="0"/>
                <wp:wrapNone/>
                <wp:docPr id="39" name="Frame2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attention of the Nominating and Corporate Governance Committee and the Chief Business &amp; Legal Affairs Officer at 471 El Camino Real, Suite 101, Santa Clara, California 95050, or after July 1, 2026, at 88 W Plumeria Dr, San Jose, California 95131, no earlier than the 120th day prior to the anniversary date of the mailing of our proxy statement for the last Annual Meeting of Stockholders and no later than the 90th day prior to the upcoming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such submission must be accompanied by the written consent of the proposed nominee to be named as a nominee and to serve as a director if elected.</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STOCKHOLDER COMMUNICATIONS WITH THE BOARD OF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with our directors has been excellent. Stockholders may communicate with the Board or any of our directors. Stockholders who wish to communicate with the Board may do so by sending written communications addressed as follows: SI-BONE, Inc. Board Communication, at 471 El Camino Real, Suite 101, Santa Clara, California 95050, or after July 1, 2026, at 88 W Plumeria Dr, San Jose, California 95131. Any communication sent must state the number of shares owned by the stockholder making the communication. The communications will be reviewed by the Chairperson of the Board. The Chairperson of the Board will forward such communication to the Board or to any individual director to whom the communication is addressed unless the communication is unduly frivolous, hostile, threatening or similarly inappropriate, in which case, the Chairperson of the Board shall discard the communication.</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CODE OF BUSINESS CONDUCT AND ETHICS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adopted a Code of Business Conduct and Ethics that applies to all officers, directors and employees. The Code of Business Conduct and Ethics is available on our website at www.si-bone.com. If we make any substantive amendments to the Code of Business Conduct and Ethics or grants any waiver from a provision of the Code to any executive officer or director, we will promptly disclose the nature of the amendment or waiver on our website.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 whistleblower hotline and website where people can report violations of the Code of Business Conduct and Ethics anonymously or by name; to date we have never had a good-faith complaint alleging violations of our Code of Conduct come into the hotline.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CORPORATE GOVERNANCE GUIDELINES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July 2018, the Board of Directors adopted, and in January 2021, December 2022, June 2023, June 2025 and December 2025 revised, our Corporate Governance Guidelines to assure that the Board has the necessary authority and policies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qualifications, board meetings and involvement of senior management, Chief Executive Officer performance evaluation and succession planning, board committees and compensation, board and committee self-assessments, and our prohibition on engaging in hedging, pledging or other inherently speculative transactions in our stock. The Corporate Governance Guidelines, as well as the charters for each committee of the Board, may be viewed at www.si-bone.com.</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INSIDER TRADING POLICY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From time to time, we may engage in transactions in our securities. It is our policy to comply with applicable laws and regulations relating to insider trading. A copy of our insider trading policy is filed as an exhibit to our Annual Report on Form 10-K for our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0885"/>
                <wp:effectExtent l="0" t="0" r="0" b="0"/>
                <wp:wrapNone/>
                <wp:docPr id="40" name="Frame2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HEDGING AND PLEDGING PROHIBITION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set forth in our Insider Trading Policy and Corporate Governance Guidelines, no director, employee or consultant may engage in short sales, transactions in put or call options, hedging transactions, margin accounts, pledges, or other inherently speculative transactions with respect to our stock at any time.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STOCK OWNERSHIP GUIDELINES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 xml:space="preserve">CYBERSECURITY </w:t>
      </w:r>
    </w:p>
    <w:p>
      <w:pPr>
        <w:pStyle w:val="TextBody"/>
        <w:bidi w:val="0"/>
        <w:spacing w:lineRule="auto" w:line="288" w:before="120" w:after="120"/>
        <w:jc w:val="both"/>
        <w:rPr/>
      </w:pPr>
      <w:r>
        <w:rPr>
          <w:rFonts w:ascii="Arial;sans-serif" w:hAnsi="Arial;sans-serif"/>
          <w:b w:val="false"/>
          <w:color w:val="000000"/>
          <w:sz w:val="18"/>
        </w:rPr>
        <w:t>We recognize the importance of protecting our information technology (“</w:t>
      </w:r>
      <w:r>
        <w:rPr>
          <w:rFonts w:ascii="Arial;sans-serif" w:hAnsi="Arial;sans-serif"/>
          <w:b/>
          <w:color w:val="000000"/>
          <w:sz w:val="18"/>
        </w:rPr>
        <w:t>IT</w:t>
      </w:r>
      <w:r>
        <w:rPr>
          <w:color w:val="000000"/>
        </w:rPr>
        <w:t>”</w:t>
      </w:r>
      <w:r>
        <w:rPr>
          <w:rFonts w:ascii="Arial;sans-serif" w:hAnsi="Arial;sans-serif"/>
          <w:b w:val="false"/>
          <w:color w:val="000000"/>
          <w:sz w:val="18"/>
        </w:rPr>
        <w:t>) systems. With this in mind, we have certain IT and cybersecurity measures on both an enterprise level and on an individual employee level. We have in place various types and levels of IT and cybersecurity measures, depending on the nature of the IT system and data, which are aimed at protecting IT systems to help secure long-term value for our stockholders and other stakeholders. By way of example, these measures may include the following:</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utilization of detection and protection technologies such as endpoint detection and vulnerability and patch management programs;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ongoing end-user security awareness training;</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security metric reporting to senior organizational leaders;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periodic risk assessments and maturity assessments to gauge current level of operational efficiency and effectiveness.</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 xml:space="preserve">Our Audit Committee and senior management are responsible for overseeing matters relating to our IT and cybersecurity practices and initiatives, and our Audit Committee is briefed at least quarterly by our senior management on cybersecurity matters. To assist our senior management and Audit Committee, we have designated specific roles for officers and other employees within our company who are responsible for and directly oversee our IT and cybersecurity measures. Among the members of our Board of Directors, two served as Chief Financial Officers having direct oversight of Information Technology / Cybersecurity functions, developed expertise in this area, and either served or still serve on the audit committees of other companies’ boards exercising cybersecurity oversight as well. </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SUSTAINABILITY OVERSIGHT AND ACTIVITIES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strive to advance the interests of all our stakeholders - including patients, healthcare professionals, employees, investors, and our communities - by operating in an ethical and sustainable way. We do this by holding true to our core values of operating with Purpose, Agility and Creativity, and as a single Team. These values are at the heart of our sustainability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0885"/>
                <wp:effectExtent l="0" t="0" r="0" b="0"/>
                <wp:wrapNone/>
                <wp:docPr id="41" name="Frame2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Proposal No. 2</w:t>
        <w:br/>
        <w:t>Ratification of Selection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Audit Committee of the Board of Directors has selected PricewaterhouseCoopers LLP as our independent registered public accounting firm for the fiscal year ending December 31, 2026, and has further directed that management submit the selection of PricewaterhouseCoopers LLP as our independent registered public accounting firm for ratification by the stockholders at the Annual Meeting. PricewaterhouseCoopers LLP has audited our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Neither our bylaws or other governing documents nor law require stockholder ratification of the selection of PricewaterhouseCoopers LLP as our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PricewaterhouseCoopers LLP.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tbl>
      <w:tblPr>
        <w:tblW w:w="6314" w:type="dxa"/>
        <w:jc w:val="left"/>
        <w:tblInd w:w="0" w:type="dxa"/>
        <w:tblLayout w:type="fixed"/>
        <w:tblCellMar>
          <w:top w:w="28" w:type="dxa"/>
          <w:left w:w="28" w:type="dxa"/>
          <w:bottom w:w="28" w:type="dxa"/>
          <w:right w:w="28" w:type="dxa"/>
        </w:tblCellMar>
      </w:tblPr>
      <w:tblGrid>
        <w:gridCol w:w="2021"/>
        <w:gridCol w:w="1774"/>
        <w:gridCol w:w="2519"/>
      </w:tblGrid>
      <w:tr>
        <w:trPr/>
        <w:tc>
          <w:tcPr>
            <w:tcW w:w="2021"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74A33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The Board of Directors recommends a vote IN FAVOR of Proposal No. 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0885"/>
                <wp:effectExtent l="0" t="0" r="0" b="0"/>
                <wp:wrapNone/>
                <wp:docPr id="42" name="Frame2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PRINCIPAL ACCOUNTANT FEES AND SERVICES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represents aggregate fees billed to the Company for the fiscal years ended December 31, 2025 and 2024, respectively, by PricewaterhouseCoopers LLP, our independent registered public accounting firm.</w:t>
      </w:r>
    </w:p>
    <w:tbl>
      <w:tblPr>
        <w:tblW w:w="4091" w:type="dxa"/>
        <w:jc w:val="left"/>
        <w:tblInd w:w="0" w:type="dxa"/>
        <w:tblLayout w:type="fixed"/>
        <w:tblCellMar>
          <w:top w:w="28" w:type="dxa"/>
          <w:left w:w="28" w:type="dxa"/>
          <w:bottom w:w="28" w:type="dxa"/>
          <w:right w:w="28" w:type="dxa"/>
        </w:tblCellMar>
      </w:tblPr>
      <w:tblGrid>
        <w:gridCol w:w="124"/>
        <w:gridCol w:w="109"/>
        <w:gridCol w:w="109"/>
        <w:gridCol w:w="493"/>
        <w:gridCol w:w="493"/>
        <w:gridCol w:w="499"/>
        <w:gridCol w:w="263"/>
        <w:gridCol w:w="263"/>
        <w:gridCol w:w="168"/>
        <w:gridCol w:w="168"/>
        <w:gridCol w:w="168"/>
        <w:gridCol w:w="168"/>
        <w:gridCol w:w="263"/>
        <w:gridCol w:w="263"/>
        <w:gridCol w:w="1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bottom w:val="single" w:sz="8" w:space="0" w:color="74A333"/>
            </w:tcBorders>
            <w:tcMar>
              <w:top w:w="0" w:type="dxa"/>
              <w:left w:w="0" w:type="dxa"/>
              <w:bottom w:w="30" w:type="dxa"/>
              <w:right w:w="0" w:type="dxa"/>
            </w:tcMar>
            <w:vAlign w:val="center"/>
          </w:tcPr>
          <w:p>
            <w:pPr>
              <w:pStyle w:val="TableContents"/>
              <w:bidi w:val="0"/>
              <w:spacing w:lineRule="auto" w:line="333" w:before="0" w:after="283"/>
              <w:jc w:val="center"/>
              <w:rPr>
                <w:rFonts w:ascii="Arial;sans-serif" w:hAnsi="Arial;sans-serif"/>
                <w:b/>
                <w:color w:val="000000"/>
                <w:sz w:val="16"/>
              </w:rPr>
            </w:pPr>
            <w:r>
              <w:rPr>
                <w:rFonts w:ascii="Arial;sans-serif" w:hAnsi="Arial;sans-serif"/>
                <w:b/>
                <w:color w:val="000000"/>
                <w:sz w:val="16"/>
              </w:rPr>
              <w:t>Fiscal Year Ended</w:t>
            </w:r>
          </w:p>
        </w:tc>
        <w:tc>
          <w:tcPr>
            <w:tcW w:w="372" w:type="dxa"/>
            <w:gridSpan w:val="3"/>
            <w:tcBorders>
              <w:bottom w:val="single" w:sz="8"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74A333"/>
            </w:tcBorders>
            <w:tcMar>
              <w:top w:w="30" w:type="dxa"/>
              <w:left w:w="0" w:type="dxa"/>
              <w:bottom w:w="0" w:type="dxa"/>
              <w:right w:w="0" w:type="dxa"/>
            </w:tcMar>
            <w:vAlign w:val="center"/>
          </w:tcPr>
          <w:p>
            <w:pPr>
              <w:pStyle w:val="TableContents"/>
              <w:bidi w:val="0"/>
              <w:spacing w:lineRule="auto" w:line="333" w:before="0" w:after="283"/>
              <w:jc w:val="right"/>
              <w:rPr/>
            </w:pPr>
            <w:r>
              <w:rPr>
                <w:rFonts w:ascii="Arial;sans-serif" w:hAnsi="Arial;sans-serif"/>
                <w:b/>
                <w:color w:val="000000"/>
                <w:sz w:val="16"/>
              </w:rPr>
              <w:t>2025</w:t>
            </w:r>
            <w:r>
              <w:rPr>
                <w:color w:val="000000"/>
              </w:rPr>
              <w:t> </w:t>
            </w:r>
          </w:p>
        </w:tc>
        <w:tc>
          <w:tcPr>
            <w:tcW w:w="168" w:type="dxa"/>
            <w:tcBorders>
              <w:top w:val="single" w:sz="8" w:space="0" w:color="74A33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74A333"/>
            </w:tcBorders>
            <w:tcMar>
              <w:top w:w="30" w:type="dxa"/>
              <w:left w:w="0" w:type="dxa"/>
              <w:bottom w:w="0" w:type="dxa"/>
              <w:right w:w="0" w:type="dxa"/>
            </w:tcMar>
            <w:vAlign w:val="center"/>
          </w:tcPr>
          <w:p>
            <w:pPr>
              <w:pStyle w:val="TableContents"/>
              <w:bidi w:val="0"/>
              <w:spacing w:lineRule="auto" w:line="333" w:before="0" w:after="283"/>
              <w:jc w:val="right"/>
              <w:rPr/>
            </w:pPr>
            <w:r>
              <w:rPr>
                <w:rFonts w:ascii="Arial;sans-serif" w:hAnsi="Arial;sans-serif"/>
                <w:b/>
                <w:color w:val="000000"/>
                <w:sz w:val="16"/>
              </w:rPr>
              <w:t>2024</w:t>
            </w:r>
            <w:r>
              <w:rPr>
                <w:color w:val="000000"/>
              </w:rPr>
              <w:t> </w:t>
            </w:r>
          </w:p>
        </w:tc>
        <w:tc>
          <w:tcPr>
            <w:tcW w:w="168" w:type="dxa"/>
            <w:tcBorders>
              <w:top w:val="single" w:sz="8" w:space="0" w:color="74A33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333" w:before="0" w:after="283"/>
              <w:jc w:val="right"/>
              <w:rPr>
                <w:rFonts w:ascii="Arial;sans-serif" w:hAnsi="Arial;sans-serif"/>
                <w:b/>
                <w:color w:val="000000"/>
                <w:sz w:val="16"/>
              </w:rPr>
            </w:pPr>
            <w:r>
              <w:rPr>
                <w:rFonts w:ascii="Arial;sans-serif" w:hAnsi="Arial;sans-serif"/>
                <w:b/>
                <w:color w:val="000000"/>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Audit Fees</w:t>
            </w:r>
          </w:p>
        </w:tc>
        <w:tc>
          <w:tcPr>
            <w:tcW w:w="69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1,888</w:t>
            </w:r>
          </w:p>
        </w:tc>
        <w:tc>
          <w:tcPr>
            <w:tcW w:w="50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1,814</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Audit-related Fees </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Tax Fees </w:t>
            </w:r>
          </w:p>
        </w:tc>
        <w:tc>
          <w:tcPr>
            <w:tcW w:w="69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right"/>
              <w:rPr>
                <w:color w:val="000000"/>
              </w:rPr>
            </w:pPr>
            <w:r>
              <w:rPr>
                <w:color w:val="000000"/>
              </w:rPr>
              <w:t>—</w:t>
            </w:r>
          </w:p>
        </w:tc>
        <w:tc>
          <w:tcPr>
            <w:tcW w:w="504"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70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All Other Fees </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2</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Total Fees</w:t>
            </w:r>
          </w:p>
        </w:tc>
        <w:tc>
          <w:tcPr>
            <w:tcW w:w="69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120"/>
              <w:jc w:val="right"/>
              <w:rPr>
                <w:rFonts w:ascii="Arial;sans-serif" w:hAnsi="Arial;sans-serif"/>
                <w:b/>
                <w:color w:val="000000"/>
                <w:sz w:val="16"/>
              </w:rPr>
            </w:pPr>
            <w:r>
              <w:rPr>
                <w:rFonts w:ascii="Arial;sans-serif" w:hAnsi="Arial;sans-serif"/>
                <w:b/>
                <w:color w:val="000000"/>
                <w:sz w:val="16"/>
              </w:rPr>
              <w:t>1,890</w:t>
            </w:r>
          </w:p>
        </w:tc>
        <w:tc>
          <w:tcPr>
            <w:tcW w:w="50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120"/>
              <w:jc w:val="right"/>
              <w:rPr>
                <w:rFonts w:ascii="Arial;sans-serif" w:hAnsi="Arial;sans-serif"/>
                <w:b/>
                <w:color w:val="000000"/>
                <w:sz w:val="16"/>
              </w:rPr>
            </w:pPr>
            <w:r>
              <w:rPr>
                <w:rFonts w:ascii="Arial;sans-serif" w:hAnsi="Arial;sans-serif"/>
                <w:b/>
                <w:color w:val="000000"/>
                <w:sz w:val="16"/>
              </w:rPr>
              <w:t>1,886</w:t>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60"/>
        <w:ind w:left="0" w:right="0" w:hanging="360"/>
        <w:jc w:val="both"/>
        <w:rPr/>
      </w:pPr>
      <w:r>
        <w:rPr>
          <w:color w:val="000000"/>
        </w:rPr>
        <w:t>•</w:t>
      </w:r>
      <w:r>
        <w:rPr>
          <w:rFonts w:ascii="Arial;sans-serif" w:hAnsi="Arial;sans-serif"/>
          <w:b/>
          <w:color w:val="000000"/>
          <w:sz w:val="18"/>
        </w:rPr>
        <w:t>Audit Fees</w:t>
      </w:r>
      <w:r>
        <w:rPr>
          <w:color w:val="000000"/>
        </w:rPr>
        <w:t xml:space="preserve"> </w:t>
      </w:r>
      <w:r>
        <w:rPr>
          <w:rFonts w:ascii="Arial;sans-serif" w:hAnsi="Arial;sans-serif"/>
          <w:b w:val="false"/>
          <w:color w:val="000000"/>
          <w:sz w:val="18"/>
        </w:rPr>
        <w:t>consist of fees incurred for professional services rendered for the audit of our annual consolidated financial statements, review of our quarterly consolidated financial statements, and other services normally provided by PricewaterhouseCoopers LLP in connection with regulatory filings.</w:t>
      </w:r>
    </w:p>
    <w:p>
      <w:pPr>
        <w:pStyle w:val="TextBody"/>
        <w:bidi w:val="0"/>
        <w:spacing w:lineRule="auto" w:line="360" w:before="0" w:after="60"/>
        <w:ind w:left="0" w:right="0" w:hanging="360"/>
        <w:jc w:val="both"/>
        <w:rPr/>
      </w:pPr>
      <w:r>
        <w:rPr>
          <w:color w:val="000000"/>
        </w:rPr>
        <w:t>•</w:t>
      </w:r>
      <w:r>
        <w:rPr>
          <w:rFonts w:ascii="Arial;sans-serif" w:hAnsi="Arial;sans-serif"/>
          <w:b/>
          <w:color w:val="000000"/>
          <w:sz w:val="18"/>
        </w:rPr>
        <w:t>Tax Fees</w:t>
      </w:r>
      <w:r>
        <w:rPr>
          <w:color w:val="000000"/>
        </w:rPr>
        <w:t xml:space="preserve"> </w:t>
      </w:r>
      <w:r>
        <w:rPr>
          <w:rFonts w:ascii="Arial;sans-serif" w:hAnsi="Arial;sans-serif"/>
          <w:b w:val="false"/>
          <w:color w:val="000000"/>
          <w:sz w:val="18"/>
        </w:rPr>
        <w:t>consist of fees for professional services for tax compliance, tax advice and tax planning.</w:t>
      </w:r>
    </w:p>
    <w:p>
      <w:pPr>
        <w:pStyle w:val="TextBody"/>
        <w:bidi w:val="0"/>
        <w:spacing w:lineRule="auto" w:line="360" w:before="0" w:after="120"/>
        <w:ind w:left="0" w:right="0" w:hanging="360"/>
        <w:jc w:val="both"/>
        <w:rPr/>
      </w:pPr>
      <w:r>
        <w:rPr>
          <w:color w:val="000000"/>
        </w:rPr>
        <w:t>•</w:t>
      </w:r>
      <w:r>
        <w:rPr>
          <w:rFonts w:ascii="Arial;sans-serif" w:hAnsi="Arial;sans-serif"/>
          <w:b/>
          <w:color w:val="000000"/>
          <w:sz w:val="18"/>
        </w:rPr>
        <w:t>All Other Fees</w:t>
      </w:r>
      <w:r>
        <w:rPr>
          <w:color w:val="000000"/>
        </w:rPr>
        <w:t xml:space="preserve"> </w:t>
      </w:r>
      <w:r>
        <w:rPr>
          <w:rFonts w:ascii="Arial;sans-serif" w:hAnsi="Arial;sans-serif"/>
          <w:b w:val="false"/>
          <w:color w:val="000000"/>
          <w:sz w:val="18"/>
        </w:rPr>
        <w:t>consist of fees for professional services other than the services reported above, including permissible consulting services.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All fees described above were pre-approved by the Audit Committee.</w:t>
      </w:r>
    </w:p>
    <w:p>
      <w:pPr>
        <w:pStyle w:val="TextBody"/>
        <w:bidi w:val="0"/>
        <w:spacing w:lineRule="auto" w:line="288" w:before="220" w:after="120"/>
        <w:jc w:val="both"/>
        <w:rPr>
          <w:rFonts w:ascii="Arial;sans-serif" w:hAnsi="Arial;sans-serif"/>
          <w:b w:val="false"/>
          <w:color w:val="000000"/>
          <w:sz w:val="24"/>
        </w:rPr>
      </w:pPr>
      <w:r>
        <w:rPr>
          <w:rFonts w:ascii="Arial;sans-serif" w:hAnsi="Arial;sans-serif"/>
          <w:b w:val="false"/>
          <w:color w:val="000000"/>
          <w:sz w:val="24"/>
        </w:rPr>
        <w:t>PRE-APPROVAL POLICIES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and tax services up to specified amounts. We also maintain a small standing authority for management to direct pre-approved fees, the uses of which are reviewed by the Audit Committee and the pre-approved amount of which is replenished as necessary at each meeting of the Audit Committee.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Audit Committee has determined that the rendering of services other than audit services by PricewaterhouseCoopers LLP is compatible with maintaining the principal accountant’s independence.</w:t>
      </w:r>
    </w:p>
    <w:p>
      <w:pPr>
        <w:pStyle w:val="TextBody"/>
        <w:bidi w:val="0"/>
        <w:spacing w:lineRule="auto" w:line="288" w:before="220" w:after="120"/>
        <w:jc w:val="both"/>
        <w:rPr>
          <w:rFonts w:ascii="Arial;sans-serif" w:hAnsi="Arial;sans-serif"/>
          <w:b w:val="false"/>
          <w:color w:val="000000"/>
          <w:sz w:val="24"/>
        </w:rPr>
      </w:pPr>
      <w:r>
        <w:rPr>
          <w:rFonts w:ascii="Arial;sans-serif" w:hAnsi="Arial;sans-serif"/>
          <w:b w:val="false"/>
          <w:color w:val="000000"/>
          <w:sz w:val="24"/>
        </w:rPr>
        <w:t>Report of the Audit Committee of the Board of Directors</w:t>
      </w:r>
    </w:p>
    <w:p>
      <w:pPr>
        <w:pStyle w:val="TextBody"/>
        <w:bidi w:val="0"/>
        <w:spacing w:lineRule="auto" w:line="288" w:before="120" w:after="120"/>
        <w:jc w:val="both"/>
        <w:rPr/>
      </w:pPr>
      <w:r>
        <w:rPr>
          <w:rFonts w:ascii="Arial;sans-serif" w:hAnsi="Arial;sans-serif"/>
          <w:b w:val="false"/>
          <w:color w:val="000000"/>
          <w:sz w:val="18"/>
        </w:rPr>
        <w:t>Our Audit Committee has reviewed and discussed the audited financial statements for the fiscal year ended December 31, 2025 with our management. The Audit Committee has discussed with the independent registered public accounting firm the matters required to be discussed by the applicable requirements of the Public Company Accounting Oversight Board (“</w:t>
      </w:r>
      <w:r>
        <w:rPr>
          <w:rFonts w:ascii="Arial;sans-serif" w:hAnsi="Arial;sans-serif"/>
          <w:b/>
          <w:color w:val="000000"/>
          <w:sz w:val="18"/>
        </w:rPr>
        <w:t>PCAOB</w:t>
      </w:r>
      <w:r>
        <w:rPr>
          <w:color w:val="000000"/>
        </w:rPr>
        <w:t>”</w:t>
      </w:r>
      <w:r>
        <w:rPr>
          <w:rFonts w:ascii="Arial;sans-serif" w:hAnsi="Arial;sans-serif"/>
          <w:b w:val="false"/>
          <w:color w:val="000000"/>
          <w:sz w:val="18"/>
        </w:rPr>
        <w:t>)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its independence. Based on the foregoing, the Audit Committee has recommended to the Board of Directors that the audited financial statements be included in our Annual Report on Form 10-K for the fiscal year ended December 31, 2025.</w:t>
      </w:r>
    </w:p>
    <w:p>
      <w:pPr>
        <w:pStyle w:val="TextBody"/>
        <w:bidi w:val="0"/>
        <w:spacing w:lineRule="auto" w:line="288" w:before="0" w:after="100"/>
        <w:jc w:val="both"/>
        <w:rPr>
          <w:rFonts w:ascii="Arial;sans-serif" w:hAnsi="Arial;sans-serif"/>
          <w:b/>
          <w:color w:val="000000"/>
          <w:sz w:val="18"/>
        </w:rPr>
      </w:pPr>
      <w:r>
        <w:rPr>
          <w:rFonts w:ascii="Arial;sans-serif" w:hAnsi="Arial;sans-serif"/>
          <w:b/>
          <w:color w:val="000000"/>
          <w:sz w:val="18"/>
        </w:rPr>
        <w:t>Jeryl L. Hilleman (Chairperson)</w:t>
      </w:r>
    </w:p>
    <w:p>
      <w:pPr>
        <w:pStyle w:val="TextBody"/>
        <w:bidi w:val="0"/>
        <w:spacing w:lineRule="auto" w:line="288" w:before="0" w:after="100"/>
        <w:jc w:val="both"/>
        <w:rPr>
          <w:rFonts w:ascii="Arial;sans-serif" w:hAnsi="Arial;sans-serif"/>
          <w:b/>
          <w:color w:val="000000"/>
          <w:sz w:val="18"/>
        </w:rPr>
      </w:pPr>
      <w:r>
        <w:rPr>
          <w:rFonts w:ascii="Arial;sans-serif" w:hAnsi="Arial;sans-serif"/>
          <w:b/>
          <w:color w:val="000000"/>
          <w:sz w:val="18"/>
        </w:rPr>
        <w:t>Timothy E. Davis, Jr.</w:t>
      </w:r>
    </w:p>
    <w:p>
      <w:pPr>
        <w:pStyle w:val="TextBody"/>
        <w:bidi w:val="0"/>
        <w:spacing w:lineRule="auto" w:line="288" w:before="0" w:after="100"/>
        <w:jc w:val="both"/>
        <w:rPr>
          <w:rFonts w:ascii="Arial;sans-serif" w:hAnsi="Arial;sans-serif"/>
          <w:b/>
          <w:color w:val="000000"/>
          <w:sz w:val="18"/>
        </w:rPr>
      </w:pPr>
      <w:r>
        <w:rPr>
          <w:rFonts w:ascii="Arial;sans-serif" w:hAnsi="Arial;sans-serif"/>
          <w:b/>
          <w:color w:val="000000"/>
          <w:sz w:val="18"/>
        </w:rPr>
        <w:t>Thomas A. West</w:t>
      </w:r>
    </w:p>
    <w:p>
      <w:pPr>
        <w:pStyle w:val="TextBody"/>
        <w:bidi w:val="0"/>
        <w:spacing w:lineRule="auto" w:line="362" w:before="0" w:after="180"/>
        <w:jc w:val="left"/>
        <w:rPr>
          <w:rFonts w:ascii="Arial;sans-serif" w:hAnsi="Arial;sans-serif"/>
          <w:b w:val="false"/>
          <w:i/>
          <w:color w:val="000000"/>
          <w:sz w:val="18"/>
        </w:rPr>
      </w:pPr>
      <w:r>
        <w:rPr>
          <w:rFonts w:ascii="Arial;sans-serif" w:hAnsi="Arial;sans-serif"/>
          <w:b w:val="false"/>
          <w:i/>
          <w:color w:val="000000"/>
          <w:sz w:val="18"/>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0885"/>
                <wp:effectExtent l="0" t="0" r="0" b="0"/>
                <wp:wrapNone/>
                <wp:docPr id="43" name="Frame2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Proposal No. 3</w:t>
        <w:br/>
        <w:t>Advisory, Non-Binding Vote on 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Under the Dodd-Frank Wall Street Reform and Consumer Protection Act, or the Dodd-Frank Act, and Section 14A of the Exchange Act, our stockholders are entitled to vote to approve, on an advisory basis, the compensation of our named executive officers as disclosed in this proxy statement in accordance with SEC rules.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focused on pay-for-performance principles and strongly aligned with our stockholders’ interests, consistent with current market practices. Compensation of our named executive officers is designed to enable us to attract and retain talented and experienced executives to lead our company successfully in a competitive environment. Please see the Compensation Discussion &amp; Analysis for a description of our compensation policies and decisions.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Accordingly, the Board is asking our stockholders to indicate their support for the compensation of our named executive officers as described in this proxy statement by casting a non-binding advisory vote “FOR” the following resolution:</w:t>
      </w:r>
    </w:p>
    <w:p>
      <w:pPr>
        <w:pStyle w:val="TextBody"/>
        <w:bidi w:val="0"/>
        <w:spacing w:lineRule="auto" w:line="288" w:before="120" w:after="120"/>
        <w:jc w:val="both"/>
        <w:rPr>
          <w:color w:val="000000"/>
        </w:rPr>
      </w:pPr>
      <w:r>
        <w:rPr>
          <w:color w:val="000000"/>
        </w:rPr>
        <w:t>“</w:t>
      </w:r>
      <w:r>
        <w:rPr>
          <w:rFonts w:ascii="Arial;sans-serif" w:hAnsi="Arial;sans-serif"/>
          <w:b w:val="false"/>
          <w:color w:val="000000"/>
          <w:sz w:val="18"/>
        </w:rPr>
        <w:t>RESOLVED, that the compensation paid to our named executive officers, as disclosed pursuant to Item 402 of Regulation S-K, including the compensation tables and narrative discussion, is hereby APPROVED.”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Because the vote is advisory, it is not binding on the Board of Directors or us.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Unless the Board decides to modify its policy regarding the frequency of soliciting advisory votes on the compensation of our named executives, the next scheduled say-on-pay vote will be at the 2027 Annual Meeting of Stockholders.</w:t>
      </w:r>
    </w:p>
    <w:tbl>
      <w:tblPr>
        <w:tblW w:w="6314" w:type="dxa"/>
        <w:jc w:val="left"/>
        <w:tblInd w:w="0" w:type="dxa"/>
        <w:tblLayout w:type="fixed"/>
        <w:tblCellMar>
          <w:top w:w="28" w:type="dxa"/>
          <w:left w:w="28" w:type="dxa"/>
          <w:bottom w:w="28" w:type="dxa"/>
          <w:right w:w="28" w:type="dxa"/>
        </w:tblCellMar>
      </w:tblPr>
      <w:tblGrid>
        <w:gridCol w:w="2021"/>
        <w:gridCol w:w="1774"/>
        <w:gridCol w:w="2519"/>
      </w:tblGrid>
      <w:tr>
        <w:trPr/>
        <w:tc>
          <w:tcPr>
            <w:tcW w:w="2021"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74A33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The Board of Directors recommends a vote IN FAVOR of Proposal No.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0885"/>
                <wp:effectExtent l="0" t="0" r="0" b="0"/>
                <wp:wrapNone/>
                <wp:docPr id="44" name="Frame3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Security Ownership of Certain Beneficial Owners and 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certain information regarding the ownership of our common stock as of March 31, 2026, by: (i) each director and nominee for director; (ii) each of the executive officers named in the Summary Compensation Table; (iii) all executive officers and directors as a group; and (iv) all those known by us to be beneficial owners of more than five percent of our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This table is based upon information supplied by officers, directors and principal stockholders and Schedules 13F and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44,201,473 shares outstanding on March 31, 2026, adjusted as required by rules promulgated by the SEC.</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1"/>
        <w:gridCol w:w="1050"/>
        <w:gridCol w:w="1054"/>
        <w:gridCol w:w="381"/>
        <w:gridCol w:w="385"/>
        <w:gridCol w:w="197"/>
        <w:gridCol w:w="767"/>
        <w:gridCol w:w="706"/>
        <w:gridCol w:w="710"/>
        <w:gridCol w:w="727"/>
        <w:gridCol w:w="710"/>
        <w:gridCol w:w="713"/>
        <w:gridCol w:w="331"/>
        <w:gridCol w:w="331"/>
        <w:gridCol w:w="33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Beneficial Ownership</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 of Beneficial Owner</w:t>
            </w:r>
          </w:p>
        </w:tc>
        <w:tc>
          <w:tcPr>
            <w:tcW w:w="963"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Shares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Owned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183"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Right to Acquire Shares Within 60 days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150"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Number of Shares Beneficially Owned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94"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Percent of Total</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8"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4"/>
              </w:rPr>
            </w:pPr>
            <w:r>
              <w:rPr>
                <w:rFonts w:ascii="Arial;sans-serif" w:hAnsi="Arial;sans-serif"/>
                <w:b/>
                <w:color w:val="FFFFFF"/>
                <w:sz w:val="14"/>
              </w:rPr>
              <w:t>Named Executive Officers and Directors:</w:t>
            </w:r>
          </w:p>
        </w:tc>
        <w:tc>
          <w:tcPr>
            <w:tcW w:w="96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 xml:space="preserve">Timothy E. Davis, Jr.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52,263 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63,684 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115,947</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Jeffrey W. Dunn</w:t>
            </w:r>
            <w:r>
              <w:rPr>
                <w:color w:val="74A333"/>
              </w:rPr>
              <w:t xml:space="preserve"> </w:t>
            </w:r>
            <w:r>
              <w:rPr>
                <w:rFonts w:ascii="Arial;sans-serif" w:hAnsi="Arial;sans-serif"/>
                <w:b/>
                <w:color w:val="74A333"/>
                <w:sz w:val="9"/>
              </w:rPr>
              <w:t>(1)</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80,594 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148,329 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228,923</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John G. Freund, M.D. </w:t>
            </w:r>
            <w:r>
              <w:rPr>
                <w:rFonts w:ascii="Arial;sans-serif" w:hAnsi="Arial;sans-serif"/>
                <w:b/>
                <w:color w:val="74A333"/>
                <w:sz w:val="9"/>
              </w:rPr>
              <w:t>(2)</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126,393 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37,963 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164,356</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Jeryl L. Hilleman</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24,140 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39,893 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64,033</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Gregory K. Hinckley </w:t>
            </w:r>
            <w:r>
              <w:rPr>
                <w:rFonts w:ascii="Arial;sans-serif" w:hAnsi="Arial;sans-serif"/>
                <w:b/>
                <w:color w:val="74A333"/>
                <w:sz w:val="9"/>
              </w:rPr>
              <w:t>(3)</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168,978 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18,826 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187,804</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Mika Nishimura</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24,041 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24,041</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Thomas A. West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9,157</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Laura A. Francis </w:t>
            </w:r>
            <w:r>
              <w:rPr>
                <w:rFonts w:ascii="Arial;sans-serif" w:hAnsi="Arial;sans-serif"/>
                <w:b/>
                <w:color w:val="74A333"/>
                <w:sz w:val="9"/>
              </w:rPr>
              <w:t>(4)</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481,249 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34,943 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516,192 </w:t>
            </w:r>
          </w:p>
        </w:tc>
        <w:tc>
          <w:tcPr>
            <w:tcW w:w="71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66,229 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16,316 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82,545</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159,995 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206,108 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366,103</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128,798 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38,147 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166,945</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All executive officers and directors as a group (11 persons)</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1,321,837 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604,209 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1,926,046</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74A33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4"/>
              </w:rPr>
            </w:pPr>
            <w:r>
              <w:rPr>
                <w:rFonts w:ascii="Arial;sans-serif" w:hAnsi="Arial;sans-serif"/>
                <w:b/>
                <w:color w:val="FFFFFF"/>
                <w:sz w:val="14"/>
              </w:rPr>
              <w:t>5% Stockholders:</w:t>
            </w:r>
          </w:p>
        </w:tc>
        <w:tc>
          <w:tcPr>
            <w:tcW w:w="963" w:type="dxa"/>
            <w:gridSpan w:val="3"/>
            <w:tcBorders/>
            <w:shd w:fill="74A333" w:val="clear"/>
            <w:tcMar>
              <w:top w:w="0" w:type="dxa"/>
              <w:left w:w="0" w:type="dxa"/>
              <w:bottom w:w="0" w:type="dxa"/>
              <w:right w:w="0" w:type="dxa"/>
            </w:tcMar>
            <w:vAlign w:val="center"/>
          </w:tcPr>
          <w:p>
            <w:pPr>
              <w:pStyle w:val="TableContents"/>
              <w:bidi w:val="0"/>
              <w:spacing w:before="0" w:after="0"/>
              <w:jc w:val="right"/>
              <w:rPr/>
            </w:pPr>
            <w:r>
              <w:rPr/>
            </w:r>
          </w:p>
        </w:tc>
        <w:tc>
          <w:tcPr>
            <w:tcW w:w="2183" w:type="dxa"/>
            <w:gridSpan w:val="3"/>
            <w:tcBorders/>
            <w:shd w:fill="74A333" w:val="clear"/>
            <w:tcMar>
              <w:top w:w="0" w:type="dxa"/>
              <w:left w:w="0" w:type="dxa"/>
              <w:bottom w:w="0" w:type="dxa"/>
              <w:right w:w="0" w:type="dxa"/>
            </w:tcMar>
            <w:vAlign w:val="center"/>
          </w:tcPr>
          <w:p>
            <w:pPr>
              <w:pStyle w:val="TableContents"/>
              <w:bidi w:val="0"/>
              <w:spacing w:before="0" w:after="0"/>
              <w:jc w:val="right"/>
              <w:rPr/>
            </w:pPr>
            <w:r>
              <w:rPr/>
            </w:r>
          </w:p>
        </w:tc>
        <w:tc>
          <w:tcPr>
            <w:tcW w:w="2150" w:type="dxa"/>
            <w:gridSpan w:val="3"/>
            <w:tcBorders/>
            <w:shd w:fill="74A333" w:val="clear"/>
            <w:tcMar>
              <w:top w:w="0" w:type="dxa"/>
              <w:left w:w="0" w:type="dxa"/>
              <w:bottom w:w="0" w:type="dxa"/>
              <w:right w:w="0" w:type="dxa"/>
            </w:tcMar>
            <w:vAlign w:val="center"/>
          </w:tcPr>
          <w:p>
            <w:pPr>
              <w:pStyle w:val="TableContents"/>
              <w:bidi w:val="0"/>
              <w:spacing w:before="0" w:after="0"/>
              <w:jc w:val="right"/>
              <w:rPr/>
            </w:pPr>
            <w:r>
              <w:rPr/>
            </w:r>
          </w:p>
        </w:tc>
        <w:tc>
          <w:tcPr>
            <w:tcW w:w="994" w:type="dxa"/>
            <w:gridSpan w:val="3"/>
            <w:tcBorders/>
            <w:shd w:fill="74A333" w:val="clear"/>
            <w:tcMar>
              <w:top w:w="0" w:type="dxa"/>
              <w:left w:w="0" w:type="dxa"/>
              <w:bottom w:w="0" w:type="dxa"/>
              <w:right w:w="0" w:type="dxa"/>
            </w:tcMar>
            <w:vAlign w:val="center"/>
          </w:tcPr>
          <w:p>
            <w:pPr>
              <w:pStyle w:val="TableContents"/>
              <w:bidi w:val="0"/>
              <w:spacing w:before="0" w:after="0"/>
              <w:jc w:val="right"/>
              <w:rPr/>
            </w:pPr>
            <w:r>
              <w:rPr/>
            </w:r>
          </w:p>
        </w:tc>
        <w:tc>
          <w:tcPr>
            <w:tcW w:w="378"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First Light Asset Management LLC </w:t>
            </w:r>
            <w:r>
              <w:rPr>
                <w:rFonts w:ascii="Arial;sans-serif" w:hAnsi="Arial;sans-serif"/>
                <w:b/>
                <w:color w:val="74A333"/>
                <w:sz w:val="9"/>
              </w:rPr>
              <w:t>(5)</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5,032,904 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5,032,904</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Blackrock, Inc. </w:t>
            </w:r>
            <w:r>
              <w:rPr>
                <w:rFonts w:ascii="Arial;sans-serif" w:hAnsi="Arial;sans-serif"/>
                <w:b/>
                <w:color w:val="74A333"/>
                <w:sz w:val="9"/>
              </w:rPr>
              <w:t>(6)</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3,487,473 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3,487,473</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Brown Advisory Incorporated </w:t>
            </w:r>
            <w:r>
              <w:rPr>
                <w:rFonts w:ascii="Arial;sans-serif" w:hAnsi="Arial;sans-serif"/>
                <w:b/>
                <w:color w:val="74A333"/>
                <w:sz w:val="9"/>
              </w:rPr>
              <w:t>(7)</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2,461,802 </w:t>
            </w:r>
          </w:p>
        </w:tc>
        <w:tc>
          <w:tcPr>
            <w:tcW w:w="19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2,461,802</w:t>
            </w:r>
          </w:p>
        </w:tc>
        <w:tc>
          <w:tcPr>
            <w:tcW w:w="9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w:t>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74A333"/>
                <w:sz w:val="14"/>
              </w:rPr>
              <w:t xml:space="preserve">American Century Companies </w:t>
            </w:r>
            <w:r>
              <w:rPr>
                <w:rFonts w:ascii="Arial;sans-serif" w:hAnsi="Arial;sans-serif"/>
                <w:b/>
                <w:color w:val="74A333"/>
                <w:sz w:val="9"/>
              </w:rPr>
              <w:t>(8)</w:t>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2,300,508 </w:t>
            </w:r>
          </w:p>
        </w:tc>
        <w:tc>
          <w:tcPr>
            <w:tcW w:w="197"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2,300,508</w:t>
            </w:r>
          </w:p>
        </w:tc>
        <w:tc>
          <w:tcPr>
            <w:tcW w:w="994"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p>
        </w:tc>
        <w:tc>
          <w:tcPr>
            <w:tcW w:w="378"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*Less than one percent.</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1.The outstanding shares consist of (i) 80,115 shares of common stock held by Jeffrey W. Dunn as Trustee of the Jeffrey W. Dunn Living Trust Dated May 17, 2012, and (ii) 479 shares held by Mr. Dunn.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2.The outstanding shares consist of (i) 91,767 shares of common stock held by the John Freund Family Partnership IV, L.P. (the “Family Partnership”) and (ii) 34,626 shares held by Dr. Freund. Dr. Freund disclaims beneficial ownership of the shares held by the Family Partnership, except to the extent of his pecuniary interest therein.</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3.The outstanding shares consist of (i) 93,375 shares of common stock held by Mr. Hinckley and (ii) 75,603 shares of common stock held by Gregory K. Hinckley and Mary C. Hinckley as Community Property with the Right of Survivorship.</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4.The outstanding shares consist of (i) 351,319 shares of common stock held by the David T and Laura A Francis Joint Revocable Trust and (ii) 129,930 shares held by Ms. Francis.</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5.Based on a Schedule 13F filed on February 17, 2026, reporting beneficial ownership as of December 31, 2025. First Light Asset Management LLC has sole voting power over 5,032,904. The address for First Light Asset Management LLC is 3300 Edinborough Way, Suite 201, EDINA, Minnesota 55435.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0885"/>
                <wp:effectExtent l="0" t="0" r="0" b="0"/>
                <wp:wrapNone/>
                <wp:docPr id="45" name="Frame3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6.Based on a Schedule 13F filed on February 12, 2026, reporting beneficial ownership as of December 31, 2025. Blackrock, Inc. has sole voting power over 3,404,096 of these shares and no voting power over 83,377 of these shares. The address for Blackrock, Inc. is 50 Hudson Yards, New York, New York 10001.</w:t>
      </w:r>
    </w:p>
    <w:p>
      <w:pPr>
        <w:pStyle w:val="TextBody"/>
        <w:bidi w:val="0"/>
        <w:spacing w:lineRule="auto" w:line="333" w:before="0" w:after="120"/>
        <w:ind w:left="0" w:right="0" w:hanging="360"/>
        <w:jc w:val="both"/>
        <w:rPr>
          <w:rFonts w:ascii="Arial;sans-serif" w:hAnsi="Arial;sans-serif"/>
          <w:b w:val="false"/>
          <w:color w:val="000000"/>
          <w:sz w:val="16"/>
        </w:rPr>
      </w:pPr>
      <w:r>
        <w:rPr>
          <w:rFonts w:ascii="Arial;sans-serif" w:hAnsi="Arial;sans-serif"/>
          <w:b w:val="false"/>
          <w:color w:val="000000"/>
          <w:sz w:val="16"/>
        </w:rPr>
        <w:t>7.Based on a Schedule 13F filed on February 13, 2026, reporting beneficial ownership as of December 31, 2025. Brown Advisory Incorporated has sole voting power over 2,461,802 of these shares. The address for Brown Advisory Incorporated is 901 South Bond Street, Suite 400, Baltimore, Maryland 21231.</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8.Based on a Schedule 13F filed on February 13, 2026, reporting beneficial ownership as of December 31, 2025. American Century Companies, Inc. has sole voting power over 1,983,285 of these shares and shared voting power over 317,223 of these shares. The address for American Century Companies, Inc. is 4500 Main Street, Kansas City, Missouri 64111.</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DELINQUENT SECTION 16(A) REPORTS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Section 16(a) of the Exchange Act (Section 16(a)) requires our directors and executive officers (as defined under Section 16(a)), and persons who beneficially own more than ten percent (10%) of a registered class of our equity securities, to file with the SEC initial reports of ownership and reports of changes in ownership of our common stock and other equity securities. To our knowledge, based solely on a review of such reports filed electronically with the SEC and written representations that no other reports were required, during the fiscal year ended December 31, 2025, all Section 16(a) filing requirements applicable to our reporting persons were made and made timely, with the exception of one Form 4 that was inadvertently filed late by Jeffrey W. Dunn due to an administrative oversight, reporting an option exercise, same day sale and 10b5-1 trading plan sale on December 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0885"/>
                <wp:effectExtent l="0" t="0" r="0" b="0"/>
                <wp:wrapNone/>
                <wp:docPr id="46" name="Frame3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certain information with respect to our executive officers as of April 21, 2026.</w:t>
      </w:r>
    </w:p>
    <w:tbl>
      <w:tblPr>
        <w:tblW w:w="6597" w:type="dxa"/>
        <w:jc w:val="left"/>
        <w:tblInd w:w="0" w:type="dxa"/>
        <w:tblLayout w:type="fixed"/>
        <w:tblCellMar>
          <w:top w:w="28" w:type="dxa"/>
          <w:left w:w="28" w:type="dxa"/>
          <w:bottom w:w="28" w:type="dxa"/>
          <w:right w:w="28" w:type="dxa"/>
        </w:tblCellMar>
      </w:tblPr>
      <w:tblGrid>
        <w:gridCol w:w="124"/>
        <w:gridCol w:w="109"/>
        <w:gridCol w:w="109"/>
        <w:gridCol w:w="592"/>
        <w:gridCol w:w="592"/>
        <w:gridCol w:w="601"/>
        <w:gridCol w:w="150"/>
        <w:gridCol w:w="150"/>
        <w:gridCol w:w="151"/>
        <w:gridCol w:w="1172"/>
        <w:gridCol w:w="1172"/>
        <w:gridCol w:w="1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Name</w:t>
            </w:r>
          </w:p>
        </w:tc>
        <w:tc>
          <w:tcPr>
            <w:tcW w:w="451"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18"/>
              </w:rPr>
            </w:pPr>
            <w:r>
              <w:rPr>
                <w:rFonts w:ascii="Arial;sans-serif" w:hAnsi="Arial;sans-serif"/>
                <w:b/>
                <w:color w:val="000000"/>
                <w:sz w:val="18"/>
              </w:rPr>
              <w:t>Age</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Position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 xml:space="preserve">Laura A. Francis </w:t>
            </w:r>
          </w:p>
        </w:tc>
        <w:tc>
          <w:tcPr>
            <w:tcW w:w="45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40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Chief Executive Officer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Anshul Maheshwari</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Operating Officer &amp; Chief Financial Officer</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8"/>
              </w:rPr>
            </w:pPr>
            <w:r>
              <w:rPr>
                <w:rFonts w:ascii="Arial;sans-serif" w:hAnsi="Arial;sans-serif"/>
                <w:b/>
                <w:color w:val="74A333"/>
                <w:sz w:val="18"/>
              </w:rPr>
              <w:t>Michael A. Pisetsky</w:t>
            </w:r>
          </w:p>
        </w:tc>
        <w:tc>
          <w:tcPr>
            <w:tcW w:w="451"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401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Business &amp; Legal Affairs Officer</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Ms. Francis’s biography, see “Proposal No. 1 - Election of Directors” above.</w:t>
      </w:r>
    </w:p>
    <w:p>
      <w:pPr>
        <w:pStyle w:val="TextBody"/>
        <w:bidi w:val="0"/>
        <w:spacing w:lineRule="auto" w:line="288" w:before="120" w:after="120"/>
        <w:jc w:val="both"/>
        <w:rPr/>
      </w:pPr>
      <w:r>
        <w:rPr>
          <w:rFonts w:ascii="Arial;sans-serif" w:hAnsi="Arial;sans-serif"/>
          <w:b/>
          <w:color w:val="000000"/>
          <w:sz w:val="18"/>
        </w:rPr>
        <w:t xml:space="preserve">Anshul Maheshwari </w:t>
      </w:r>
      <w:r>
        <w:rPr>
          <w:rFonts w:ascii="Arial;sans-serif" w:hAnsi="Arial;sans-serif"/>
          <w:b w:val="false"/>
          <w:color w:val="000000"/>
          <w:sz w:val="18"/>
        </w:rPr>
        <w:t>has served as our Chief Financial Officer since April 2021, and additionally as our Chief Operating Officer since February 2026. In this role, Mr. Maheshwari oversees our Finance, Operations. Information Technology and Program Management organizations. Prior to joining us, Mr. Maheshwari was Vice President of Finance, Head 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November 2004 to March 2013, Mr. Maheshwari held various roles in Corporate and Investment Banking at Bank of America Merrill Lynch. Mr. Maheshwari received his BCom from H.R. College of Commerce and his M.B.A. from Boston College, Carroll Graduate School of Management.</w:t>
      </w:r>
    </w:p>
    <w:p>
      <w:pPr>
        <w:pStyle w:val="TextBody"/>
        <w:bidi w:val="0"/>
        <w:spacing w:lineRule="auto" w:line="288" w:before="0" w:after="120"/>
        <w:jc w:val="both"/>
        <w:rPr/>
      </w:pPr>
      <w:r>
        <w:rPr>
          <w:rFonts w:ascii="Arial;sans-serif" w:hAnsi="Arial;sans-serif"/>
          <w:b/>
          <w:color w:val="000000"/>
          <w:sz w:val="18"/>
        </w:rPr>
        <w:t>Michael A. Pisetsky</w:t>
      </w:r>
      <w:r>
        <w:rPr>
          <w:color w:val="000000"/>
        </w:rPr>
        <w:t xml:space="preserve"> </w:t>
      </w:r>
      <w:r>
        <w:rPr>
          <w:rFonts w:ascii="Arial;sans-serif" w:hAnsi="Arial;sans-serif"/>
          <w:b w:val="false"/>
          <w:color w:val="000000"/>
          <w:sz w:val="18"/>
        </w:rPr>
        <w:t>has served as our Chief Business &amp; Legal Affairs Officer since April 2023. In this role, Mr. Pisetsky oversees our Legal, Compliance, Business Development, Market Access &amp; Reimbursement and People &amp; Culture organizations, and is a member of the Company’s Senior Leadership Team. He also serves as the chief advisor on all legal, transactional, and administrative matters to the management team and board of directors. Prior to this role, Mr. Pisetsky held increasingly senior management roles with the company, including most recently serving as the Company’s General Counsel and Chief Compliance Officer since March 2015. Prior to joining us, Mr. Pisetsky was an attorney in the Business Department at Cooley LLP in Palo Alto and practiced law independently for several years as well. Mr. Pisetsky received his B.A. from Harvard College and his J.D. and M.B.A. from Duke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0885"/>
                <wp:effectExtent l="0" t="0" r="0" b="0"/>
                <wp:wrapNone/>
                <wp:docPr id="47" name="Frame3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COMPENSATION DISCUSSION &amp; ANALYSIS</w:t>
      </w:r>
    </w:p>
    <w:p>
      <w:pPr>
        <w:pStyle w:val="TextBody"/>
        <w:bidi w:val="0"/>
        <w:spacing w:lineRule="auto" w:line="288" w:before="120" w:after="120"/>
        <w:jc w:val="both"/>
        <w:rPr/>
      </w:pPr>
      <w:r>
        <w:rPr>
          <w:rFonts w:ascii="Arial;sans-serif" w:hAnsi="Arial;sans-serif"/>
          <w:b w:val="false"/>
          <w:color w:val="000000"/>
          <w:sz w:val="18"/>
        </w:rPr>
        <w:t xml:space="preserve">This material is intended to assist our stockholders in understanding our executive compensation program by providing an overview of our executive compensation-related policies, practices, and decisions for fiscal 2025. It also explains how we determined the material elements of compensation for our principal executive officer and our other two executive officers as of the end of fiscal 2025, and who we refer to as our </w:t>
      </w:r>
      <w:r>
        <w:rPr>
          <w:color w:val="000000"/>
        </w:rPr>
        <w:t>“</w:t>
      </w:r>
      <w:r>
        <w:rPr>
          <w:rFonts w:ascii="Arial;sans-serif" w:hAnsi="Arial;sans-serif"/>
          <w:b/>
          <w:color w:val="000000"/>
          <w:sz w:val="18"/>
        </w:rPr>
        <w:t>Named Executive Officers</w:t>
      </w:r>
      <w:r>
        <w:rPr>
          <w:rFonts w:ascii="Arial;sans-serif" w:hAnsi="Arial;sans-serif"/>
          <w:b w:val="false"/>
          <w:color w:val="000000"/>
          <w:sz w:val="18"/>
        </w:rPr>
        <w:t xml:space="preserve">.” For 2025, our Named Executive Officers were: </w:t>
      </w:r>
    </w:p>
    <w:p>
      <w:pPr>
        <w:pStyle w:val="TextBody"/>
        <w:bidi w:val="0"/>
        <w:spacing w:lineRule="auto" w:line="288" w:before="0" w:after="120"/>
        <w:ind w:left="0" w:right="0" w:hanging="360"/>
        <w:jc w:val="left"/>
        <w:rPr/>
      </w:pPr>
      <w:r>
        <w:rPr>
          <w:color w:val="74A333"/>
        </w:rPr>
        <w:t>•</w:t>
      </w:r>
      <w:r>
        <w:rPr>
          <w:rFonts w:ascii="Arial;sans-serif" w:hAnsi="Arial;sans-serif"/>
          <w:b/>
          <w:color w:val="74A333"/>
          <w:sz w:val="18"/>
        </w:rPr>
        <w:t>Laura A. Francis,</w:t>
      </w:r>
      <w:r>
        <w:rPr>
          <w:color w:val="000000"/>
        </w:rPr>
        <w:t xml:space="preserve"> </w:t>
      </w:r>
      <w:r>
        <w:rPr>
          <w:rFonts w:ascii="Arial;sans-serif" w:hAnsi="Arial;sans-serif"/>
          <w:b w:val="false"/>
          <w:color w:val="000000"/>
          <w:sz w:val="18"/>
        </w:rPr>
        <w:t>our Chief Executive Officer (our “</w:t>
      </w:r>
      <w:r>
        <w:rPr>
          <w:rFonts w:ascii="Arial;sans-serif" w:hAnsi="Arial;sans-serif"/>
          <w:b/>
          <w:color w:val="000000"/>
          <w:sz w:val="18"/>
        </w:rPr>
        <w:t>CEO</w:t>
      </w:r>
      <w:r>
        <w:rPr>
          <w:color w:val="000000"/>
        </w:rPr>
        <w:t>”</w:t>
      </w:r>
      <w:r>
        <w:rPr>
          <w:rFonts w:ascii="Arial;sans-serif" w:hAnsi="Arial;sans-serif"/>
          <w:b w:val="false"/>
          <w:color w:val="000000"/>
          <w:sz w:val="18"/>
        </w:rPr>
        <w:t xml:space="preserve">); </w:t>
      </w:r>
    </w:p>
    <w:p>
      <w:pPr>
        <w:pStyle w:val="TextBody"/>
        <w:bidi w:val="0"/>
        <w:spacing w:lineRule="auto" w:line="288" w:before="0" w:after="120"/>
        <w:ind w:left="0" w:right="0" w:hanging="360"/>
        <w:jc w:val="left"/>
        <w:rPr/>
      </w:pPr>
      <w:r>
        <w:rPr>
          <w:color w:val="74A333"/>
        </w:rPr>
        <w:t>•</w:t>
      </w:r>
      <w:r>
        <w:rPr>
          <w:rFonts w:ascii="Arial;sans-serif" w:hAnsi="Arial;sans-serif"/>
          <w:b/>
          <w:color w:val="74A333"/>
          <w:sz w:val="18"/>
        </w:rPr>
        <w:t>Anshul Maheshwari,</w:t>
      </w:r>
      <w:r>
        <w:rPr>
          <w:color w:val="000000"/>
        </w:rPr>
        <w:t xml:space="preserve"> </w:t>
      </w:r>
      <w:r>
        <w:rPr>
          <w:rFonts w:ascii="Arial;sans-serif" w:hAnsi="Arial;sans-serif"/>
          <w:b w:val="false"/>
          <w:color w:val="000000"/>
          <w:sz w:val="18"/>
        </w:rPr>
        <w:t xml:space="preserve">our Chief Operating Officer &amp; Chief Financial Officer; </w:t>
      </w:r>
    </w:p>
    <w:p>
      <w:pPr>
        <w:pStyle w:val="TextBody"/>
        <w:bidi w:val="0"/>
        <w:spacing w:lineRule="auto" w:line="288" w:before="0" w:after="120"/>
        <w:ind w:left="0" w:right="0" w:hanging="360"/>
        <w:jc w:val="left"/>
        <w:rPr/>
      </w:pPr>
      <w:r>
        <w:rPr>
          <w:color w:val="74A333"/>
        </w:rPr>
        <w:t>•</w:t>
      </w:r>
      <w:r>
        <w:rPr>
          <w:rFonts w:ascii="Arial;sans-serif" w:hAnsi="Arial;sans-serif"/>
          <w:b/>
          <w:color w:val="74A333"/>
          <w:sz w:val="18"/>
        </w:rPr>
        <w:t xml:space="preserve">Michael A. Pisetsky, </w:t>
      </w:r>
      <w:r>
        <w:rPr>
          <w:rFonts w:ascii="Arial;sans-serif" w:hAnsi="Arial;sans-serif"/>
          <w:b w:val="false"/>
          <w:color w:val="000000"/>
          <w:sz w:val="18"/>
        </w:rPr>
        <w:t>our Chief Business &amp; Legal Affairs Officer; and</w:t>
      </w:r>
    </w:p>
    <w:p>
      <w:pPr>
        <w:pStyle w:val="TextBody"/>
        <w:bidi w:val="0"/>
        <w:spacing w:lineRule="auto" w:line="288" w:before="0" w:after="120"/>
        <w:ind w:left="0" w:right="0" w:hanging="360"/>
        <w:jc w:val="left"/>
        <w:rPr/>
      </w:pPr>
      <w:r>
        <w:rPr>
          <w:color w:val="74A333"/>
        </w:rPr>
        <w:t>•</w:t>
      </w:r>
      <w:r>
        <w:rPr>
          <w:rFonts w:ascii="Arial;sans-serif" w:hAnsi="Arial;sans-serif"/>
          <w:b/>
          <w:color w:val="74A333"/>
          <w:sz w:val="18"/>
        </w:rPr>
        <w:t>Anthony J. Recupero,</w:t>
      </w:r>
      <w:r>
        <w:rPr>
          <w:color w:val="000000"/>
        </w:rPr>
        <w:t xml:space="preserve"> </w:t>
      </w:r>
      <w:r>
        <w:rPr>
          <w:rFonts w:ascii="Arial;sans-serif" w:hAnsi="Arial;sans-serif"/>
          <w:b w:val="false"/>
          <w:color w:val="000000"/>
          <w:sz w:val="18"/>
        </w:rPr>
        <w:t>our former President, Commercial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Effective February 15, 2026, Mr. Recupero retired and was succeeded by Nikolas Kerr as Chief Commercial Officer.</w:t>
      </w:r>
    </w:p>
    <w:p>
      <w:pPr>
        <w:pStyle w:val="TextBody"/>
        <w:bidi w:val="0"/>
        <w:spacing w:lineRule="auto" w:line="288" w:before="120" w:after="120"/>
        <w:jc w:val="both"/>
        <w:rPr/>
      </w:pPr>
      <w:r>
        <w:rPr>
          <w:rFonts w:ascii="Arial;sans-serif" w:hAnsi="Arial;sans-serif"/>
          <w:b w:val="false"/>
          <w:color w:val="000000"/>
          <w:sz w:val="18"/>
        </w:rPr>
        <w:t>We provide an overview of our executive compensation philosophy, the overall objectives of our executive compensation program, and each compensation element that we provide to our Named Executive Officers. In addition, we explain how and why the Compensation Committee of our Board of Directors (the “</w:t>
      </w:r>
      <w:r>
        <w:rPr>
          <w:rFonts w:ascii="Arial;sans-serif" w:hAnsi="Arial;sans-serif"/>
          <w:b/>
          <w:color w:val="000000"/>
          <w:sz w:val="18"/>
        </w:rPr>
        <w:t>Compensation Committee</w:t>
      </w:r>
      <w:r>
        <w:rPr>
          <w:color w:val="000000"/>
        </w:rPr>
        <w:t>”</w:t>
      </w:r>
      <w:r>
        <w:rPr>
          <w:rFonts w:ascii="Arial;sans-serif" w:hAnsi="Arial;sans-serif"/>
          <w:b w:val="false"/>
          <w:color w:val="000000"/>
          <w:sz w:val="18"/>
        </w:rPr>
        <w:t xml:space="preserve">) and, in the case of our Chief Executive Officer, our Board of Directors after receiving the recommendation of our Compensation Committee, arrived at the specific compensation decisions for our Named Executive Officers in 2025. </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OVERVIEW</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are a leader in developing innovative procedural solutions for compromised bone, grounded in expertise in biomechanical design and anatomy-specific innovation. As pioneers of minimally invasive treatment for sacroiliac joint dysfunction and degeneration, we have developed a deep competency in addressing the challenges of low-density bone in the sacrum. With our additive manufacturing, or 3D-printing, experience developed in sacroiliac fusion, we have established a technology platform that now extends to meet critical unmet needs in thoracolumbar fixation and fusion and pelvic trauma. Our products include a series of patented titanium implants, and the instruments used to implant them, as well as implantable bone products. Since launching our first generation iFuse in 2009, we have launched multiple implant product lines, including iFuse-3D in 2017, iFuse TORQ in 2021, iFuse Bedrock Granite in 2022, and iFuse INTRA and iFuse TORQ TNT in 2024. In the United States, iFuse, iFuse-3D, iFuse TORQ and iFuse Bedrock Granite have clearances for applications in sacroiliac joint dysfunction, adult spinal deformity and pelvic trauma. iFuse TORQ TNT has clearances for applications in pelvic trauma and sacroiliac joint dysfunction. We market our products primarily with a direct sales force as well as a number of third-party sales agents in the United States, and with a combination of a direct sales force, and sales agents and resellers in other countries. </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2025 Business Highlights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2025 was a strong year for us in many critical areas of performance, including continued revenue growth, record growth in our active surgeon base and improving operating leverage.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Achieved worldwide revenue of $200.9 million, representing an annual increase of ~20%;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Over 2,400 U.S. physicians performed nearly 22,000 procedures;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Surpassed 140,000 procedures performed by physicians worldwide since inception;</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Net loss of $18.9 million, representing an annual improvement of ~39%;</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Delivered positive Adjusted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of $8.9 million, as compared to a loss of $5.1 million in 2024;</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Exited the year with a solid balance sheet with $147.8 million in cash and equivalents;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Launched iFuse TORQ across Europe; and</w:t>
      </w:r>
    </w:p>
    <w:p>
      <w:pPr>
        <w:pStyle w:val="TextBody"/>
        <w:bidi w:val="0"/>
        <w:spacing w:lineRule="auto" w:line="288" w:before="0" w:after="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To supplement our consolidated financial statements, which are prepared and presented in accordance with GAAP, we provide investors with certain non-GAAP financial measures, including Adjusted EBITDA. Adjusted EBITDA excludes from net loss the effects of interest income, interest expense, depreciation and amortization and stock-based compensation. For a full reconciliation of Adjusted EBITDA to net loss, the most directly comparable financial measure calculated in accordance with GAAP, see Appendix A to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0885"/>
                <wp:effectExtent l="0" t="0" r="0" b="0"/>
                <wp:wrapNone/>
                <wp:docPr id="48" name="Frame3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Granted New Technology Add-On Payment effective October 1, 2025, providing incremental reimbursement to hospitals for eligible inpatient procedures using iFuse TORQ TNT. </w:t>
      </w:r>
    </w:p>
    <w:p>
      <w:pPr>
        <w:pStyle w:val="TextBody"/>
        <w:bidi w:val="0"/>
        <w:spacing w:lineRule="auto" w:line="288" w:before="0" w:after="240"/>
        <w:jc w:val="center"/>
        <w:rPr/>
      </w:pPr>
      <w:r>
        <w:rPr/>
        <w:drawing>
          <wp:inline distT="0" distB="0" distL="0" distR="0">
            <wp:extent cx="2971800" cy="1828800"/>
            <wp:effectExtent l="0" t="0" r="0" b="0"/>
            <wp:docPr id="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5" descr=""/>
                    <pic:cNvPicPr>
                      <a:picLocks noChangeAspect="1" noChangeArrowheads="1"/>
                    </pic:cNvPicPr>
                  </pic:nvPicPr>
                  <pic:blipFill>
                    <a:blip r:embed="rId16"/>
                    <a:stretch>
                      <a:fillRect/>
                    </a:stretch>
                  </pic:blipFill>
                  <pic:spPr bwMode="auto">
                    <a:xfrm>
                      <a:off x="0" y="0"/>
                      <a:ext cx="2971800" cy="1828800"/>
                    </a:xfrm>
                    <a:prstGeom prst="rect">
                      <a:avLst/>
                    </a:prstGeom>
                  </pic:spPr>
                </pic:pic>
              </a:graphicData>
            </a:graphic>
          </wp:inline>
        </w:drawing>
      </w:r>
      <w:bookmarkStart w:id="14" w:name="i-15"/>
      <w:bookmarkEnd w:id="14"/>
      <w:r>
        <w:rPr>
          <w:color w:val="FF0090"/>
        </w:rPr>
        <w:t xml:space="preserve"> </w:t>
      </w:r>
      <w:r>
        <w:rPr/>
        <w:drawing>
          <wp:inline distT="0" distB="0" distL="0" distR="0">
            <wp:extent cx="2971800" cy="1828800"/>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17"/>
                    <a:stretch>
                      <a:fillRect/>
                    </a:stretch>
                  </pic:blipFill>
                  <pic:spPr bwMode="auto">
                    <a:xfrm>
                      <a:off x="0" y="0"/>
                      <a:ext cx="2971800" cy="1828800"/>
                    </a:xfrm>
                    <a:prstGeom prst="rect">
                      <a:avLst/>
                    </a:prstGeom>
                  </pic:spPr>
                </pic:pic>
              </a:graphicData>
            </a:graphic>
          </wp:inline>
        </w:drawing>
      </w:r>
      <w:bookmarkStart w:id="15" w:name="i-16"/>
      <w:bookmarkEnd w:id="15"/>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2025 Executive Compensation Highlights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approach to executive compensation in 2025 reflected our measured approach to attracting, retaining, and incentivizing key members of our management team, and aligning their interests with our stockholders. Our overall compensation program consists of three components: base salary, annual cash incentive bonus, and long-term equity incentive compensation. Following are highlights of key compensation actions that were taken with respect to our Named Executive Officers for 2025:</w:t>
      </w:r>
    </w:p>
    <w:p>
      <w:pPr>
        <w:pStyle w:val="TextBody"/>
        <w:bidi w:val="0"/>
        <w:spacing w:lineRule="auto" w:line="360" w:before="0" w:after="60"/>
        <w:ind w:left="0" w:right="0" w:hanging="360"/>
        <w:jc w:val="both"/>
        <w:rPr/>
      </w:pPr>
      <w:r>
        <w:rPr>
          <w:color w:val="000000"/>
        </w:rPr>
        <w:t>•</w:t>
      </w:r>
      <w:r>
        <w:rPr>
          <w:rFonts w:ascii="Arial;sans-serif" w:hAnsi="Arial;sans-serif"/>
          <w:b/>
          <w:color w:val="000000"/>
          <w:sz w:val="18"/>
        </w:rPr>
        <w:t>Base Salaries.</w:t>
      </w:r>
      <w:r>
        <w:rPr>
          <w:color w:val="000000"/>
        </w:rPr>
        <w:t xml:space="preserve"> </w:t>
      </w:r>
      <w:r>
        <w:rPr>
          <w:rFonts w:ascii="Arial;sans-serif" w:hAnsi="Arial;sans-serif"/>
          <w:b w:val="false"/>
          <w:color w:val="000000"/>
          <w:sz w:val="18"/>
        </w:rPr>
        <w:t>At the beginning of 2025, after considering our compensation philosophy and the competitive market environment, we provided: Ms. Francis with a 5% increase in base salary, Mr. Maheshwari with a 4% increase in base salary, Mr. Recupero with 3% increase in base salary, and Mr. Pisetsky with 4% increase in base salary, as further described in “Base Salary” below.</w:t>
      </w:r>
    </w:p>
    <w:p>
      <w:pPr>
        <w:pStyle w:val="TextBody"/>
        <w:bidi w:val="0"/>
        <w:spacing w:lineRule="auto" w:line="360" w:before="0" w:after="60"/>
        <w:ind w:left="0" w:right="0" w:hanging="360"/>
        <w:jc w:val="both"/>
        <w:rPr/>
      </w:pPr>
      <w:r>
        <w:rPr>
          <w:color w:val="000000"/>
        </w:rPr>
        <w:t>•</w:t>
      </w:r>
      <w:r>
        <w:rPr>
          <w:rFonts w:ascii="Arial;sans-serif" w:hAnsi="Arial;sans-serif"/>
          <w:b/>
          <w:color w:val="000000"/>
          <w:sz w:val="18"/>
        </w:rPr>
        <w:t>Annual Cash Bonuses.</w:t>
      </w:r>
      <w:r>
        <w:rPr>
          <w:color w:val="000000"/>
        </w:rPr>
        <w:t xml:space="preserve"> </w:t>
      </w:r>
      <w:r>
        <w:rPr>
          <w:rFonts w:ascii="Arial;sans-serif" w:hAnsi="Arial;sans-serif"/>
          <w:b w:val="false"/>
          <w:color w:val="000000"/>
          <w:sz w:val="18"/>
        </w:rPr>
        <w:t>Our annual cash bonus program in 2025 was based on the achievement of financial goals – Revenue Growth and Adjusted EBITDA – and operational metrics. For 2025, our Compensation Committee made the determination to increase the annual cash incentive targets as a percentage of base salary for Ms. Francis from 90% to 100%, for Mr. Maheshwari from 55% to 60%, and for Mr. Pisetsky from 45% to 50%. No changes were made for Mr. Recupero. Based on achievement against our 2025 targets, the actual cash incentive compensation payments made to our Named Executive Officers for 2025 represented 106.5% of their target cash bonus opportunities. Details of this program appear in “Annual Cash Bonuses” below.</w:t>
      </w:r>
    </w:p>
    <w:p>
      <w:pPr>
        <w:pStyle w:val="TextBody"/>
        <w:bidi w:val="0"/>
        <w:spacing w:lineRule="auto" w:line="360" w:before="0" w:after="60"/>
        <w:ind w:left="0" w:right="0" w:hanging="360"/>
        <w:jc w:val="both"/>
        <w:rPr/>
      </w:pPr>
      <w:r>
        <w:rPr>
          <w:color w:val="000000"/>
        </w:rPr>
        <w:t>•</w:t>
      </w:r>
      <w:r>
        <w:rPr>
          <w:rFonts w:ascii="Arial;sans-serif" w:hAnsi="Arial;sans-serif"/>
          <w:b/>
          <w:color w:val="000000"/>
          <w:sz w:val="18"/>
        </w:rPr>
        <w:t>Long-Term Equity Incentive Compensation.</w:t>
      </w:r>
      <w:r>
        <w:rPr>
          <w:color w:val="000000"/>
        </w:rPr>
        <w:t xml:space="preserve"> </w:t>
      </w:r>
      <w:r>
        <w:rPr>
          <w:rFonts w:ascii="Arial;sans-serif" w:hAnsi="Arial;sans-serif"/>
          <w:b w:val="false"/>
          <w:color w:val="000000"/>
          <w:sz w:val="18"/>
        </w:rPr>
        <w:t>For 2025, we granted a combination of restricted stock units (“</w:t>
      </w:r>
      <w:r>
        <w:rPr>
          <w:rFonts w:ascii="Arial;sans-serif" w:hAnsi="Arial;sans-serif"/>
          <w:b/>
          <w:color w:val="000000"/>
          <w:sz w:val="18"/>
        </w:rPr>
        <w:t>RSUs</w:t>
      </w:r>
      <w:r>
        <w:rPr>
          <w:color w:val="000000"/>
        </w:rPr>
        <w:t>”</w:t>
      </w:r>
      <w:r>
        <w:rPr>
          <w:rFonts w:ascii="Arial;sans-serif" w:hAnsi="Arial;sans-serif"/>
          <w:b w:val="false"/>
          <w:color w:val="000000"/>
          <w:sz w:val="18"/>
        </w:rPr>
        <w:t>) and performance-based restricted stock units (“</w:t>
      </w:r>
      <w:r>
        <w:rPr>
          <w:rFonts w:ascii="Arial;sans-serif" w:hAnsi="Arial;sans-serif"/>
          <w:b/>
          <w:color w:val="000000"/>
          <w:sz w:val="18"/>
        </w:rPr>
        <w:t>PSUs</w:t>
      </w:r>
      <w:r>
        <w:rPr>
          <w:color w:val="000000"/>
        </w:rPr>
        <w:t>”</w:t>
      </w:r>
      <w:r>
        <w:rPr>
          <w:rFonts w:ascii="Arial;sans-serif" w:hAnsi="Arial;sans-serif"/>
          <w:b w:val="false"/>
          <w:color w:val="000000"/>
          <w:sz w:val="18"/>
        </w:rPr>
        <w:t>) to our Named Executive Officers. Ms. Francis’ 2025 equity grants were issued 50% as RSUs and 50% as PSUs; Messrs. Maheshwari, Recupero, and Pisetsky’s 2025 equity grants were issued 75% as RSUs and 25% as PSUs. RSU grants serve to align the interests of management and our stockholders and act as an important retention mechanism, and PSUs, which are based on a combination of financial performance metrics and SI-BONE’s total shareholder return relative to a group of industry peers, reinforce both operational execution and stockholder value creation. These programs are detailed in “Long-Term Incentive Compensation” below.</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SAY-ON-PAY VOTE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At our Annual Meeting of stockholders in June 2025, our stockholders had the opportunity to cast an annual advisory vote on the compensation of our Named Executive Officers (commonly known as a “say-on-pay” vote). Approximately 98.3% of the votes cast on the proposal approved, on an advisory basis, the compensation of our Named Executive Officers as disclosed in last year’s proxy statement. Although the vote is non-binding, our Compensation Committee considers the results of the say-on-pay vote when making compensation decisions, allowing our stockholders to provide input on our compensation philosophy, policies and practices. The Compensation Committee believes that our voting results reflect our efforts to properly align pay with performance while also aligning management and stockholder interests. We value the opinions of our stockholders, and our Compensation Committee and Board of Directors will continue to consider the outcome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0885"/>
                <wp:effectExtent l="0" t="0" r="0" b="0"/>
                <wp:wrapNone/>
                <wp:docPr id="51" name="Frame3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advisory votes, including the say-on-pay vote which will take place at the Annual Meeting, when making compensation decisions for the Named Executive Officers.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Stockholder Engagement on Executive Compensation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2025, we reached out to holders of 73% of our outstanding common stock across 22 firms, seeking to engage with them on executive compensation and other governance topics.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found these discussions to be extremely useful and received valuable feedback on our executive compensation program. In response to this feedback, we took the following actions: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We increased the weight of Adjusted EBITDA goals in our compensation program by introducing financial metric-based PSUs for the CEO.</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We are continuing to exercise discipline around our equity burn rate.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intend to continue to initiate dialogue with our stockholders on executive compensation and other governance topics. In addition, we welcome stockholder communication with the Board of Directors through the channels set forth in this proxy statement.</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Pay-for-Performance Alignment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believe our executive compensation program is reasonable and competitive, and appropriately balances the goals of attracting, motivating, and retaining a talented leadership team and appropriately rewarding them for their contributions to the business. Our 2025 executive compensation program was heavily weighted towards “at-risk” compensation:</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Cash incentive opportunities under the annual bonus plan would have value only to the extent that we achieved certain predetermined financial and operational performance goals;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The value of the PSUs depends on our total shareholder return relative to that of a group of industry peers over one, two, and three-year performance periods and our financial performance metrics, including revenue and adjusted EBITDA.</w:t>
      </w:r>
    </w:p>
    <w:p>
      <w:pPr>
        <w:pStyle w:val="TextBody"/>
        <w:bidi w:val="0"/>
        <w:spacing w:lineRule="auto" w:line="360" w:before="0" w:after="240"/>
        <w:ind w:left="0" w:right="0" w:hanging="360"/>
        <w:jc w:val="both"/>
        <w:rPr/>
      </w:pPr>
      <w:r>
        <w:rPr>
          <w:color w:val="000000"/>
        </w:rPr>
        <w:t>•</w:t>
      </w:r>
      <w:r>
        <w:rPr>
          <w:rFonts w:ascii="Arial;sans-serif" w:hAnsi="Arial;sans-serif"/>
          <w:b w:val="false"/>
          <w:color w:val="000000"/>
          <w:sz w:val="18"/>
        </w:rPr>
        <w:t xml:space="preserve">The value of both RSUs and PSUs depends on our operational execution and success in building and sustaining long-term shareholder value.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charts illustrate the target pay mix for our Chief Executive Officer and our other Named Executive Officers in 2025:</w:t>
      </w:r>
    </w:p>
    <w:p>
      <w:pPr>
        <w:pStyle w:val="TextBody"/>
        <w:bidi w:val="0"/>
        <w:spacing w:lineRule="auto" w:line="288" w:before="0" w:after="240"/>
        <w:jc w:val="center"/>
        <w:rPr/>
      </w:pPr>
      <w:r>
        <w:rPr/>
        <w:drawing>
          <wp:inline distT="0" distB="0" distL="0" distR="0">
            <wp:extent cx="3105150" cy="19907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18"/>
                    <a:stretch>
                      <a:fillRect/>
                    </a:stretch>
                  </pic:blipFill>
                  <pic:spPr bwMode="auto">
                    <a:xfrm>
                      <a:off x="0" y="0"/>
                      <a:ext cx="3105150" cy="1990725"/>
                    </a:xfrm>
                    <a:prstGeom prst="rect">
                      <a:avLst/>
                    </a:prstGeom>
                  </pic:spPr>
                </pic:pic>
              </a:graphicData>
            </a:graphic>
          </wp:inline>
        </w:drawing>
      </w:r>
      <w:bookmarkStart w:id="16" w:name="i-17"/>
      <w:bookmarkEnd w:id="16"/>
      <w:r>
        <w:rPr>
          <w:color w:val="FF0090"/>
        </w:rPr>
        <w:t xml:space="preserve"> </w:t>
      </w:r>
      <w:r>
        <w:rPr/>
        <w:drawing>
          <wp:inline distT="0" distB="0" distL="0" distR="0">
            <wp:extent cx="3105150" cy="19621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19"/>
                    <a:stretch>
                      <a:fillRect/>
                    </a:stretch>
                  </pic:blipFill>
                  <pic:spPr bwMode="auto">
                    <a:xfrm>
                      <a:off x="0" y="0"/>
                      <a:ext cx="3105150" cy="1962150"/>
                    </a:xfrm>
                    <a:prstGeom prst="rect">
                      <a:avLst/>
                    </a:prstGeom>
                  </pic:spPr>
                </pic:pic>
              </a:graphicData>
            </a:graphic>
          </wp:inline>
        </w:drawing>
      </w:r>
      <w:bookmarkStart w:id="17" w:name="i-18"/>
      <w:bookmarkEnd w:id="17"/>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percentages in the charts above represent the target compensation for our CEO and the average target compensation for our other Named Executive Officers for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0885"/>
                <wp:effectExtent l="0" t="0" r="0" b="0"/>
                <wp:wrapNone/>
                <wp:docPr id="54" name="Frame3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Governance Policies and Practices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endeavor to maintain sound executive compensation policies and practices, including compensation-related corporate governance standards, consistent with our executive compensation philosophy. During 2025,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tbl>
      <w:tblPr>
        <w:tblW w:w="10205" w:type="dxa"/>
        <w:jc w:val="left"/>
        <w:tblInd w:w="0" w:type="dxa"/>
        <w:tblLayout w:type="fixed"/>
        <w:tblCellMar>
          <w:top w:w="28" w:type="dxa"/>
          <w:left w:w="28" w:type="dxa"/>
          <w:bottom w:w="28" w:type="dxa"/>
          <w:right w:w="28" w:type="dxa"/>
        </w:tblCellMar>
      </w:tblPr>
      <w:tblGrid>
        <w:gridCol w:w="158"/>
        <w:gridCol w:w="139"/>
        <w:gridCol w:w="139"/>
        <w:gridCol w:w="1666"/>
        <w:gridCol w:w="1638"/>
        <w:gridCol w:w="1642"/>
        <w:gridCol w:w="109"/>
        <w:gridCol w:w="109"/>
        <w:gridCol w:w="109"/>
        <w:gridCol w:w="109"/>
        <w:gridCol w:w="109"/>
        <w:gridCol w:w="109"/>
        <w:gridCol w:w="109"/>
        <w:gridCol w:w="109"/>
        <w:gridCol w:w="109"/>
        <w:gridCol w:w="171"/>
        <w:gridCol w:w="171"/>
        <w:gridCol w:w="171"/>
        <w:gridCol w:w="983"/>
        <w:gridCol w:w="983"/>
        <w:gridCol w:w="986"/>
        <w:gridCol w:w="109"/>
        <w:gridCol w:w="109"/>
        <w:gridCol w:w="159"/>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2" w:type="dxa"/>
            <w:gridSpan w:val="6"/>
            <w:tcBorders/>
            <w:shd w:fill="74A333" w:val="clear"/>
            <w:tcMar>
              <w:top w:w="0" w:type="dxa"/>
              <w:left w:w="0" w:type="dxa"/>
              <w:bottom w:w="0" w:type="dxa"/>
              <w:right w:w="0" w:type="dxa"/>
            </w:tcMar>
            <w:vAlign w:val="center"/>
          </w:tcPr>
          <w:p>
            <w:pPr>
              <w:pStyle w:val="TableContents"/>
              <w:bidi w:val="0"/>
              <w:spacing w:lineRule="auto" w:line="360" w:before="0" w:after="180"/>
              <w:jc w:val="left"/>
              <w:rPr>
                <w:rFonts w:ascii="Arial;sans-serif" w:hAnsi="Arial;sans-serif"/>
                <w:b/>
                <w:color w:val="FFFFFF"/>
                <w:sz w:val="18"/>
              </w:rPr>
            </w:pPr>
            <w:r>
              <w:rPr>
                <w:rFonts w:ascii="Arial;sans-serif" w:hAnsi="Arial;sans-serif"/>
                <w:b/>
                <w:color w:val="FFFFFF"/>
                <w:sz w:val="18"/>
              </w:rPr>
              <w:t>What We Do</w:t>
            </w:r>
          </w:p>
        </w:tc>
        <w:tc>
          <w:tcPr>
            <w:tcW w:w="327"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shd w:fill="B6B6B6"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color w:val="000000"/>
                <w:sz w:val="18"/>
              </w:rPr>
            </w:pPr>
            <w:r>
              <w:rPr>
                <w:rFonts w:ascii="Arial;sans-serif" w:hAnsi="Arial;sans-serif"/>
                <w:b/>
                <w:color w:val="000000"/>
                <w:sz w:val="18"/>
              </w:rPr>
              <w:t>What We Don’t Do</w:t>
            </w:r>
          </w:p>
        </w:tc>
        <w:tc>
          <w:tcPr>
            <w:tcW w:w="37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4A33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Actively engage in year-round dialogue with our stockholders and incorporate feedback into our compensation programs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û</w:t>
            </w:r>
          </w:p>
        </w:tc>
        <w:tc>
          <w:tcPr>
            <w:tcW w:w="2952"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 pension plans or Supplemental Executive Retirement Plans</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Significant portion of compensation for Named Executive Officers is “at-risk” based on company performance (financial &amp; stock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û</w:t>
            </w:r>
          </w:p>
        </w:tc>
        <w:tc>
          <w:tcPr>
            <w:tcW w:w="295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 hedging or pledging of our securities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Provide compensation mix that more heavily weights variable pay and long-term 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û</w:t>
            </w:r>
          </w:p>
        </w:tc>
        <w:tc>
          <w:tcPr>
            <w:tcW w:w="2952"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 excise tax gross-up upon a change of control</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Stock ownership requirements apply to all Named Executive Officers and non-employee directors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û</w:t>
            </w:r>
          </w:p>
        </w:tc>
        <w:tc>
          <w:tcPr>
            <w:tcW w:w="2952"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 significant perquisites to our Named Executive Officers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 independent compensation consultant advises the Compensation Committee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û</w:t>
            </w:r>
          </w:p>
        </w:tc>
        <w:tc>
          <w:tcPr>
            <w:tcW w:w="2952"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 single-trigger equity acceleration or excessive severance benefits</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Annually assess the risk-reward balance of our compensation programs in order to mitigate undue risks in our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Maintain a fully independent Compensation Committee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color w:val="74A333"/>
                <w:sz w:val="20"/>
              </w:rPr>
            </w:pPr>
            <w:r>
              <w:rPr>
                <w:rFonts w:ascii="Wingdings;sans-serif" w:hAnsi="Wingdings;sans-serif"/>
                <w:b/>
                <w:color w:val="74A333"/>
                <w:sz w:val="20"/>
              </w:rPr>
              <w:t>ü</w:t>
            </w:r>
          </w:p>
        </w:tc>
        <w:tc>
          <w:tcPr>
            <w:tcW w:w="4946"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Maintain a clawback policy that provides for the recoupment of incentive compensation in the case of a financial restatement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shd w:fill="EDEDEE" w:val="clear"/>
            <w:tcMar>
              <w:top w:w="0" w:type="dxa"/>
              <w:left w:w="0" w:type="dxa"/>
              <w:bottom w:w="0" w:type="dxa"/>
              <w:right w:w="0" w:type="dxa"/>
            </w:tcMar>
            <w:vAlign w:val="center"/>
          </w:tcPr>
          <w:p>
            <w:pPr>
              <w:pStyle w:val="TableContents"/>
              <w:bidi w:val="0"/>
              <w:spacing w:lineRule="auto" w:line="333" w:before="0" w:after="283"/>
              <w:jc w:val="center"/>
              <w:rPr>
                <w:rFonts w:ascii="Wingdings;sans-serif" w:hAnsi="Wingdings;sans-serif"/>
                <w:b w:val="false"/>
                <w:color w:val="74A333"/>
                <w:sz w:val="20"/>
              </w:rPr>
            </w:pPr>
            <w:r>
              <w:rPr>
                <w:rFonts w:ascii="Wingdings;sans-serif" w:hAnsi="Wingdings;sans-serif"/>
                <w:b w:val="false"/>
                <w:color w:val="74A333"/>
                <w:sz w:val="20"/>
              </w:rPr>
              <w:t>ü</w:t>
            </w:r>
          </w:p>
        </w:tc>
        <w:tc>
          <w:tcPr>
            <w:tcW w:w="4946" w:type="dxa"/>
            <w:gridSpan w:val="3"/>
            <w:tcBorders/>
            <w:shd w:fill="EDEDEE" w:val="clear"/>
            <w:tcMar>
              <w:top w:w="0" w:type="dxa"/>
              <w:left w:w="0" w:type="dxa"/>
              <w:bottom w:w="0" w:type="dxa"/>
              <w:right w:w="0" w:type="dxa"/>
            </w:tcMar>
            <w:vAlign w:val="center"/>
          </w:tcPr>
          <w:p>
            <w:pPr>
              <w:pStyle w:val="TableContents"/>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Board of Directors maintains a robust succession strategy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 xml:space="preserve">COMPENSATION PHILOSOPHY AND GUIDING PRINCIPLES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designed our executive compensation program to reward our Named Executive Officers at a level consistent with our overall strategic and financial performance and to provide remuneration sufficient to attract, retain, and motivate them to exert their best efforts in the highly competitive environment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factor.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As we continue to grow, the Compensation Committee evaluates our compensation philosophy and program objectives as circumstances require. At a minimum, the Compensation Committee reviews executive compensation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0885"/>
                <wp:effectExtent l="0" t="0" r="0" b="0"/>
                <wp:wrapNone/>
                <wp:docPr id="55" name="Frame3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COMPENSATION-SETTING PROCESS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Role of the Compensation Committee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among its other responsibilities, establishes our overall compensation philosophy and reviews and approves our executive compensation program, including the specific compensation of our Named Executive Officers (recommends to our Board of Directors in the case of our CEO). The Compensation Committee has the authority to retain special counsel and other advisors, including compensation consultants, to assist in carrying out its responsibilities to determine the compensation of our Named Executive Officers. The Compensation Committee’s authority, duties, and responsibilities are described in its charter, which is reviewed annually and revised and updated as warranted. The charter is available on our Company website at https://investor.si-bone.com/corporate-governance/governance-highlights.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At the beginning of each year, the Compensation Committee reviews our executive compensation program, including any incentive compensation plans and arrangements, to assess whether our compensation elements, actions, and decisions (i) are properly coordinated, (ii) are aligned with our mission, vision, values, and corporate goals, (iii) provide appropriate short-term and long-term incentives for our executive officers, (iv) achieve their intended purposes, and (v) are competitive with the compensation of executives in comparable positions at our peer companies. Following this assessment, the Compensation Committee makes any necessary or appropriate modifications to our existing plans and arrangements or adopts new plans or arrangements.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factors considered by the Compensation Committee in determining the compensation of our Named Executive Officers for 2025 (or recommending to the Board of Directors in the case of our CEO) included: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the recommendations of our CEO (except with respect to her own compensation) as described below;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our corporate growth and other elements of financial performance;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our corporate achievements against one or more short-term and long-term performance objectives;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the individual performance of each Named Executive Officer against his or her management objectives;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a review of the relevant competitive market data and executive retention analysis as prepared by its compensation consultant (as described below);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the expected future contribution of the individual Named Executive Officer;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historical compensation awards we have made to our Named Executive Officers; and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internal pay equity based on the impact on our business and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Named Executive Officer, knowledge of the competitive market, and business judgment.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part of this process, the Compensation Committee also evaluates the performance of our CEO each year and makes all decisions regarding recommending to the Board of Directors her base salary adjustments, target annual cash bonus opportunities, actual cash bonus payments, and long-term incentives in the form of equity awards. Our CEO is not present during any of the deliberations regarding her compensation, and no Named Executive Officer is present during any deliberations regarding their compensation.</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Role of Our CEO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CEO works closely with the Compensation Committee in determining the compensation of our other senior executives, including our other Named Executive Officers. Typically, our CEO works with the Compensation Committee to recommend the structure of the annual bonus plan, to identify and develop corporate performance objectives for such plan, and to evaluate actual performance against the selected measures. At the beginning of each year, our CEO reviews the performance of our other senior executives for the previous year, and then shares these evaluations with, and makes recommendations to, the Compensation Committee for each element of compensation. Using her subjective evaluation of each senior executive’s performance and taking into consideration historical compensation awards to our senior executives and our corporate performance during the preceding year, these recommendations concern base salary adjustments, target annual cash bonus opportunities, and long-term incentives in the form of equity awards for each of our senior executives (other than herself) based on our results, the individual executive’s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senior executive (other than our CEO), as well as each individual compensation element.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0885"/>
                <wp:effectExtent l="0" t="0" r="0" b="0"/>
                <wp:wrapNone/>
                <wp:docPr id="56" name="Frame3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senior executives. Ultimately, the Compensation Committee applies its own business judgment and experience to determine the individual compensation elements and amount of each element for our senior executives. </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Role of Compensation Consultant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2025, pursuant to this authority, the Compensation Committee engaged Compensia, Inc., a national compensation consulting firm, to provide information, analysis, and other assistance relating to our executive compensation program on an ongoing basis. The nature and scope of the services provided to the Compensation Committee by Compensia in 2025 were as follows: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Reviewed and updated the compensation peer group;</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Provided advice with respect to compensation best practices and market trends;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Conducted an analysis of the levels of overall compensation and each element of compensation for our Named Executive Officers and for the members of our Board of Directors;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Provided ad hoc advice and support on compensation and governance topics throughout the year.</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Representatives of Compensia attend meetings of the Compensation Committee as requested and communicate with the Compensation Committee outside of meetings. Compensia reports to the Compensation Committee rather than to management, although Compensia may meet with members of management, including our CEO and members of our executive compensation staff, for purposes of gathering information on proposals that management may make to the Compensation Committee. During 2025, Compensia met with various executive officers to collect data and obtain managements’ perspective on various executive compensation proposals.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may replace its compensation consultant or hire additional advisors at any time. Compensia has not provided any other services to us and has received no compensation other than with respect to the services described above.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has assessed the independence of Compensia taking into account, among other things, the various factors as set forth in Exchange Act Rule 10C-1 and the enhanced independence standards and factors set forth in the applicable listing standards of the Nasdaq Stock Market, and has concluded that its relationship with Compensia and the work of Compensia on behalf of the Compensation Committee has not raised any conflict of interest.</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Competitive Positioning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Given our unique business profile, history, and market competitors, the Compensation Committee believes that the competitive market for executive talent includes primarily medical device and equipment companies and, to a lesser extent, the broader healthcare sector. Accordingly, it develops a compensation peer group to contain a carefully selected cross-section of such public companies with revenues and market capitalizations that are similar to ours, using factors described below. The Compensation Committee considers the compensation practices of these peer group companies as one factor in its compensation deliberations. This peer group data is supplemented with executive compensation survey data representing public medical device, technology, and life sciences companies that are of similar size to SI-BONE, as well as market trends and best practices in executive compensation and the judgment of the Compensation Committee members. Other important factors taken into consideration when determining executive pay levels include employee knowledge, skills and experience; individual performance; scope of responsibilities; and any retention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0885"/>
                <wp:effectExtent l="0" t="0" r="0" b="0"/>
                <wp:wrapNone/>
                <wp:docPr id="57" name="Frame3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2025 Compensation Peer Group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September 2024, the Compensation Committee, with the assistance of Compensia, approved the following target criteria for determining the composition of our peer group for purposes of evaluating the compensation of our Named Executive Officers for 2025.</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Revenue: 0.4x to 2.5x our revenue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Market capitalization: 0.25x to 4.0x our market capitalization</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 xml:space="preserve">Industry: medical device and equipment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Location: public companies headquartered in the United States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Accordingly, the following 18 companies were selected by the Compensation Committee as the defined peer group for purposes of 2025 executive compensation decisions:</w:t>
      </w:r>
    </w:p>
    <w:tbl>
      <w:tblPr>
        <w:tblW w:w="8159" w:type="dxa"/>
        <w:jc w:val="left"/>
        <w:tblInd w:w="0" w:type="dxa"/>
        <w:tblLayout w:type="fixed"/>
        <w:tblCellMar>
          <w:top w:w="28" w:type="dxa"/>
          <w:left w:w="28" w:type="dxa"/>
          <w:bottom w:w="28" w:type="dxa"/>
          <w:right w:w="28" w:type="dxa"/>
        </w:tblCellMar>
      </w:tblPr>
      <w:tblGrid>
        <w:gridCol w:w="750"/>
        <w:gridCol w:w="657"/>
        <w:gridCol w:w="662"/>
        <w:gridCol w:w="1044"/>
        <w:gridCol w:w="1044"/>
        <w:gridCol w:w="1047"/>
        <w:gridCol w:w="863"/>
        <w:gridCol w:w="863"/>
        <w:gridCol w:w="1229"/>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Alphatec Holdings, Inc.</w:t>
            </w:r>
          </w:p>
        </w:tc>
        <w:tc>
          <w:tcPr>
            <w:tcW w:w="313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OrthoPediatrics Corp.</w:t>
            </w:r>
          </w:p>
        </w:tc>
        <w:tc>
          <w:tcPr>
            <w:tcW w:w="295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Silk Road Medical, Inc.</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Artivion, Inc.</w:t>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Paragon 28, Inc.</w:t>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STAAR Surgical Company</w:t>
            </w:r>
          </w:p>
        </w:tc>
      </w:tr>
      <w:tr>
        <w:trPr/>
        <w:tc>
          <w:tcPr>
            <w:tcW w:w="2069"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Axogen, Inc.</w:t>
            </w:r>
          </w:p>
        </w:tc>
        <w:tc>
          <w:tcPr>
            <w:tcW w:w="313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PROCEPT BioRobotics Corporation</w:t>
            </w:r>
          </w:p>
        </w:tc>
        <w:tc>
          <w:tcPr>
            <w:tcW w:w="295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Tactile Systems Technology, Inc.</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Cerus Corporation</w:t>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Pulmonx Corporation</w:t>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Treace Medical Concepts, Inc.</w:t>
            </w:r>
          </w:p>
        </w:tc>
      </w:tr>
      <w:tr>
        <w:trPr/>
        <w:tc>
          <w:tcPr>
            <w:tcW w:w="2069"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LeMaitre Vascular, Inc.</w:t>
            </w:r>
          </w:p>
        </w:tc>
        <w:tc>
          <w:tcPr>
            <w:tcW w:w="313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RxSight, Inc.</w:t>
            </w:r>
          </w:p>
        </w:tc>
        <w:tc>
          <w:tcPr>
            <w:tcW w:w="2955" w:type="dxa"/>
            <w:gridSpan w:val="3"/>
            <w:tcBorders/>
            <w:shd w:fill="EDED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Vericel Corporation</w:t>
            </w:r>
          </w:p>
        </w:tc>
      </w:tr>
      <w:tr>
        <w:trPr/>
        <w:tc>
          <w:tcPr>
            <w:tcW w:w="206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Orthofix Medical Inc.</w:t>
            </w:r>
          </w:p>
        </w:tc>
        <w:tc>
          <w:tcPr>
            <w:tcW w:w="313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Sight Sciences, Inc.</w:t>
            </w:r>
          </w:p>
        </w:tc>
        <w:tc>
          <w:tcPr>
            <w:tcW w:w="295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Zynex, Inc.</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reviews the compensation peer group on an annual basis and adjusts the company composition as needed based on the current financial profile and business focus of the included companies relative to SI-BONE. As part of its process for developing our 2025 peer group, the Compensation Committee made the following changes to our 2024 peer group:</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Removed Cutera, Nevro and Glaukos due to their revenue and/or market capitalization.</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Added Artivion, Tactile Systems Technology, and Vericel based on the criteria above.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 xml:space="preserve">COMPENSATION ELEMENTS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three primary elements of our executive compensation programs are: (1) base salary, (2) annual cash bonus opportunities, and (3) long-term incentives in the form of equity awards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0885"/>
                <wp:effectExtent l="0" t="0" r="0" b="0"/>
                <wp:wrapNone/>
                <wp:docPr id="58" name="Frame4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22"/>
        <w:gridCol w:w="522"/>
        <w:gridCol w:w="523"/>
        <w:gridCol w:w="109"/>
        <w:gridCol w:w="109"/>
        <w:gridCol w:w="109"/>
        <w:gridCol w:w="1408"/>
        <w:gridCol w:w="959"/>
        <w:gridCol w:w="962"/>
        <w:gridCol w:w="109"/>
        <w:gridCol w:w="109"/>
        <w:gridCol w:w="109"/>
        <w:gridCol w:w="1549"/>
        <w:gridCol w:w="1193"/>
        <w:gridCol w:w="119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Compensation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What This Element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Purpose and Key Features of Element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ECECEE" w:val="clear"/>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Base salary</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Individual performance, level of experience, expected future performance and contributions</w:t>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Provides competitive level of fixed compensation determined by the market value of the position, with actual base salaries established based on the facts and circumstances of each executive officer and each individual position</w:t>
            </w:r>
          </w:p>
        </w:tc>
        <w:tc>
          <w:tcPr>
            <w:tcW w:w="37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Annual cash bonuses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Achievement of pre-established corporate performance objectives for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Motivates executive officers to achieve or exceed our corporate and financial short-term goals that are aligned with stockholders’ interests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333" w:before="0" w:after="283"/>
              <w:jc w:val="left"/>
              <w:rPr>
                <w:rFonts w:ascii="Arial;sans-serif" w:hAnsi="Arial;sans-serif"/>
                <w:b/>
                <w:color w:val="74A333"/>
                <w:sz w:val="18"/>
              </w:rPr>
            </w:pPr>
            <w:r>
              <w:rPr>
                <w:rFonts w:ascii="Arial;sans-serif" w:hAnsi="Arial;sans-serif"/>
                <w:b/>
                <w:color w:val="74A333"/>
                <w:sz w:val="18"/>
              </w:rPr>
              <w:t>Long-term incentives/equity awards</w:t>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Achievement of long-term performance objectives, including total stockholder return and annual financial performance (Revenue Growth and Adjusted EBITDA), as well as continued service through time-based vesting.</w:t>
            </w:r>
          </w:p>
        </w:tc>
        <w:tc>
          <w:tcPr>
            <w:tcW w:w="327"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88" w:before="0" w:after="120"/>
              <w:jc w:val="both"/>
              <w:rPr/>
            </w:pPr>
            <w:r>
              <w:rPr>
                <w:rFonts w:ascii="Arial;sans-serif" w:hAnsi="Arial;sans-serif"/>
                <w:b w:val="false"/>
                <w:color w:val="000000"/>
                <w:sz w:val="18"/>
              </w:rPr>
              <w:t>Annual equity awards provide a variable “at risk” pay opportunity. RSUs vest over four years and PSUs vest over three years subject to meeting established total shareholder return (“</w:t>
            </w:r>
            <w:r>
              <w:rPr>
                <w:rFonts w:ascii="Arial;sans-serif" w:hAnsi="Arial;sans-serif"/>
                <w:b/>
                <w:color w:val="000000"/>
                <w:sz w:val="18"/>
              </w:rPr>
              <w:t>TSR</w:t>
            </w:r>
            <w:r>
              <w:rPr>
                <w:color w:val="000000"/>
              </w:rPr>
              <w:t>”</w:t>
            </w:r>
            <w:r>
              <w:rPr>
                <w:rFonts w:ascii="Arial;sans-serif" w:hAnsi="Arial;sans-serif"/>
                <w:b w:val="false"/>
                <w:color w:val="000000"/>
                <w:sz w:val="18"/>
              </w:rPr>
              <w:t>) performance criteria and certain financial metrics.</w:t>
            </w:r>
          </w:p>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w:t>
            </w:r>
          </w:p>
        </w:tc>
        <w:tc>
          <w:tcPr>
            <w:tcW w:w="375"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Named Executive Officers also participate in the standard employee benefit plans available to most of our employees. In addition, our Named Executive Officers are eligible for modest post-employment (severance and change in control) payments and benefits under certain circumstances.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Each of these compensation elements is discussed in detail below, including a description of the particular element, how it fits into our overall executive compensation program, and summary of the amounts of compensation paid to our Named Executive Officers in 2025 under each of these elements.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Base Salary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believe that a competitive base salary is a necessary element of our executive compensation program, so that we can attract and retain a stable management team. Base salaries for our Named Executive Officers are also intended to be competitive with those received by other individuals in similar positions at the companies with which we compete for talent, as well as equitable across the executive team.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Generally, we establish the initial base salaries of our Named Executive Officers through arm’s-length negotiation at the time we hire the individual executive officer, taking into account his or her position, qualifications, experience, and the base salaries of our other executive officers.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Thereafter, the Compensation Committee reviews the base salaries of our Named Executive Officers annually and makes adjustments to base salaries (recommends to our Board of Directors in the case of our CEO) as it determines to be necessary or appropriate.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2025, the Compensation Committee reviewed the base salaries of our executive officers, taking into consideration a competitive market analysis performed by Compensia and the recommendations of our CEO (except with respect to her own base salary), as well as the other factors described above. Following this review, the Compensation Committee set (recommended to our Board of Directors in the case of our CEO) the base salaries of our executive officers at levels that it believed were appropriate to maintain their competitiveness.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base salaries of our Named Executive Officers established at the beginning of 2025 were as follows:</w:t>
      </w:r>
    </w:p>
    <w:tbl>
      <w:tblPr>
        <w:tblW w:w="7147" w:type="dxa"/>
        <w:jc w:val="left"/>
        <w:tblInd w:w="0" w:type="dxa"/>
        <w:tblLayout w:type="fixed"/>
        <w:tblCellMar>
          <w:top w:w="28" w:type="dxa"/>
          <w:left w:w="28" w:type="dxa"/>
          <w:bottom w:w="28" w:type="dxa"/>
          <w:right w:w="28" w:type="dxa"/>
        </w:tblCellMar>
      </w:tblPr>
      <w:tblGrid>
        <w:gridCol w:w="124"/>
        <w:gridCol w:w="109"/>
        <w:gridCol w:w="109"/>
        <w:gridCol w:w="569"/>
        <w:gridCol w:w="569"/>
        <w:gridCol w:w="571"/>
        <w:gridCol w:w="479"/>
        <w:gridCol w:w="479"/>
        <w:gridCol w:w="482"/>
        <w:gridCol w:w="479"/>
        <w:gridCol w:w="479"/>
        <w:gridCol w:w="482"/>
        <w:gridCol w:w="614"/>
        <w:gridCol w:w="614"/>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2024 Base Salary ($)</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2025 Base Salary ($)</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Percentage Adjustment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144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652,000</w:t>
            </w:r>
          </w:p>
        </w:tc>
        <w:tc>
          <w:tcPr>
            <w:tcW w:w="144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685,000</w:t>
            </w:r>
          </w:p>
        </w:tc>
        <w:tc>
          <w:tcPr>
            <w:tcW w:w="184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477,565</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4"/>
              </w:rPr>
              <w:t>496,668</w:t>
            </w:r>
            <w:r>
              <w:rPr>
                <w:rFonts w:ascii="Arial;sans-serif" w:hAnsi="Arial;sans-serif"/>
                <w:b w:val="false"/>
                <w:color w:val="000000"/>
                <w:sz w:val="9"/>
              </w:rPr>
              <w:t>(1)</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144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486,000</w:t>
            </w:r>
          </w:p>
        </w:tc>
        <w:tc>
          <w:tcPr>
            <w:tcW w:w="144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500,580</w:t>
            </w:r>
          </w:p>
        </w:tc>
        <w:tc>
          <w:tcPr>
            <w:tcW w:w="184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144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474,430</w:t>
            </w:r>
          </w:p>
        </w:tc>
        <w:tc>
          <w:tcPr>
            <w:tcW w:w="144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493,407</w:t>
            </w:r>
          </w:p>
        </w:tc>
        <w:tc>
          <w:tcPr>
            <w:tcW w:w="1844"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w:t>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1.Mr. Maheshwari received an additional 4.5% increase to $477,565, in August 2024 to reflect expanded responsibilities. For 2025, his base salary was increased 4% to $496,668.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0885"/>
                <wp:effectExtent l="0" t="0" r="0" b="0"/>
                <wp:wrapNone/>
                <wp:docPr id="59" name="Frame4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actual base salaries earned by our Named Executive Officers during 2025 are set forth in the “2025 Summary Compensation Table” below.</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Annual Cash Bonuses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use annual bonuses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deliver a competitive total direct compensation opportunity to our executive officers. Annual cash bonuses are entirely performance-based, are not guaranteed, and may vary materially from year-to-year.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Typically, the Compensation Committee establishes (recommends to our Board of Directors in the case of our CEO) cash bonus opportunities pursuant to a formal cash bonus plan that measures and rewards our executive officers for our actual corporate performance over the fiscal year. The cash bonus plan is designed to pay above-target bonuses when we exceed our annual corporate objectives and below-target bonuses (or no bonuses) when we do not achieve these objectives.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January 2025, the Compensation Committee determined to award (recommend to our Board of Directors in the case of our CEO) cash bonus opportunities to our Named Executive Officers, pursuant to the cash bonus plan for 2025. The Compensation Committee has the authority to select the performance measures and related target levels applicable to the annual cash bonus opportunities for our executive officers. The Compensation Committee may also, in its sole discretion, increase, reduce, or eliminate a participant’s actual bonus payment. </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Target Bonus Opportunities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2025 target annual cash bonus opportunities for each of our Named Executive Officers under the 2025 cash bonus plan, expressed as a percentage of his or her annual base salary, were as follows:</w:t>
      </w:r>
    </w:p>
    <w:tbl>
      <w:tblPr>
        <w:tblW w:w="8287" w:type="dxa"/>
        <w:jc w:val="left"/>
        <w:tblInd w:w="0" w:type="dxa"/>
        <w:tblLayout w:type="fixed"/>
        <w:tblCellMar>
          <w:top w:w="28" w:type="dxa"/>
          <w:left w:w="28" w:type="dxa"/>
          <w:bottom w:w="28" w:type="dxa"/>
          <w:right w:w="28" w:type="dxa"/>
        </w:tblCellMar>
      </w:tblPr>
      <w:tblGrid>
        <w:gridCol w:w="124"/>
        <w:gridCol w:w="109"/>
        <w:gridCol w:w="109"/>
        <w:gridCol w:w="569"/>
        <w:gridCol w:w="569"/>
        <w:gridCol w:w="571"/>
        <w:gridCol w:w="424"/>
        <w:gridCol w:w="424"/>
        <w:gridCol w:w="426"/>
        <w:gridCol w:w="699"/>
        <w:gridCol w:w="699"/>
        <w:gridCol w:w="702"/>
        <w:gridCol w:w="829"/>
        <w:gridCol w:w="829"/>
        <w:gridCol w:w="8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2025 Base Salary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1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2025 Target Bonus Percentage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Total 2025 Target Bonus Opportunity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127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685,000</w:t>
            </w:r>
          </w:p>
        </w:tc>
        <w:tc>
          <w:tcPr>
            <w:tcW w:w="210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249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685,000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496,668</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60</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298,001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127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500,580</w:t>
            </w:r>
          </w:p>
        </w:tc>
        <w:tc>
          <w:tcPr>
            <w:tcW w:w="210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75</w:t>
            </w:r>
          </w:p>
        </w:tc>
        <w:tc>
          <w:tcPr>
            <w:tcW w:w="249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375,435</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1274"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493,407</w:t>
            </w:r>
          </w:p>
        </w:tc>
        <w:tc>
          <w:tcPr>
            <w:tcW w:w="210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w:t>
            </w:r>
          </w:p>
        </w:tc>
        <w:tc>
          <w:tcPr>
            <w:tcW w:w="2490"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246,704</w:t>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target annual cash bonus opportunities of our executive officers, including the Named Executive Officers, were driven entirely by achievement of corporate financial and operational objectives. The Compensation Committee determined this allocation to be appropriate to focus our executive officers on our short-term financial objectives as reflected in our annual operating plan while, at the same time, recognizing their contributions to the achievement of these objectives and the successful execution of their individual roles and responsibilities.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Corporate Performance Objectives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For purposes of the 2025 cash bonus plan, the Compensation Committee selected the following as the corporate performance measures, all of which are measured over the 2025 fiscal year performance period: </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Revenue Growth, weighted 40%;</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Adjusted EBITDA, weighted 25%;</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New product milestones ((i) Product 1 510(k) submission (weighted 10%), (ii) Product 2 510(k) submission or First in Patient use (“</w:t>
      </w:r>
      <w:r>
        <w:rPr>
          <w:rFonts w:ascii="Arial;sans-serif" w:hAnsi="Arial;sans-serif"/>
          <w:b/>
          <w:color w:val="000000"/>
          <w:sz w:val="18"/>
        </w:rPr>
        <w:t>FIP</w:t>
      </w:r>
      <w:r>
        <w:rPr>
          <w:color w:val="000000"/>
        </w:rPr>
        <w:t>”</w:t>
      </w:r>
      <w:r>
        <w:rPr>
          <w:rFonts w:ascii="Arial;sans-serif" w:hAnsi="Arial;sans-serif"/>
          <w:b w:val="false"/>
          <w:color w:val="000000"/>
          <w:sz w:val="18"/>
        </w:rPr>
        <w:t>) (weighted 10%), and (iii) Product 3 FIP (weighted 5%));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People and culture metric weighted 10% based on achievement to a retention rate target.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the 2025 cash bonus plan provided an upside opportunity of 5% of target bonus if the Company’s employee engagement score, based on the average results of two surveys administered through the Energage platform during 2025, increases by at least two percentage points year-over-year. Engagement performance is measured in percentage points, not percentage change. This engagement component operates solely as a positive modifier and does not reduce payouts if the target is not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0885"/>
                <wp:effectExtent l="0" t="0" r="0" b="0"/>
                <wp:wrapNone/>
                <wp:docPr id="60" name="Frame4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Compensation Committee believed these performance measures were appropriate for our business because they provide a balance between generating revenue, managing our expenses, and growing our business, which it believes most directly influence long-term stockholder value. At the same time, the Compensation Committee established target performance levels for each of these measures at levels that it believed to be challenging, but attainable, through the successful execution of our annual operating plan.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Potential payouts under the 2025 cash bonus plan range from 0% if the threshold performance level is not met, 80% of target at threshold performance, 125% of target for upper performance, and, for revenue growth, 150% of target for maximum performance. The actual bonus payouts under the 2025 cash bonus plan with respect to each corporate performance measure are determined independently. For 2025, the threshold, target, upper and maximum levels of achievement for each corporate performance measure, were as follows. </w:t>
      </w:r>
    </w:p>
    <w:tbl>
      <w:tblPr>
        <w:tblW w:w="9454" w:type="dxa"/>
        <w:jc w:val="left"/>
        <w:tblInd w:w="0" w:type="dxa"/>
        <w:tblLayout w:type="fixed"/>
        <w:tblCellMar>
          <w:top w:w="28" w:type="dxa"/>
          <w:left w:w="28" w:type="dxa"/>
          <w:bottom w:w="28" w:type="dxa"/>
          <w:right w:w="28" w:type="dxa"/>
        </w:tblCellMar>
      </w:tblPr>
      <w:tblGrid>
        <w:gridCol w:w="124"/>
        <w:gridCol w:w="109"/>
        <w:gridCol w:w="109"/>
        <w:gridCol w:w="764"/>
        <w:gridCol w:w="764"/>
        <w:gridCol w:w="766"/>
        <w:gridCol w:w="204"/>
        <w:gridCol w:w="204"/>
        <w:gridCol w:w="206"/>
        <w:gridCol w:w="393"/>
        <w:gridCol w:w="393"/>
        <w:gridCol w:w="819"/>
        <w:gridCol w:w="389"/>
        <w:gridCol w:w="389"/>
        <w:gridCol w:w="811"/>
        <w:gridCol w:w="323"/>
        <w:gridCol w:w="323"/>
        <w:gridCol w:w="673"/>
        <w:gridCol w:w="439"/>
        <w:gridCol w:w="439"/>
        <w:gridCol w:w="4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Corporate Performance Measure</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Weight</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Threshold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Performance Level</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Performance Level</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Upper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Performance Level</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Maximum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Performance Level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Revenue Growth</w:t>
            </w:r>
          </w:p>
        </w:tc>
        <w:tc>
          <w:tcPr>
            <w:tcW w:w="61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40%</w:t>
            </w:r>
          </w:p>
        </w:tc>
        <w:tc>
          <w:tcPr>
            <w:tcW w:w="160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w:t>
            </w:r>
          </w:p>
        </w:tc>
        <w:tc>
          <w:tcPr>
            <w:tcW w:w="158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19%</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22%</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25%</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Adjusted EBITDA</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25%</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$0M</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$2M</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$4M</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1 510(k) submission</w:t>
            </w:r>
          </w:p>
        </w:tc>
        <w:tc>
          <w:tcPr>
            <w:tcW w:w="61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w:t>
            </w:r>
          </w:p>
        </w:tc>
        <w:tc>
          <w:tcPr>
            <w:tcW w:w="160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Dec</w:t>
            </w:r>
          </w:p>
        </w:tc>
        <w:tc>
          <w:tcPr>
            <w:tcW w:w="158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Nov</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Oct</w:t>
            </w:r>
          </w:p>
        </w:tc>
        <w:tc>
          <w:tcPr>
            <w:tcW w:w="131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2 510(k) submission or FIP</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Nov - 510(k) submission</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Oct - 510(k) submission</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Dec FIP</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3 FIP</w:t>
            </w:r>
          </w:p>
        </w:tc>
        <w:tc>
          <w:tcPr>
            <w:tcW w:w="61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w:t>
            </w:r>
          </w:p>
        </w:tc>
        <w:tc>
          <w:tcPr>
            <w:tcW w:w="160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Dec</w:t>
            </w:r>
          </w:p>
        </w:tc>
        <w:tc>
          <w:tcPr>
            <w:tcW w:w="158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Nov</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Oct</w:t>
            </w:r>
          </w:p>
        </w:tc>
        <w:tc>
          <w:tcPr>
            <w:tcW w:w="1319"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Retention rate</w:t>
            </w:r>
          </w:p>
        </w:tc>
        <w:tc>
          <w:tcPr>
            <w:tcW w:w="614"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819" w:type="dxa"/>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78"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w:t>
            </w:r>
          </w:p>
        </w:tc>
        <w:tc>
          <w:tcPr>
            <w:tcW w:w="811" w:type="dxa"/>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91</w:t>
            </w:r>
          </w:p>
        </w:tc>
        <w:tc>
          <w:tcPr>
            <w:tcW w:w="673" w:type="dxa"/>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1319"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0"/>
              <w:jc w:val="right"/>
              <w:rPr/>
            </w:pPr>
            <w:r>
              <w:rPr/>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the 2025 cash bonus plan provided an upside opportunity of 5% of target bonus if the Company’s employee engagement score, based on the average results of two surveys administered through the Energage platform during 2025, increases by at least two percentage points year-over-year.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Adjusted EBITDA excludes from net loss the effects of interest income, interest expense, depreciation and amortization and stock-based compensation. In the event of actual Revenue Growth or Adjusted EBITDA performance between the threshold and target, and target and maximum performance levels, the payment amount was to be calculated between each designated segment on a linear basis.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2025 Performance Results and Bonus Decisions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January 2026, the Compensation Committee approved (recommended to our Board of Directors in the case of our CEO) our actual achievement with respect to the corporate performance objectives under the 2025 cash bonus plan as follows:</w:t>
      </w:r>
    </w:p>
    <w:tbl>
      <w:tblPr>
        <w:tblW w:w="6773" w:type="dxa"/>
        <w:jc w:val="left"/>
        <w:tblInd w:w="0" w:type="dxa"/>
        <w:tblLayout w:type="fixed"/>
        <w:tblCellMar>
          <w:top w:w="28" w:type="dxa"/>
          <w:left w:w="28" w:type="dxa"/>
          <w:bottom w:w="28" w:type="dxa"/>
          <w:right w:w="28" w:type="dxa"/>
        </w:tblCellMar>
      </w:tblPr>
      <w:tblGrid>
        <w:gridCol w:w="124"/>
        <w:gridCol w:w="109"/>
        <w:gridCol w:w="109"/>
        <w:gridCol w:w="764"/>
        <w:gridCol w:w="764"/>
        <w:gridCol w:w="766"/>
        <w:gridCol w:w="180"/>
        <w:gridCol w:w="180"/>
        <w:gridCol w:w="181"/>
        <w:gridCol w:w="310"/>
        <w:gridCol w:w="310"/>
        <w:gridCol w:w="311"/>
        <w:gridCol w:w="324"/>
        <w:gridCol w:w="324"/>
        <w:gridCol w:w="326"/>
        <w:gridCol w:w="439"/>
        <w:gridCol w:w="439"/>
        <w:gridCol w:w="4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Corporate Performance Measure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Weight</w:t>
              <w:br/>
              <w: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Actual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Achievement</w:t>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 xml:space="preserve">Achievement </w:t>
              <w:br/>
              <w:t>Payout Level</w:t>
              <w:br/>
              <w: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Bonus Contribution</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Revenue Growth</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40</w:t>
            </w:r>
          </w:p>
        </w:tc>
        <w:tc>
          <w:tcPr>
            <w:tcW w:w="93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20.2%</w:t>
            </w:r>
          </w:p>
        </w:tc>
        <w:tc>
          <w:tcPr>
            <w:tcW w:w="97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110</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Adjusted EBITDA</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$8.9M</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125</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1 510(k) submission</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w:t>
            </w:r>
          </w:p>
        </w:tc>
        <w:tc>
          <w:tcPr>
            <w:tcW w:w="93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Oct</w:t>
            </w:r>
          </w:p>
        </w:tc>
        <w:tc>
          <w:tcPr>
            <w:tcW w:w="97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125</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2 510(k) submission or FIP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Product 3 FIP</w:t>
            </w:r>
          </w:p>
        </w:tc>
        <w:tc>
          <w:tcPr>
            <w:tcW w:w="5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w:t>
            </w:r>
          </w:p>
        </w:tc>
        <w:tc>
          <w:tcPr>
            <w:tcW w:w="93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Oct</w:t>
            </w:r>
          </w:p>
        </w:tc>
        <w:tc>
          <w:tcPr>
            <w:tcW w:w="97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125</w:t>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Retention rate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92%</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125</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w:t>
            </w:r>
          </w:p>
        </w:tc>
        <w:tc>
          <w:tcPr>
            <w:tcW w:w="1319"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106.5</w:t>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0885"/>
                <wp:effectExtent l="0" t="0" r="0" b="0"/>
                <wp:wrapNone/>
                <wp:docPr id="61" name="Frame4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Compensation Committee determined that, (i) based on our actual performance with respect to each corporate performance measure, the corporate performance objectives had been achieved, in the aggregate, at a level resulting in payout of 106.5% of target and (ii) based on our actual performance with respect to the employee engagement score component, the target engagement performance had not been achieved. Accordingly, the Compensation Committee (our Board of Directors in the case of our CEO) approved bonus payments as follows for our Named Executive Officers: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5"/>
        <w:gridCol w:w="563"/>
        <w:gridCol w:w="565"/>
        <w:gridCol w:w="863"/>
        <w:gridCol w:w="863"/>
        <w:gridCol w:w="866"/>
        <w:gridCol w:w="109"/>
        <w:gridCol w:w="109"/>
        <w:gridCol w:w="109"/>
        <w:gridCol w:w="716"/>
        <w:gridCol w:w="716"/>
        <w:gridCol w:w="718"/>
        <w:gridCol w:w="109"/>
        <w:gridCol w:w="109"/>
        <w:gridCol w:w="109"/>
        <w:gridCol w:w="798"/>
        <w:gridCol w:w="798"/>
        <w:gridCol w:w="801"/>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25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Annual Cash Bonus Opportunity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21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Bonus Achievement Percentage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Actual Annual Cash Bonus Payment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2592"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685,000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106.5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729,525</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298,001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317,371</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2592"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375,435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106.5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399,838</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2592"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246,704</w:t>
            </w:r>
          </w:p>
        </w:tc>
        <w:tc>
          <w:tcPr>
            <w:tcW w:w="32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106.5</w:t>
            </w:r>
          </w:p>
        </w:tc>
        <w:tc>
          <w:tcPr>
            <w:tcW w:w="32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262,739</w:t>
            </w:r>
          </w:p>
        </w:tc>
        <w:tc>
          <w:tcPr>
            <w:tcW w:w="37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actual annual cash bonuses paid to our Named Executive Officers for 2025 are also set forth in the “2025 Summary Compensation Table” below.</w:t>
      </w:r>
    </w:p>
    <w:p>
      <w:pPr>
        <w:pStyle w:val="TextBody"/>
        <w:bidi w:val="0"/>
        <w:spacing w:lineRule="auto" w:line="288" w:before="0" w:after="120"/>
        <w:jc w:val="left"/>
        <w:rPr/>
      </w:pPr>
      <w:r>
        <w:rPr>
          <w:rFonts w:ascii="Arial;sans-serif" w:hAnsi="Arial;sans-serif"/>
          <w:b/>
          <w:color w:val="74A333"/>
          <w:sz w:val="18"/>
        </w:rPr>
        <w:t>Long-Term Incentive Compensation</w:t>
      </w:r>
      <w:r>
        <w:rPr>
          <w:color w:val="000000"/>
        </w:rPr>
        <w:t xml:space="preserv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vested. The Compensation Committee further believes these awards enable us to attract and retain key talent in our industry and align our executive officers’ interests with the long-term interests of our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Generally, in determining the size of the equity awards granted to our executive officers, the Compensation Committee takes into consideration the recommendations of our CEO (except with respect to her own equity awards), and other factors, including the comparative awards granted to similar positions at our peer companies, the performance and expected performance of the executive officer, the existing equity holdings of each executive officer, including the current economic value of their unvested equity awards and the ability of these unvested holdings to satisfy our retention objectives, overall market data, and information provided by our compensation consultant. The Compensation Committee also considers the dilutive effect of our long-term incentive compensation practices, and the overall impact that these equity awards, as well as awards to other employees, will have on stockholder value. </w:t>
      </w:r>
    </w:p>
    <w:p>
      <w:pPr>
        <w:pStyle w:val="TextBody"/>
        <w:bidi w:val="0"/>
        <w:spacing w:lineRule="auto" w:line="288" w:before="120" w:after="120"/>
        <w:jc w:val="both"/>
        <w:rPr/>
      </w:pPr>
      <w:r>
        <w:rPr>
          <w:rFonts w:ascii="Arial;sans-serif" w:hAnsi="Arial;sans-serif"/>
          <w:b w:val="false"/>
          <w:color w:val="000000"/>
          <w:sz w:val="18"/>
        </w:rPr>
        <w:t>In February 2025, the Compensation Committee (our Board of Directors in the case of our CEO) granted PSU awards and RSU awards to our Named Executive Officers. The PSUs granted to Ms. Francis are weighted 75% based on relative total shareholder return (“</w:t>
      </w:r>
      <w:r>
        <w:rPr>
          <w:rFonts w:ascii="Arial;sans-serif" w:hAnsi="Arial;sans-serif"/>
          <w:b/>
          <w:color w:val="000000"/>
          <w:sz w:val="18"/>
        </w:rPr>
        <w:t>TSR</w:t>
      </w:r>
      <w:r>
        <w:rPr>
          <w:color w:val="000000"/>
        </w:rPr>
        <w:t>”</w:t>
      </w:r>
      <w:r>
        <w:rPr>
          <w:rFonts w:ascii="Arial;sans-serif" w:hAnsi="Arial;sans-serif"/>
          <w:b w:val="false"/>
          <w:color w:val="000000"/>
          <w:sz w:val="18"/>
        </w:rPr>
        <w:t>) and 25% based on financial performance metrics, while the PSUs granted to Messrs. Maheshwari, Recupero, and Pisetsky are 100% based on relative TSR. The Compensation Committee determined Ms. Francis’ 2025 long-term incentive mix would be 50% PSUs and 50% RSUs, and Messrs. Maheshwari, Recupero, and Pisetsky’s mix would be 25% PSUs and 75% RSUs. The Compensation Committee determined the mix of RSUs and PSUs for each of our Named Executive Officers with reference to market norms and predominant practices among our peer companies. The equity awards granted to our Named Executive Officers in 2025 were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7"/>
        <w:gridCol w:w="566"/>
        <w:gridCol w:w="568"/>
        <w:gridCol w:w="397"/>
        <w:gridCol w:w="397"/>
        <w:gridCol w:w="399"/>
        <w:gridCol w:w="894"/>
        <w:gridCol w:w="894"/>
        <w:gridCol w:w="896"/>
        <w:gridCol w:w="833"/>
        <w:gridCol w:w="833"/>
        <w:gridCol w:w="836"/>
        <w:gridCol w:w="469"/>
        <w:gridCol w:w="467"/>
        <w:gridCol w:w="46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Named Executive Officer</w:t>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RSUs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Number of Financial-based PSUs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5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Number of Relative TSR PSUs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Total Target Value</w:t>
            </w:r>
            <w:r>
              <w:rPr>
                <w:rFonts w:ascii="Arial;sans-serif" w:hAnsi="Arial;sans-serif"/>
                <w:b/>
                <w:color w:val="000000"/>
                <w:sz w:val="9"/>
              </w:rPr>
              <w:t xml:space="preserve">(1)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119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122,315</w:t>
            </w:r>
          </w:p>
        </w:tc>
        <w:tc>
          <w:tcPr>
            <w:tcW w:w="268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30,579</w:t>
            </w:r>
          </w:p>
        </w:tc>
        <w:tc>
          <w:tcPr>
            <w:tcW w:w="2502"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91,736</w:t>
            </w:r>
          </w:p>
        </w:tc>
        <w:tc>
          <w:tcPr>
            <w:tcW w:w="9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4,099,999 </w:t>
            </w:r>
          </w:p>
        </w:tc>
        <w:tc>
          <w:tcPr>
            <w:tcW w:w="4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71,599</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25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23,866</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1,599,993 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119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55,937</w:t>
            </w:r>
          </w:p>
        </w:tc>
        <w:tc>
          <w:tcPr>
            <w:tcW w:w="268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2502"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18,646</w:t>
            </w:r>
          </w:p>
        </w:tc>
        <w:tc>
          <w:tcPr>
            <w:tcW w:w="9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1,250,011 </w:t>
            </w:r>
          </w:p>
        </w:tc>
        <w:tc>
          <w:tcPr>
            <w:tcW w:w="46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1193"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58,174</w:t>
            </w:r>
          </w:p>
        </w:tc>
        <w:tc>
          <w:tcPr>
            <w:tcW w:w="2684"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w:t>
            </w:r>
          </w:p>
        </w:tc>
        <w:tc>
          <w:tcPr>
            <w:tcW w:w="2502"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19,391</w:t>
            </w:r>
          </w:p>
        </w:tc>
        <w:tc>
          <w:tcPr>
            <w:tcW w:w="936"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1,299,989 </w:t>
            </w:r>
          </w:p>
        </w:tc>
        <w:tc>
          <w:tcPr>
            <w:tcW w:w="469"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40"/>
        <w:ind w:left="0" w:right="0" w:hanging="360"/>
        <w:jc w:val="both"/>
        <w:rPr>
          <w:rFonts w:ascii="Arial;sans-serif" w:hAnsi="Arial;sans-serif"/>
          <w:b w:val="false"/>
          <w:color w:val="000000"/>
          <w:sz w:val="16"/>
        </w:rPr>
      </w:pPr>
      <w:r>
        <w:rPr>
          <w:rFonts w:ascii="Arial;sans-serif" w:hAnsi="Arial;sans-serif"/>
          <w:b w:val="false"/>
          <w:color w:val="000000"/>
          <w:sz w:val="16"/>
        </w:rPr>
        <w:t>1.The amounts reported in this column represent the target value of equity awards made in 2025. The target value assumes the payout of the PSU component at Target or 100%. This differs from the aggregate grant date fair value of awards as computed in accordance with FASB ASC 718 and reported in the “2025 Summary Compensation Table” below. Target values were converted to shares using our stock price of $16.76 as of January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0885"/>
                <wp:effectExtent l="0" t="0" r="0" b="0"/>
                <wp:wrapNone/>
                <wp:docPr id="62" name="Frame4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39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Relative TSR PSUs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relative TSR PSU awards are designed to be earned based on our TSR as compared to a group of industry peers in equal tranches over one-, two-, and three-year performance periods. In each period, the target performance is the median of the industry peer group. A maximum payout of 200% of target is earned if the company’s performance exceeds the industry group median by 50 percentage points or more; no payout is earned if the company’s performance trails the industry group median by 50 percentage points or more. </w:t>
      </w:r>
    </w:p>
    <w:tbl>
      <w:tblPr>
        <w:tblW w:w="5437" w:type="dxa"/>
        <w:jc w:val="left"/>
        <w:tblInd w:w="0" w:type="dxa"/>
        <w:tblLayout w:type="fixed"/>
        <w:tblCellMar>
          <w:top w:w="28" w:type="dxa"/>
          <w:left w:w="28" w:type="dxa"/>
          <w:bottom w:w="28" w:type="dxa"/>
          <w:right w:w="28" w:type="dxa"/>
        </w:tblCellMar>
      </w:tblPr>
      <w:tblGrid>
        <w:gridCol w:w="124"/>
        <w:gridCol w:w="109"/>
        <w:gridCol w:w="109"/>
        <w:gridCol w:w="439"/>
        <w:gridCol w:w="439"/>
        <w:gridCol w:w="441"/>
        <w:gridCol w:w="824"/>
        <w:gridCol w:w="824"/>
        <w:gridCol w:w="827"/>
        <w:gridCol w:w="309"/>
        <w:gridCol w:w="309"/>
        <w:gridCol w:w="3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Achievement Level</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 xml:space="preserve">Performance </w:t>
              <w:br/>
              <w:t>(Points vs. 50</w:t>
            </w:r>
            <w:r>
              <w:rPr>
                <w:rFonts w:ascii="Arial;sans-serif" w:hAnsi="Arial;sans-serif"/>
                <w:b/>
                <w:color w:val="000000"/>
                <w:sz w:val="9"/>
              </w:rPr>
              <w:t>th</w:t>
            </w:r>
            <w:r>
              <w:rPr>
                <w:color w:val="000000"/>
              </w:rPr>
              <w:t xml:space="preserve"> </w:t>
            </w:r>
            <w:r>
              <w:rPr>
                <w:rFonts w:ascii="Arial;sans-serif" w:hAnsi="Arial;sans-serif"/>
                <w:b/>
                <w:color w:val="000000"/>
                <w:sz w:val="14"/>
              </w:rPr>
              <w:t>Percentile Company)</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Payout</w:t>
              <w:br/>
              <w:t>(% of Target)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Maximum</w:t>
            </w:r>
          </w:p>
        </w:tc>
        <w:tc>
          <w:tcPr>
            <w:tcW w:w="247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xml:space="preserve">≥ </w:t>
            </w:r>
            <w:r>
              <w:rPr>
                <w:rFonts w:ascii="Arial;sans-serif" w:hAnsi="Arial;sans-serif"/>
                <w:b w:val="false"/>
                <w:color w:val="000000"/>
                <w:sz w:val="14"/>
              </w:rPr>
              <w:t>+50 Points</w:t>
            </w:r>
          </w:p>
        </w:tc>
        <w:tc>
          <w:tcPr>
            <w:tcW w:w="92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200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Target</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4"/>
              </w:rPr>
              <w:t>Equal to 50</w:t>
            </w:r>
            <w:r>
              <w:rPr>
                <w:rFonts w:ascii="Arial;sans-serif" w:hAnsi="Arial;sans-serif"/>
                <w:b w:val="false"/>
                <w:color w:val="000000"/>
                <w:sz w:val="9"/>
              </w:rPr>
              <w:t>th</w:t>
            </w:r>
            <w:r>
              <w:rPr>
                <w:color w:val="000000"/>
              </w:rPr>
              <w:t xml:space="preserve"> </w:t>
            </w:r>
            <w:r>
              <w:rPr>
                <w:rFonts w:ascii="Arial;sans-serif" w:hAnsi="Arial;sans-serif"/>
                <w:b w:val="false"/>
                <w:color w:val="000000"/>
                <w:sz w:val="14"/>
              </w:rPr>
              <w:t>percentile company</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Threshold</w:t>
            </w:r>
          </w:p>
        </w:tc>
        <w:tc>
          <w:tcPr>
            <w:tcW w:w="2475" w:type="dxa"/>
            <w:gridSpan w:val="3"/>
            <w:tcBorders>
              <w:bottom w:val="single" w:sz="8"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-50 Points</w:t>
            </w:r>
          </w:p>
        </w:tc>
        <w:tc>
          <w:tcPr>
            <w:tcW w:w="929" w:type="dxa"/>
            <w:gridSpan w:val="3"/>
            <w:tcBorders>
              <w:bottom w:val="single" w:sz="8"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tc>
        <w:tc>
          <w:tcPr>
            <w:tcW w:w="372" w:type="dxa"/>
            <w:gridSpan w:val="3"/>
            <w:tcBorders>
              <w:bottom w:val="single" w:sz="8"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PSUs granted to our Named Executive Officers in February 2025 include interim payout opportunities after the end of the first and second years of the three-year performance period. The first interim payout opportunity is capped at one-third of the target level payout for the PSUs, while up to 200% of the target shares associated with the second-year performance period may be earned following that performance period, based on relative TSR performance and continued service through the end of the relevant year. Up to 200% of the total target shares under the whole award may be earned after the conclusion of the three-year performance period based on relative TSR performance through the end of the three-year performance period, less any shares previously earned and paid out for the first and second interim periods.</w:t>
      </w:r>
    </w:p>
    <w:p>
      <w:pPr>
        <w:pStyle w:val="TextBody"/>
        <w:bidi w:val="0"/>
        <w:spacing w:before="240" w:after="240"/>
        <w:jc w:val="center"/>
        <w:rPr/>
      </w:pPr>
      <w:r>
        <w:rPr/>
        <w:drawing>
          <wp:inline distT="0" distB="0" distL="0" distR="0">
            <wp:extent cx="6400800" cy="3429000"/>
            <wp:effectExtent l="0" t="0" r="0" b="0"/>
            <wp:docPr id="6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9" descr=""/>
                    <pic:cNvPicPr>
                      <a:picLocks noChangeAspect="1" noChangeArrowheads="1"/>
                    </pic:cNvPicPr>
                  </pic:nvPicPr>
                  <pic:blipFill>
                    <a:blip r:embed="rId20"/>
                    <a:stretch>
                      <a:fillRect/>
                    </a:stretch>
                  </pic:blipFill>
                  <pic:spPr bwMode="auto">
                    <a:xfrm>
                      <a:off x="0" y="0"/>
                      <a:ext cx="6400800" cy="3429000"/>
                    </a:xfrm>
                    <a:prstGeom prst="rect">
                      <a:avLst/>
                    </a:prstGeom>
                  </pic:spPr>
                </pic:pic>
              </a:graphicData>
            </a:graphic>
          </wp:inline>
        </w:drawing>
      </w:r>
      <w:bookmarkStart w:id="18" w:name="i-19"/>
      <w:bookmarkEnd w:id="18"/>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group of relative TSR industry peers was selected using objective criteria determined in advance of the start of the performance period. For 2025, the Compensation Committee determined to include constituents of the S&amp;P Healthcare Equipment Select Index and other executive compensation peers with market cap between ~0.25x and ~4.0x SI-BONE.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RSU awards granted to our Named Executive Officers in February 2025 are subject to a time-based vesting requirement providing that these awards are to vest quarterly over four years, subject to the continued service of the applicable Named Executive Officers on each such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0885"/>
                <wp:effectExtent l="0" t="0" r="0" b="0"/>
                <wp:wrapNone/>
                <wp:docPr id="64" name="Frame4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Financial PSUs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Beginning in 2025, the Compensation Committee introduced Financial PSUs in CEO compensation to complement the existing TSR-based awards. While relative TSR awards provide strong alignment with stockholder returns and external market performance, the Committee determined that incorporating internal financial performance measures would further strengthen the Company’s pay-for-performance framework.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Revenue Growth and Adjusted EBITDA were selected as performance metrics because they represent critical indicators of operational execution, strategic progress, and long-term value creation. By incorporating these metrics into the LTI program, the Committee enhanced the direct linkage between executive compensation and the Company’s annual financial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Committee believes that combining relative TSR and financial performance measures creates a balanced incentive structure that rewards both external market outperformance and internal execution against strategic financial objectives.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Design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Financial PSUs are earned based on achievement of pre-established Revenue Growth goal (60% weighting) and Adjusted EBITDA goal (40% weighting) for the applicable fiscal year. Performance is measured over a single one-year performance period. Payout opportunities range from 0% to 200% of target:</w:t>
      </w:r>
    </w:p>
    <w:tbl>
      <w:tblPr>
        <w:tblW w:w="5452" w:type="dxa"/>
        <w:jc w:val="left"/>
        <w:tblInd w:w="0" w:type="dxa"/>
        <w:tblLayout w:type="fixed"/>
        <w:tblCellMar>
          <w:top w:w="28" w:type="dxa"/>
          <w:left w:w="28" w:type="dxa"/>
          <w:bottom w:w="28" w:type="dxa"/>
          <w:right w:w="28" w:type="dxa"/>
        </w:tblCellMar>
      </w:tblPr>
      <w:tblGrid>
        <w:gridCol w:w="124"/>
        <w:gridCol w:w="109"/>
        <w:gridCol w:w="109"/>
        <w:gridCol w:w="439"/>
        <w:gridCol w:w="439"/>
        <w:gridCol w:w="441"/>
        <w:gridCol w:w="669"/>
        <w:gridCol w:w="669"/>
        <w:gridCol w:w="671"/>
        <w:gridCol w:w="469"/>
        <w:gridCol w:w="469"/>
        <w:gridCol w:w="4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Achievement Level</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Performance</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Payout (% of Target)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Maximum</w:t>
            </w:r>
          </w:p>
        </w:tc>
        <w:tc>
          <w:tcPr>
            <w:tcW w:w="20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At or above maximum goals</w:t>
            </w:r>
          </w:p>
        </w:tc>
        <w:tc>
          <w:tcPr>
            <w:tcW w:w="141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Target</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Target goals achieved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Threshold</w:t>
            </w:r>
          </w:p>
        </w:tc>
        <w:tc>
          <w:tcPr>
            <w:tcW w:w="2009"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Minimum goals achieved</w:t>
            </w:r>
          </w:p>
        </w:tc>
        <w:tc>
          <w:tcPr>
            <w:tcW w:w="141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Below Threshold</w:t>
            </w:r>
          </w:p>
        </w:tc>
        <w:tc>
          <w:tcPr>
            <w:tcW w:w="200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Below minimum goals achieved</w:t>
            </w:r>
          </w:p>
        </w:tc>
        <w:tc>
          <w:tcPr>
            <w:tcW w:w="938" w:type="dxa"/>
            <w:gridSpan w:val="2"/>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bottom w:val="single" w:sz="12" w:space="0" w:color="74A33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Although the financial performance period is one year, the awards are structured to promote sustained alignment and retention. Following certification of results by the Compensation Committee: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33% of earned shares vest shortly after the first quarterly vest date following certification;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The remaining 67% vest in equal quarterly installments over the subsequent two years, subject to continued service.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This structure results in a total three-year vesting horizon and ensures continued stockholder alignment beyond the one-year performance period.</w:t>
      </w:r>
    </w:p>
    <w:p>
      <w:pPr>
        <w:pStyle w:val="TextBody"/>
        <w:bidi w:val="0"/>
        <w:spacing w:lineRule="auto" w:line="288" w:before="120" w:after="120"/>
        <w:jc w:val="left"/>
        <w:rPr>
          <w:rFonts w:ascii="Arial;sans-serif" w:hAnsi="Arial;sans-serif"/>
          <w:b/>
          <w:color w:val="74A333"/>
          <w:sz w:val="18"/>
        </w:rPr>
      </w:pPr>
      <w:r>
        <w:rPr>
          <w:rFonts w:ascii="Arial;sans-serif" w:hAnsi="Arial;sans-serif"/>
          <w:b/>
          <w:color w:val="74A333"/>
          <w:sz w:val="18"/>
        </w:rPr>
        <w:t>Earned Relative TSR PSU Awards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As noted above, the PSUs granted to our Named Executive Officers in 2025 include an interim payout opportunity after the end of the first and second years of the three-year performance period. Shares associated with the one-year performance period (one-third of total shares) are capped at the target level payout, while shares associated with the two-year performance period (one-third of total shares) may be earned at up to 200% of the target level payout, based on relative TSR performance and continued service through the end of each applicable year.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For the first year covered by the PSUs granted to our Named Executive Officers in 2025, we outperformed on a TSR basis the median issuer in our designated TSR industry peer group, resulting in payouts of 100% of target. For the second year covered by the PSUs granted to our Named Executive Officers in 2024, we outperformed on a TSR basis the median issuer in our designated TSR industry peer group, resulting in payouts of 111% of target. For the third year covered by the PSUs granted to our Named Executive Officers in 2023, we outperformed on a TSR basis the median issuer in our designated TSR industry peer group, resulting in payouts of 199% of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0885"/>
                <wp:effectExtent l="0" t="0" r="0" b="0"/>
                <wp:wrapNone/>
                <wp:docPr id="65" name="Frame4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8715" w:type="dxa"/>
        <w:jc w:val="left"/>
        <w:tblInd w:w="0" w:type="dxa"/>
        <w:tblLayout w:type="fixed"/>
        <w:tblCellMar>
          <w:top w:w="28" w:type="dxa"/>
          <w:left w:w="28" w:type="dxa"/>
          <w:bottom w:w="28" w:type="dxa"/>
          <w:right w:w="28" w:type="dxa"/>
        </w:tblCellMar>
      </w:tblPr>
      <w:tblGrid>
        <w:gridCol w:w="124"/>
        <w:gridCol w:w="109"/>
        <w:gridCol w:w="109"/>
        <w:gridCol w:w="459"/>
        <w:gridCol w:w="459"/>
        <w:gridCol w:w="462"/>
        <w:gridCol w:w="359"/>
        <w:gridCol w:w="359"/>
        <w:gridCol w:w="361"/>
        <w:gridCol w:w="854"/>
        <w:gridCol w:w="854"/>
        <w:gridCol w:w="857"/>
        <w:gridCol w:w="109"/>
        <w:gridCol w:w="109"/>
        <w:gridCol w:w="109"/>
        <w:gridCol w:w="379"/>
        <w:gridCol w:w="379"/>
        <w:gridCol w:w="381"/>
        <w:gridCol w:w="109"/>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Award Tranche</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SI-BONE TSR Performance vs. Median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Tranche Payout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Shares Released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Francis</w:t>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FY25 Tranche 1</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+43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30,579 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FY24 Tranche 2</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+5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111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37,099 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FY23 Tranche 3</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+49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83,533 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FY25 Tranche 1</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+43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7,955 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FY24 Tranche 2</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+5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6,266 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FY23 Tranche 3</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+49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22,781 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Recupero</w:t>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FY25 Tranche 1</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+43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6,215 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FY24 Tranche 2</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+5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111</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6,266 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FY23 Tranche 3</w:t>
            </w:r>
          </w:p>
        </w:tc>
        <w:tc>
          <w:tcPr>
            <w:tcW w:w="256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+49 Points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199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22,781 </w:t>
            </w:r>
          </w:p>
        </w:tc>
        <w:tc>
          <w:tcPr>
            <w:tcW w:w="3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FY25 Tranche 1</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+43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6,464 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FY24 Tranche 2</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+5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5,013 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FY23 Tranche 3</w:t>
            </w:r>
          </w:p>
        </w:tc>
        <w:tc>
          <w:tcPr>
            <w:tcW w:w="2565"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+49 Points</w:t>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199</w:t>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22,781 </w:t>
            </w:r>
          </w:p>
        </w:tc>
        <w:tc>
          <w:tcPr>
            <w:tcW w:w="39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2025 Financial PSU Results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Earned Financial PSUs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fiscal year 2025, performance under the FPSUs was certified by the Compensation Committee as follows: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Revenue Growth (60% weighting) was achieved at 120% of target, resulting in a weighted contribution of 72%;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Adjusted EBITDA (40% weighting) was achieved at 200% of target, resulting in a weighted contribution of 80%.</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Based on this performance, the overall achievement level for the 2025 FPSUs was 152% of target.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Accordingly, the Chief Executive Officer earned 46,480 shares, representing 152% of the 30,579 target shares granted (subject to continued service-based vesting as described above).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Actual fiscal year 2025 results were:</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Revenue of $200.9 million; and</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Adjusted EBITDA of $8.9 million.</w:t>
      </w:r>
    </w:p>
    <w:p>
      <w:pPr>
        <w:pStyle w:val="TextBody"/>
        <w:bidi w:val="0"/>
        <w:spacing w:lineRule="auto" w:line="288" w:before="60" w:after="120"/>
        <w:jc w:val="both"/>
        <w:rPr>
          <w:rFonts w:ascii="Arial;sans-serif" w:hAnsi="Arial;sans-serif"/>
          <w:b w:val="false"/>
          <w:color w:val="000000"/>
          <w:sz w:val="18"/>
        </w:rPr>
      </w:pPr>
      <w:r>
        <w:rPr>
          <w:rFonts w:ascii="Arial;sans-serif" w:hAnsi="Arial;sans-serif"/>
          <w:b w:val="false"/>
          <w:color w:val="000000"/>
          <w:sz w:val="18"/>
        </w:rPr>
        <w:t>Consistent with the award structure, 33% of the earned shares vested following certification of performance, with the remaining shares vesting in equal quarterly installments over the subsequent two years, subject to continued service.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EMPLOYMENT ARRANGEMENTS</w:t>
      </w:r>
    </w:p>
    <w:p>
      <w:pPr>
        <w:pStyle w:val="TextBody"/>
        <w:bidi w:val="0"/>
        <w:spacing w:lineRule="auto" w:line="288" w:before="120" w:after="120"/>
        <w:jc w:val="both"/>
        <w:rPr/>
      </w:pPr>
      <w:r>
        <w:rPr>
          <w:rFonts w:ascii="Arial;sans-serif" w:hAnsi="Arial;sans-serif"/>
          <w:b w:val="false"/>
          <w:color w:val="000000"/>
          <w:sz w:val="18"/>
        </w:rPr>
        <w:t xml:space="preserve">We have offer letters with each of our Named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Any severance provisions of the Named Executive Officers’ offer letters were superseded by the SI-BONE, Inc. Severance Benefit Plan (the </w:t>
      </w:r>
      <w:r>
        <w:rPr>
          <w:color w:val="000000"/>
        </w:rPr>
        <w:t>“</w:t>
      </w:r>
      <w:r>
        <w:rPr>
          <w:rFonts w:ascii="Arial;sans-serif" w:hAnsi="Arial;sans-serif"/>
          <w:b/>
          <w:color w:val="000000"/>
          <w:sz w:val="18"/>
        </w:rPr>
        <w:t>Severance Plan</w:t>
      </w:r>
      <w:r>
        <w:rPr>
          <w:color w:val="000000"/>
        </w:rPr>
        <w:t>”</w:t>
      </w:r>
      <w:r>
        <w:rPr>
          <w:rFonts w:ascii="Arial;sans-serif" w:hAnsi="Arial;sans-serif"/>
          <w:b w:val="false"/>
          <w:color w:val="000000"/>
          <w:sz w:val="18"/>
        </w:rPr>
        <w:t>) . In addition, each of our executive officers has executed our standard proprietary information and inventions agreement.</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Welfare and Health Benefits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provide medical and life insurance benefits to our Named Executive Officers, on the same basis as all of our full-time employees, and therefore are excluded from the Summary Compensation table. These benefits include health, dental and vision benefits, health and dependent care flexible spending accounts, short-term and long-term disability insurance, accidental death and dismemberment insurance, a basic life insurance coverage. We also provide vacation and other paid holidays to all employees, including our executive officers. We do not offer our employees a non-qualified deferred compensation plan or pension plan.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0885"/>
                <wp:effectExtent l="0" t="0" r="0" b="0"/>
                <wp:wrapNone/>
                <wp:docPr id="66" name="Frame4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Perquisites and Other Personal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2025, none of the Named Executive Officers received perquisites or other personal benefits that were, in the aggregate, $10,000 or more for such Named Executive Officer.</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Severance and Change in Control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Regardless of the manner in which a Named Executive Officer’s service terminates, the Named Executive Officer is entitled to receive amounts earned during his or her term of service, including salary and unused vacation pay.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maintain the Severance Plan that provides severance protection to certain Company employees, including each of our Named Executive Officers. The Severance Plan provides for “double trigger” benefits upon involuntary terminations that occur in connection with a change in control and outside of the change-in-control context. Our Compensation Committee periodically reviews the severance and change in control benefits that we provide, including by reference to market data, to ensure that the benefits remain appropriately structured and at reasonable levels.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believes severance benefits are necessary to provide stability among our executive officers, serve to focus our executive officers on our business operations, and avoid distractions in connection with a potential change in control transaction or period of uncertainty. A more detailed description of the Severance Plan and each of our Named Executive Officer’s potential payments and benefits upon a termination or change in control is provided below under “Potential Payments upon Termination or Change in Control.”</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OTHER COMPENSATION POLICIES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Stock Ownership Policy</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We believe that stock ownership by our non-employee directors and executive officers, including our Named Executive Officers, is important to link the risks and rewards inherent in stock ownership of these individuals and our stockholders. The Compensation Committee has adopted a stock ownership policy that requires our non-employee directors and executive officers to own a minimum number of shares of our common stock. These mandatory ownership levels are intended to create a clear standard that ties a portion of these individuals’ net worth to the performance of our stock price. The current ownership requirements are as follows:</w:t>
      </w:r>
    </w:p>
    <w:tbl>
      <w:tblPr>
        <w:tblW w:w="6642" w:type="dxa"/>
        <w:jc w:val="left"/>
        <w:tblInd w:w="0" w:type="dxa"/>
        <w:tblLayout w:type="fixed"/>
        <w:tblCellMar>
          <w:top w:w="28" w:type="dxa"/>
          <w:left w:w="28" w:type="dxa"/>
          <w:bottom w:w="28" w:type="dxa"/>
          <w:right w:w="28" w:type="dxa"/>
        </w:tblCellMar>
      </w:tblPr>
      <w:tblGrid>
        <w:gridCol w:w="124"/>
        <w:gridCol w:w="109"/>
        <w:gridCol w:w="109"/>
        <w:gridCol w:w="637"/>
        <w:gridCol w:w="637"/>
        <w:gridCol w:w="646"/>
        <w:gridCol w:w="1283"/>
        <w:gridCol w:w="1283"/>
        <w:gridCol w:w="1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Title</w:t>
            </w:r>
          </w:p>
        </w:tc>
        <w:tc>
          <w:tcPr>
            <w:tcW w:w="438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6"/>
              </w:rPr>
            </w:pPr>
            <w:r>
              <w:rPr>
                <w:rFonts w:ascii="Arial;sans-serif" w:hAnsi="Arial;sans-serif"/>
                <w:b/>
                <w:color w:val="000000"/>
                <w:sz w:val="16"/>
              </w:rPr>
              <w:t>Minimum Required Level of Stock Ownership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Chief Executive Officer</w:t>
            </w:r>
          </w:p>
        </w:tc>
        <w:tc>
          <w:tcPr>
            <w:tcW w:w="4380" w:type="dxa"/>
            <w:gridSpan w:val="3"/>
            <w:tcBorders/>
            <w:shd w:fill="EDED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Value equivalent to three times annual salary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Other Executive Officers</w:t>
            </w:r>
          </w:p>
        </w:tc>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Value equivalent to annual salary</w:t>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Non-Employee Directors</w:t>
            </w:r>
          </w:p>
        </w:tc>
        <w:tc>
          <w:tcPr>
            <w:tcW w:w="4380"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Value equivalent to three times annual Board cash retainer</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non-employee Director guideline is based on the annual Board cash retainer and excludes additional cash retainers paid for Board committee service or for service as Chairperson or Lead Independent Director. Shares that count toward satisfaction of these ownership requirements include shares owned by the executive, including shares purchased on the open market. Unexercised options and unvested RSUs and PSUs do not count toward these ownership requirements. Executives have five years to comply with the applicable stock ownership requirement.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the end of fiscal year 2025, our CEO, each of our other Named Executive Officers, and each of our non-employee Directors had satisfied his or her required stock ownership level or was on track to do so.</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 xml:space="preserve">Compensation Recoupment Policy </w:t>
      </w:r>
    </w:p>
    <w:p>
      <w:pPr>
        <w:pStyle w:val="TextBody"/>
        <w:bidi w:val="0"/>
        <w:spacing w:lineRule="auto" w:line="288" w:before="120" w:after="120"/>
        <w:jc w:val="both"/>
        <w:rPr/>
      </w:pPr>
      <w:r>
        <w:rPr>
          <w:rFonts w:ascii="Arial;sans-serif" w:hAnsi="Arial;sans-serif"/>
          <w:b w:val="false"/>
          <w:color w:val="000000"/>
          <w:sz w:val="18"/>
        </w:rPr>
        <w:t>In 2023, our Board of Directors adopted a new Compensation Recoupment Policy (“</w:t>
      </w:r>
      <w:r>
        <w:rPr>
          <w:rFonts w:ascii="Arial;sans-serif" w:hAnsi="Arial;sans-serif"/>
          <w:b/>
          <w:color w:val="000000"/>
          <w:sz w:val="18"/>
        </w:rPr>
        <w:t>Clawback Policy</w:t>
      </w:r>
      <w:r>
        <w:rPr>
          <w:color w:val="000000"/>
        </w:rPr>
        <w:t>”</w:t>
      </w:r>
      <w:r>
        <w:rPr>
          <w:rFonts w:ascii="Arial;sans-serif" w:hAnsi="Arial;sans-serif"/>
          <w:b w:val="false"/>
          <w:color w:val="000000"/>
          <w:sz w:val="18"/>
        </w:rPr>
        <w:t>) applicable to our CEO and all of our current and former executive officers. Under this policy, our Compensation Committee is obligated to recover excess incentive compensation received by any executive officer covered by our Clawback Policy on or after October 2, 2023, if any, in the event SI-BONE is required to prepare an accounting restatement due to material noncompliance with any financial reporting requirement under the securities laws. For purposes of this policy, excess incentive compensation means the amount of certain incentive-based compensation actually received by the covered executive officer, minus the amount of such incentive-based compensation that otherwise would have been received had the incentive compensation been determined based on the applicable restated amounts. The Compensation Committee will not consider the executive officer’s responsibility or fault in enforcing our Clawback Policy to recoup the amount described above.</w:t>
      </w:r>
    </w:p>
    <w:p>
      <w:pPr>
        <w:pStyle w:val="TextBody"/>
        <w:bidi w:val="0"/>
        <w:spacing w:lineRule="auto" w:line="288" w:before="120" w:after="120"/>
        <w:jc w:val="both"/>
        <w:rPr/>
      </w:pPr>
      <w:r>
        <w:rPr>
          <w:rFonts w:ascii="Arial;sans-serif" w:hAnsi="Arial;sans-serif"/>
          <w:b w:val="false"/>
          <w:color w:val="000000"/>
          <w:sz w:val="18"/>
        </w:rPr>
        <w:t>This Policy is intended to comply with, and will be interpreted in a manner consistent with, Section 10D of the Securities Exchange Act of 1934 (the “</w:t>
      </w:r>
      <w:r>
        <w:rPr>
          <w:rFonts w:ascii="Arial;sans-serif" w:hAnsi="Arial;sans-serif"/>
          <w:b/>
          <w:color w:val="000000"/>
          <w:sz w:val="18"/>
        </w:rPr>
        <w:t>Exchange Act</w:t>
      </w:r>
      <w:r>
        <w:rPr>
          <w:color w:val="000000"/>
        </w:rPr>
        <w:t>”</w:t>
      </w:r>
      <w:r>
        <w:rPr>
          <w:rFonts w:ascii="Arial;sans-serif" w:hAnsi="Arial;sans-serif"/>
          <w:b w:val="false"/>
          <w:color w:val="000000"/>
          <w:sz w:val="18"/>
        </w:rPr>
        <w:t>), with Exchange Act Rule 10D-1 and with the Nasdaq listing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0885"/>
                <wp:effectExtent l="0" t="0" r="0" b="0"/>
                <wp:wrapNone/>
                <wp:docPr id="67" name="Frame4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Hedging and Pledging Policies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Under our Insider Trading Policy, no director, employee or consultant to SI-BONE may engage in short sales, transactions in put or call options, hedging transactions, margin accounts, pledges, or other inherently speculative transactions with respect to our stock at any time.</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RISK ASSESSMENT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consultation with management and Compensia, our Compensation Committee’s independent compensation consultant, in September 2024 our Compensation Committee assessed our compensation plans, policies and practices for our Named Executive Officers and other employees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variable pay components. Our Compensation Committee conducts this assessment annually. </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 xml:space="preserve">TAX AND ACCOUNTING CONSIDERATIONS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takes the applicable tax and accounting requirements into consideration in designing and overseeing our executive compensation program.</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Deductibility of Executive Compensation</w:t>
      </w:r>
    </w:p>
    <w:p>
      <w:pPr>
        <w:pStyle w:val="TextBody"/>
        <w:bidi w:val="0"/>
        <w:spacing w:lineRule="auto" w:line="288" w:before="120" w:after="120"/>
        <w:jc w:val="both"/>
        <w:rPr/>
      </w:pPr>
      <w:r>
        <w:rPr>
          <w:rFonts w:ascii="Arial;sans-serif" w:hAnsi="Arial;sans-serif"/>
          <w:b w:val="false"/>
          <w:color w:val="000000"/>
          <w:sz w:val="18"/>
        </w:rPr>
        <w:t>For federal income tax purposes, publicly traded companies may be prohibited from deducting employee remuneration in excess of $1 million paid to certain “covered employees,” which may include certain Named Executive Officers, including, but not limited to, our Chief Executive Officer and Chief Financial Officer, under Section 162(m) of the Internal Revenue Code (the “</w:t>
      </w:r>
      <w:r>
        <w:rPr>
          <w:rFonts w:ascii="Arial;sans-serif" w:hAnsi="Arial;sans-serif"/>
          <w:b/>
          <w:color w:val="000000"/>
          <w:sz w:val="18"/>
        </w:rPr>
        <w:t>Code</w:t>
      </w:r>
      <w:r>
        <w:rPr>
          <w:color w:val="000000"/>
        </w:rPr>
        <w:t>”</w:t>
      </w:r>
      <w:r>
        <w:rPr>
          <w:rFonts w:ascii="Arial;sans-serif" w:hAnsi="Arial;sans-serif"/>
          <w:b w:val="false"/>
          <w:color w:val="000000"/>
          <w:sz w:val="18"/>
        </w:rPr>
        <w:t>). Even if Section 162(m) may limit the compensation deduction, our Board of Directors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Section 409A Considerations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Section 409A of the Code affects the manner by which deferred compensation opportunities are offered to our employees because Section 409A requires, among other things, that “non-qualified deferred compensation” be structured in a manner that limits employees’ ability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Accounting for Stock-Based Compensation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Report of the Compensation Committee of the Board of Directors</w:t>
      </w:r>
    </w:p>
    <w:p>
      <w:pPr>
        <w:pStyle w:val="TextBody"/>
        <w:bidi w:val="0"/>
        <w:spacing w:lineRule="auto" w:line="288" w:before="120" w:after="120"/>
        <w:jc w:val="both"/>
        <w:rPr/>
      </w:pPr>
      <w:r>
        <w:rPr>
          <w:rFonts w:ascii="Arial;sans-serif" w:hAnsi="Arial;sans-serif"/>
          <w:b w:val="false"/>
          <w:color w:val="000000"/>
          <w:sz w:val="18"/>
        </w:rPr>
        <w:t>Our Compensation Committee has reviewed and discussed with management this Compensation Discussion and Analysis (“</w:t>
      </w:r>
      <w:r>
        <w:rPr>
          <w:rFonts w:ascii="Arial;sans-serif" w:hAnsi="Arial;sans-serif"/>
          <w:b/>
          <w:color w:val="000000"/>
          <w:sz w:val="18"/>
        </w:rPr>
        <w:t>CD&amp;A</w:t>
      </w:r>
      <w:r>
        <w:rPr>
          <w:color w:val="000000"/>
        </w:rPr>
        <w:t>”</w:t>
      </w:r>
      <w:r>
        <w:rPr>
          <w:rFonts w:ascii="Arial;sans-serif" w:hAnsi="Arial;sans-serif"/>
          <w:b w:val="false"/>
          <w:color w:val="000000"/>
          <w:sz w:val="18"/>
        </w:rPr>
        <w:t>). Based on that review and discussion, we recommended to our Board that the CD&amp;A be included in this Proxy Statement and incorporated into our Annual Report on Form 10-K for the fiscal year ended December 31, 2025.</w:t>
      </w:r>
    </w:p>
    <w:p>
      <w:pPr>
        <w:pStyle w:val="TextBody"/>
        <w:bidi w:val="0"/>
        <w:spacing w:lineRule="auto" w:line="288" w:before="60" w:after="60"/>
        <w:jc w:val="both"/>
        <w:rPr>
          <w:rFonts w:ascii="Arial;sans-serif" w:hAnsi="Arial;sans-serif"/>
          <w:b/>
          <w:color w:val="000000"/>
          <w:sz w:val="18"/>
        </w:rPr>
      </w:pPr>
      <w:r>
        <w:rPr>
          <w:rFonts w:ascii="Arial;sans-serif" w:hAnsi="Arial;sans-serif"/>
          <w:b/>
          <w:color w:val="000000"/>
          <w:sz w:val="18"/>
        </w:rPr>
        <w:t>Timothy E. Davis, Jr. (Chairperson)</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Gregory K. Hinckley</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Thomas A. West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0885"/>
                <wp:effectExtent l="0" t="0" r="0" b="0"/>
                <wp:wrapNone/>
                <wp:docPr id="68" name="Frame4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SUMMARY COMPENSATION TABLE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shows for the fiscal years ended 2025, 2024 and 2023 compensation awarded to or paid to, or earned by, our Named Executive Officers.</w:t>
      </w:r>
    </w:p>
    <w:tbl>
      <w:tblPr>
        <w:tblW w:w="9725" w:type="dxa"/>
        <w:jc w:val="left"/>
        <w:tblInd w:w="0" w:type="dxa"/>
        <w:tblLayout w:type="fixed"/>
        <w:tblCellMar>
          <w:top w:w="28" w:type="dxa"/>
          <w:left w:w="28" w:type="dxa"/>
          <w:bottom w:w="28" w:type="dxa"/>
          <w:right w:w="28" w:type="dxa"/>
        </w:tblCellMar>
      </w:tblPr>
      <w:tblGrid>
        <w:gridCol w:w="124"/>
        <w:gridCol w:w="109"/>
        <w:gridCol w:w="109"/>
        <w:gridCol w:w="1023"/>
        <w:gridCol w:w="1023"/>
        <w:gridCol w:w="1028"/>
        <w:gridCol w:w="135"/>
        <w:gridCol w:w="135"/>
        <w:gridCol w:w="136"/>
        <w:gridCol w:w="323"/>
        <w:gridCol w:w="323"/>
        <w:gridCol w:w="176"/>
        <w:gridCol w:w="383"/>
        <w:gridCol w:w="383"/>
        <w:gridCol w:w="231"/>
        <w:gridCol w:w="934"/>
        <w:gridCol w:w="934"/>
        <w:gridCol w:w="937"/>
        <w:gridCol w:w="383"/>
        <w:gridCol w:w="383"/>
        <w:gridCol w:w="1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 and Principal Position</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Year</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Salary</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Stock</w:t>
            </w:r>
          </w:p>
          <w:p>
            <w:pPr>
              <w:pStyle w:val="TableContents"/>
              <w:bidi w:val="0"/>
              <w:spacing w:lineRule="auto" w:line="288" w:before="0" w:after="0"/>
              <w:jc w:val="right"/>
              <w:rPr/>
            </w:pPr>
            <w:r>
              <w:rPr>
                <w:rFonts w:ascii="Arial;sans-serif" w:hAnsi="Arial;sans-serif"/>
                <w:b/>
                <w:color w:val="000000"/>
                <w:sz w:val="14"/>
              </w:rPr>
              <w:t>Awards</w:t>
            </w:r>
            <w:r>
              <w:rPr>
                <w:rFonts w:ascii="Arial;sans-serif" w:hAnsi="Arial;sans-serif"/>
                <w:b/>
                <w:color w:val="000000"/>
                <w:sz w:val="9"/>
              </w:rPr>
              <w:t>(1)</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28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Non-Equity Incentive Plan Compensation</w:t>
            </w:r>
            <w:r>
              <w:rPr>
                <w:rFonts w:ascii="Arial;sans-serif" w:hAnsi="Arial;sans-serif"/>
                <w:b/>
                <w:color w:val="000000"/>
                <w:sz w:val="9"/>
              </w:rPr>
              <w:t>(2)</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Total</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Laura A. Francis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Chief Executive Officer</w:t>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685,000 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6,038,710 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729,525 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7,453,235 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2024</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652,000 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5,793,445 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641,959 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7,087,404 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2023</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622,120 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2,449,257 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642,494 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3,713,871 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Anshul Maheshwari</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Chief Operating Officer &amp; Chief Financial Officer</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496,668 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1,977,240 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317,371 </w:t>
            </w:r>
          </w:p>
        </w:tc>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2,791,279 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2024</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464,167 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1,726,897 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279,289 </w:t>
            </w:r>
          </w:p>
        </w:tc>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2,470,353 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2023</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439,000 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1,154,988 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266,693 </w:t>
            </w:r>
          </w:p>
        </w:tc>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1,860,681 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Anthony J. Recupero</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Former President, Commercial Operations</w:t>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500,580 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1,544,730 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399,838 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2,445,148 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2024</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486,000 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1,678,774 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398,763 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2,563,537 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2023</w:t>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472,000 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1,154,988 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430,110 </w:t>
            </w:r>
          </w:p>
        </w:tc>
        <w:tc>
          <w:tcPr>
            <w:tcW w:w="93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2,057,098 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Michael A. Pisetsky</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Chief Business &amp; Legal Affairs Officer</w:t>
            </w:r>
          </w:p>
        </w:tc>
        <w:tc>
          <w:tcPr>
            <w:tcW w:w="40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64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493,407 </w:t>
            </w:r>
          </w:p>
        </w:tc>
        <w:tc>
          <w:tcPr>
            <w:tcW w:w="17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1,606,500 </w:t>
            </w:r>
          </w:p>
        </w:tc>
        <w:tc>
          <w:tcPr>
            <w:tcW w:w="23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262,739 </w:t>
            </w:r>
          </w:p>
        </w:tc>
        <w:tc>
          <w:tcPr>
            <w:tcW w:w="937"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2,362,646 </w:t>
            </w:r>
          </w:p>
        </w:tc>
        <w:tc>
          <w:tcPr>
            <w:tcW w:w="14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1.Represents the aggregate grant date fair value of restricted stock units and performance based restricted stock units granted to the officer, computed in accordance with FASB ASC Topic 718. See “Note 10 to the Consolidated Financial Statements” included in our Annual Report on Form 10-K filed with the SEC on February 24, 2026 for the assumptions used in calculating the grant date fair value. These amounts do not reflect the actual economic value that may be realized from such awards. </w:t>
      </w:r>
    </w:p>
    <w:p>
      <w:pPr>
        <w:pStyle w:val="TextBody"/>
        <w:bidi w:val="0"/>
        <w:spacing w:lineRule="auto" w:line="333" w:before="0" w:after="120"/>
        <w:jc w:val="both"/>
        <w:rPr/>
      </w:pPr>
      <w:r>
        <w:rPr>
          <w:rFonts w:ascii="Arial;sans-serif" w:hAnsi="Arial;sans-serif"/>
          <w:b w:val="false"/>
          <w:color w:val="000000"/>
          <w:sz w:val="16"/>
        </w:rPr>
        <w:t>Ms. Francis received an RSU award including 122,315 shares, a Financial PSU (“</w:t>
      </w:r>
      <w:r>
        <w:rPr>
          <w:rFonts w:ascii="Arial;sans-serif" w:hAnsi="Arial;sans-serif"/>
          <w:b/>
          <w:color w:val="000000"/>
          <w:sz w:val="16"/>
        </w:rPr>
        <w:t>FPSU</w:t>
      </w:r>
      <w:r>
        <w:rPr>
          <w:color w:val="000000"/>
        </w:rPr>
        <w:t>”</w:t>
      </w:r>
      <w:r>
        <w:rPr>
          <w:rFonts w:ascii="Arial;sans-serif" w:hAnsi="Arial;sans-serif"/>
          <w:b w:val="false"/>
          <w:color w:val="000000"/>
          <w:sz w:val="16"/>
        </w:rPr>
        <w:t>) award with a target number of shares of 30,579 and share potential ranging from zero to a maximum of 61,158, and a TSR PSU award with a target number of shares of 91,736 shares and share potential ranging from zero to a maximum of 183,472 shares. Mr. Maheshwari received RSU award including 71,599 shares and a PSU award with a target number of shares of 23,866 shares and share potential ranging from zero to a maximum of 47,732 shares. Mr. Recupero received an RSU award including 55,937 shares and a PSU award with a target number of shares of 18,646 shares and share potential ranging from zero to a maximum of 37,291 shares. Mr. Pisetsky received an RSU award including 58,174 shares and a PSU award with a target number of shares of 19,391 shares and share potential ranging from zero to a maximum of 38,782 shares.</w:t>
      </w:r>
    </w:p>
    <w:p>
      <w:pPr>
        <w:pStyle w:val="TextBody"/>
        <w:bidi w:val="0"/>
        <w:spacing w:lineRule="auto" w:line="333" w:before="0" w:after="120"/>
        <w:jc w:val="both"/>
        <w:rPr>
          <w:rFonts w:ascii="Arial;sans-serif" w:hAnsi="Arial;sans-serif"/>
          <w:b w:val="false"/>
          <w:color w:val="000000"/>
          <w:sz w:val="16"/>
        </w:rPr>
      </w:pPr>
      <w:r>
        <w:rPr>
          <w:rFonts w:ascii="Arial;sans-serif" w:hAnsi="Arial;sans-serif"/>
          <w:b w:val="false"/>
          <w:color w:val="000000"/>
          <w:sz w:val="16"/>
        </w:rPr>
        <w:t>For the TSR PSUs granted in 2025, the grant date fair value in the table above is calculated in accordance with ASC Topic 718 and measured using a Monte Carlo simulation model since the TSR PSUs are subject to a market condition. Based on Monte Carlo valuation model, the grant date fair values of TSR PSUs made to Ms. Francis, Mr. Maheshwari, Mr. Recupero and Mr. Pisetsky in 2025 are $2,916,000, $758,625, $592,682, and $616,379 respectively. In the event that maximum performance is achieved, the value of the performance-based awards made to Ms. Francis, Mr. Maheshwari, Mr. Recupero and Mr. Pisetsky in 2025 at the date of grant would have been $3,122,693, $812,399, $634,693 and $660,070, respectively. For additional information on the PSUs granted to our named executive officers in 2025, see “Compensation Discussion and Analysis—Long-Term Incentive Compensation” above and footnote 2 to the table entitled “Grants of Plan-Based Awards.”</w:t>
      </w:r>
    </w:p>
    <w:p>
      <w:pPr>
        <w:pStyle w:val="TextBody"/>
        <w:bidi w:val="0"/>
        <w:spacing w:lineRule="auto" w:line="333" w:before="0" w:after="300"/>
        <w:ind w:left="0" w:right="0" w:hanging="360"/>
        <w:jc w:val="both"/>
        <w:rPr>
          <w:rFonts w:ascii="Arial;sans-serif" w:hAnsi="Arial;sans-serif"/>
          <w:b w:val="false"/>
          <w:color w:val="000000"/>
          <w:sz w:val="16"/>
        </w:rPr>
      </w:pPr>
      <w:r>
        <w:rPr>
          <w:rFonts w:ascii="Arial;sans-serif" w:hAnsi="Arial;sans-serif"/>
          <w:b w:val="false"/>
          <w:color w:val="000000"/>
          <w:sz w:val="16"/>
        </w:rPr>
        <w:t xml:space="preserve">2.Represents payments upon the achievement of 2025, 2024 and 2023 corporate goals, as applicable, as well as individual objectives, which were paid in the first quarter of 2026,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0885"/>
                <wp:effectExtent l="0" t="0" r="0" b="0"/>
                <wp:wrapNone/>
                <wp:docPr id="69" name="Frame5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GRANTS OF PLAN-BASED AWARDS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shows for the fiscal year ended December 31, 2025, certain information regarding grants of plan-based awards to the Named Executive Officers.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91"/>
        <w:gridCol w:w="296"/>
        <w:gridCol w:w="213"/>
        <w:gridCol w:w="197"/>
        <w:gridCol w:w="185"/>
        <w:gridCol w:w="185"/>
        <w:gridCol w:w="160"/>
        <w:gridCol w:w="160"/>
        <w:gridCol w:w="161"/>
        <w:gridCol w:w="505"/>
        <w:gridCol w:w="160"/>
        <w:gridCol w:w="130"/>
        <w:gridCol w:w="505"/>
        <w:gridCol w:w="160"/>
        <w:gridCol w:w="130"/>
        <w:gridCol w:w="505"/>
        <w:gridCol w:w="160"/>
        <w:gridCol w:w="130"/>
        <w:gridCol w:w="109"/>
        <w:gridCol w:w="109"/>
        <w:gridCol w:w="109"/>
        <w:gridCol w:w="456"/>
        <w:gridCol w:w="186"/>
        <w:gridCol w:w="127"/>
        <w:gridCol w:w="456"/>
        <w:gridCol w:w="133"/>
        <w:gridCol w:w="127"/>
        <w:gridCol w:w="456"/>
        <w:gridCol w:w="204"/>
        <w:gridCol w:w="127"/>
        <w:gridCol w:w="510"/>
        <w:gridCol w:w="249"/>
        <w:gridCol w:w="250"/>
        <w:gridCol w:w="155"/>
        <w:gridCol w:w="155"/>
        <w:gridCol w:w="156"/>
        <w:gridCol w:w="579"/>
        <w:gridCol w:w="242"/>
        <w:gridCol w:w="243"/>
        <w:gridCol w:w="109"/>
        <w:gridCol w:w="109"/>
        <w:gridCol w:w="1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56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 xml:space="preserve">Award </w:t>
            </w:r>
          </w:p>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Type</w:t>
            </w:r>
          </w:p>
        </w:tc>
        <w:tc>
          <w:tcPr>
            <w:tcW w:w="4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Grant Date</w:t>
            </w:r>
          </w:p>
        </w:tc>
        <w:tc>
          <w:tcPr>
            <w:tcW w:w="238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 xml:space="preserve">Estimated Future Payouts Under Non-Equity Incentive Plan Awards </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Estimated Future Payouts Under Equity Incentive Plan Awards</w:t>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All Other Stock Award: Number of Shares of Stock or Units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Grant Date Fair Value of Stock Awards</w:t>
            </w:r>
            <w:r>
              <w:rPr>
                <w:rFonts w:ascii="Arial;sans-serif" w:hAnsi="Arial;sans-serif"/>
                <w:b/>
                <w:color w:val="000000"/>
                <w:sz w:val="9"/>
              </w:rPr>
              <w:t>(2)</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tcMar>
              <w:top w:w="0" w:type="dxa"/>
              <w:left w:w="0" w:type="dxa"/>
              <w:bottom w:w="0" w:type="dxa"/>
              <w:right w:w="0" w:type="dxa"/>
            </w:tcMar>
            <w:vAlign w:val="center"/>
          </w:tcPr>
          <w:p>
            <w:pPr>
              <w:pStyle w:val="Normal"/>
              <w:bidi w:val="0"/>
              <w:jc w:val="left"/>
              <w:rPr/>
            </w:pPr>
            <w:r>
              <w:rPr/>
            </w:r>
          </w:p>
        </w:tc>
        <w:tc>
          <w:tcPr>
            <w:tcW w:w="567" w:type="dxa"/>
            <w:gridSpan w:val="3"/>
            <w:vMerge w:val="continue"/>
            <w:tcBorders/>
            <w:tcMar>
              <w:top w:w="0" w:type="dxa"/>
              <w:left w:w="0" w:type="dxa"/>
              <w:bottom w:w="0" w:type="dxa"/>
              <w:right w:w="0" w:type="dxa"/>
            </w:tcMar>
            <w:vAlign w:val="center"/>
          </w:tcPr>
          <w:p>
            <w:pPr>
              <w:pStyle w:val="Normal"/>
              <w:bidi w:val="0"/>
              <w:jc w:val="left"/>
              <w:rPr/>
            </w:pPr>
            <w:r>
              <w:rPr/>
            </w:r>
          </w:p>
        </w:tc>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Threshold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Maximum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Threshold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1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Target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8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Maximum</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Laura A. Francis</w:t>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Annual Cash Bonus</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548,000 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685,000 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959,000 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100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RSU Award</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59"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122,315 </w:t>
            </w:r>
          </w:p>
        </w:tc>
        <w:tc>
          <w:tcPr>
            <w:tcW w:w="25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w:t>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2,081,801 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FPSU Award</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642"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30,579 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61,158 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(4)</w:t>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1,040,909 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PSU Award</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642"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91,736 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183,472 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w:t>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2,916,000 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Anshul Maheshwari</w:t>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Annual Cash Bonus</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238,401 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298,001 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417,201 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0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tcMar>
              <w:top w:w="0" w:type="dxa"/>
              <w:left w:w="0" w:type="dxa"/>
              <w:bottom w:w="0" w:type="dxa"/>
              <w:right w:w="0" w:type="dxa"/>
            </w:tcMar>
            <w:vAlign w:val="center"/>
          </w:tcPr>
          <w:p>
            <w:pPr>
              <w:pStyle w:val="Normal"/>
              <w:bidi w:val="0"/>
              <w:jc w:val="left"/>
              <w:rPr/>
            </w:pPr>
            <w:r>
              <w:rPr/>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RSU Award</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71,599 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w:t>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1,218,615 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tcMar>
              <w:top w:w="0" w:type="dxa"/>
              <w:left w:w="0" w:type="dxa"/>
              <w:bottom w:w="0" w:type="dxa"/>
              <w:right w:w="0" w:type="dxa"/>
            </w:tcMar>
            <w:vAlign w:val="center"/>
          </w:tcPr>
          <w:p>
            <w:pPr>
              <w:pStyle w:val="Normal"/>
              <w:bidi w:val="0"/>
              <w:jc w:val="left"/>
              <w:rPr/>
            </w:pPr>
            <w:r>
              <w:rPr/>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PSU Award</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47,732 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758,625 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Anthony J. Recupero</w:t>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Annual Cash Bonus</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300,348 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375,435 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525,609 </w:t>
            </w:r>
          </w:p>
        </w:tc>
        <w:tc>
          <w:tcPr>
            <w:tcW w:w="13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100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RSU Award</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59"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55,937 </w:t>
            </w:r>
          </w:p>
        </w:tc>
        <w:tc>
          <w:tcPr>
            <w:tcW w:w="25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w:t>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952,048 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567"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PSU Award</w:t>
            </w:r>
          </w:p>
        </w:tc>
        <w:tc>
          <w:tcPr>
            <w:tcW w:w="48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642"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18,646 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37,291 </w:t>
            </w:r>
          </w:p>
        </w:tc>
        <w:tc>
          <w:tcPr>
            <w:tcW w:w="12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p>
        </w:tc>
        <w:tc>
          <w:tcPr>
            <w:tcW w:w="8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592,682 </w:t>
            </w:r>
          </w:p>
        </w:tc>
        <w:tc>
          <w:tcPr>
            <w:tcW w:w="243"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restart"/>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Michael A. Pisetsky</w:t>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Annual Cash Bonus</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197,363 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246,704 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345,385 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0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466" w:type="dxa"/>
            <w:gridSpan w:val="3"/>
            <w:tcBorders/>
            <w:tcMar>
              <w:top w:w="0" w:type="dxa"/>
              <w:left w:w="0" w:type="dxa"/>
              <w:bottom w:w="0" w:type="dxa"/>
              <w:right w:w="0" w:type="dxa"/>
            </w:tcMar>
            <w:vAlign w:val="center"/>
          </w:tcPr>
          <w:p>
            <w:pPr>
              <w:pStyle w:val="TableContents"/>
              <w:bidi w:val="0"/>
              <w:spacing w:before="0" w:after="0"/>
              <w:ind w:left="0" w:right="0" w:hanging="219"/>
              <w:jc w:val="right"/>
              <w:rPr/>
            </w:pPr>
            <w:r>
              <w:rPr/>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bottom w:val="single" w:sz="12" w:space="0" w:color="74A333"/>
            </w:tcBorders>
            <w:tcMar>
              <w:top w:w="0" w:type="dxa"/>
              <w:left w:w="0" w:type="dxa"/>
              <w:bottom w:w="30" w:type="dxa"/>
              <w:right w:w="0" w:type="dxa"/>
            </w:tcMar>
            <w:vAlign w:val="center"/>
          </w:tcPr>
          <w:p>
            <w:pPr>
              <w:pStyle w:val="Normal"/>
              <w:bidi w:val="0"/>
              <w:jc w:val="left"/>
              <w:rPr/>
            </w:pPr>
            <w:r>
              <w:rPr/>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RSU Award</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9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6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58,174</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w:t>
            </w:r>
          </w:p>
        </w:tc>
        <w:tc>
          <w:tcPr>
            <w:tcW w:w="8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990,121 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vMerge w:val="continue"/>
            <w:tcBorders>
              <w:bottom w:val="single" w:sz="12" w:space="0" w:color="74A333"/>
            </w:tcBorders>
            <w:tcMar>
              <w:top w:w="0" w:type="dxa"/>
              <w:left w:w="0" w:type="dxa"/>
              <w:bottom w:w="30" w:type="dxa"/>
              <w:right w:w="0" w:type="dxa"/>
            </w:tcMar>
            <w:vAlign w:val="center"/>
          </w:tcPr>
          <w:p>
            <w:pPr>
              <w:pStyle w:val="Normal"/>
              <w:bidi w:val="0"/>
              <w:jc w:val="left"/>
              <w:rPr/>
            </w:pPr>
            <w:r>
              <w:rPr/>
            </w:r>
          </w:p>
        </w:tc>
        <w:tc>
          <w:tcPr>
            <w:tcW w:w="567"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PSU Award</w:t>
            </w:r>
          </w:p>
        </w:tc>
        <w:tc>
          <w:tcPr>
            <w:tcW w:w="481"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2/3/2025</w:t>
            </w:r>
          </w:p>
        </w:tc>
        <w:tc>
          <w:tcPr>
            <w:tcW w:w="795"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795"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795"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642"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19,391</w:t>
            </w:r>
          </w:p>
        </w:tc>
        <w:tc>
          <w:tcPr>
            <w:tcW w:w="787"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38,782</w:t>
            </w:r>
          </w:p>
        </w:tc>
        <w:tc>
          <w:tcPr>
            <w:tcW w:w="1009"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46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p>
        </w:tc>
        <w:tc>
          <w:tcPr>
            <w:tcW w:w="821"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616,379 </w:t>
            </w:r>
          </w:p>
        </w:tc>
        <w:tc>
          <w:tcPr>
            <w:tcW w:w="243"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1.These amounts represent threshold, target, and maximum annual cash bonus amounts under the 2025 Bonus Plan for each named executive officer for fiscal year 2025, and do not represent actual compensation earned by our named executive officers for fiscal year 2025. Target bonuses were set as a percentage of each named executive officer’s base salary for fiscal year 2025 as follows: 100% for Ms. Francis, 60% for Mr. Maheshwari, 75% for Mr. Recupero, and 50% for Mr. Pisetsky. The threshold amounts were set at 80% of Target bonuses. The maximum amounts were set at 140% of Target bonuses. Refer to section titled “Compensation Elements” for our fiscal year 2025 Corporate Performance Objectives and Bonus Decisions.</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2.The amounts reported in this column do not reflect dollar amounts actually received by our named executive officers. Instead, these amounts reflect the grant date fair value of each RSU award, PSU and FPSU award, as applicable, granted during the fiscal year ended December 31, 2025, computed in accordance with the provisions of Topic 718. The assumptions used in calculating the grant date fair value of the equity awards reported in these columns are set forth in Note 10 to our audited consolidated financial statements included in our Annual Report on Form 10-K for the fiscal year ended December 31, 2025.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3.6.25% of the shares vest each quarter beginning February 15, 2025, subject to the named executive officer’s continuous service through each such vesting date.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4.The FPSU became eligible to vest based on achievement of pre-established Revenue Growth and Adjusted EBITDA goals for the applicable year. 33% of earned shares vest following certification of performance with the remaining shares vesting in equal quarterly installments over the subsequent two years, subject to the named executive officer’s continuous service through such vesting date.</w:t>
      </w:r>
    </w:p>
    <w:p>
      <w:pPr>
        <w:pStyle w:val="TextBody"/>
        <w:bidi w:val="0"/>
        <w:spacing w:lineRule="auto" w:line="333" w:before="0" w:after="120"/>
        <w:ind w:left="0" w:right="0" w:hanging="360"/>
        <w:jc w:val="both"/>
        <w:rPr>
          <w:rFonts w:ascii="Arial;sans-serif" w:hAnsi="Arial;sans-serif"/>
          <w:b w:val="false"/>
          <w:color w:val="000000"/>
          <w:sz w:val="16"/>
        </w:rPr>
      </w:pPr>
      <w:r>
        <w:rPr>
          <w:rFonts w:ascii="Arial;sans-serif" w:hAnsi="Arial;sans-serif"/>
          <w:b w:val="false"/>
          <w:color w:val="000000"/>
          <w:sz w:val="16"/>
        </w:rPr>
        <w:t>5.The PSUs granted became eligible to vest based on relative total shareholder return as compared to a group of industry peers in equal tranches over one-, two-, and three-year performance periods. No shares will be earned if the Company’s TSR is 50 percentage points below the group of industry peers during any performance period. Amounts reported in the “Maximum” column assume that 200% of the target PSUs will vest. The actual number of PSUs that became eligible to vest based on our performance is included in the “Stock Awards – Number of Shares or Units of Stock that Have Not Vested” column of the “Outstanding Equity Awards at December 31, 2025” table below. For additional information on the PSUs granted to our named executive officers in 2025, see “Compensation Discussion and Analysis—Long-term Incentive Compensation”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0885"/>
                <wp:effectExtent l="0" t="0" r="0" b="0"/>
                <wp:wrapNone/>
                <wp:docPr id="70" name="Frame5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OUTSTANDING EQUITY AWARDS AT DECEMBER 31,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shows, certain information regarding outstanding equity awards at December 31, 2025, for our Named Executive Officers:</w:t>
      </w:r>
    </w:p>
    <w:tbl>
      <w:tblPr>
        <w:tblW w:w="10226" w:type="dxa"/>
        <w:jc w:val="left"/>
        <w:tblInd w:w="0" w:type="dxa"/>
        <w:tblLayout w:type="fixed"/>
        <w:tblCellMar>
          <w:top w:w="28" w:type="dxa"/>
          <w:left w:w="28" w:type="dxa"/>
          <w:bottom w:w="28" w:type="dxa"/>
          <w:right w:w="28" w:type="dxa"/>
        </w:tblCellMar>
      </w:tblPr>
      <w:tblGrid>
        <w:gridCol w:w="124"/>
        <w:gridCol w:w="109"/>
        <w:gridCol w:w="109"/>
        <w:gridCol w:w="387"/>
        <w:gridCol w:w="286"/>
        <w:gridCol w:w="198"/>
        <w:gridCol w:w="155"/>
        <w:gridCol w:w="155"/>
        <w:gridCol w:w="156"/>
        <w:gridCol w:w="375"/>
        <w:gridCol w:w="375"/>
        <w:gridCol w:w="376"/>
        <w:gridCol w:w="300"/>
        <w:gridCol w:w="300"/>
        <w:gridCol w:w="301"/>
        <w:gridCol w:w="300"/>
        <w:gridCol w:w="300"/>
        <w:gridCol w:w="301"/>
        <w:gridCol w:w="271"/>
        <w:gridCol w:w="225"/>
        <w:gridCol w:w="226"/>
        <w:gridCol w:w="255"/>
        <w:gridCol w:w="255"/>
        <w:gridCol w:w="256"/>
        <w:gridCol w:w="109"/>
        <w:gridCol w:w="109"/>
        <w:gridCol w:w="109"/>
        <w:gridCol w:w="200"/>
        <w:gridCol w:w="200"/>
        <w:gridCol w:w="201"/>
        <w:gridCol w:w="576"/>
        <w:gridCol w:w="190"/>
        <w:gridCol w:w="191"/>
        <w:gridCol w:w="416"/>
        <w:gridCol w:w="230"/>
        <w:gridCol w:w="231"/>
        <w:gridCol w:w="536"/>
        <w:gridCol w:w="230"/>
        <w:gridCol w:w="2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Stock Awards</w:t>
            </w:r>
            <w:r>
              <w:rPr>
                <w:rFonts w:ascii="Arial;sans-serif" w:hAnsi="Arial;sans-serif"/>
                <w:b/>
                <w:color w:val="000000"/>
                <w:sz w:val="9"/>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Grant</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Date</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Vesting Commencement Date</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Securities Underlying Unexercised Options Vested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Securities Underlying Unexercised Options Unvested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Option Exercise Price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Number of Shares or Units of Stock That Have Not Vested</w:t>
            </w:r>
            <w:r>
              <w:rPr>
                <w:rFonts w:ascii="Arial;sans-serif" w:hAnsi="Arial;sans-serif"/>
                <w:b/>
                <w:color w:val="000000"/>
                <w:sz w:val="9"/>
              </w:rPr>
              <w:t>(1)</w:t>
            </w:r>
            <w:r>
              <w:rPr>
                <w:color w:val="000000"/>
              </w:rPr>
              <w:t xml:space="preserv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5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Market Value of Shares or Units of Stock That Have Not Vested</w:t>
            </w:r>
            <w:r>
              <w:rPr>
                <w:rFonts w:ascii="Arial;sans-serif" w:hAnsi="Arial;sans-serif"/>
                <w:b/>
                <w:color w:val="000000"/>
                <w:sz w:val="9"/>
              </w:rPr>
              <w:t>(1)</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Equity Incentive Plan Awards: Number of unearned shares, units or other rights that have not vested</w:t>
            </w:r>
            <w:r>
              <w:rPr>
                <w:rFonts w:ascii="Arial;sans-serif" w:hAnsi="Arial;sans-serif"/>
                <w:b/>
                <w:color w:val="000000"/>
                <w:sz w:val="9"/>
              </w:rPr>
              <w:t>(3)</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Equity Incentive Plan Awards: market or payout value of unearned shares, units or other rights that have not vested</w:t>
            </w:r>
            <w:r>
              <w:rPr>
                <w:color w:val="000000"/>
              </w:rPr>
              <w:t xml:space="preserve"> </w:t>
            </w:r>
            <w:r>
              <w:rPr>
                <w:rFonts w:ascii="Arial;sans-serif" w:hAnsi="Arial;sans-serif"/>
                <w:b/>
                <w:color w:val="000000"/>
                <w:sz w:val="9"/>
              </w:rPr>
              <w:t>(3)</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EDEDEE"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Laura A. Francis</w:t>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5,574 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01/15/29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01/07/22</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3,992</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78,722 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21,954</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432,933 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84,484 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1,666,024 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56,617</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1,116,487 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185,497 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3,658,001 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02/03/25</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02/15/25</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145,861</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2,876,379 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183,472 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3,618,068 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Anshul Maheshwari</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01/06/22</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2,613</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51,528 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17,962</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354,211 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23,041 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454,369 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28,691</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565,787 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31,334 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617,906 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02/03/25</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02/15/25</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58,174</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1,147,191 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47,732 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941,275 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EDEDEE"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Anthony J. Recupero</w:t>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07/26/16</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07/05/16</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99,190 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07/26/26</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12/12/17</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09/06/17</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53,943 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03/01/27</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42,700 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1/15/2029</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01/06/22</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4,354</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85,861 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17,962</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354,211 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23,041 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454,369 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28,691</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565,787 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31,334 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617,906 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EDEDEE" w:val="clear"/>
            <w:tcMar>
              <w:top w:w="0" w:type="dxa"/>
              <w:left w:w="0" w:type="dxa"/>
              <w:bottom w:w="0" w:type="dxa"/>
              <w:right w:w="0" w:type="dxa"/>
            </w:tcMar>
            <w:vAlign w:val="center"/>
          </w:tcPr>
          <w:p>
            <w:pPr>
              <w:pStyle w:val="Normal"/>
              <w:bidi w:val="0"/>
              <w:jc w:val="left"/>
              <w:rPr/>
            </w:pPr>
            <w:r>
              <w:rPr/>
            </w:r>
          </w:p>
        </w:tc>
        <w:tc>
          <w:tcPr>
            <w:tcW w:w="46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02/03/25</w:t>
            </w:r>
          </w:p>
        </w:tc>
        <w:tc>
          <w:tcPr>
            <w:tcW w:w="1126"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02/15/25</w:t>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45,449</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896,254 </w:t>
            </w:r>
          </w:p>
        </w:tc>
        <w:tc>
          <w:tcPr>
            <w:tcW w:w="19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37,291 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735,379 </w:t>
            </w:r>
          </w:p>
        </w:tc>
        <w:tc>
          <w:tcPr>
            <w:tcW w:w="23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Michael A. Pisetsky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01/15/19</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01/15/29</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01/06/22</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01/01/22</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2,903</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57,247 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01/06/23</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17,639</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347,841 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03/01/23</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01/01/23</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323</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25,546 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503,767 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01/04/24</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01/01/24</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22,953</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452,633 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25,068 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494,341 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02/03/25</w:t>
            </w:r>
          </w:p>
        </w:tc>
        <w:tc>
          <w:tcPr>
            <w:tcW w:w="112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02/15/25</w:t>
            </w:r>
          </w:p>
        </w:tc>
        <w:tc>
          <w:tcPr>
            <w:tcW w:w="600"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0"/>
              <w:jc w:val="right"/>
              <w:rPr/>
            </w:pPr>
            <w:r>
              <w:rPr/>
            </w:r>
          </w:p>
        </w:tc>
        <w:tc>
          <w:tcPr>
            <w:tcW w:w="601"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47,266</w:t>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932,086 </w:t>
            </w:r>
          </w:p>
        </w:tc>
        <w:tc>
          <w:tcPr>
            <w:tcW w:w="19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38,782 </w:t>
            </w:r>
          </w:p>
        </w:tc>
        <w:tc>
          <w:tcPr>
            <w:tcW w:w="23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764,781 </w:t>
            </w:r>
          </w:p>
        </w:tc>
        <w:tc>
          <w:tcPr>
            <w:tcW w:w="23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1.RSU awards are subject to vesting as to 6.25% of the shares each quarter through the fourth anniversary of the vesting commencement date.</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FPSU awards earned are subject to vesting as to 1/3 of the award on the first anniversary date of the vesting commencement date and the remaining 2/3 vesting in a series of eight equal quarterly installments.</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2.For purposes of determining market value of an award, we assumed a stock price of $19.72, the closing sale price per share of our common stock on December 31, 2025, the last business day of our last fiscal year.</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3.The share units related to PSU awards included in the “Equity Incentive Plan Awards: Number of unearned shares, units or other rights that have not vested” column that have not vested represents the maximum number of issuable shares under the awards. The target number of shares is 50% of the maximum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0885"/>
                <wp:effectExtent l="0" t="0" r="0" b="0"/>
                <wp:wrapNone/>
                <wp:docPr id="71" name="Frame5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OPTION EXERCISES AND STOCK VESTED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following table shows for the fiscal year ended December 31, 2025, certain information regarding stock vested and exercised during the last fiscal year with respect to the Named Executive Officers. </w:t>
      </w:r>
    </w:p>
    <w:tbl>
      <w:tblPr>
        <w:tblW w:w="9951" w:type="dxa"/>
        <w:jc w:val="left"/>
        <w:tblInd w:w="0" w:type="dxa"/>
        <w:tblLayout w:type="fixed"/>
        <w:tblCellMar>
          <w:top w:w="28" w:type="dxa"/>
          <w:left w:w="28" w:type="dxa"/>
          <w:bottom w:w="28" w:type="dxa"/>
          <w:right w:w="28" w:type="dxa"/>
        </w:tblCellMar>
      </w:tblPr>
      <w:tblGrid>
        <w:gridCol w:w="124"/>
        <w:gridCol w:w="109"/>
        <w:gridCol w:w="109"/>
        <w:gridCol w:w="472"/>
        <w:gridCol w:w="472"/>
        <w:gridCol w:w="481"/>
        <w:gridCol w:w="893"/>
        <w:gridCol w:w="893"/>
        <w:gridCol w:w="898"/>
        <w:gridCol w:w="359"/>
        <w:gridCol w:w="359"/>
        <w:gridCol w:w="361"/>
        <w:gridCol w:w="109"/>
        <w:gridCol w:w="109"/>
        <w:gridCol w:w="109"/>
        <w:gridCol w:w="864"/>
        <w:gridCol w:w="864"/>
        <w:gridCol w:w="867"/>
        <w:gridCol w:w="383"/>
        <w:gridCol w:w="383"/>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6"/>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000000"/>
                <w:sz w:val="14"/>
              </w:rPr>
            </w:pPr>
            <w:r>
              <w:rPr>
                <w:rFonts w:ascii="Arial;sans-serif" w:hAnsi="Arial;sans-serif"/>
                <w:b/>
                <w:color w:val="000000"/>
                <w:sz w:val="14"/>
              </w:rPr>
              <w:t>Options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2684"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shares acquired on exercise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079"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Value realized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on exercise </w:t>
            </w:r>
          </w:p>
          <w:p>
            <w:pPr>
              <w:pStyle w:val="TableContents"/>
              <w:bidi w:val="0"/>
              <w:spacing w:lineRule="auto" w:line="288" w:before="0" w:after="0"/>
              <w:jc w:val="right"/>
              <w:rPr/>
            </w:pPr>
            <w:r>
              <w:rPr>
                <w:rFonts w:ascii="Arial;sans-serif" w:hAnsi="Arial;sans-serif"/>
                <w:b/>
                <w:color w:val="000000"/>
                <w:sz w:val="14"/>
              </w:rPr>
              <w:t>($)</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shares acquired on vesting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12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Value realized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on vesting </w:t>
            </w:r>
          </w:p>
          <w:p>
            <w:pPr>
              <w:pStyle w:val="TableContents"/>
              <w:bidi w:val="0"/>
              <w:spacing w:lineRule="auto" w:line="288" w:before="0" w:after="0"/>
              <w:jc w:val="right"/>
              <w:rPr/>
            </w:pPr>
            <w:r>
              <w:rPr>
                <w:rFonts w:ascii="Arial;sans-serif" w:hAnsi="Arial;sans-serif"/>
                <w:b/>
                <w:color w:val="000000"/>
                <w:sz w:val="14"/>
              </w:rPr>
              <w:t>($)</w:t>
            </w:r>
            <w:r>
              <w:rPr>
                <w:rFonts w:ascii="Arial;sans-serif" w:hAnsi="Arial;sans-serif"/>
                <w:b/>
                <w:color w:val="000000"/>
                <w:sz w:val="9"/>
              </w:rPr>
              <w:t>(2)</w:t>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CECEE"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Laura A. Francis</w:t>
            </w:r>
          </w:p>
        </w:tc>
        <w:tc>
          <w:tcPr>
            <w:tcW w:w="2684" w:type="dxa"/>
            <w:gridSpan w:val="3"/>
            <w:tcBorders/>
            <w:shd w:fill="ECEC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8"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ECEC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166,582</w:t>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2,793,196 </w:t>
            </w:r>
          </w:p>
        </w:tc>
        <w:tc>
          <w:tcPr>
            <w:tcW w:w="36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Anshul Maheshwari</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76,762</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1,241,924 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ECECEE"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Anthony J. Recupero</w:t>
            </w:r>
          </w:p>
        </w:tc>
        <w:tc>
          <w:tcPr>
            <w:tcW w:w="2684" w:type="dxa"/>
            <w:gridSpan w:val="3"/>
            <w:tcBorders/>
            <w:shd w:fill="ECEC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8"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70,952</w:t>
            </w:r>
          </w:p>
        </w:tc>
        <w:tc>
          <w:tcPr>
            <w:tcW w:w="766" w:type="dxa"/>
            <w:gridSpan w:val="2"/>
            <w:tcBorders/>
            <w:shd w:fill="ECEC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1,151,479 </w:t>
            </w:r>
          </w:p>
        </w:tc>
        <w:tc>
          <w:tcPr>
            <w:tcW w:w="361" w:type="dxa"/>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333" w:before="0" w:after="0"/>
              <w:jc w:val="left"/>
              <w:rPr>
                <w:rFonts w:ascii="Arial;sans-serif" w:hAnsi="Arial;sans-serif"/>
                <w:b/>
                <w:color w:val="74A333"/>
                <w:sz w:val="14"/>
              </w:rPr>
            </w:pPr>
            <w:r>
              <w:rPr>
                <w:rFonts w:ascii="Arial;sans-serif" w:hAnsi="Arial;sans-serif"/>
                <w:b/>
                <w:color w:val="74A333"/>
                <w:sz w:val="14"/>
              </w:rPr>
              <w:t>Michael A. Pisetsky</w:t>
            </w:r>
          </w:p>
        </w:tc>
        <w:tc>
          <w:tcPr>
            <w:tcW w:w="2684"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21,367</w:t>
            </w:r>
          </w:p>
        </w:tc>
        <w:tc>
          <w:tcPr>
            <w:tcW w:w="718"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191,662 </w:t>
            </w:r>
          </w:p>
        </w:tc>
        <w:tc>
          <w:tcPr>
            <w:tcW w:w="36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63,450</w:t>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1,020,140 </w:t>
            </w:r>
          </w:p>
        </w:tc>
        <w:tc>
          <w:tcPr>
            <w:tcW w:w="36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1.The value realized on exercise is based on the difference between the closing price of our common stock on the date of exercise and the exercise price of the applicable options, and does not represent actual amounts received by our named executive officers as a result of the option exercises.</w:t>
      </w:r>
    </w:p>
    <w:p>
      <w:pPr>
        <w:pStyle w:val="TextBody"/>
        <w:bidi w:val="0"/>
        <w:spacing w:lineRule="auto" w:line="288" w:before="0" w:after="240"/>
        <w:ind w:left="0" w:right="0" w:hanging="360"/>
        <w:jc w:val="both"/>
        <w:rPr>
          <w:rFonts w:ascii="Arial;sans-serif" w:hAnsi="Arial;sans-serif"/>
          <w:b w:val="false"/>
          <w:color w:val="000000"/>
          <w:sz w:val="16"/>
        </w:rPr>
      </w:pPr>
      <w:r>
        <w:rPr>
          <w:rFonts w:ascii="Arial;sans-serif" w:hAnsi="Arial;sans-serif"/>
          <w:b w:val="false"/>
          <w:color w:val="000000"/>
          <w:sz w:val="16"/>
        </w:rPr>
        <w:t>2.The value realized on vesting is based on the total number of shares of common stock issued to each named executive officer upon the vesting of the RSU and PSU award multiplied by the closing price of our common stock on the vesting date, and does not represent actual amounts received by our named executive officers as a result of the vesting event.</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SEVERANCE AND CHANGE IN CONTROL AGREEMENTS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16, 2020, the Compensation Committee of our Board of Directors of SI-BONE, Inc. adopted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 months prior to, or within 12 months following, a “change in control” of SI-BONE (as such terms are defined in the Severance Plan). Participants in the Severance Plan are those employees that have been designated as participants by the Board of Directors or Compensation Committee as participants in the Severance Plan and who have signed a Participation Agreement. All of our Named Executive Officers have been designated as participants in the Severance Plan.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Severance payments to our Named Executive Officers in connection with a change in control are as follows: (1) a lump sum cash payment equal to 12 months base salary (24 months in the case of Ms. Francis), (2) a lump sum cash payment of the then current annual target cash bonus (1.5 times annual target cash bonus in the case of Ms. Francis), (3) COBRA coverage for 12 months (18 months in the case of Ms. Francis), (4) full acceleration of vesting of all equity awards, and (5) extension of the post-termination option exercise period to two years (or the closing of the change in control if provided in the equity award or change in control agreement).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in the event SI-BONE terminates the employment of an executive officer without cause other than within three months prior to or 12 months following a change in control, the executive officer, including Ms. Francis will receive severance payments as follows: (1) a lump sum cash payment equal to 12 months base salary (18 months in the case of Ms. Francis) and (2) COBRA coverage for 12 months (18 months in the case of Ms. Francis).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obtain benefits under the Severance Plan the participant must sign and deliver to SI-BONE a release of liability in favor of SI-BONE.</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Potential Payments Upon Termination In Connection with a Change in Control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Each of our named executive officers is eligible for severance benefits pursuant to the terms of our Severance Benefit Plan, as further described above under “Severance and Change in Control Agreements”. The following table presents information concerning estimated payments and benefits that would be provided in the circumstances described above for each of the named executive officers serving as of December 31, 2025 (the last business day of our fiscal year ended December 31, 2025) using the closing market price of our stock on that date. Actual payments and benefits could be different if such events were to occur on any other date or at any other price or if any other assumptions are used to estimate potential payments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0885"/>
                <wp:effectExtent l="0" t="0" r="0" b="0"/>
                <wp:wrapNone/>
                <wp:docPr id="72" name="Frame5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48</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854" w:type="dxa"/>
        <w:jc w:val="left"/>
        <w:tblInd w:w="0" w:type="dxa"/>
        <w:tblLayout w:type="fixed"/>
        <w:tblCellMar>
          <w:top w:w="28" w:type="dxa"/>
          <w:left w:w="28" w:type="dxa"/>
          <w:bottom w:w="28" w:type="dxa"/>
          <w:right w:w="28" w:type="dxa"/>
        </w:tblCellMar>
      </w:tblPr>
      <w:tblGrid>
        <w:gridCol w:w="124"/>
        <w:gridCol w:w="109"/>
        <w:gridCol w:w="109"/>
        <w:gridCol w:w="387"/>
        <w:gridCol w:w="286"/>
        <w:gridCol w:w="198"/>
        <w:gridCol w:w="383"/>
        <w:gridCol w:w="383"/>
        <w:gridCol w:w="176"/>
        <w:gridCol w:w="203"/>
        <w:gridCol w:w="203"/>
        <w:gridCol w:w="166"/>
        <w:gridCol w:w="305"/>
        <w:gridCol w:w="305"/>
        <w:gridCol w:w="306"/>
        <w:gridCol w:w="326"/>
        <w:gridCol w:w="245"/>
        <w:gridCol w:w="246"/>
        <w:gridCol w:w="402"/>
        <w:gridCol w:w="364"/>
        <w:gridCol w:w="109"/>
        <w:gridCol w:w="109"/>
        <w:gridCol w:w="109"/>
        <w:gridCol w:w="109"/>
        <w:gridCol w:w="383"/>
        <w:gridCol w:w="383"/>
        <w:gridCol w:w="176"/>
        <w:gridCol w:w="383"/>
        <w:gridCol w:w="383"/>
        <w:gridCol w:w="166"/>
        <w:gridCol w:w="469"/>
        <w:gridCol w:w="372"/>
        <w:gridCol w:w="306"/>
        <w:gridCol w:w="326"/>
        <w:gridCol w:w="245"/>
        <w:gridCol w:w="246"/>
        <w:gridCol w:w="420"/>
        <w:gridCol w:w="421"/>
        <w:gridCol w:w="1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Involuntary termination that is not a </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Change in Control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Change in Control Termination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94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Base Salary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57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Bonus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16"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Equity Acceleration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81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Continued Benefits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87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Total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Base Salary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3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Bonus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14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Equity Acceleration </w:t>
            </w:r>
          </w:p>
          <w:p>
            <w:pPr>
              <w:pStyle w:val="TableContents"/>
              <w:bidi w:val="0"/>
              <w:spacing w:lineRule="auto" w:line="288" w:before="0" w:after="0"/>
              <w:jc w:val="right"/>
              <w:rPr/>
            </w:pPr>
            <w:r>
              <w:rPr>
                <w:rFonts w:ascii="Arial;sans-serif" w:hAnsi="Arial;sans-serif"/>
                <w:b/>
                <w:color w:val="000000"/>
                <w:sz w:val="14"/>
              </w:rPr>
              <w:t>($)</w:t>
            </w:r>
            <w:r>
              <w:rPr>
                <w:rFonts w:ascii="Arial;sans-serif" w:hAnsi="Arial;sans-serif"/>
                <w:b/>
                <w:color w:val="000000"/>
                <w:sz w:val="9"/>
              </w:rPr>
              <w:t>(1)</w:t>
            </w:r>
          </w:p>
        </w:tc>
        <w:tc>
          <w:tcPr>
            <w:tcW w:w="817"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Continued Benefits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982"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Total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2"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Laura A. Francis</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1,027,500 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39,515 </w:t>
            </w:r>
          </w:p>
        </w:tc>
        <w:tc>
          <w:tcPr>
            <w:tcW w:w="2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1,067,015 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1,370,000 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1,027,500 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13,446,614 </w:t>
            </w:r>
          </w:p>
        </w:tc>
        <w:tc>
          <w:tcPr>
            <w:tcW w:w="3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39,515 </w:t>
            </w:r>
          </w:p>
        </w:tc>
        <w:tc>
          <w:tcPr>
            <w:tcW w:w="2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15,883,629 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Anshul Maheshwari</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496,668 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496,668 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4,132,267 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4,964,260 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Anthony J. Recupero</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500,580 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21,795 </w:t>
            </w:r>
          </w:p>
        </w:tc>
        <w:tc>
          <w:tcPr>
            <w:tcW w:w="2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522,375 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500,580 </w:t>
            </w:r>
          </w:p>
        </w:tc>
        <w:tc>
          <w:tcPr>
            <w:tcW w:w="17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375,435 </w:t>
            </w:r>
          </w:p>
        </w:tc>
        <w:tc>
          <w:tcPr>
            <w:tcW w:w="16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3,709,766 </w:t>
            </w:r>
          </w:p>
        </w:tc>
        <w:tc>
          <w:tcPr>
            <w:tcW w:w="30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21,795 </w:t>
            </w:r>
          </w:p>
        </w:tc>
        <w:tc>
          <w:tcPr>
            <w:tcW w:w="24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4,607,576 </w:t>
            </w:r>
          </w:p>
        </w:tc>
        <w:tc>
          <w:tcPr>
            <w:tcW w:w="14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74A333"/>
                <w:sz w:val="14"/>
              </w:rPr>
            </w:pPr>
            <w:r>
              <w:rPr>
                <w:rFonts w:ascii="Arial;sans-serif" w:hAnsi="Arial;sans-serif"/>
                <w:b/>
                <w:color w:val="74A333"/>
                <w:sz w:val="14"/>
              </w:rPr>
              <w:t>Michael A. Pisetsky</w:t>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493,407 </w:t>
            </w:r>
          </w:p>
        </w:tc>
        <w:tc>
          <w:tcPr>
            <w:tcW w:w="17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37,234 </w:t>
            </w:r>
          </w:p>
        </w:tc>
        <w:tc>
          <w:tcPr>
            <w:tcW w:w="24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530,641 </w:t>
            </w:r>
          </w:p>
        </w:tc>
        <w:tc>
          <w:tcPr>
            <w:tcW w:w="109"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493,407 </w:t>
            </w:r>
          </w:p>
        </w:tc>
        <w:tc>
          <w:tcPr>
            <w:tcW w:w="17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246,704 </w:t>
            </w:r>
          </w:p>
        </w:tc>
        <w:tc>
          <w:tcPr>
            <w:tcW w:w="16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3,559,066 </w:t>
            </w:r>
          </w:p>
        </w:tc>
        <w:tc>
          <w:tcPr>
            <w:tcW w:w="30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37,234 </w:t>
            </w:r>
          </w:p>
        </w:tc>
        <w:tc>
          <w:tcPr>
            <w:tcW w:w="246"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2" w:space="0" w:color="74A33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4,336,411 </w:t>
            </w:r>
          </w:p>
        </w:tc>
        <w:tc>
          <w:tcPr>
            <w:tcW w:w="141" w:type="dxa"/>
            <w:tcBorders>
              <w:bottom w:val="single" w:sz="12" w:space="0" w:color="74A33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300"/>
        <w:ind w:left="0" w:right="0" w:hanging="360"/>
        <w:jc w:val="both"/>
        <w:rPr>
          <w:rFonts w:ascii="Arial;sans-serif" w:hAnsi="Arial;sans-serif"/>
          <w:b w:val="false"/>
          <w:color w:val="000000"/>
          <w:sz w:val="16"/>
        </w:rPr>
      </w:pPr>
      <w:r>
        <w:rPr>
          <w:rFonts w:ascii="Arial;sans-serif" w:hAnsi="Arial;sans-serif"/>
          <w:b w:val="false"/>
          <w:color w:val="000000"/>
          <w:sz w:val="16"/>
        </w:rPr>
        <w:t>1.PSU shares calculated based on maximum payout less the accumulated shares distributed up to December 31, 2025.</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PENSION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Named Executive Officers did not participate in, or otherwise receive any benefits under, any pension or retirement plan sponsored by us during 2025.</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NONQUALIFIED DEFERRED COMPENSATION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Named Executive Officers did not participate in, or earn any benefits under, a nonqualified deferred compensation plan sponsored by us during 2025.</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SECURITIES AUTHORIZED FOR ISSUANCE UNDER EQUITY COMPENSATION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shows certain information with respect to all of our equity compensation plans in effect as of December 31, 2025.</w:t>
      </w:r>
    </w:p>
    <w:tbl>
      <w:tblPr>
        <w:tblW w:w="10205" w:type="dxa"/>
        <w:jc w:val="left"/>
        <w:tblInd w:w="0" w:type="dxa"/>
        <w:tblLayout w:type="fixed"/>
        <w:tblCellMar>
          <w:top w:w="28" w:type="dxa"/>
          <w:left w:w="28" w:type="dxa"/>
          <w:bottom w:w="28" w:type="dxa"/>
          <w:right w:w="28" w:type="dxa"/>
        </w:tblCellMar>
      </w:tblPr>
      <w:tblGrid>
        <w:gridCol w:w="665"/>
        <w:gridCol w:w="584"/>
        <w:gridCol w:w="586"/>
        <w:gridCol w:w="882"/>
        <w:gridCol w:w="854"/>
        <w:gridCol w:w="856"/>
        <w:gridCol w:w="109"/>
        <w:gridCol w:w="109"/>
        <w:gridCol w:w="109"/>
        <w:gridCol w:w="783"/>
        <w:gridCol w:w="783"/>
        <w:gridCol w:w="784"/>
        <w:gridCol w:w="109"/>
        <w:gridCol w:w="109"/>
        <w:gridCol w:w="109"/>
        <w:gridCol w:w="642"/>
        <w:gridCol w:w="350"/>
        <w:gridCol w:w="350"/>
        <w:gridCol w:w="350"/>
        <w:gridCol w:w="350"/>
        <w:gridCol w:w="352"/>
        <w:gridCol w:w="109"/>
        <w:gridCol w:w="109"/>
        <w:gridCol w:w="162"/>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4"/>
              </w:rPr>
            </w:pPr>
            <w:r>
              <w:rPr>
                <w:rFonts w:ascii="Arial;sans-serif" w:hAnsi="Arial;sans-serif"/>
                <w:b/>
                <w:color w:val="000000"/>
                <w:sz w:val="14"/>
              </w:rPr>
              <w:t>Plan Category</w:t>
            </w:r>
          </w:p>
        </w:tc>
        <w:tc>
          <w:tcPr>
            <w:tcW w:w="25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Number of securities to be issued upon exercise of outstanding stock options and awards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Weighted-average exercise price of outstanding stock options and awards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Number of securities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remaining available for issuance under equity compensation plans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(excluding securities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reflected in column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 (#)</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Equity compensation plans approved by stockholders</w:t>
            </w:r>
            <w:r>
              <w:rPr>
                <w:rFonts w:ascii="Arial;sans-serif" w:hAnsi="Arial;sans-serif"/>
                <w:b w:val="false"/>
                <w:color w:val="000000"/>
                <w:sz w:val="9"/>
              </w:rPr>
              <w:t>(1)(2)</w:t>
            </w:r>
          </w:p>
        </w:tc>
        <w:tc>
          <w:tcPr>
            <w:tcW w:w="173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3,505,210 </w:t>
            </w:r>
          </w:p>
        </w:tc>
        <w:tc>
          <w:tcPr>
            <w:tcW w:w="85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2.75</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7,633,258 </w:t>
            </w:r>
          </w:p>
        </w:tc>
        <w:tc>
          <w:tcPr>
            <w:tcW w:w="35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EDEDEE"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9"/>
              </w:rPr>
            </w:pPr>
            <w:r>
              <w:rPr>
                <w:rFonts w:ascii="Arial;sans-serif" w:hAnsi="Arial;sans-serif"/>
                <w:b w:val="false"/>
                <w:color w:val="000000"/>
                <w:sz w:val="9"/>
              </w:rPr>
              <w:t>(3)(4)</w:t>
            </w:r>
          </w:p>
        </w:tc>
        <w:tc>
          <w:tcPr>
            <w:tcW w:w="380"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Equity compensation plans not approved by stockholders</w:t>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 xml:space="preserve">Total </w:t>
            </w:r>
          </w:p>
        </w:tc>
        <w:tc>
          <w:tcPr>
            <w:tcW w:w="1736" w:type="dxa"/>
            <w:gridSpan w:val="2"/>
            <w:tcBorders>
              <w:top w:val="single" w:sz="8" w:space="0" w:color="000000"/>
              <w:bottom w:val="single" w:sz="12" w:space="0" w:color="74A333"/>
            </w:tcBorders>
            <w:shd w:fill="EDEDEE"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3,505,210</w:t>
            </w:r>
            <w:r>
              <w:rPr>
                <w:color w:val="000000"/>
              </w:rPr>
              <w:t> </w:t>
            </w:r>
          </w:p>
        </w:tc>
        <w:tc>
          <w:tcPr>
            <w:tcW w:w="856" w:type="dxa"/>
            <w:tcBorders>
              <w:top w:val="single" w:sz="8" w:space="0" w:color="000000"/>
              <w:bottom w:val="single" w:sz="12" w:space="0" w:color="74A333"/>
            </w:tcBorders>
            <w:shd w:fill="EDED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single" w:sz="12" w:space="0" w:color="74A333"/>
            </w:tcBorders>
            <w:shd w:fill="EDEDEE"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7,633,258</w:t>
            </w:r>
            <w:r>
              <w:rPr>
                <w:color w:val="000000"/>
              </w:rPr>
              <w:t> </w:t>
            </w:r>
          </w:p>
        </w:tc>
        <w:tc>
          <w:tcPr>
            <w:tcW w:w="350" w:type="dxa"/>
            <w:tcBorders>
              <w:top w:val="single" w:sz="8" w:space="0" w:color="000000"/>
              <w:bottom w:val="single" w:sz="12" w:space="0" w:color="74A333"/>
            </w:tcBorders>
            <w:shd w:fill="EDED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bottom w:val="single" w:sz="12" w:space="0" w:color="74A333"/>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1.The equity compensation plans approved by security holders are described in Note 10 to our financial statements included in our Annual Report on Form 10-K for the fiscal year ended December 31, 2025.</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2.The weighted-average exercise price includes 2,702,038 shares issuable upon vesting of outstanding awards of restricted stock units and performance-based restricted stock unit awards, which have no exercise price. Excluding these awards of restricted stock units, the weighted-average exercise price would be $11.99.</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3.Includes 5,956,022 and 1,677,236 shares of common stock available for issuance under the 2018 Equity Incentive Plan, or the 2018 Plan, and the 2018 Employee Stock Purchase Plan, or the ESPP, respectively, as of December 31, 2025. The shares issuable pursuant to our ESPP are not included in the number of shares to be issued pursuant to rights outstanding and the weighted-average exercise price of such rights as of December 31, 2025, as those numbers are not known.</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4.The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0885"/>
                <wp:effectExtent l="0" t="0" r="0" b="0"/>
                <wp:wrapNone/>
                <wp:docPr id="73" name="Frame5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49</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PAY VERSUS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compensation actually paid disclosed below for our Principal Executive Officer (“PEO”) and the average of our non-PEO Named Executive Officers “Non-PEO NEOs” was calculated in accordance with the requirements of Item 402(v) of Regulation S-K. The compensation actually paid figures presented in the table below incorporate total executive compensation as reported in the Summary Compensation Table adjusted for changes in the fair value of equity awards (we do not have any pension benefits). Accordingly, compensation actually paid does not equate to the amount that is actually paid to any executive in a given year and is merely a measurement determined by the SEC in an effort to identify the relationship between executive compensation and our financial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compensation actually paid to our PEO and average of our Non-PEO NEOs, serving in such capacity, along with certain measures of our performance in each of the five years ended December 31, 2025, December 31, 2024, December 31, 2023, December 31, 2022, and December 31, 2021:</w:t>
      </w:r>
    </w:p>
    <w:tbl>
      <w:tblPr>
        <w:tblW w:w="10397" w:type="dxa"/>
        <w:jc w:val="left"/>
        <w:tblInd w:w="0" w:type="dxa"/>
        <w:tblLayout w:type="fixed"/>
        <w:tblCellMar>
          <w:top w:w="28" w:type="dxa"/>
          <w:left w:w="28" w:type="dxa"/>
          <w:bottom w:w="28" w:type="dxa"/>
          <w:right w:w="28" w:type="dxa"/>
        </w:tblCellMar>
      </w:tblPr>
      <w:tblGrid>
        <w:gridCol w:w="124"/>
        <w:gridCol w:w="109"/>
        <w:gridCol w:w="109"/>
        <w:gridCol w:w="134"/>
        <w:gridCol w:w="134"/>
        <w:gridCol w:w="138"/>
        <w:gridCol w:w="456"/>
        <w:gridCol w:w="310"/>
        <w:gridCol w:w="311"/>
        <w:gridCol w:w="456"/>
        <w:gridCol w:w="310"/>
        <w:gridCol w:w="311"/>
        <w:gridCol w:w="456"/>
        <w:gridCol w:w="310"/>
        <w:gridCol w:w="311"/>
        <w:gridCol w:w="531"/>
        <w:gridCol w:w="310"/>
        <w:gridCol w:w="311"/>
        <w:gridCol w:w="456"/>
        <w:gridCol w:w="310"/>
        <w:gridCol w:w="311"/>
        <w:gridCol w:w="456"/>
        <w:gridCol w:w="310"/>
        <w:gridCol w:w="311"/>
        <w:gridCol w:w="457"/>
        <w:gridCol w:w="204"/>
        <w:gridCol w:w="120"/>
        <w:gridCol w:w="457"/>
        <w:gridCol w:w="203"/>
        <w:gridCol w:w="121"/>
        <w:gridCol w:w="251"/>
        <w:gridCol w:w="170"/>
        <w:gridCol w:w="171"/>
        <w:gridCol w:w="195"/>
        <w:gridCol w:w="195"/>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Year</w:t>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Summary Compensation Table Total for PEO#1</w:t>
            </w:r>
            <w:r>
              <w:rPr>
                <w:rFonts w:ascii="Arial;sans-serif" w:hAnsi="Arial;sans-serif"/>
                <w:b/>
                <w:color w:val="000000"/>
                <w:sz w:val="8"/>
              </w:rPr>
              <w:t>(1)</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Compensation Actually Paid to PEO#1</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Summary Compensation Table Total for PEO#2</w:t>
            </w:r>
            <w:r>
              <w:rPr>
                <w:rFonts w:ascii="Arial;sans-serif" w:hAnsi="Arial;sans-serif"/>
                <w:b/>
                <w:color w:val="000000"/>
                <w:sz w:val="8"/>
              </w:rPr>
              <w:t>(2)</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15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Compensation Actually Paid</w:t>
            </w:r>
          </w:p>
          <w:p>
            <w:pPr>
              <w:pStyle w:val="TableContents"/>
              <w:bidi w:val="0"/>
              <w:spacing w:lineRule="auto" w:line="288" w:before="0" w:after="0"/>
              <w:jc w:val="right"/>
              <w:rPr/>
            </w:pPr>
            <w:r>
              <w:rPr>
                <w:color w:val="000000"/>
              </w:rPr>
              <w:t> </w:t>
            </w:r>
            <w:r>
              <w:rPr>
                <w:rFonts w:ascii="Arial;sans-serif" w:hAnsi="Arial;sans-serif"/>
                <w:b/>
                <w:color w:val="000000"/>
                <w:sz w:val="12"/>
              </w:rPr>
              <w:t>to PEO#2</w:t>
            </w:r>
            <w:r>
              <w:rPr>
                <w:rFonts w:ascii="Arial;sans-serif" w:hAnsi="Arial;sans-serif"/>
                <w:b/>
                <w:color w:val="000000"/>
                <w:sz w:val="8"/>
              </w:rPr>
              <w:t>(3)</w:t>
            </w:r>
            <w:r>
              <w:rPr>
                <w:color w:val="000000"/>
              </w:rPr>
              <w:t xml:space="preserve"> </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Average Summary Compensation Table Total for Non-PEO NEOs</w:t>
            </w:r>
            <w:r>
              <w:rPr>
                <w:rFonts w:ascii="Arial;sans-serif" w:hAnsi="Arial;sans-serif"/>
                <w:b/>
                <w:color w:val="000000"/>
                <w:sz w:val="8"/>
              </w:rPr>
              <w:t>(4)</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Average Compensation Actually Paid to Non-PEO NEOs</w:t>
            </w:r>
            <w:r>
              <w:rPr>
                <w:rFonts w:ascii="Arial;sans-serif" w:hAnsi="Arial;sans-serif"/>
                <w:b/>
                <w:color w:val="000000"/>
                <w:sz w:val="8"/>
              </w:rPr>
              <w:t>(5)</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156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Value of Initial Fixed $100 Investment Based On:</w:t>
            </w:r>
          </w:p>
        </w:tc>
        <w:tc>
          <w:tcPr>
            <w:tcW w:w="59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Net Income (Loss) (millions)</w:t>
            </w:r>
            <w:r>
              <w:rPr>
                <w:rFonts w:ascii="Arial;sans-serif" w:hAnsi="Arial;sans-serif"/>
                <w:b/>
                <w:color w:val="000000"/>
                <w:sz w:val="8"/>
              </w:rPr>
              <w:t>(7)</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Revenue Growth</w:t>
            </w:r>
            <w:r>
              <w:rPr>
                <w:rFonts w:ascii="Arial;sans-serif" w:hAnsi="Arial;sans-serif"/>
                <w:b/>
                <w:color w:val="000000"/>
                <w:sz w:val="8"/>
              </w:rPr>
              <w:t>(8)</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1152"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Total Shareholder Return</w:t>
            </w:r>
            <w:r>
              <w:rPr>
                <w:rFonts w:ascii="Arial;sans-serif" w:hAnsi="Arial;sans-serif"/>
                <w:b/>
                <w:color w:val="000000"/>
                <w:sz w:val="8"/>
              </w:rPr>
              <w:t>(6)</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781"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2"/>
              </w:rPr>
              <w:t>Peer Group Total Shareholder Return</w:t>
            </w:r>
            <w:r>
              <w:rPr>
                <w:rFonts w:ascii="Arial;sans-serif" w:hAnsi="Arial;sans-serif"/>
                <w:b/>
                <w:color w:val="000000"/>
                <w:sz w:val="8"/>
              </w:rPr>
              <w:t>(6)</w:t>
            </w:r>
          </w:p>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w:t>
            </w:r>
          </w:p>
        </w:tc>
        <w:tc>
          <w:tcPr>
            <w:tcW w:w="592"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2025</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7,453,235 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10,001,933 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2,533,024 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3,390,189 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65.95 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122.96 </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2024</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7,087,404 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2,489,030 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2,516,945 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951,594 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2023</w:t>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3,713,871 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7,085,626 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1,958,890 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3,453,403 </w:t>
            </w:r>
          </w:p>
        </w:tc>
        <w:tc>
          <w:tcPr>
            <w:tcW w:w="31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70.20 </w:t>
            </w:r>
          </w:p>
        </w:tc>
        <w:tc>
          <w:tcPr>
            <w:tcW w:w="120"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105.01 </w:t>
            </w:r>
          </w:p>
        </w:tc>
        <w:tc>
          <w:tcPr>
            <w:tcW w:w="12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71"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2022</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4,893,959 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2,616,198 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2,243,715 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1,185,889 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2021</w:t>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4,347,631 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1,058,832 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3,430,641 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2,203,680 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2,075,023 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1,418,469 </w:t>
            </w:r>
          </w:p>
        </w:tc>
        <w:tc>
          <w:tcPr>
            <w:tcW w:w="31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74.28 </w:t>
            </w:r>
          </w:p>
        </w:tc>
        <w:tc>
          <w:tcPr>
            <w:tcW w:w="120"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124.56 </w:t>
            </w:r>
          </w:p>
        </w:tc>
        <w:tc>
          <w:tcPr>
            <w:tcW w:w="12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7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9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rFonts w:ascii="Arial;sans-serif" w:hAnsi="Arial;sans-serif"/>
          <w:b w:val="false"/>
          <w:color w:val="000000"/>
          <w:sz w:val="16"/>
        </w:rPr>
      </w:pPr>
      <w:r>
        <w:rPr>
          <w:rFonts w:ascii="Arial;sans-serif" w:hAnsi="Arial;sans-serif"/>
          <w:b w:val="false"/>
          <w:color w:val="000000"/>
          <w:sz w:val="16"/>
        </w:rPr>
        <w:t>1.The dollar amounts represent the amounts of total compensation reported for Mr. Dunn (our former CEO) for 2021 in the “Total” column of the Summary Compensation Table in our 2022 proxy statement.</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2.The dollar amounts represent the amounts of total compensation reported for Ms. Francis (our current CEO) for each corresponding year in the “Total” column of the Summary Compensation Table. Refer to “Executive Compensation—Summary Compensation Table.”</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3.The dollar amounts represent the amount of “compensation actually paid” to Ms. Francis, as computed in accordance with Item 402(v) of Regulation S-K. The dollar amounts do not reflect the actual amount of compensation earned by or paid to Ms. Francis during the applicable year. In accordance with the requirements of Item 402(v) of Regulation S-K, the following adjustments were made to Ms. Francis’s total compensation for 2025 to determine the compensation actually paid: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475"/>
        <w:gridCol w:w="390"/>
        <w:gridCol w:w="391"/>
        <w:gridCol w:w="559"/>
        <w:gridCol w:w="474"/>
        <w:gridCol w:w="475"/>
        <w:gridCol w:w="624"/>
        <w:gridCol w:w="354"/>
        <w:gridCol w:w="356"/>
        <w:gridCol w:w="609"/>
        <w:gridCol w:w="339"/>
        <w:gridCol w:w="341"/>
        <w:gridCol w:w="532"/>
        <w:gridCol w:w="324"/>
        <w:gridCol w:w="326"/>
        <w:gridCol w:w="582"/>
        <w:gridCol w:w="330"/>
        <w:gridCol w:w="331"/>
        <w:gridCol w:w="521"/>
        <w:gridCol w:w="370"/>
        <w:gridCol w:w="371"/>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Year</w:t>
            </w:r>
          </w:p>
        </w:tc>
        <w:tc>
          <w:tcPr>
            <w:tcW w:w="12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Summary Compensation Table Total</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 </w:t>
            </w:r>
          </w:p>
        </w:tc>
        <w:tc>
          <w:tcPr>
            <w:tcW w:w="150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Minus: Stock and Option Awards from Summary Compensation Table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Plus: Year-End Equity Value of Unvested Awards Granted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Plus: Change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 Value of Unvested Awards Granted in Prior Years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1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Plus: Value of Awards Granted and Vested 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24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Plus: Change in Value of Prior Years’ Awards Vested 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2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Compensation Actually Paid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2025</w:t>
            </w:r>
          </w:p>
        </w:tc>
        <w:tc>
          <w:tcPr>
            <w:tcW w:w="865"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7,453,235 </w:t>
            </w:r>
          </w:p>
        </w:tc>
        <w:tc>
          <w:tcPr>
            <w:tcW w:w="39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6,038,710 </w:t>
            </w:r>
          </w:p>
        </w:tc>
        <w:tc>
          <w:tcPr>
            <w:tcW w:w="475"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6,299,397 </w:t>
            </w:r>
          </w:p>
        </w:tc>
        <w:tc>
          <w:tcPr>
            <w:tcW w:w="35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1,508,760 </w:t>
            </w:r>
          </w:p>
        </w:tc>
        <w:tc>
          <w:tcPr>
            <w:tcW w:w="34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395,690 </w:t>
            </w:r>
          </w:p>
        </w:tc>
        <w:tc>
          <w:tcPr>
            <w:tcW w:w="32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383,561 </w:t>
            </w:r>
          </w:p>
        </w:tc>
        <w:tc>
          <w:tcPr>
            <w:tcW w:w="33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10,001,933 </w:t>
            </w:r>
          </w:p>
        </w:tc>
        <w:tc>
          <w:tcPr>
            <w:tcW w:w="37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4.The dollar amounts represent the average of the amounts reported for our non-PEO NEOs as a group in the “Total” column of the Summary Compensation Table in each applicable year. The Non-PEO NEOs included for purposes of calculating the average amounts in each applicable year were Mr. Maheshwari, Mr. Recupero, and Mr. Pisetsky.</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5.The dollar amounts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compensation for the Non-PEO NEOs as a group for 2025 to determine the compensation actually paid, using the same methodology described above in footnote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0885"/>
                <wp:effectExtent l="0" t="0" r="0" b="0"/>
                <wp:wrapNone/>
                <wp:docPr id="74" name="Frame5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50</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507"/>
        <w:gridCol w:w="426"/>
        <w:gridCol w:w="428"/>
        <w:gridCol w:w="616"/>
        <w:gridCol w:w="535"/>
        <w:gridCol w:w="537"/>
        <w:gridCol w:w="555"/>
        <w:gridCol w:w="297"/>
        <w:gridCol w:w="299"/>
        <w:gridCol w:w="594"/>
        <w:gridCol w:w="437"/>
        <w:gridCol w:w="439"/>
        <w:gridCol w:w="498"/>
        <w:gridCol w:w="299"/>
        <w:gridCol w:w="301"/>
        <w:gridCol w:w="485"/>
        <w:gridCol w:w="270"/>
        <w:gridCol w:w="271"/>
        <w:gridCol w:w="480"/>
        <w:gridCol w:w="399"/>
        <w:gridCol w:w="400"/>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Year</w:t>
            </w:r>
          </w:p>
        </w:tc>
        <w:tc>
          <w:tcPr>
            <w:tcW w:w="13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Avg. Summary Compensation Table Total</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68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Minus Avg. Stock and Option Awards from Summary Compensation Table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Plus Avg.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Year-End Equity Value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of Unvested Awards Granted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Plus Avg. Change in Value of Unvested Awards Granted in Prior Years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09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Plus Avg. Value of Awards Granted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and Vested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Plus Avg. Change in Value of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Prior Years’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Awards Vested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During Year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12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Avg. Compensation Actually Paid</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2025</w:t>
            </w:r>
          </w:p>
        </w:tc>
        <w:tc>
          <w:tcPr>
            <w:tcW w:w="933"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2,533,024 </w:t>
            </w:r>
          </w:p>
        </w:tc>
        <w:tc>
          <w:tcPr>
            <w:tcW w:w="428"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1,709,490 </w:t>
            </w:r>
          </w:p>
        </w:tc>
        <w:tc>
          <w:tcPr>
            <w:tcW w:w="537"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1,761,780 </w:t>
            </w:r>
          </w:p>
        </w:tc>
        <w:tc>
          <w:tcPr>
            <w:tcW w:w="299"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491,137 </w:t>
            </w:r>
          </w:p>
        </w:tc>
        <w:tc>
          <w:tcPr>
            <w:tcW w:w="439"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200,259 </w:t>
            </w:r>
          </w:p>
        </w:tc>
        <w:tc>
          <w:tcPr>
            <w:tcW w:w="30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113,479 </w:t>
            </w:r>
          </w:p>
        </w:tc>
        <w:tc>
          <w:tcPr>
            <w:tcW w:w="271"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3,390,189 </w:t>
            </w:r>
          </w:p>
        </w:tc>
        <w:tc>
          <w:tcPr>
            <w:tcW w:w="400"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6.For the relevant fiscal year, represents the cumulative TSR of our common stock and the NASDAQ Medical Equipment Index at the end of each fiscal year. Cumulative TSR is calculated by dividing a fixed investment of $100 at the beginning of the measurement period (December 31, 2020) into a number of shares by the value of that investment at the end of the respective year plus the cumulative amount of dividends for the period, assuming dividend reinvestment. </w:t>
      </w:r>
    </w:p>
    <w:p>
      <w:pPr>
        <w:pStyle w:val="TextBody"/>
        <w:bidi w:val="0"/>
        <w:spacing w:lineRule="auto" w:line="288" w:before="0" w:after="120"/>
        <w:ind w:left="0" w:right="0" w:hanging="360"/>
        <w:jc w:val="both"/>
        <w:rPr/>
      </w:pPr>
      <w:r>
        <w:rPr>
          <w:rFonts w:ascii="Arial;sans-serif" w:hAnsi="Arial;sans-serif"/>
          <w:b w:val="false"/>
          <w:color w:val="52575F"/>
          <w:sz w:val="16"/>
        </w:rPr>
        <w:t>7.</w:t>
      </w:r>
      <w:r>
        <w:rPr>
          <w:rFonts w:ascii="Arial;sans-serif" w:hAnsi="Arial;sans-serif"/>
          <w:b w:val="false"/>
          <w:color w:val="000000"/>
          <w:sz w:val="16"/>
        </w:rPr>
        <w:t>The dollar amounts reported represent the amount of net loss reflected in our audited financial statements for the applicable year.</w:t>
      </w:r>
    </w:p>
    <w:p>
      <w:pPr>
        <w:pStyle w:val="TextBody"/>
        <w:bidi w:val="0"/>
        <w:spacing w:lineRule="auto" w:line="288" w:before="0" w:after="240"/>
        <w:ind w:left="0" w:right="0" w:hanging="360"/>
        <w:jc w:val="both"/>
        <w:rPr/>
      </w:pPr>
      <w:r>
        <w:rPr>
          <w:rFonts w:ascii="Arial;sans-serif" w:hAnsi="Arial;sans-serif"/>
          <w:b w:val="false"/>
          <w:color w:val="52575F"/>
          <w:sz w:val="16"/>
        </w:rPr>
        <w:t>8.</w:t>
      </w:r>
      <w:r>
        <w:rPr>
          <w:rFonts w:ascii="Arial;sans-serif" w:hAnsi="Arial;sans-serif"/>
          <w:b w:val="false"/>
          <w:color w:val="000000"/>
          <w:sz w:val="16"/>
        </w:rPr>
        <w:t>As required by Item 402(v) of Regulation S-K, we have determined that revenue growth is the Company-Selected Measure. The revenue growth percentage reported is based on consolidated revenue reflected in our audited financial statements for the applicable year.</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Most important Financial Performance Measures</w:t>
      </w:r>
    </w:p>
    <w:p>
      <w:pPr>
        <w:pStyle w:val="TextBody"/>
        <w:bidi w:val="0"/>
        <w:spacing w:lineRule="auto" w:line="288" w:before="120" w:after="120"/>
        <w:jc w:val="both"/>
        <w:rPr/>
      </w:pPr>
      <w:r>
        <w:rPr>
          <w:rFonts w:ascii="Arial;sans-serif" w:hAnsi="Arial;sans-serif"/>
          <w:b w:val="false"/>
          <w:color w:val="000000"/>
          <w:sz w:val="18"/>
        </w:rPr>
        <w:t>The most important financial performance measures used by the company to link compensation actually paid to the company’s Named Executive Officers for the most recently completed fiscal year to the company’s performance are set forth below. For further information regarding these performance metrics and their function in our executive compensation program, please see “</w:t>
      </w:r>
      <w:r>
        <w:rPr>
          <w:rFonts w:ascii="Arial;sans-serif" w:hAnsi="Arial;sans-serif"/>
          <w:b w:val="false"/>
          <w:i/>
          <w:color w:val="000000"/>
          <w:sz w:val="18"/>
        </w:rPr>
        <w:t>Compensation Discussion and Analysis</w:t>
      </w:r>
      <w:r>
        <w:rPr>
          <w:color w:val="000000"/>
        </w:rPr>
        <w:t>”</w:t>
      </w:r>
      <w:r>
        <w:rPr>
          <w:rFonts w:ascii="Arial;sans-serif" w:hAnsi="Arial;sans-serif"/>
          <w:b w:val="false"/>
          <w:color w:val="000000"/>
          <w:sz w:val="18"/>
        </w:rPr>
        <w:t>.</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Revenue Growth</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Adjusted EBITDA</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New Product Milestones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People and Culture metrics</w:t>
      </w:r>
    </w:p>
    <w:p>
      <w:pPr>
        <w:pStyle w:val="TextBody"/>
        <w:bidi w:val="0"/>
        <w:spacing w:lineRule="auto" w:line="360" w:before="0" w:after="60"/>
        <w:ind w:left="0" w:right="0" w:hanging="360"/>
        <w:jc w:val="both"/>
        <w:rPr/>
      </w:pPr>
      <w:r>
        <w:rPr>
          <w:color w:val="000000"/>
        </w:rPr>
        <w:t>•</w:t>
      </w:r>
      <w:r>
        <w:rPr>
          <w:rFonts w:ascii="Arial;sans-serif" w:hAnsi="Arial;sans-serif"/>
          <w:b w:val="false"/>
          <w:color w:val="000000"/>
          <w:sz w:val="18"/>
        </w:rPr>
        <w:t>Relative Total Shareholder Return as compared to a group of industry peers</w:t>
      </w:r>
    </w:p>
    <w:p>
      <w:pPr>
        <w:pStyle w:val="TextBody"/>
        <w:bidi w:val="0"/>
        <w:spacing w:lineRule="auto" w:line="288" w:before="120" w:after="120"/>
        <w:jc w:val="left"/>
        <w:rPr>
          <w:rFonts w:ascii="Arial;sans-serif" w:hAnsi="Arial;sans-serif"/>
          <w:b/>
          <w:color w:val="74A333"/>
          <w:sz w:val="18"/>
        </w:rPr>
      </w:pPr>
      <w:r>
        <w:rPr>
          <w:rFonts w:ascii="Arial;sans-serif" w:hAnsi="Arial;sans-serif"/>
          <w:b/>
          <w:color w:val="74A333"/>
          <w:sz w:val="18"/>
        </w:rPr>
        <w:t>Analysis of the Information Presented in the Pay Versus Performance Table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described in more detail above, our executive compensation program reflects a variable pay-for-performance philosophy. While we utilize several performance measures to align executive compensation with our performance, not all of those company measures are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Actually Paid and Cumulative TSR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our TSR and that of a comparative index (the NASDAQ Medical Equipment Index). TSR shows the cumulative total return on an investment of $100 in cash on December 31, 2020 through December 31, 2025, assuming that any dividends were reinvested. The return shown on the graph below is not necessarily indicative of future performance, and we do not make or endorse any predictions as to future stockholder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0885"/>
                <wp:effectExtent l="0" t="0" r="0" b="0"/>
                <wp:wrapNone/>
                <wp:docPr id="75" name="Frame5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51</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before="180" w:after="360"/>
        <w:jc w:val="center"/>
        <w:rPr/>
      </w:pPr>
      <w:r>
        <w:rPr/>
        <w:drawing>
          <wp:inline distT="0" distB="0" distL="0" distR="0">
            <wp:extent cx="6400800" cy="3638550"/>
            <wp:effectExtent l="0" t="0" r="0" b="0"/>
            <wp:docPr id="7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0" descr=""/>
                    <pic:cNvPicPr>
                      <a:picLocks noChangeAspect="1" noChangeArrowheads="1"/>
                    </pic:cNvPicPr>
                  </pic:nvPicPr>
                  <pic:blipFill>
                    <a:blip r:embed="rId21"/>
                    <a:stretch>
                      <a:fillRect/>
                    </a:stretch>
                  </pic:blipFill>
                  <pic:spPr bwMode="auto">
                    <a:xfrm>
                      <a:off x="0" y="0"/>
                      <a:ext cx="6400800" cy="3638550"/>
                    </a:xfrm>
                    <a:prstGeom prst="rect">
                      <a:avLst/>
                    </a:prstGeom>
                  </pic:spPr>
                </pic:pic>
              </a:graphicData>
            </a:graphic>
          </wp:inline>
        </w:drawing>
      </w:r>
      <w:bookmarkStart w:id="19" w:name="i-20"/>
      <w:bookmarkEnd w:id="19"/>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Actually Paid and Net Loss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Net Loss:</w:t>
      </w:r>
    </w:p>
    <w:p>
      <w:pPr>
        <w:pStyle w:val="TextBody"/>
        <w:bidi w:val="0"/>
        <w:spacing w:before="180" w:after="180"/>
        <w:jc w:val="center"/>
        <w:rPr/>
      </w:pPr>
      <w:r>
        <w:rPr/>
        <w:drawing>
          <wp:inline distT="0" distB="0" distL="0" distR="0">
            <wp:extent cx="6400800" cy="3638550"/>
            <wp:effectExtent l="0" t="0" r="0" b="0"/>
            <wp:docPr id="7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1" descr=""/>
                    <pic:cNvPicPr>
                      <a:picLocks noChangeAspect="1" noChangeArrowheads="1"/>
                    </pic:cNvPicPr>
                  </pic:nvPicPr>
                  <pic:blipFill>
                    <a:blip r:embed="rId22"/>
                    <a:stretch>
                      <a:fillRect/>
                    </a:stretch>
                  </pic:blipFill>
                  <pic:spPr bwMode="auto">
                    <a:xfrm>
                      <a:off x="0" y="0"/>
                      <a:ext cx="6400800" cy="3638550"/>
                    </a:xfrm>
                    <a:prstGeom prst="rect">
                      <a:avLst/>
                    </a:prstGeom>
                  </pic:spPr>
                </pic:pic>
              </a:graphicData>
            </a:graphic>
          </wp:inline>
        </w:drawing>
      </w:r>
      <w:bookmarkStart w:id="20" w:name="i-21"/>
      <w:bookmarkEnd w:id="2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0885"/>
                <wp:effectExtent l="0" t="0" r="0" b="0"/>
                <wp:wrapNone/>
                <wp:docPr id="78" name="Frame5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52</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left"/>
        <w:rPr>
          <w:rFonts w:ascii="Arial;sans-serif" w:hAnsi="Arial;sans-serif"/>
          <w:b/>
          <w:color w:val="74A333"/>
          <w:sz w:val="18"/>
        </w:rPr>
      </w:pPr>
      <w:r>
        <w:rPr>
          <w:rFonts w:ascii="Arial;sans-serif" w:hAnsi="Arial;sans-serif"/>
          <w:b/>
          <w:color w:val="74A333"/>
          <w:sz w:val="18"/>
        </w:rPr>
        <w:t>Compensation Actually Paid and Revenue Growth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graph shows the relationship between compensation actually paid and Revenue Growth:</w:t>
      </w:r>
    </w:p>
    <w:p>
      <w:pPr>
        <w:pStyle w:val="TextBody"/>
        <w:bidi w:val="0"/>
        <w:spacing w:before="180" w:after="360"/>
        <w:jc w:val="center"/>
        <w:rPr/>
      </w:pPr>
      <w:r>
        <w:rPr/>
        <w:drawing>
          <wp:inline distT="0" distB="0" distL="0" distR="0">
            <wp:extent cx="5486400" cy="3590925"/>
            <wp:effectExtent l="0" t="0" r="0" b="0"/>
            <wp:docPr id="7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2" descr=""/>
                    <pic:cNvPicPr>
                      <a:picLocks noChangeAspect="1" noChangeArrowheads="1"/>
                    </pic:cNvPicPr>
                  </pic:nvPicPr>
                  <pic:blipFill>
                    <a:blip r:embed="rId23"/>
                    <a:stretch>
                      <a:fillRect/>
                    </a:stretch>
                  </pic:blipFill>
                  <pic:spPr bwMode="auto">
                    <a:xfrm>
                      <a:off x="0" y="0"/>
                      <a:ext cx="5486400" cy="3590925"/>
                    </a:xfrm>
                    <a:prstGeom prst="rect">
                      <a:avLst/>
                    </a:prstGeom>
                  </pic:spPr>
                </pic:pic>
              </a:graphicData>
            </a:graphic>
          </wp:inline>
        </w:drawing>
      </w:r>
      <w:bookmarkStart w:id="21" w:name="i-22"/>
      <w:bookmarkEnd w:id="21"/>
    </w:p>
    <w:p>
      <w:pPr>
        <w:pStyle w:val="TextBody"/>
        <w:bidi w:val="0"/>
        <w:spacing w:lineRule="auto" w:line="362" w:before="0" w:after="180"/>
        <w:jc w:val="both"/>
        <w:rPr>
          <w:rFonts w:ascii="Arial;sans-serif" w:hAnsi="Arial;sans-serif"/>
          <w:b w:val="false"/>
          <w:i/>
          <w:color w:val="000000"/>
          <w:sz w:val="18"/>
        </w:rPr>
      </w:pPr>
      <w:r>
        <w:rPr>
          <w:rFonts w:ascii="Arial;sans-serif" w:hAnsi="Arial;sans-serif"/>
          <w:b w:val="false"/>
          <w:i/>
          <w:color w:val="000000"/>
          <w:sz w:val="18"/>
        </w:rPr>
        <w:t>All information provided above under the “Pay Versus Performance” heading will not be deemed to be incorporated by reference into any filing of SI-BONE under the Securities Act of 1933, as amended, or the Securities Exchange Act of 1934, as amended, whether made before or after the date hereof and irrespective of any general incorporation language in any such filing, except to the extent we specifically incorporate such information by reference.</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CEO PAY RATIO</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Item 402(u) of Regulation S-K, we are required to provide the ratio of annual total compensation of our CEO to the annual total compensation of our median employee. The ratio discussed below is a reasonable estimate calculated in a manner consistent with Item 402(u). For fiscal year 2025, the median of the annual total compensation of all of our employees (other than the CEO) was $181,059 and the annual total compensation of the CEO, as reported in the “Summary Compensation Table” included in this Proxy Statement, was $7,453,235. Based on this information, the ratio of the annual total compensation of the CEO to the median of the annual total compensation of our other employees was approximately 41 to 1.</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identified the employee with annual total compensation at the median of the compensation of all our employees by considering the employee population as of December 31, 2025. We had an even number of employees as of December 31, 2025, therefore we had two median employees. We took the average annual total compensation of these two employees to determine the median annual total compensation disclosed above as both such median employees had substantially similar roles, tenure and compensation. We considered all individuals, excluding the CEO, whether employed in the United States or outside the United States, full-time, part-time or on a leave of absence. Contractors were not included in our employee population. Compensation for purposes of identifying the median employee included annual base salary, target annual bonus or commissions, and the grant date value of equity awards granted in fiscal year 2025. Target annual commissions for territory sales managers was based on the average earned commissions for fiscal year 2025. Target annual commissions for clinical specialists and sales leadership was based on their target annual commissions as set forth at the beginning of the fiscal year. Non-United States employees’ pay was converted to U.S. dollar using foreign exchange rates in effect as of December 31, 2025. We did not make any cost-of-living adjustments for employees outside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0885"/>
                <wp:effectExtent l="0" t="0" r="0" b="0"/>
                <wp:wrapNone/>
                <wp:docPr id="80" name="Frame5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53</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POLICIES AND PRACTICES RELATED TO THE GRANT OF CERTAIN EQUITY AWARDS CLOSE IN TIME TO THE RELEASE OF MATERIAL NONPUBLIC INFORMATION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does not grant stock options, stock appreciation rights, or similar instruments with option-like features and has no policies or practices to disclose pursuant to Item 402(x)(1) of Regulation S-K.</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NON-EMPLOYEE DIRECTOR COMPENSATION POLICY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adopted a non-employee director compensation policy, pursuant to which our non-employee directors will be eligible to receive cash compensation for service on our Board and committees of our Board.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Each non-employee director receives an annual cash retainer of $45,000 for serving on our Board.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chairperson and members of the three committees of our Board are entitled to the following annual cash retainers:</w:t>
      </w:r>
    </w:p>
    <w:tbl>
      <w:tblPr>
        <w:tblW w:w="5981" w:type="dxa"/>
        <w:jc w:val="left"/>
        <w:tblInd w:w="0" w:type="dxa"/>
        <w:tblLayout w:type="fixed"/>
        <w:tblCellMar>
          <w:top w:w="28" w:type="dxa"/>
          <w:left w:w="28" w:type="dxa"/>
          <w:bottom w:w="28" w:type="dxa"/>
          <w:right w:w="28" w:type="dxa"/>
        </w:tblCellMar>
      </w:tblPr>
      <w:tblGrid>
        <w:gridCol w:w="124"/>
        <w:gridCol w:w="109"/>
        <w:gridCol w:w="109"/>
        <w:gridCol w:w="1073"/>
        <w:gridCol w:w="1073"/>
        <w:gridCol w:w="1079"/>
        <w:gridCol w:w="385"/>
        <w:gridCol w:w="385"/>
        <w:gridCol w:w="386"/>
        <w:gridCol w:w="295"/>
        <w:gridCol w:w="295"/>
        <w:gridCol w:w="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Board Committee</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Chairperson Fee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Member Fee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Audit Committee </w:t>
            </w:r>
          </w:p>
        </w:tc>
        <w:tc>
          <w:tcPr>
            <w:tcW w:w="77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20,000 </w:t>
            </w:r>
          </w:p>
        </w:tc>
        <w:tc>
          <w:tcPr>
            <w:tcW w:w="3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10,000 </w:t>
            </w:r>
          </w:p>
        </w:tc>
        <w:tc>
          <w:tcPr>
            <w:tcW w:w="2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Compensation Committee </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Nominating and Corporate Governance Committee </w:t>
            </w:r>
          </w:p>
        </w:tc>
        <w:tc>
          <w:tcPr>
            <w:tcW w:w="77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10,000 </w:t>
            </w:r>
          </w:p>
        </w:tc>
        <w:tc>
          <w:tcPr>
            <w:tcW w:w="38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EDEDEE"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296"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Lead Independent Director</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Chair of the Board</w:t>
            </w:r>
          </w:p>
        </w:tc>
        <w:tc>
          <w:tcPr>
            <w:tcW w:w="77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45,000 </w:t>
            </w:r>
          </w:p>
        </w:tc>
        <w:tc>
          <w:tcPr>
            <w:tcW w:w="38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bottom w:val="single" w:sz="12" w:space="0" w:color="74A333"/>
            </w:tcBorders>
            <w:shd w:fill="EDEDEE"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bottom w:val="single" w:sz="12" w:space="0" w:color="74A333"/>
            </w:tcBorders>
            <w:shd w:fill="EDED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2" w:space="0" w:color="74A333"/>
            </w:tcBorders>
            <w:shd w:fill="EDED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All annual cash compensation amounts are payable in equal quarterly installments in arrears, on the last day of each fiscal quarter for which the service occurred, pro-rated based on the days served in the applicable fiscal quarter.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Each new non-employee director who joins our Board will receive a restricted stock unit award with a value of $300,000. The shares subject to these equity awards will vest quarterly over three years, subject to the non-employee director’s continuous service with us on each applicable vesting date.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under the policy, on the date of each annual meeting of our stockholders, each continuing non-employee director may receive a restricted stock unit award with a value of $150,000, vesting approximately one year from the grant date, subject to the non-employee director’s continuous service with us on each applicable vesting date.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pStyle w:val="TextBody"/>
        <w:bidi w:val="0"/>
        <w:spacing w:lineRule="auto" w:line="288" w:before="240" w:after="120"/>
        <w:jc w:val="both"/>
        <w:rPr>
          <w:rFonts w:ascii="Arial;sans-serif" w:hAnsi="Arial;sans-serif"/>
          <w:b w:val="false"/>
          <w:color w:val="000000"/>
          <w:sz w:val="24"/>
        </w:rPr>
      </w:pPr>
      <w:r>
        <w:rPr>
          <w:rFonts w:ascii="Arial;sans-serif" w:hAnsi="Arial;sans-serif"/>
          <w:b w:val="false"/>
          <w:color w:val="000000"/>
          <w:sz w:val="24"/>
        </w:rPr>
        <w:t>DIRECTOR COMPENSATION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shows for the fiscal year ended December 31, 2025, certain information with respect to the compensation of all non-employee directors of SI-BONE:</w:t>
      </w:r>
    </w:p>
    <w:tbl>
      <w:tblPr>
        <w:tblW w:w="6263" w:type="dxa"/>
        <w:jc w:val="left"/>
        <w:tblInd w:w="0" w:type="dxa"/>
        <w:tblLayout w:type="fixed"/>
        <w:tblCellMar>
          <w:top w:w="28" w:type="dxa"/>
          <w:left w:w="28" w:type="dxa"/>
          <w:bottom w:w="28" w:type="dxa"/>
          <w:right w:w="28" w:type="dxa"/>
        </w:tblCellMar>
      </w:tblPr>
      <w:tblGrid>
        <w:gridCol w:w="124"/>
        <w:gridCol w:w="109"/>
        <w:gridCol w:w="109"/>
        <w:gridCol w:w="502"/>
        <w:gridCol w:w="502"/>
        <w:gridCol w:w="511"/>
        <w:gridCol w:w="689"/>
        <w:gridCol w:w="689"/>
        <w:gridCol w:w="691"/>
        <w:gridCol w:w="374"/>
        <w:gridCol w:w="374"/>
        <w:gridCol w:w="376"/>
        <w:gridCol w:w="279"/>
        <w:gridCol w:w="279"/>
        <w:gridCol w:w="28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Fees Earned or Paid in Cash</w:t>
            </w:r>
            <w:r>
              <w:rPr>
                <w:rFonts w:ascii="Arial;sans-serif" w:hAnsi="Arial;sans-serif"/>
                <w:b/>
                <w:color w:val="000000"/>
                <w:sz w:val="9"/>
              </w:rPr>
              <w:t xml:space="preserve">(1) </w:t>
              <w:br/>
            </w:r>
            <w:r>
              <w:rPr>
                <w:rFonts w:ascii="Arial;sans-serif" w:hAnsi="Arial;sans-serif"/>
                <w:b/>
                <w:color w:val="000000"/>
                <w:sz w:val="14"/>
              </w:rPr>
              <w:t>($)</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4"/>
              </w:rPr>
              <w:t>Stock Awards</w:t>
            </w:r>
            <w:r>
              <w:rPr>
                <w:rFonts w:ascii="Arial;sans-serif" w:hAnsi="Arial;sans-serif"/>
                <w:b/>
                <w:color w:val="000000"/>
                <w:sz w:val="9"/>
              </w:rPr>
              <w:t xml:space="preserve">(2) </w:t>
              <w:br/>
            </w:r>
            <w:r>
              <w:rPr>
                <w:rFonts w:ascii="Arial;sans-serif" w:hAnsi="Arial;sans-serif"/>
                <w:b/>
                <w:color w:val="000000"/>
                <w:sz w:val="14"/>
              </w:rPr>
              <w: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 xml:space="preserve">Total </w:t>
              <w:b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Timothy E. Davis, Jr.</w:t>
            </w:r>
          </w:p>
        </w:tc>
        <w:tc>
          <w:tcPr>
            <w:tcW w:w="206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75,000</w:t>
            </w:r>
          </w:p>
        </w:tc>
        <w:tc>
          <w:tcPr>
            <w:tcW w:w="112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240,346</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Jeffrey W. Dunn</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90,000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255,346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John G. Freund, M.D.</w:t>
            </w:r>
          </w:p>
        </w:tc>
        <w:tc>
          <w:tcPr>
            <w:tcW w:w="206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50,000</w:t>
            </w:r>
          </w:p>
        </w:tc>
        <w:tc>
          <w:tcPr>
            <w:tcW w:w="112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215,346</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Jeryl L. Hilleman</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70,000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235,346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74A333"/>
                <w:sz w:val="14"/>
              </w:rPr>
              <w:t>Gregory K. Hinckley</w:t>
            </w:r>
            <w:r>
              <w:rPr>
                <w:rFonts w:ascii="Arial;sans-serif" w:hAnsi="Arial;sans-serif"/>
                <w:b/>
                <w:color w:val="74A333"/>
                <w:sz w:val="9"/>
              </w:rPr>
              <w:t>(3)</w:t>
            </w:r>
          </w:p>
        </w:tc>
        <w:tc>
          <w:tcPr>
            <w:tcW w:w="206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52,250</w:t>
            </w:r>
          </w:p>
        </w:tc>
        <w:tc>
          <w:tcPr>
            <w:tcW w:w="112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217,596</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Mika Nishimura</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55,000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220,346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Thomas A. West</w:t>
            </w:r>
          </w:p>
        </w:tc>
        <w:tc>
          <w:tcPr>
            <w:tcW w:w="2069"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52,250</w:t>
            </w:r>
          </w:p>
        </w:tc>
        <w:tc>
          <w:tcPr>
            <w:tcW w:w="1124"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217,596</w:t>
            </w:r>
          </w:p>
        </w:tc>
        <w:tc>
          <w:tcPr>
            <w:tcW w:w="37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74A333"/>
                <w:sz w:val="14"/>
              </w:rPr>
              <w:t>Daniel W. Wolf</w:t>
            </w:r>
            <w:r>
              <w:rPr>
                <w:rFonts w:ascii="Arial;sans-serif" w:hAnsi="Arial;sans-serif"/>
                <w:b/>
                <w:color w:val="74A333"/>
                <w:sz w:val="9"/>
              </w:rPr>
              <w:t>(4)</w:t>
            </w:r>
          </w:p>
        </w:tc>
        <w:tc>
          <w:tcPr>
            <w:tcW w:w="2069"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46,780</w:t>
            </w:r>
          </w:p>
        </w:tc>
        <w:tc>
          <w:tcPr>
            <w:tcW w:w="1124"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165,346</w:t>
            </w:r>
          </w:p>
        </w:tc>
        <w:tc>
          <w:tcPr>
            <w:tcW w:w="841"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212,126</w:t>
            </w:r>
          </w:p>
        </w:tc>
        <w:tc>
          <w:tcPr>
            <w:tcW w:w="37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1.Payments earned for services rendered in the fourth quarter of 2025 were paid in January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0885"/>
                <wp:effectExtent l="0" t="0" r="0" b="0"/>
                <wp:wrapNone/>
                <wp:docPr id="81" name="Frame5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54</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ind w:left="0" w:right="0" w:hanging="360"/>
        <w:jc w:val="both"/>
        <w:rPr/>
      </w:pPr>
      <w:r>
        <w:rPr>
          <w:rFonts w:ascii="Arial;sans-serif" w:hAnsi="Arial;sans-serif"/>
          <w:b w:val="false"/>
          <w:color w:val="000000"/>
          <w:sz w:val="16"/>
        </w:rPr>
        <w:t>2.Represents the aggregate grant date fair value of restricted stock unit awards (“</w:t>
      </w:r>
      <w:r>
        <w:rPr>
          <w:rFonts w:ascii="Arial;sans-serif" w:hAnsi="Arial;sans-serif"/>
          <w:b/>
          <w:color w:val="000000"/>
          <w:sz w:val="16"/>
        </w:rPr>
        <w:t>RSUs</w:t>
      </w:r>
      <w:r>
        <w:rPr>
          <w:color w:val="000000"/>
        </w:rPr>
        <w:t>”</w:t>
      </w:r>
      <w:r>
        <w:rPr>
          <w:rFonts w:ascii="Arial;sans-serif" w:hAnsi="Arial;sans-serif"/>
          <w:b w:val="false"/>
          <w:color w:val="000000"/>
          <w:sz w:val="16"/>
        </w:rPr>
        <w:t xml:space="preserve">)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February 24, 2026.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3.Mr. Hinckley is not standing for re-election at the Annual Meeting and will therefore step down as a director and as a member of the Compensation Committee upon the expiration of his term at the conclusion of the Annual Meeting.</w:t>
      </w:r>
    </w:p>
    <w:p>
      <w:pPr>
        <w:pStyle w:val="TextBody"/>
        <w:bidi w:val="0"/>
        <w:spacing w:lineRule="auto" w:line="288" w:before="0" w:after="240"/>
        <w:ind w:left="0" w:right="0" w:hanging="360"/>
        <w:jc w:val="both"/>
        <w:rPr>
          <w:rFonts w:ascii="Arial;sans-serif" w:hAnsi="Arial;sans-serif"/>
          <w:b w:val="false"/>
          <w:color w:val="000000"/>
          <w:sz w:val="16"/>
        </w:rPr>
      </w:pPr>
      <w:r>
        <w:rPr>
          <w:rFonts w:ascii="Arial;sans-serif" w:hAnsi="Arial;sans-serif"/>
          <w:b w:val="false"/>
          <w:color w:val="000000"/>
          <w:sz w:val="16"/>
        </w:rPr>
        <w:t xml:space="preserve">4.Mr. Wolf resigned as a director and as a member of the Audit Committee on November 6, 2025.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table below lists the aggregate number of shares subject to outstanding stock awards held by each of our non-employee directors as of 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458"/>
        <w:gridCol w:w="426"/>
        <w:gridCol w:w="434"/>
        <w:gridCol w:w="1394"/>
        <w:gridCol w:w="1394"/>
        <w:gridCol w:w="1397"/>
        <w:gridCol w:w="1326"/>
        <w:gridCol w:w="1326"/>
        <w:gridCol w:w="1331"/>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Name</w:t>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Shares Subject to Outstanding Options as of December 31, 2025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98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 xml:space="preserve">Number of Shares Subject to Outstanding RSUs as of December 31, 2025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Timothy E. Davis, Jr.</w:t>
            </w:r>
          </w:p>
        </w:tc>
        <w:tc>
          <w:tcPr>
            <w:tcW w:w="418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50,027</w:t>
            </w:r>
          </w:p>
        </w:tc>
        <w:tc>
          <w:tcPr>
            <w:tcW w:w="398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35,989</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Jeffrey W. Dunn</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147,513</w:t>
            </w:r>
          </w:p>
        </w:tc>
        <w:tc>
          <w:tcPr>
            <w:tcW w:w="3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10,307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John G. Freund, M.D.</w:t>
            </w:r>
          </w:p>
        </w:tc>
        <w:tc>
          <w:tcPr>
            <w:tcW w:w="418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37,963</w:t>
            </w:r>
          </w:p>
        </w:tc>
        <w:tc>
          <w:tcPr>
            <w:tcW w:w="398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8,675</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Jeryl L. Hilleman</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26,236</w:t>
            </w:r>
          </w:p>
        </w:tc>
        <w:tc>
          <w:tcPr>
            <w:tcW w:w="3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35,989</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Gregory K. Hinckley</w:t>
            </w:r>
          </w:p>
        </w:tc>
        <w:tc>
          <w:tcPr>
            <w:tcW w:w="418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18,826</w:t>
            </w:r>
          </w:p>
        </w:tc>
        <w:tc>
          <w:tcPr>
            <w:tcW w:w="398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8,675</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Mika Nishimura</w:t>
            </w:r>
          </w:p>
        </w:tc>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8,675</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DEDEE"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Thomas A. West</w:t>
            </w:r>
          </w:p>
        </w:tc>
        <w:tc>
          <w:tcPr>
            <w:tcW w:w="4185"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983" w:type="dxa"/>
            <w:gridSpan w:val="3"/>
            <w:tcBorders/>
            <w:shd w:fill="EDEDEE"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19,359</w:t>
            </w:r>
          </w:p>
        </w:tc>
        <w:tc>
          <w:tcPr>
            <w:tcW w:w="37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74A333"/>
                <w:sz w:val="14"/>
              </w:rPr>
            </w:pPr>
            <w:r>
              <w:rPr>
                <w:rFonts w:ascii="Arial;sans-serif" w:hAnsi="Arial;sans-serif"/>
                <w:b/>
                <w:color w:val="74A333"/>
                <w:sz w:val="14"/>
              </w:rPr>
              <w:t>Daniel W. Wolf</w:t>
            </w:r>
          </w:p>
        </w:tc>
        <w:tc>
          <w:tcPr>
            <w:tcW w:w="4185"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w:t>
            </w:r>
          </w:p>
        </w:tc>
        <w:tc>
          <w:tcPr>
            <w:tcW w:w="3983" w:type="dxa"/>
            <w:gridSpan w:val="3"/>
            <w:tcBorders>
              <w:bottom w:val="single" w:sz="12" w:space="0" w:color="74A333"/>
            </w:tcBorders>
            <w:shd w:fill="FFFFFF" w:val="clear"/>
            <w:tcMar>
              <w:top w:w="0" w:type="dxa"/>
              <w:left w:w="0" w:type="dxa"/>
              <w:bottom w:w="30" w:type="dxa"/>
              <w:right w:w="0" w:type="dxa"/>
            </w:tcMar>
            <w:vAlign w:val="center"/>
          </w:tcPr>
          <w:p>
            <w:pPr>
              <w:pStyle w:val="TableContents"/>
              <w:bidi w:val="0"/>
              <w:spacing w:lineRule="auto" w:line="288" w:before="0" w:after="0"/>
              <w:jc w:val="right"/>
              <w:rPr>
                <w:color w:val="000000"/>
              </w:rPr>
            </w:pPr>
            <w:r>
              <w:rPr>
                <w:color w:val="000000"/>
              </w:rPr>
              <w:t>—</w:t>
            </w:r>
          </w:p>
        </w:tc>
        <w:tc>
          <w:tcPr>
            <w:tcW w:w="377" w:type="dxa"/>
            <w:gridSpan w:val="3"/>
            <w:tcBorders>
              <w:bottom w:val="single" w:sz="12" w:space="0" w:color="74A33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00000"/>
          <w:sz w:val="32"/>
        </w:rPr>
      </w:pPr>
      <w:r>
        <w:rPr>
          <w:rFonts w:ascii="Arial;sans-serif" w:hAnsi="Arial;sans-serif"/>
          <w:b/>
          <w:color w:val="000000"/>
          <w:sz w:val="32"/>
        </w:rPr>
        <w:t>Certain Relationships and Related Party Transactions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4"/>
        </w:rPr>
      </w:pPr>
      <w:r>
        <w:rPr>
          <w:rFonts w:ascii="Arial;sans-serif" w:hAnsi="Arial;sans-serif"/>
          <w:b w:val="false"/>
          <w:color w:val="000000"/>
          <w:sz w:val="24"/>
        </w:rPr>
        <w:t>RELATED PERSON TRANSACTIONS POLICY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Since the beginning of fiscal year ended December 31, 2025, there have been no transactions, and there currently are no proposed transactions, in excess of $120,000 between us (or one of our subsidiaries) and a related person in which the related person had or will have a direct or indirect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00000"/>
          <w:sz w:val="32"/>
        </w:rPr>
      </w:pPr>
      <w:r>
        <w:rPr>
          <w:rFonts w:ascii="Arial;sans-serif" w:hAnsi="Arial;sans-serif"/>
          <w:b/>
          <w:color w:val="000000"/>
          <w:sz w:val="32"/>
        </w:rPr>
        <w:t>Indemnification Agreements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 In June 2024, we amended our amended and restated certificate of incorporation (the “</w:t>
      </w:r>
      <w:r>
        <w:rPr>
          <w:rFonts w:ascii="Arial;sans-serif" w:hAnsi="Arial;sans-serif"/>
          <w:b/>
          <w:color w:val="000000"/>
          <w:sz w:val="18"/>
        </w:rPr>
        <w:t>Amendment</w:t>
      </w:r>
      <w:r>
        <w:rPr>
          <w:color w:val="000000"/>
        </w:rPr>
        <w:t>”</w:t>
      </w:r>
      <w:r>
        <w:rPr>
          <w:rFonts w:ascii="Arial;sans-serif" w:hAnsi="Arial;sans-serif"/>
          <w:b w:val="false"/>
          <w:color w:val="000000"/>
          <w:sz w:val="18"/>
        </w:rPr>
        <w:t>). The Amendment contains provisions limiting the liability of certain officers as permitted under Delaware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0885"/>
                <wp:effectExtent l="0" t="0" r="0" b="0"/>
                <wp:wrapNone/>
                <wp:docPr id="82" name="Frame6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55</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00000"/>
          <w:sz w:val="32"/>
        </w:rPr>
      </w:pPr>
      <w:r>
        <w:rPr>
          <w:rFonts w:ascii="Arial;sans-serif" w:hAnsi="Arial;sans-serif"/>
          <w:b/>
          <w:color w:val="000000"/>
          <w:sz w:val="32"/>
        </w:rPr>
        <w:t>Householding of 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This year, a number of brokers with account holders who are our stockholders will likely be “householding” our proxy materials. A single set of Notice of Internet Availability of Proxy Materials or other Annual Meeting materials, as applicable,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Notice of Internet Availability of Proxy Materials or other Annual Meeting materials, please notify your broker or us. Your written request to us should be addressed to SI-BONE, Inc., Attn: Secretary and Chief Business &amp; Legal Affairs Officer, at 471 El Camino Real, Suite 101, Santa Clara, California 95050. Stockholders who currently receive multiple copies of the Notice of Internet Availability of Proxy Materials or other Annual Meeting materials at their addresses and would like to request “householding” of their communications should contact their brokers.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00000"/>
          <w:sz w:val="32"/>
        </w:rPr>
      </w:pPr>
      <w:r>
        <w:rPr>
          <w:rFonts w:ascii="Arial;sans-serif" w:hAnsi="Arial;sans-serif"/>
          <w:b/>
          <w:color w:val="000000"/>
          <w:sz w:val="32"/>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 Michael A. Pisetsky</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Michael A. Pisetsky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Secretary and Chief Business &amp; Legal Affairs Officer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April 21, 2026</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 copy of SI-BONE, Inc.’s Annual Report to the Securities and Exchange Commission on Form 10-K for the fiscal year ended December 31, 2025 is available without charge upon written request to: SI-BONE, Inc., Attn: Secretary and Chief Business &amp; Legal Affairs Officer, at 471 El Camino Real, Suite 101, Santa Clara, California 95050.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0885"/>
                <wp:effectExtent l="0" t="0" r="0" b="0"/>
                <wp:wrapNone/>
                <wp:docPr id="83" name="Frame6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56</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333" w:before="0" w:after="0"/>
        <w:jc w:val="left"/>
        <w:rPr>
          <w:rFonts w:ascii="Arial;sans-serif" w:hAnsi="Arial;sans-serif"/>
          <w:b/>
          <w:color w:val="000000"/>
          <w:sz w:val="32"/>
        </w:rPr>
      </w:pPr>
      <w:r>
        <w:rPr>
          <w:rFonts w:ascii="Arial;sans-serif" w:hAnsi="Arial;sans-serif"/>
          <w:b/>
          <w:color w:val="000000"/>
          <w:sz w:val="32"/>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This proxy statement contains information regarding certain non-GAAP financial measures, including Adjusted EBITDA, which is not calculated in accordance with Generally Accepted Accounting Principles (“</w:t>
      </w:r>
      <w:r>
        <w:rPr>
          <w:rFonts w:ascii="Arial;sans-serif" w:hAnsi="Arial;sans-serif"/>
          <w:b/>
          <w:color w:val="000000"/>
          <w:sz w:val="18"/>
        </w:rPr>
        <w:t>GAAP</w:t>
      </w:r>
      <w:r>
        <w:rPr>
          <w:color w:val="000000"/>
        </w:rPr>
        <w:t>”</w:t>
      </w:r>
      <w:r>
        <w:rPr>
          <w:rFonts w:ascii="Arial;sans-serif" w:hAnsi="Arial;sans-serif"/>
          <w:b w:val="false"/>
          <w:color w:val="000000"/>
          <w:sz w:val="18"/>
        </w:rPr>
        <w:t>). Adjusted EBITDA excludes from net loss the effects of interest income, interest expense, depreciation and amortization and stock-based compensation. We use non-GAAP financial measures internally in analyzing our financial results and believe that the use of non-GAAP financial measures, including Adjusted EBITDA, is useful as an additional tool to evaluate ongoing operating results and trends and in comparing our financial results with other companies in our industry, many of which present similar non-GAAP financial measures.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Non-GAAP financial measures are not meant to be considered in isolation or as a substitute for comparable GAAP financial measures. We encourage stockholders to carefully consider our GAAP results, as well as our supplemental non-GAAP information and the reconciliation between these presentations, to more fully understand our business. A reconciliation of non-GAAP measures to the most directly comparable GAAP measure is provided below.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presents a reconciliation of GAAP and non-GAAP results:</w:t>
      </w:r>
    </w:p>
    <w:tbl>
      <w:tblPr>
        <w:tblW w:w="9218" w:type="dxa"/>
        <w:jc w:val="left"/>
        <w:tblInd w:w="0" w:type="dxa"/>
        <w:tblLayout w:type="fixed"/>
        <w:tblCellMar>
          <w:top w:w="28" w:type="dxa"/>
          <w:left w:w="28" w:type="dxa"/>
          <w:bottom w:w="28" w:type="dxa"/>
          <w:right w:w="28" w:type="dxa"/>
        </w:tblCellMar>
      </w:tblPr>
      <w:tblGrid>
        <w:gridCol w:w="124"/>
        <w:gridCol w:w="109"/>
        <w:gridCol w:w="109"/>
        <w:gridCol w:w="1150"/>
        <w:gridCol w:w="1150"/>
        <w:gridCol w:w="1150"/>
        <w:gridCol w:w="245"/>
        <w:gridCol w:w="245"/>
        <w:gridCol w:w="245"/>
        <w:gridCol w:w="265"/>
        <w:gridCol w:w="265"/>
        <w:gridCol w:w="265"/>
        <w:gridCol w:w="245"/>
        <w:gridCol w:w="245"/>
        <w:gridCol w:w="245"/>
        <w:gridCol w:w="265"/>
        <w:gridCol w:w="265"/>
        <w:gridCol w:w="265"/>
        <w:gridCol w:w="245"/>
        <w:gridCol w:w="245"/>
        <w:gridCol w:w="245"/>
        <w:gridCol w:w="265"/>
        <w:gridCol w:w="265"/>
        <w:gridCol w:w="265"/>
        <w:gridCol w:w="245"/>
        <w:gridCol w:w="245"/>
        <w:gridCol w:w="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NET LOSS TO NON-GAAP ADJUSTED EBITDA</w:t>
              <w:br/>
              <w:t>(In thousands)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Twelve Months Ended </w:t>
            </w:r>
          </w:p>
          <w:p>
            <w:pPr>
              <w:pStyle w:val="TableContents"/>
              <w:bidi w:val="0"/>
              <w:spacing w:lineRule="auto" w:line="288" w:before="0" w:after="120"/>
              <w:jc w:val="center"/>
              <w:rPr>
                <w:rFonts w:ascii="Arial;sans-serif" w:hAnsi="Arial;sans-serif"/>
                <w:b/>
                <w:color w:val="000000"/>
                <w:sz w:val="18"/>
              </w:rPr>
            </w:pPr>
            <w:r>
              <w:rPr>
                <w:rFonts w:ascii="Arial;sans-serif" w:hAnsi="Arial;sans-serif"/>
                <w:b/>
                <w:color w:val="000000"/>
                <w:sz w:val="18"/>
              </w:rPr>
              <w:t>December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color w:val="000000"/>
                <w:sz w:val="18"/>
              </w:rPr>
            </w:pPr>
            <w:r>
              <w:rPr>
                <w:rFonts w:ascii="Arial;sans-serif" w:hAnsi="Arial;sans-serif"/>
                <w:b/>
                <w:color w:val="000000"/>
                <w:sz w:val="18"/>
              </w:rPr>
              <w:t>2025 ($)</w:t>
            </w:r>
          </w:p>
        </w:tc>
        <w:tc>
          <w:tcPr>
            <w:tcW w:w="735"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color w:val="000000"/>
                <w:sz w:val="18"/>
              </w:rPr>
            </w:pPr>
            <w:r>
              <w:rPr>
                <w:rFonts w:ascii="Arial;sans-serif" w:hAnsi="Arial;sans-serif"/>
                <w:b/>
                <w:color w:val="000000"/>
                <w:sz w:val="18"/>
              </w:rPr>
              <w:t>2024 ($)</w:t>
            </w:r>
          </w:p>
        </w:tc>
        <w:tc>
          <w:tcPr>
            <w:tcW w:w="735"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74A333"/>
            </w:tcBorders>
            <w:tcMar>
              <w:top w:w="30" w:type="dxa"/>
              <w:left w:w="0" w:type="dxa"/>
              <w:bottom w:w="0" w:type="dxa"/>
              <w:right w:w="0" w:type="dxa"/>
            </w:tcMar>
            <w:vAlign w:val="center"/>
          </w:tcPr>
          <w:p>
            <w:pPr>
              <w:pStyle w:val="TableContents"/>
              <w:bidi w:val="0"/>
              <w:spacing w:lineRule="auto" w:line="333" w:before="0" w:after="283"/>
              <w:jc w:val="right"/>
              <w:rPr>
                <w:rFonts w:ascii="Arial;sans-serif" w:hAnsi="Arial;sans-serif"/>
                <w:b/>
                <w:color w:val="000000"/>
                <w:sz w:val="18"/>
              </w:rPr>
            </w:pPr>
            <w:r>
              <w:rPr>
                <w:rFonts w:ascii="Arial;sans-serif" w:hAnsi="Arial;sans-serif"/>
                <w:b/>
                <w:color w:val="000000"/>
                <w:sz w:val="18"/>
              </w:rPr>
              <w:t>2023 ($)</w:t>
            </w:r>
          </w:p>
        </w:tc>
        <w:tc>
          <w:tcPr>
            <w:tcW w:w="836" w:type="dxa"/>
            <w:gridSpan w:val="3"/>
            <w:tcBorders>
              <w:top w:val="single" w:sz="8" w:space="0" w:color="74A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ECECEE"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Net loss on a GAAP basis</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(18,904)</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(30,913)</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(43,336)</w:t>
            </w:r>
          </w:p>
        </w:tc>
        <w:tc>
          <w:tcPr>
            <w:tcW w:w="83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Add (Subtract):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Interest income</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(6,074)</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(7,848)</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(6,916)</w:t>
            </w:r>
          </w:p>
        </w:tc>
        <w:tc>
          <w:tcPr>
            <w:tcW w:w="83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Interest expense</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2,628</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3,440</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3,462</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Depreciation and amortization</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5,770</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4,379</w:t>
            </w:r>
          </w:p>
        </w:tc>
        <w:tc>
          <w:tcPr>
            <w:tcW w:w="735"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CECEE"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5,428</w:t>
            </w:r>
          </w:p>
        </w:tc>
        <w:tc>
          <w:tcPr>
            <w:tcW w:w="836" w:type="dxa"/>
            <w:gridSpan w:val="3"/>
            <w:tcBorders/>
            <w:shd w:fill="ECEC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Stock-based compensation</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25,524</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25,868</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24,057</w:t>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bottom w:val="single" w:sz="12" w:space="0" w:color="74A333"/>
            </w:tcBorders>
            <w:shd w:fill="ECECEE" w:val="clear"/>
            <w:tcMar>
              <w:top w:w="0" w:type="dxa"/>
              <w:left w:w="0" w:type="dxa"/>
              <w:bottom w:w="30" w:type="dxa"/>
              <w:right w:w="0" w:type="dxa"/>
            </w:tcMar>
            <w:vAlign w:val="center"/>
          </w:tcPr>
          <w:p>
            <w:pPr>
              <w:pStyle w:val="TableContents"/>
              <w:bidi w:val="0"/>
              <w:spacing w:lineRule="auto" w:line="240" w:before="0" w:after="120"/>
              <w:jc w:val="left"/>
              <w:rPr>
                <w:rFonts w:ascii="Arial;sans-serif" w:hAnsi="Arial;sans-serif"/>
                <w:b/>
                <w:color w:val="000000"/>
                <w:sz w:val="18"/>
              </w:rPr>
            </w:pPr>
            <w:r>
              <w:rPr>
                <w:rFonts w:ascii="Arial;sans-serif" w:hAnsi="Arial;sans-serif"/>
                <w:b/>
                <w:color w:val="000000"/>
                <w:sz w:val="18"/>
              </w:rPr>
              <w:t>Adjusted EBITDA on a non-GAAP basis</w:t>
            </w:r>
          </w:p>
        </w:tc>
        <w:tc>
          <w:tcPr>
            <w:tcW w:w="735"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12" w:space="0" w:color="74A333"/>
            </w:tcBorders>
            <w:shd w:fill="ECECEE" w:val="clear"/>
            <w:tcMar>
              <w:top w:w="30" w:type="dxa"/>
              <w:left w:w="0" w:type="dxa"/>
              <w:bottom w:w="3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8,944</w:t>
            </w:r>
          </w:p>
        </w:tc>
        <w:tc>
          <w:tcPr>
            <w:tcW w:w="735"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12" w:space="0" w:color="74A333"/>
            </w:tcBorders>
            <w:shd w:fill="ECECEE" w:val="clear"/>
            <w:tcMar>
              <w:top w:w="30" w:type="dxa"/>
              <w:left w:w="0" w:type="dxa"/>
              <w:bottom w:w="3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(5,074)</w:t>
            </w:r>
          </w:p>
        </w:tc>
        <w:tc>
          <w:tcPr>
            <w:tcW w:w="735" w:type="dxa"/>
            <w:gridSpan w:val="3"/>
            <w:tcBorders>
              <w:bottom w:val="single" w:sz="12" w:space="0" w:color="74A333"/>
            </w:tcBorders>
            <w:shd w:fill="ECEC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12" w:space="0" w:color="74A333"/>
            </w:tcBorders>
            <w:shd w:fill="ECECEE" w:val="clear"/>
            <w:tcMar>
              <w:top w:w="30" w:type="dxa"/>
              <w:left w:w="0" w:type="dxa"/>
              <w:bottom w:w="30" w:type="dxa"/>
              <w:right w:w="0" w:type="dxa"/>
            </w:tcMar>
            <w:vAlign w:val="center"/>
          </w:tcPr>
          <w:p>
            <w:pPr>
              <w:pStyle w:val="TableContents"/>
              <w:bidi w:val="0"/>
              <w:spacing w:lineRule="auto" w:line="288" w:before="0" w:after="120"/>
              <w:jc w:val="right"/>
              <w:rPr>
                <w:rFonts w:ascii="Arial;sans-serif" w:hAnsi="Arial;sans-serif"/>
                <w:b w:val="false"/>
                <w:color w:val="000000"/>
                <w:sz w:val="18"/>
              </w:rPr>
            </w:pPr>
            <w:r>
              <w:rPr>
                <w:rFonts w:ascii="Arial;sans-serif" w:hAnsi="Arial;sans-serif"/>
                <w:b w:val="false"/>
                <w:color w:val="000000"/>
                <w:sz w:val="18"/>
              </w:rPr>
              <w:t>(17,305)</w:t>
            </w:r>
          </w:p>
        </w:tc>
        <w:tc>
          <w:tcPr>
            <w:tcW w:w="836" w:type="dxa"/>
            <w:gridSpan w:val="3"/>
            <w:tcBorders>
              <w:top w:val="single" w:sz="8" w:space="0" w:color="000000"/>
              <w:bottom w:val="single" w:sz="12" w:space="0" w:color="74A333"/>
            </w:tcBorders>
            <w:shd w:fill="ECECEE"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0885"/>
                <wp:effectExtent l="0" t="0" r="0" b="0"/>
                <wp:wrapNone/>
                <wp:docPr id="84" name="Frame6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490"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569"/>
                        <w:gridCol w:w="569"/>
                        <w:gridCol w:w="811"/>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SI-BONE, Inc.</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57</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Proxy Statement</w:t>
                            </w:r>
                          </w:p>
                        </w:tc>
                      </w:tr>
                    </w:tbl>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before="0" w:after="0"/>
        <w:jc w:val="center"/>
        <w:rPr/>
      </w:pPr>
      <w:r>
        <w:rPr/>
        <w:drawing>
          <wp:inline distT="0" distB="0" distL="0" distR="0">
            <wp:extent cx="7772400" cy="10039350"/>
            <wp:effectExtent l="0" t="0" r="0" b="0"/>
            <wp:docPr id="8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3" descr=""/>
                    <pic:cNvPicPr>
                      <a:picLocks noChangeAspect="1" noChangeArrowheads="1"/>
                    </pic:cNvPicPr>
                  </pic:nvPicPr>
                  <pic:blipFill>
                    <a:blip r:embed="rId24"/>
                    <a:stretch>
                      <a:fillRect/>
                    </a:stretch>
                  </pic:blipFill>
                  <pic:spPr bwMode="auto">
                    <a:xfrm>
                      <a:off x="0" y="0"/>
                      <a:ext cx="7772400" cy="10039350"/>
                    </a:xfrm>
                    <a:prstGeom prst="rect">
                      <a:avLst/>
                    </a:prstGeom>
                  </pic:spPr>
                </pic:pic>
              </a:graphicData>
            </a:graphic>
          </wp:inline>
        </w:drawing>
      </w:r>
      <w:bookmarkStart w:id="22" w:name="i-23"/>
      <w:bookmarkEnd w:id="2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80"/>
        <w:jc w:val="both"/>
        <w:rPr/>
      </w:pPr>
      <w:r>
        <w:rPr/>
      </w:r>
    </w:p>
    <w:p>
      <w:pPr>
        <w:pStyle w:val="TextBody"/>
        <w:bidi w:val="0"/>
        <w:jc w:val="center"/>
        <w:rPr/>
      </w:pPr>
      <w:r>
        <w:rPr/>
        <w:drawing>
          <wp:inline distT="0" distB="0" distL="0" distR="0">
            <wp:extent cx="7772400" cy="10058400"/>
            <wp:effectExtent l="0" t="0" r="0" b="0"/>
            <wp:docPr id="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4" descr=""/>
                    <pic:cNvPicPr>
                      <a:picLocks noChangeAspect="1" noChangeArrowheads="1"/>
                    </pic:cNvPicPr>
                  </pic:nvPicPr>
                  <pic:blipFill>
                    <a:blip r:embed="rId25"/>
                    <a:stretch>
                      <a:fillRect/>
                    </a:stretch>
                  </pic:blipFill>
                  <pic:spPr bwMode="auto">
                    <a:xfrm>
                      <a:off x="0" y="0"/>
                      <a:ext cx="7772400" cy="10058400"/>
                    </a:xfrm>
                    <a:prstGeom prst="rect">
                      <a:avLst/>
                    </a:prstGeom>
                  </pic:spPr>
                </pic:pic>
              </a:graphicData>
            </a:graphic>
          </wp:inline>
        </w:drawing>
      </w:r>
      <w:bookmarkStart w:id="23" w:name="i-24"/>
      <w:bookmarkEnd w:id="23"/>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30574</Words>
  <Characters>168450</Characters>
  <CharactersWithSpaces>197838</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