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9"/>
        <w:spacing w:after="0" w:line="228" w:lineRule="auto"/>
        <w:rPr>
          <w:sz w:val="20"/>
          <w:szCs w:val="20"/>
          <w:color w:val="auto"/>
        </w:rPr>
      </w:pPr>
      <w:r>
        <w:rPr>
          <w:rFonts w:ascii="Arial" w:cs="Arial" w:eastAsia="Arial" w:hAnsi="Arial"/>
          <w:sz w:val="11"/>
          <w:szCs w:val="11"/>
          <w:b w:val="1"/>
          <w:bCs w:val="1"/>
          <w:color w:val="auto"/>
        </w:rPr>
        <w:t>Washington, D.C. 20549</w:t>
      </w:r>
    </w:p>
    <w:p>
      <w:pPr>
        <w:ind w:left="3700"/>
        <w:spacing w:after="0"/>
        <w:rPr>
          <w:sz w:val="20"/>
          <w:szCs w:val="20"/>
          <w:color w:val="auto"/>
        </w:rPr>
      </w:pPr>
      <w:r>
        <w:rPr>
          <w:rFonts w:ascii="Arial" w:cs="Arial" w:eastAsia="Arial" w:hAnsi="Arial"/>
          <w:sz w:val="10"/>
          <w:szCs w:val="10"/>
          <w:color w:val="auto"/>
        </w:rPr>
        <w:t>____________________________________________________________________________</w:t>
      </w:r>
    </w:p>
    <w:p>
      <w:pPr>
        <w:jc w:val="center"/>
        <w:ind w:right="-19"/>
        <w:spacing w:after="0" w:line="236" w:lineRule="auto"/>
        <w:rPr>
          <w:sz w:val="20"/>
          <w:szCs w:val="20"/>
          <w:color w:val="auto"/>
        </w:rPr>
      </w:pPr>
      <w:r>
        <w:rPr>
          <w:rFonts w:ascii="Arial" w:cs="Arial" w:eastAsia="Arial" w:hAnsi="Arial"/>
          <w:sz w:val="17"/>
          <w:szCs w:val="17"/>
          <w:b w:val="1"/>
          <w:bCs w:val="1"/>
          <w:color w:val="auto"/>
        </w:rPr>
        <w:t>FORM 8-K</w:t>
      </w:r>
    </w:p>
    <w:p>
      <w:pPr>
        <w:ind w:left="3700"/>
        <w:spacing w:after="0" w:line="237" w:lineRule="auto"/>
        <w:rPr>
          <w:sz w:val="20"/>
          <w:szCs w:val="20"/>
          <w:color w:val="auto"/>
        </w:rPr>
      </w:pPr>
      <w:r>
        <w:rPr>
          <w:rFonts w:ascii="Arial" w:cs="Arial" w:eastAsia="Arial" w:hAnsi="Arial"/>
          <w:sz w:val="10"/>
          <w:szCs w:val="10"/>
          <w:color w:val="auto"/>
        </w:rPr>
        <w:t>____________________________________________________________________________</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CURRENT REPORT</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Pursuant to Section 13 or 15(d) of</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Date of report (Date of earliest event reported): January 5, 2021</w:t>
      </w:r>
    </w:p>
    <w:p>
      <w:pPr>
        <w:spacing w:after="0" w:line="3" w:lineRule="exact"/>
        <w:rPr>
          <w:sz w:val="24"/>
          <w:szCs w:val="24"/>
          <w:color w:val="auto"/>
        </w:rPr>
      </w:pPr>
    </w:p>
    <w:p>
      <w:pPr>
        <w:ind w:left="3700"/>
        <w:spacing w:after="0"/>
        <w:rPr>
          <w:sz w:val="20"/>
          <w:szCs w:val="20"/>
          <w:color w:val="auto"/>
        </w:rPr>
      </w:pPr>
      <w:r>
        <w:rPr>
          <w:rFonts w:ascii="Arial" w:cs="Arial" w:eastAsia="Arial" w:hAnsi="Arial"/>
          <w:sz w:val="10"/>
          <w:szCs w:val="10"/>
          <w:color w:val="auto"/>
        </w:rPr>
        <w:t>____________________________________________________________________________</w:t>
      </w:r>
    </w:p>
    <w:p>
      <w:pPr>
        <w:jc w:val="center"/>
        <w:ind w:right="-19"/>
        <w:spacing w:after="0"/>
        <w:rPr>
          <w:sz w:val="20"/>
          <w:szCs w:val="20"/>
          <w:color w:val="auto"/>
        </w:rPr>
      </w:pPr>
      <w:r>
        <w:rPr>
          <w:rFonts w:ascii="Arial" w:cs="Arial" w:eastAsia="Arial" w:hAnsi="Arial"/>
          <w:sz w:val="17"/>
          <w:szCs w:val="17"/>
          <w:b w:val="1"/>
          <w:bCs w:val="1"/>
          <w:color w:val="auto"/>
        </w:rPr>
        <w:t>SI-BONE, INC.</w:t>
      </w:r>
    </w:p>
    <w:p>
      <w:pPr>
        <w:jc w:val="center"/>
        <w:ind w:right="-19"/>
        <w:spacing w:after="0" w:line="233" w:lineRule="auto"/>
        <w:rPr>
          <w:sz w:val="20"/>
          <w:szCs w:val="20"/>
          <w:color w:val="auto"/>
        </w:rPr>
      </w:pPr>
      <w:r>
        <w:rPr>
          <w:rFonts w:ascii="Arial" w:cs="Arial" w:eastAsia="Arial" w:hAnsi="Arial"/>
          <w:sz w:val="11"/>
          <w:szCs w:val="11"/>
          <w:color w:val="auto"/>
        </w:rPr>
        <w:t>(Exact name of registrant as specified in its charter)</w:t>
      </w:r>
    </w:p>
    <w:p>
      <w:pPr>
        <w:ind w:left="3700"/>
        <w:spacing w:after="0" w:line="237" w:lineRule="auto"/>
        <w:rPr>
          <w:sz w:val="20"/>
          <w:szCs w:val="20"/>
          <w:color w:val="auto"/>
        </w:rPr>
      </w:pPr>
      <w:r>
        <w:rPr>
          <w:rFonts w:ascii="Arial" w:cs="Arial" w:eastAsia="Arial" w:hAnsi="Arial"/>
          <w:sz w:val="10"/>
          <w:szCs w:val="10"/>
          <w:color w:val="auto"/>
        </w:rPr>
        <w:t>____________________________________________________________________________</w:t>
      </w:r>
    </w:p>
    <w:p>
      <w:pPr>
        <w:spacing w:after="0" w:line="26" w:lineRule="exact"/>
        <w:rPr>
          <w:sz w:val="24"/>
          <w:szCs w:val="24"/>
          <w:color w:val="auto"/>
        </w:rPr>
      </w:pPr>
    </w:p>
    <w:tbl>
      <w:tblPr>
        <w:tblLayout w:type="fixed"/>
        <w:tblInd w:w="960" w:type="dxa"/>
        <w:tblCellMar>
          <w:top w:w="0" w:type="dxa"/>
          <w:left w:w="0" w:type="dxa"/>
          <w:bottom w:w="0" w:type="dxa"/>
          <w:right w:w="0" w:type="dxa"/>
        </w:tblCellMar>
      </w:tblPr>
      <w:tr>
        <w:trPr>
          <w:trHeight w:val="140"/>
        </w:trPr>
        <w:tc>
          <w:tcPr>
            <w:tcW w:w="2380" w:type="dxa"/>
            <w:vAlign w:val="bottom"/>
          </w:tcPr>
          <w:p>
            <w:pPr>
              <w:jc w:val="center"/>
              <w:ind w:right="1006"/>
              <w:spacing w:after="0"/>
              <w:rPr>
                <w:sz w:val="20"/>
                <w:szCs w:val="20"/>
                <w:color w:val="auto"/>
              </w:rPr>
            </w:pPr>
            <w:r>
              <w:rPr>
                <w:rFonts w:ascii="Arial" w:cs="Arial" w:eastAsia="Arial" w:hAnsi="Arial"/>
                <w:sz w:val="11"/>
                <w:szCs w:val="11"/>
                <w:b w:val="1"/>
                <w:bCs w:val="1"/>
                <w:color w:val="auto"/>
                <w:w w:val="90"/>
              </w:rPr>
              <w:t>Delaware</w:t>
            </w:r>
          </w:p>
        </w:tc>
        <w:tc>
          <w:tcPr>
            <w:tcW w:w="442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001-38701</w:t>
            </w:r>
          </w:p>
        </w:tc>
        <w:tc>
          <w:tcPr>
            <w:tcW w:w="1960" w:type="dxa"/>
            <w:vAlign w:val="bottom"/>
          </w:tcPr>
          <w:p>
            <w:pPr>
              <w:jc w:val="center"/>
              <w:ind w:left="1066"/>
              <w:spacing w:after="0"/>
              <w:rPr>
                <w:sz w:val="20"/>
                <w:szCs w:val="20"/>
                <w:color w:val="auto"/>
              </w:rPr>
            </w:pPr>
            <w:r>
              <w:rPr>
                <w:rFonts w:ascii="Arial" w:cs="Arial" w:eastAsia="Arial" w:hAnsi="Arial"/>
                <w:sz w:val="11"/>
                <w:szCs w:val="11"/>
                <w:b w:val="1"/>
                <w:bCs w:val="1"/>
                <w:color w:val="auto"/>
                <w:w w:val="88"/>
              </w:rPr>
              <w:t>26-2216351</w:t>
            </w:r>
          </w:p>
        </w:tc>
      </w:tr>
      <w:tr>
        <w:trPr>
          <w:trHeight w:val="116"/>
        </w:trPr>
        <w:tc>
          <w:tcPr>
            <w:tcW w:w="2380" w:type="dxa"/>
            <w:vAlign w:val="bottom"/>
          </w:tcPr>
          <w:p>
            <w:pPr>
              <w:jc w:val="center"/>
              <w:ind w:right="1026"/>
              <w:spacing w:after="0" w:line="116" w:lineRule="exact"/>
              <w:rPr>
                <w:sz w:val="20"/>
                <w:szCs w:val="20"/>
                <w:color w:val="auto"/>
              </w:rPr>
            </w:pPr>
            <w:r>
              <w:rPr>
                <w:rFonts w:ascii="Arial" w:cs="Arial" w:eastAsia="Arial" w:hAnsi="Arial"/>
                <w:sz w:val="11"/>
                <w:szCs w:val="11"/>
                <w:color w:val="auto"/>
                <w:w w:val="91"/>
              </w:rPr>
              <w:t>(State or other jurisdiction of</w:t>
            </w:r>
          </w:p>
        </w:tc>
        <w:tc>
          <w:tcPr>
            <w:tcW w:w="4420" w:type="dxa"/>
            <w:vAlign w:val="bottom"/>
          </w:tcPr>
          <w:p>
            <w:pPr>
              <w:jc w:val="center"/>
              <w:ind w:right="26"/>
              <w:spacing w:after="0" w:line="116" w:lineRule="exact"/>
              <w:rPr>
                <w:sz w:val="20"/>
                <w:szCs w:val="20"/>
                <w:color w:val="auto"/>
              </w:rPr>
            </w:pPr>
            <w:r>
              <w:rPr>
                <w:rFonts w:ascii="Arial" w:cs="Arial" w:eastAsia="Arial" w:hAnsi="Arial"/>
                <w:sz w:val="11"/>
                <w:szCs w:val="11"/>
                <w:color w:val="auto"/>
                <w:w w:val="90"/>
              </w:rPr>
              <w:t>(Commission</w:t>
            </w:r>
          </w:p>
        </w:tc>
        <w:tc>
          <w:tcPr>
            <w:tcW w:w="1960" w:type="dxa"/>
            <w:vAlign w:val="bottom"/>
          </w:tcPr>
          <w:p>
            <w:pPr>
              <w:jc w:val="center"/>
              <w:ind w:left="1086"/>
              <w:spacing w:after="0" w:line="116" w:lineRule="exact"/>
              <w:rPr>
                <w:sz w:val="20"/>
                <w:szCs w:val="20"/>
                <w:color w:val="auto"/>
              </w:rPr>
            </w:pPr>
            <w:r>
              <w:rPr>
                <w:rFonts w:ascii="Arial" w:cs="Arial" w:eastAsia="Arial" w:hAnsi="Arial"/>
                <w:sz w:val="11"/>
                <w:szCs w:val="11"/>
                <w:color w:val="auto"/>
                <w:w w:val="91"/>
              </w:rPr>
              <w:t>(I.R.S. Employer</w:t>
            </w:r>
          </w:p>
        </w:tc>
      </w:tr>
      <w:tr>
        <w:trPr>
          <w:trHeight w:val="136"/>
        </w:trPr>
        <w:tc>
          <w:tcPr>
            <w:tcW w:w="2380" w:type="dxa"/>
            <w:vAlign w:val="bottom"/>
          </w:tcPr>
          <w:p>
            <w:pPr>
              <w:jc w:val="center"/>
              <w:ind w:right="1026"/>
              <w:spacing w:after="0"/>
              <w:rPr>
                <w:sz w:val="20"/>
                <w:szCs w:val="20"/>
                <w:color w:val="auto"/>
              </w:rPr>
            </w:pPr>
            <w:r>
              <w:rPr>
                <w:rFonts w:ascii="Arial" w:cs="Arial" w:eastAsia="Arial" w:hAnsi="Arial"/>
                <w:sz w:val="11"/>
                <w:szCs w:val="11"/>
                <w:color w:val="auto"/>
                <w:w w:val="90"/>
              </w:rPr>
              <w:t>incorporation or organization)</w:t>
            </w:r>
          </w:p>
        </w:tc>
        <w:tc>
          <w:tcPr>
            <w:tcW w:w="4420" w:type="dxa"/>
            <w:vAlign w:val="bottom"/>
          </w:tcPr>
          <w:p>
            <w:pPr>
              <w:jc w:val="center"/>
              <w:ind w:right="46"/>
              <w:spacing w:after="0"/>
              <w:rPr>
                <w:sz w:val="20"/>
                <w:szCs w:val="20"/>
                <w:color w:val="auto"/>
              </w:rPr>
            </w:pPr>
            <w:r>
              <w:rPr>
                <w:rFonts w:ascii="Arial" w:cs="Arial" w:eastAsia="Arial" w:hAnsi="Arial"/>
                <w:sz w:val="11"/>
                <w:szCs w:val="11"/>
                <w:color w:val="auto"/>
                <w:w w:val="94"/>
              </w:rPr>
              <w:t>File Number)</w:t>
            </w:r>
          </w:p>
        </w:tc>
        <w:tc>
          <w:tcPr>
            <w:tcW w:w="1960" w:type="dxa"/>
            <w:vAlign w:val="bottom"/>
          </w:tcPr>
          <w:p>
            <w:pPr>
              <w:jc w:val="center"/>
              <w:ind w:left="1086"/>
              <w:spacing w:after="0"/>
              <w:rPr>
                <w:sz w:val="20"/>
                <w:szCs w:val="20"/>
                <w:color w:val="auto"/>
              </w:rPr>
            </w:pPr>
            <w:r>
              <w:rPr>
                <w:rFonts w:ascii="Arial" w:cs="Arial" w:eastAsia="Arial" w:hAnsi="Arial"/>
                <w:sz w:val="11"/>
                <w:szCs w:val="11"/>
                <w:color w:val="auto"/>
                <w:w w:val="95"/>
              </w:rPr>
              <w:t>Identification No.)</w:t>
            </w:r>
          </w:p>
        </w:tc>
      </w:tr>
      <w:tr>
        <w:trPr>
          <w:trHeight w:val="355"/>
        </w:trPr>
        <w:tc>
          <w:tcPr>
            <w:tcW w:w="2380" w:type="dxa"/>
            <w:vAlign w:val="bottom"/>
          </w:tcPr>
          <w:p>
            <w:pPr>
              <w:spacing w:after="0"/>
              <w:rPr>
                <w:sz w:val="24"/>
                <w:szCs w:val="24"/>
                <w:color w:val="auto"/>
              </w:rPr>
            </w:pPr>
          </w:p>
        </w:tc>
        <w:tc>
          <w:tcPr>
            <w:tcW w:w="4420" w:type="dxa"/>
            <w:vAlign w:val="bottom"/>
          </w:tcPr>
          <w:p>
            <w:pPr>
              <w:jc w:val="center"/>
              <w:ind w:right="6"/>
              <w:spacing w:after="0"/>
              <w:rPr>
                <w:sz w:val="20"/>
                <w:szCs w:val="20"/>
                <w:color w:val="auto"/>
              </w:rPr>
            </w:pPr>
            <w:r>
              <w:rPr>
                <w:rFonts w:ascii="Arial" w:cs="Arial" w:eastAsia="Arial" w:hAnsi="Arial"/>
                <w:sz w:val="11"/>
                <w:szCs w:val="11"/>
                <w:b w:val="1"/>
                <w:bCs w:val="1"/>
                <w:color w:val="auto"/>
                <w:w w:val="90"/>
              </w:rPr>
              <w:t>471 El Camino Real</w:t>
            </w:r>
          </w:p>
        </w:tc>
        <w:tc>
          <w:tcPr>
            <w:tcW w:w="1960" w:type="dxa"/>
            <w:vAlign w:val="bottom"/>
          </w:tcPr>
          <w:p>
            <w:pPr>
              <w:spacing w:after="0"/>
              <w:rPr>
                <w:sz w:val="24"/>
                <w:szCs w:val="24"/>
                <w:color w:val="auto"/>
              </w:rPr>
            </w:pPr>
          </w:p>
        </w:tc>
      </w:tr>
      <w:tr>
        <w:trPr>
          <w:trHeight w:val="126"/>
        </w:trPr>
        <w:tc>
          <w:tcPr>
            <w:tcW w:w="2380" w:type="dxa"/>
            <w:vAlign w:val="bottom"/>
          </w:tcPr>
          <w:p>
            <w:pPr>
              <w:spacing w:after="0"/>
              <w:rPr>
                <w:sz w:val="10"/>
                <w:szCs w:val="10"/>
                <w:color w:val="auto"/>
              </w:rPr>
            </w:pPr>
          </w:p>
        </w:tc>
        <w:tc>
          <w:tcPr>
            <w:tcW w:w="4420" w:type="dxa"/>
            <w:vAlign w:val="bottom"/>
          </w:tcPr>
          <w:p>
            <w:pPr>
              <w:jc w:val="center"/>
              <w:spacing w:after="0"/>
              <w:rPr>
                <w:sz w:val="20"/>
                <w:szCs w:val="20"/>
                <w:color w:val="auto"/>
              </w:rPr>
            </w:pPr>
            <w:r>
              <w:rPr>
                <w:rFonts w:ascii="Arial" w:cs="Arial" w:eastAsia="Arial" w:hAnsi="Arial"/>
                <w:sz w:val="11"/>
                <w:szCs w:val="11"/>
                <w:b w:val="1"/>
                <w:bCs w:val="1"/>
                <w:color w:val="auto"/>
                <w:w w:val="86"/>
              </w:rPr>
              <w:t>Suite 101</w:t>
            </w:r>
          </w:p>
        </w:tc>
        <w:tc>
          <w:tcPr>
            <w:tcW w:w="1960" w:type="dxa"/>
            <w:vAlign w:val="bottom"/>
          </w:tcPr>
          <w:p>
            <w:pPr>
              <w:spacing w:after="0"/>
              <w:rPr>
                <w:sz w:val="10"/>
                <w:szCs w:val="10"/>
                <w:color w:val="auto"/>
              </w:rPr>
            </w:pPr>
          </w:p>
        </w:tc>
      </w:tr>
      <w:tr>
        <w:trPr>
          <w:trHeight w:val="130"/>
        </w:trPr>
        <w:tc>
          <w:tcPr>
            <w:tcW w:w="2380" w:type="dxa"/>
            <w:vAlign w:val="bottom"/>
          </w:tcPr>
          <w:p>
            <w:pPr>
              <w:spacing w:after="0"/>
              <w:rPr>
                <w:sz w:val="11"/>
                <w:szCs w:val="11"/>
                <w:color w:val="auto"/>
              </w:rPr>
            </w:pPr>
          </w:p>
        </w:tc>
        <w:tc>
          <w:tcPr>
            <w:tcW w:w="4420" w:type="dxa"/>
            <w:vAlign w:val="bottom"/>
          </w:tcPr>
          <w:p>
            <w:pPr>
              <w:jc w:val="center"/>
              <w:spacing w:after="0"/>
              <w:rPr>
                <w:sz w:val="20"/>
                <w:szCs w:val="20"/>
                <w:color w:val="auto"/>
              </w:rPr>
            </w:pPr>
            <w:r>
              <w:rPr>
                <w:rFonts w:ascii="Arial" w:cs="Arial" w:eastAsia="Arial" w:hAnsi="Arial"/>
                <w:sz w:val="11"/>
                <w:szCs w:val="11"/>
                <w:b w:val="1"/>
                <w:bCs w:val="1"/>
                <w:color w:val="auto"/>
                <w:w w:val="91"/>
              </w:rPr>
              <w:t>Santa Clara, CA 95050</w:t>
            </w:r>
          </w:p>
        </w:tc>
        <w:tc>
          <w:tcPr>
            <w:tcW w:w="1960" w:type="dxa"/>
            <w:vAlign w:val="bottom"/>
          </w:tcPr>
          <w:p>
            <w:pPr>
              <w:spacing w:after="0"/>
              <w:rPr>
                <w:sz w:val="11"/>
                <w:szCs w:val="11"/>
                <w:color w:val="auto"/>
              </w:rPr>
            </w:pPr>
          </w:p>
        </w:tc>
      </w:tr>
      <w:tr>
        <w:trPr>
          <w:trHeight w:val="136"/>
        </w:trPr>
        <w:tc>
          <w:tcPr>
            <w:tcW w:w="2380" w:type="dxa"/>
            <w:vAlign w:val="bottom"/>
          </w:tcPr>
          <w:p>
            <w:pPr>
              <w:spacing w:after="0"/>
              <w:rPr>
                <w:sz w:val="11"/>
                <w:szCs w:val="11"/>
                <w:color w:val="auto"/>
              </w:rPr>
            </w:pPr>
          </w:p>
        </w:tc>
        <w:tc>
          <w:tcPr>
            <w:tcW w:w="4420" w:type="dxa"/>
            <w:vAlign w:val="bottom"/>
          </w:tcPr>
          <w:p>
            <w:pPr>
              <w:jc w:val="center"/>
              <w:spacing w:after="0"/>
              <w:rPr>
                <w:sz w:val="20"/>
                <w:szCs w:val="20"/>
                <w:color w:val="auto"/>
              </w:rPr>
            </w:pPr>
            <w:r>
              <w:rPr>
                <w:rFonts w:ascii="Arial" w:cs="Arial" w:eastAsia="Arial" w:hAnsi="Arial"/>
                <w:sz w:val="11"/>
                <w:szCs w:val="11"/>
                <w:color w:val="auto"/>
                <w:w w:val="91"/>
              </w:rPr>
              <w:t>(Address of principal executive offices) (Zip Code)</w:t>
            </w:r>
          </w:p>
        </w:tc>
        <w:tc>
          <w:tcPr>
            <w:tcW w:w="1960" w:type="dxa"/>
            <w:vAlign w:val="bottom"/>
          </w:tcPr>
          <w:p>
            <w:pPr>
              <w:spacing w:after="0"/>
              <w:rPr>
                <w:sz w:val="11"/>
                <w:szCs w:val="11"/>
                <w:color w:val="auto"/>
              </w:rPr>
            </w:pPr>
          </w:p>
        </w:tc>
      </w:tr>
      <w:tr>
        <w:trPr>
          <w:trHeight w:val="278"/>
        </w:trPr>
        <w:tc>
          <w:tcPr>
            <w:tcW w:w="2380" w:type="dxa"/>
            <w:vAlign w:val="bottom"/>
          </w:tcPr>
          <w:p>
            <w:pPr>
              <w:spacing w:after="0"/>
              <w:rPr>
                <w:sz w:val="24"/>
                <w:szCs w:val="24"/>
                <w:color w:val="auto"/>
              </w:rPr>
            </w:pPr>
          </w:p>
        </w:tc>
        <w:tc>
          <w:tcPr>
            <w:tcW w:w="4420" w:type="dxa"/>
            <w:vAlign w:val="bottom"/>
          </w:tcPr>
          <w:p>
            <w:pPr>
              <w:jc w:val="center"/>
              <w:ind w:right="6"/>
              <w:spacing w:after="0"/>
              <w:rPr>
                <w:sz w:val="20"/>
                <w:szCs w:val="20"/>
                <w:color w:val="auto"/>
              </w:rPr>
            </w:pPr>
            <w:r>
              <w:rPr>
                <w:rFonts w:ascii="Arial" w:cs="Arial" w:eastAsia="Arial" w:hAnsi="Arial"/>
                <w:sz w:val="11"/>
                <w:szCs w:val="11"/>
                <w:b w:val="1"/>
                <w:bCs w:val="1"/>
                <w:color w:val="auto"/>
                <w:w w:val="90"/>
              </w:rPr>
              <w:t>(408) 207-0700</w:t>
            </w:r>
          </w:p>
        </w:tc>
        <w:tc>
          <w:tcPr>
            <w:tcW w:w="1960" w:type="dxa"/>
            <w:vAlign w:val="bottom"/>
          </w:tcPr>
          <w:p>
            <w:pPr>
              <w:spacing w:after="0"/>
              <w:rPr>
                <w:sz w:val="24"/>
                <w:szCs w:val="24"/>
                <w:color w:val="auto"/>
              </w:rPr>
            </w:pPr>
          </w:p>
        </w:tc>
      </w:tr>
      <w:tr>
        <w:trPr>
          <w:trHeight w:val="136"/>
        </w:trPr>
        <w:tc>
          <w:tcPr>
            <w:tcW w:w="2380" w:type="dxa"/>
            <w:vAlign w:val="bottom"/>
          </w:tcPr>
          <w:p>
            <w:pPr>
              <w:spacing w:after="0"/>
              <w:rPr>
                <w:sz w:val="11"/>
                <w:szCs w:val="11"/>
                <w:color w:val="auto"/>
              </w:rPr>
            </w:pPr>
          </w:p>
        </w:tc>
        <w:tc>
          <w:tcPr>
            <w:tcW w:w="4420" w:type="dxa"/>
            <w:vAlign w:val="bottom"/>
          </w:tcPr>
          <w:p>
            <w:pPr>
              <w:jc w:val="center"/>
              <w:ind w:right="6"/>
              <w:spacing w:after="0"/>
              <w:rPr>
                <w:sz w:val="20"/>
                <w:szCs w:val="20"/>
                <w:color w:val="auto"/>
              </w:rPr>
            </w:pPr>
            <w:r>
              <w:rPr>
                <w:rFonts w:ascii="Arial" w:cs="Arial" w:eastAsia="Arial" w:hAnsi="Arial"/>
                <w:sz w:val="11"/>
                <w:szCs w:val="11"/>
                <w:color w:val="auto"/>
                <w:w w:val="87"/>
              </w:rPr>
              <w:t>(Registrant’s telephone number, include area code)</w:t>
            </w:r>
          </w:p>
        </w:tc>
        <w:tc>
          <w:tcPr>
            <w:tcW w:w="1960" w:type="dxa"/>
            <w:vAlign w:val="bottom"/>
          </w:tcPr>
          <w:p>
            <w:pPr>
              <w:spacing w:after="0"/>
              <w:rPr>
                <w:sz w:val="11"/>
                <w:szCs w:val="11"/>
                <w:color w:val="auto"/>
              </w:rPr>
            </w:pPr>
          </w:p>
        </w:tc>
      </w:tr>
    </w:tbl>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N/A</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480" w:hanging="564"/>
        <w:spacing w:after="0"/>
        <w:tabs>
          <w:tab w:leader="none" w:pos="14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269" w:lineRule="exact"/>
        <w:rPr>
          <w:rFonts w:ascii="MS PGothic" w:cs="MS PGothic" w:eastAsia="MS PGothic" w:hAnsi="MS PGothic"/>
          <w:sz w:val="11"/>
          <w:szCs w:val="11"/>
          <w:color w:val="auto"/>
        </w:rPr>
      </w:pPr>
    </w:p>
    <w:p>
      <w:pPr>
        <w:ind w:left="1480" w:hanging="564"/>
        <w:spacing w:after="0"/>
        <w:tabs>
          <w:tab w:leader="none" w:pos="14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269" w:lineRule="exact"/>
        <w:rPr>
          <w:rFonts w:ascii="MS PGothic" w:cs="MS PGothic" w:eastAsia="MS PGothic" w:hAnsi="MS PGothic"/>
          <w:sz w:val="11"/>
          <w:szCs w:val="11"/>
          <w:color w:val="auto"/>
        </w:rPr>
      </w:pPr>
    </w:p>
    <w:p>
      <w:pPr>
        <w:ind w:left="1480" w:hanging="564"/>
        <w:spacing w:after="0"/>
        <w:tabs>
          <w:tab w:leader="none" w:pos="14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269" w:lineRule="exact"/>
        <w:rPr>
          <w:rFonts w:ascii="MS PGothic" w:cs="MS PGothic" w:eastAsia="MS PGothic" w:hAnsi="MS PGothic"/>
          <w:sz w:val="11"/>
          <w:szCs w:val="11"/>
          <w:color w:val="auto"/>
        </w:rPr>
      </w:pPr>
    </w:p>
    <w:p>
      <w:pPr>
        <w:ind w:left="1500" w:hanging="562"/>
        <w:spacing w:after="0"/>
        <w:tabs>
          <w:tab w:leader="none" w:pos="1500" w:val="left"/>
        </w:tabs>
        <w:numPr>
          <w:ilvl w:val="1"/>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43" w:lineRule="exact"/>
        <w:rPr>
          <w:sz w:val="24"/>
          <w:szCs w:val="24"/>
          <w:color w:val="auto"/>
        </w:rPr>
      </w:pPr>
    </w:p>
    <w:tbl>
      <w:tblPr>
        <w:tblLayout w:type="fixed"/>
        <w:tblInd w:w="1360" w:type="dxa"/>
        <w:tblCellMar>
          <w:top w:w="0" w:type="dxa"/>
          <w:left w:w="0" w:type="dxa"/>
          <w:bottom w:w="0" w:type="dxa"/>
          <w:right w:w="0" w:type="dxa"/>
        </w:tblCellMar>
      </w:tblPr>
      <w:tr>
        <w:trPr>
          <w:trHeight w:val="136"/>
        </w:trPr>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900" w:type="dxa"/>
            <w:vAlign w:val="bottom"/>
            <w:gridSpan w:val="3"/>
          </w:tcPr>
          <w:p>
            <w:pPr>
              <w:ind w:left="500"/>
              <w:spacing w:after="0"/>
              <w:rPr>
                <w:sz w:val="20"/>
                <w:szCs w:val="20"/>
                <w:color w:val="auto"/>
              </w:rPr>
            </w:pPr>
            <w:r>
              <w:rPr>
                <w:rFonts w:ascii="Arial" w:cs="Arial" w:eastAsia="Arial" w:hAnsi="Arial"/>
                <w:sz w:val="11"/>
                <w:szCs w:val="11"/>
                <w:color w:val="auto"/>
              </w:rPr>
              <w:t>Securities registered pursuant to Section 12(b) of the Act:</w:t>
            </w:r>
          </w:p>
        </w:tc>
        <w:tc>
          <w:tcPr>
            <w:tcW w:w="2000" w:type="dxa"/>
            <w:vAlign w:val="bottom"/>
          </w:tcPr>
          <w:p>
            <w:pPr>
              <w:spacing w:after="0"/>
              <w:rPr>
                <w:sz w:val="11"/>
                <w:szCs w:val="11"/>
                <w:color w:val="auto"/>
              </w:rPr>
            </w:pPr>
          </w:p>
        </w:tc>
      </w:tr>
      <w:tr>
        <w:trPr>
          <w:trHeight w:val="130"/>
        </w:trPr>
        <w:tc>
          <w:tcPr>
            <w:tcW w:w="560" w:type="dxa"/>
            <w:vAlign w:val="bottom"/>
          </w:tcPr>
          <w:p>
            <w:pPr>
              <w:spacing w:after="0"/>
              <w:rPr>
                <w:sz w:val="11"/>
                <w:szCs w:val="11"/>
                <w:color w:val="auto"/>
              </w:rPr>
            </w:pPr>
          </w:p>
        </w:tc>
        <w:tc>
          <w:tcPr>
            <w:tcW w:w="1860" w:type="dxa"/>
            <w:vAlign w:val="bottom"/>
            <w:gridSpan w:val="2"/>
          </w:tcPr>
          <w:p>
            <w:pPr>
              <w:jc w:val="center"/>
              <w:ind w:right="1060"/>
              <w:spacing w:after="0"/>
              <w:rPr>
                <w:sz w:val="20"/>
                <w:szCs w:val="20"/>
                <w:color w:val="auto"/>
              </w:rPr>
            </w:pPr>
            <w:r>
              <w:rPr>
                <w:rFonts w:ascii="Arial" w:cs="Arial" w:eastAsia="Arial" w:hAnsi="Arial"/>
                <w:sz w:val="11"/>
                <w:szCs w:val="11"/>
                <w:b w:val="1"/>
                <w:bCs w:val="1"/>
                <w:color w:val="auto"/>
                <w:w w:val="84"/>
              </w:rPr>
              <w:t>Title of each class</w:t>
            </w:r>
          </w:p>
        </w:tc>
        <w:tc>
          <w:tcPr>
            <w:tcW w:w="3900" w:type="dxa"/>
            <w:vAlign w:val="bottom"/>
            <w:gridSpan w:val="3"/>
          </w:tcPr>
          <w:p>
            <w:pPr>
              <w:jc w:val="center"/>
              <w:ind w:right="520"/>
              <w:spacing w:after="0"/>
              <w:rPr>
                <w:sz w:val="20"/>
                <w:szCs w:val="20"/>
                <w:color w:val="auto"/>
              </w:rPr>
            </w:pPr>
            <w:r>
              <w:rPr>
                <w:rFonts w:ascii="Arial" w:cs="Arial" w:eastAsia="Arial" w:hAnsi="Arial"/>
                <w:sz w:val="11"/>
                <w:szCs w:val="11"/>
                <w:b w:val="1"/>
                <w:bCs w:val="1"/>
                <w:color w:val="auto"/>
                <w:w w:val="89"/>
              </w:rPr>
              <w:t>Trading Symbol(s)</w:t>
            </w:r>
          </w:p>
        </w:tc>
        <w:tc>
          <w:tcPr>
            <w:tcW w:w="200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20"/>
        </w:trPr>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47"/>
        </w:trPr>
        <w:tc>
          <w:tcPr>
            <w:tcW w:w="2420" w:type="dxa"/>
            <w:vAlign w:val="bottom"/>
            <w:gridSpan w:val="3"/>
          </w:tcPr>
          <w:p>
            <w:pPr>
              <w:jc w:val="center"/>
              <w:ind w:right="500"/>
              <w:spacing w:after="0"/>
              <w:rPr>
                <w:sz w:val="20"/>
                <w:szCs w:val="20"/>
                <w:color w:val="auto"/>
              </w:rPr>
            </w:pPr>
            <w:r>
              <w:rPr>
                <w:rFonts w:ascii="Arial" w:cs="Arial" w:eastAsia="Arial" w:hAnsi="Arial"/>
                <w:sz w:val="11"/>
                <w:szCs w:val="11"/>
                <w:color w:val="auto"/>
                <w:w w:val="87"/>
              </w:rPr>
              <w:t>Common Stock, par value $0.0001 per share</w:t>
            </w:r>
          </w:p>
        </w:tc>
        <w:tc>
          <w:tcPr>
            <w:tcW w:w="1260" w:type="dxa"/>
            <w:vAlign w:val="bottom"/>
          </w:tcPr>
          <w:p>
            <w:pPr>
              <w:spacing w:after="0"/>
              <w:rPr>
                <w:sz w:val="12"/>
                <w:szCs w:val="12"/>
                <w:color w:val="auto"/>
              </w:rPr>
            </w:pPr>
          </w:p>
        </w:tc>
        <w:tc>
          <w:tcPr>
            <w:tcW w:w="2640" w:type="dxa"/>
            <w:vAlign w:val="bottom"/>
            <w:gridSpan w:val="2"/>
          </w:tcPr>
          <w:p>
            <w:pPr>
              <w:jc w:val="center"/>
              <w:ind w:right="1760"/>
              <w:spacing w:after="0"/>
              <w:rPr>
                <w:sz w:val="20"/>
                <w:szCs w:val="20"/>
                <w:color w:val="auto"/>
              </w:rPr>
            </w:pPr>
            <w:r>
              <w:rPr>
                <w:rFonts w:ascii="Arial" w:cs="Arial" w:eastAsia="Arial" w:hAnsi="Arial"/>
                <w:sz w:val="11"/>
                <w:szCs w:val="11"/>
                <w:color w:val="auto"/>
                <w:w w:val="93"/>
              </w:rPr>
              <w:t>SIBN</w:t>
            </w: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The Nasdaq Global Market</w:t>
            </w:r>
          </w:p>
        </w:tc>
      </w:tr>
    </w:tbl>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jc w:val="center"/>
        <w:spacing w:after="0" w:line="127" w:lineRule="exact"/>
        <w:tabs>
          <w:tab w:leader="none" w:pos="120" w:val="left"/>
        </w:tabs>
        <w:rPr>
          <w:sz w:val="20"/>
          <w:szCs w:val="20"/>
          <w:color w:val="auto"/>
        </w:rPr>
      </w:pP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8"/>
          <w:szCs w:val="8"/>
          <w:color w:val="auto"/>
        </w:rPr>
        <w:t>☒</w:t>
      </w:r>
    </w:p>
    <w:p>
      <w:pPr>
        <w:spacing w:after="0" w:line="162"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-80645</wp:posOffset>
            </wp:positionH>
            <wp:positionV relativeFrom="paragraph">
              <wp:posOffset>504825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40"/>
          </w:cols>
          <w:pgMar w:left="420" w:top="710" w:right="43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2.02 – Results of Operations and Financial Condition.</w:t>
      </w:r>
    </w:p>
    <w:p>
      <w:pPr>
        <w:spacing w:after="0" w:line="172"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On January 7, 2021, SI-BONE, Inc. (the "Company") issued a press release (the “Press Release”) announcing preliminary unaudited revenue for the fourth quarter and full year 2020. A copy of the Press Release is attached as Exhibit 99.1 to this current report on Form 8-K and is incorporated by reference herein.</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5.02 Departure of Directors or Certain Officers; Election of Directors; Appointment of Certain Officers; Compensatory Arrangements of Certain Officers.</w:t>
      </w:r>
    </w:p>
    <w:p>
      <w:pPr>
        <w:spacing w:after="0" w:line="163" w:lineRule="exact"/>
        <w:rPr>
          <w:sz w:val="20"/>
          <w:szCs w:val="20"/>
          <w:color w:val="auto"/>
        </w:rPr>
      </w:pPr>
    </w:p>
    <w:p>
      <w:pPr>
        <w:jc w:val="both"/>
        <w:ind w:left="8" w:firstLine="324"/>
        <w:spacing w:after="0" w:line="298" w:lineRule="auto"/>
        <w:rPr>
          <w:sz w:val="20"/>
          <w:szCs w:val="20"/>
          <w:color w:val="auto"/>
        </w:rPr>
      </w:pPr>
      <w:r>
        <w:rPr>
          <w:rFonts w:ascii="Arial" w:cs="Arial" w:eastAsia="Arial" w:hAnsi="Arial"/>
          <w:sz w:val="11"/>
          <w:szCs w:val="11"/>
          <w:color w:val="auto"/>
        </w:rPr>
        <w:t>On January 5, 2021, the Company announced its intention to appoint Laura Francis as Chief Executive Officer and to the board of directors. Laura Francis currently serves as the Company's Chief Financial Officer and Chief Operating Officer. As CEO, Laura Francis will succeed Jeff Dunn, who will remain with the Company as Executive Chairman. Concurrent with Ms. Francis becoming Chief Executive Officer, Anthony Recupero, the Company's Chief Commercial Officer, will become President, Commercial Operations. The Company will begin a search for a new CFO immediately and senior leadership changes will occur upon the earlier of the CFO replacement or May 1, 2021.</w:t>
      </w:r>
    </w:p>
    <w:p>
      <w:pPr>
        <w:spacing w:after="0" w:line="123"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1"/>
          <w:szCs w:val="11"/>
          <w:b w:val="1"/>
          <w:bCs w:val="1"/>
          <w:i w:val="1"/>
          <w:iCs w:val="1"/>
          <w:color w:val="auto"/>
        </w:rPr>
        <w:t>Ms. Francis</w:t>
      </w:r>
      <w:r>
        <w:rPr>
          <w:rFonts w:ascii="Arial" w:cs="Arial" w:eastAsia="Arial" w:hAnsi="Arial"/>
          <w:sz w:val="11"/>
          <w:szCs w:val="11"/>
          <w:color w:val="auto"/>
        </w:rPr>
        <w:t>, age 54, has served as the Company’s Chief Operating Officer since July 2019, and served as the Company’s Chief Financial Officer since May 2015. Prior to joining SI-BONE, Ms. Francis was the Chief Financial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Officer for 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w:t>
      </w:r>
    </w:p>
    <w:p>
      <w:pPr>
        <w:spacing w:after="0" w:line="2" w:lineRule="exact"/>
        <w:rPr>
          <w:sz w:val="20"/>
          <w:szCs w:val="20"/>
          <w:color w:val="auto"/>
        </w:rPr>
      </w:pPr>
    </w:p>
    <w:p>
      <w:pPr>
        <w:ind w:left="8" w:hanging="8"/>
        <w:spacing w:after="0" w:line="260" w:lineRule="auto"/>
        <w:tabs>
          <w:tab w:leader="none" w:pos="146" w:val="left"/>
        </w:tabs>
        <w:numPr>
          <w:ilvl w:val="0"/>
          <w:numId w:val="2"/>
        </w:numPr>
        <w:rPr>
          <w:rFonts w:ascii="Arial" w:cs="Arial" w:eastAsia="Arial" w:hAnsi="Arial"/>
          <w:sz w:val="12"/>
          <w:szCs w:val="12"/>
          <w:color w:val="auto"/>
        </w:rPr>
      </w:pPr>
      <w:r>
        <w:rPr>
          <w:rFonts w:ascii="Arial" w:cs="Arial" w:eastAsia="Arial" w:hAnsi="Arial"/>
          <w:sz w:val="12"/>
          <w:szCs w:val="12"/>
          <w:color w:val="auto"/>
        </w:rPr>
        <w:t>Lybrand, an accounting firm. Since January 2019, Ms. Francis has served as a member of the board of directors of ShockWave Medical, Inc, a medical device company. Ms. Francis received a B.B.A. from the University of Wisconsin and an M.B.A. from Stanford University. She is a Certified Public Accountant (inactive) in the State of California.</w:t>
      </w:r>
    </w:p>
    <w:p>
      <w:pPr>
        <w:spacing w:after="0" w:line="142" w:lineRule="exact"/>
        <w:rPr>
          <w:sz w:val="20"/>
          <w:szCs w:val="20"/>
          <w:color w:val="auto"/>
        </w:rPr>
      </w:pPr>
    </w:p>
    <w:p>
      <w:pPr>
        <w:jc w:val="both"/>
        <w:ind w:left="8" w:firstLine="324"/>
        <w:spacing w:after="0" w:line="255" w:lineRule="auto"/>
        <w:rPr>
          <w:sz w:val="20"/>
          <w:szCs w:val="20"/>
          <w:color w:val="auto"/>
        </w:rPr>
      </w:pPr>
      <w:r>
        <w:rPr>
          <w:rFonts w:ascii="Arial" w:cs="Arial" w:eastAsia="Arial" w:hAnsi="Arial"/>
          <w:sz w:val="12"/>
          <w:szCs w:val="12"/>
          <w:b w:val="1"/>
          <w:bCs w:val="1"/>
          <w:i w:val="1"/>
          <w:iCs w:val="1"/>
          <w:color w:val="auto"/>
        </w:rPr>
        <w:t>Mr. Recupero</w:t>
      </w:r>
      <w:r>
        <w:rPr>
          <w:rFonts w:ascii="Arial" w:cs="Arial" w:eastAsia="Arial" w:hAnsi="Arial"/>
          <w:sz w:val="12"/>
          <w:szCs w:val="12"/>
          <w:color w:val="auto"/>
        </w:rPr>
        <w:t>, age 62, has served as the Company's Chief Commercial Officer since July 2016. Prior to joining the Company, Mr. Recupero was the President of Catalyst Performance Advisors, LLC, where he advised leading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spacing w:after="0" w:line="146" w:lineRule="exact"/>
        <w:rPr>
          <w:sz w:val="20"/>
          <w:szCs w:val="20"/>
          <w:color w:val="auto"/>
        </w:rPr>
      </w:pPr>
    </w:p>
    <w:p>
      <w:pPr>
        <w:ind w:left="328"/>
        <w:spacing w:after="0"/>
        <w:rPr>
          <w:sz w:val="20"/>
          <w:szCs w:val="20"/>
          <w:color w:val="auto"/>
        </w:rPr>
      </w:pPr>
      <w:r>
        <w:rPr>
          <w:rFonts w:ascii="Arial" w:cs="Arial" w:eastAsia="Arial" w:hAnsi="Arial"/>
          <w:sz w:val="11"/>
          <w:szCs w:val="11"/>
          <w:color w:val="auto"/>
        </w:rPr>
        <w:t>In connection with the leadership transition, the Company and Mr. Dunn entered into an Amendment to Offer Letter Agreement and Severance Plan Participation Agreement pursuant to which, upon occurrence of the transition:</w:t>
      </w:r>
    </w:p>
    <w:p>
      <w:pPr>
        <w:spacing w:after="0" w:line="19" w:lineRule="exact"/>
        <w:rPr>
          <w:sz w:val="20"/>
          <w:szCs w:val="20"/>
          <w:color w:val="auto"/>
        </w:rPr>
      </w:pPr>
    </w:p>
    <w:p>
      <w:pPr>
        <w:ind w:left="8" w:right="60" w:hanging="8"/>
        <w:spacing w:after="0" w:line="248"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Mr. Dunn will become Executive Chairman and his time commitment to the Company will be reduced to 50% of his full working time prior to the transition; (b) Mr. Dunn will serve the Company in the capacity of Executive Chairman until the earlier of the date on which the Board determines that he shall no longer serve in such capacity and May 1, 2023, at which point his employment with the Company will end and Mr. Dunn will transition to non-Executive Chairman of the Company; (c) Mr. Dunn’s base salary will be at the rate of $309,000 per year, which is fifty percent (50%) of his base salary immediately preceding the transition, and his target annual bonus will be 100% of base salary, and (d) 50% of Mr. Dunn’s unvested portion of the equity award granted to him on January 5, 2021 will be forfeited. A copy of Mr. Dunn's Amendment to Offer Letter Agreement and Severance Plan Participation Agreement is attached as Exhibit 10.1 to this current report on Form 8-K.</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7.01 – Regulation FD Disclosure.</w:t>
      </w:r>
    </w:p>
    <w:p>
      <w:pPr>
        <w:spacing w:after="0" w:line="163" w:lineRule="exact"/>
        <w:rPr>
          <w:sz w:val="20"/>
          <w:szCs w:val="20"/>
          <w:color w:val="auto"/>
        </w:rPr>
      </w:pPr>
    </w:p>
    <w:p>
      <w:pPr>
        <w:ind w:left="8" w:firstLine="324"/>
        <w:spacing w:after="0" w:line="276" w:lineRule="auto"/>
        <w:rPr>
          <w:sz w:val="20"/>
          <w:szCs w:val="20"/>
          <w:color w:val="auto"/>
        </w:rPr>
      </w:pPr>
      <w:r>
        <w:rPr>
          <w:rFonts w:ascii="Arial" w:cs="Arial" w:eastAsia="Arial" w:hAnsi="Arial"/>
          <w:sz w:val="12"/>
          <w:szCs w:val="12"/>
          <w:color w:val="auto"/>
        </w:rPr>
        <w:t>Members of the Company’s management team expect to meet with investors and analysts at the J.P. Morgan Annual Healthcare Conference on January 11, 2021 to January 14, 2021 to discuss the Company, using presentation materials which are furnished and attached as Exhibit 99.2.</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3"/>
        </w:trPr>
        <w:tc>
          <w:tcPr>
            <w:tcW w:w="108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9600" w:type="dxa"/>
            <w:vAlign w:val="bottom"/>
          </w:tcPr>
          <w:p>
            <w:pPr>
              <w:spacing w:after="0"/>
              <w:rPr>
                <w:sz w:val="13"/>
                <w:szCs w:val="13"/>
                <w:color w:val="auto"/>
              </w:rPr>
            </w:pPr>
          </w:p>
        </w:tc>
      </w:tr>
      <w:tr>
        <w:trPr>
          <w:trHeight w:val="351"/>
        </w:trPr>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Exhibit No.</w:t>
            </w:r>
          </w:p>
        </w:tc>
        <w:tc>
          <w:tcPr>
            <w:tcW w:w="9600" w:type="dxa"/>
            <w:vAlign w:val="bottom"/>
          </w:tcPr>
          <w:p>
            <w:pPr>
              <w:ind w:left="4520"/>
              <w:spacing w:after="0"/>
              <w:rPr>
                <w:sz w:val="20"/>
                <w:szCs w:val="20"/>
                <w:color w:val="auto"/>
              </w:rPr>
            </w:pPr>
            <w:r>
              <w:rPr>
                <w:rFonts w:ascii="Arial" w:cs="Arial" w:eastAsia="Arial" w:hAnsi="Arial"/>
                <w:sz w:val="12"/>
                <w:szCs w:val="12"/>
                <w:b w:val="1"/>
                <w:bCs w:val="1"/>
                <w:color w:val="auto"/>
              </w:rPr>
              <w:t>Description</w:t>
            </w:r>
          </w:p>
        </w:tc>
      </w:tr>
      <w:tr>
        <w:trPr>
          <w:trHeight w:val="295"/>
        </w:trPr>
        <w:tc>
          <w:tcPr>
            <w:tcW w:w="8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3"/>
              </w:rPr>
              <w:t>10.1</w:t>
            </w:r>
          </w:p>
        </w:tc>
        <w:tc>
          <w:tcPr>
            <w:tcW w:w="260" w:type="dxa"/>
            <w:vAlign w:val="bottom"/>
          </w:tcPr>
          <w:p>
            <w:pPr>
              <w:spacing w:after="0"/>
              <w:rPr>
                <w:sz w:val="24"/>
                <w:szCs w:val="24"/>
                <w:color w:val="auto"/>
              </w:rPr>
            </w:pPr>
          </w:p>
        </w:tc>
        <w:tc>
          <w:tcPr>
            <w:tcW w:w="9600" w:type="dxa"/>
            <w:vAlign w:val="bottom"/>
            <w:tcBorders>
              <w:top w:val="single" w:sz="8" w:color="auto"/>
            </w:tcBorders>
          </w:tcPr>
          <w:p>
            <w:pPr>
              <w:ind w:left="20"/>
              <w:spacing w:after="0"/>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Amendment to Offer Letter Agreement and Severance Plan Participation Agreement dated January 5, 2021</w:t>
              </w:r>
            </w:hyperlink>
          </w:p>
        </w:tc>
      </w:tr>
      <w:tr>
        <w:trPr>
          <w:trHeight w:val="153"/>
        </w:trPr>
        <w:tc>
          <w:tcPr>
            <w:tcW w:w="820" w:type="dxa"/>
            <w:vAlign w:val="bottom"/>
          </w:tcPr>
          <w:p>
            <w:pPr>
              <w:jc w:val="center"/>
              <w:spacing w:after="0"/>
              <w:rPr>
                <w:sz w:val="20"/>
                <w:szCs w:val="20"/>
                <w:color w:val="auto"/>
              </w:rPr>
            </w:pPr>
            <w:r>
              <w:rPr>
                <w:rFonts w:ascii="Arial" w:cs="Arial" w:eastAsia="Arial" w:hAnsi="Arial"/>
                <w:sz w:val="12"/>
                <w:szCs w:val="12"/>
                <w:color w:val="auto"/>
                <w:w w:val="93"/>
              </w:rPr>
              <w:t>99.1</w:t>
            </w:r>
          </w:p>
        </w:tc>
        <w:tc>
          <w:tcPr>
            <w:tcW w:w="260" w:type="dxa"/>
            <w:vAlign w:val="bottom"/>
          </w:tcPr>
          <w:p>
            <w:pPr>
              <w:spacing w:after="0"/>
              <w:rPr>
                <w:sz w:val="13"/>
                <w:szCs w:val="13"/>
                <w:color w:val="auto"/>
              </w:rPr>
            </w:pPr>
          </w:p>
        </w:tc>
        <w:tc>
          <w:tcPr>
            <w:tcW w:w="9600" w:type="dxa"/>
            <w:vAlign w:val="bottom"/>
          </w:tcPr>
          <w:p>
            <w:pPr>
              <w:ind w:left="20"/>
              <w:spacing w:after="0"/>
              <w:rPr>
                <w:rFonts w:ascii="Arial" w:cs="Arial" w:eastAsia="Arial" w:hAnsi="Arial"/>
                <w:sz w:val="12"/>
                <w:szCs w:val="12"/>
                <w:u w:val="single" w:color="auto"/>
                <w:color w:val="0000FF"/>
              </w:rPr>
            </w:pPr>
            <w:hyperlink w:anchor="page9">
              <w:r>
                <w:rPr>
                  <w:rFonts w:ascii="Arial" w:cs="Arial" w:eastAsia="Arial" w:hAnsi="Arial"/>
                  <w:sz w:val="12"/>
                  <w:szCs w:val="12"/>
                  <w:u w:val="single" w:color="auto"/>
                  <w:color w:val="0000FF"/>
                </w:rPr>
                <w:t>Press release dated January 7, 2021</w:t>
              </w:r>
            </w:hyperlink>
          </w:p>
        </w:tc>
      </w:tr>
      <w:tr>
        <w:trPr>
          <w:trHeight w:val="153"/>
        </w:trPr>
        <w:tc>
          <w:tcPr>
            <w:tcW w:w="820" w:type="dxa"/>
            <w:vAlign w:val="bottom"/>
          </w:tcPr>
          <w:p>
            <w:pPr>
              <w:jc w:val="center"/>
              <w:spacing w:after="0"/>
              <w:rPr>
                <w:sz w:val="20"/>
                <w:szCs w:val="20"/>
                <w:color w:val="auto"/>
              </w:rPr>
            </w:pPr>
            <w:r>
              <w:rPr>
                <w:rFonts w:ascii="Arial" w:cs="Arial" w:eastAsia="Arial" w:hAnsi="Arial"/>
                <w:sz w:val="12"/>
                <w:szCs w:val="12"/>
                <w:color w:val="auto"/>
                <w:w w:val="93"/>
              </w:rPr>
              <w:t>99.2</w:t>
            </w:r>
          </w:p>
        </w:tc>
        <w:tc>
          <w:tcPr>
            <w:tcW w:w="260" w:type="dxa"/>
            <w:vAlign w:val="bottom"/>
          </w:tcPr>
          <w:p>
            <w:pPr>
              <w:spacing w:after="0"/>
              <w:rPr>
                <w:sz w:val="13"/>
                <w:szCs w:val="13"/>
                <w:color w:val="auto"/>
              </w:rPr>
            </w:pPr>
          </w:p>
        </w:tc>
        <w:tc>
          <w:tcPr>
            <w:tcW w:w="9600" w:type="dxa"/>
            <w:vAlign w:val="bottom"/>
          </w:tcPr>
          <w:p>
            <w:pPr>
              <w:ind w:left="20"/>
              <w:spacing w:after="0"/>
              <w:rPr>
                <w:rFonts w:ascii="Arial" w:cs="Arial" w:eastAsia="Arial" w:hAnsi="Arial"/>
                <w:sz w:val="12"/>
                <w:szCs w:val="12"/>
                <w:u w:val="single" w:color="auto"/>
                <w:color w:val="0000FF"/>
              </w:rPr>
            </w:pPr>
            <w:hyperlink w:anchor="page12">
              <w:r>
                <w:rPr>
                  <w:rFonts w:ascii="Arial" w:cs="Arial" w:eastAsia="Arial" w:hAnsi="Arial"/>
                  <w:sz w:val="12"/>
                  <w:szCs w:val="12"/>
                  <w:u w:val="single" w:color="auto"/>
                  <w:color w:val="0000FF"/>
                </w:rPr>
                <w:t>Presentation dated January 2021</w:t>
              </w:r>
            </w:hyperlink>
          </w:p>
        </w:tc>
      </w:tr>
      <w:tr>
        <w:trPr>
          <w:trHeight w:val="153"/>
        </w:trPr>
        <w:tc>
          <w:tcPr>
            <w:tcW w:w="820" w:type="dxa"/>
            <w:vAlign w:val="bottom"/>
          </w:tcPr>
          <w:p>
            <w:pPr>
              <w:jc w:val="center"/>
              <w:spacing w:after="0"/>
              <w:rPr>
                <w:sz w:val="20"/>
                <w:szCs w:val="20"/>
                <w:color w:val="auto"/>
              </w:rPr>
            </w:pPr>
            <w:r>
              <w:rPr>
                <w:rFonts w:ascii="Arial" w:cs="Arial" w:eastAsia="Arial" w:hAnsi="Arial"/>
                <w:sz w:val="12"/>
                <w:szCs w:val="12"/>
                <w:color w:val="auto"/>
                <w:w w:val="89"/>
              </w:rPr>
              <w:t>104</w:t>
            </w:r>
          </w:p>
        </w:tc>
        <w:tc>
          <w:tcPr>
            <w:tcW w:w="260" w:type="dxa"/>
            <w:vAlign w:val="bottom"/>
          </w:tcPr>
          <w:p>
            <w:pPr>
              <w:spacing w:after="0"/>
              <w:rPr>
                <w:sz w:val="13"/>
                <w:szCs w:val="13"/>
                <w:color w:val="auto"/>
              </w:rPr>
            </w:pPr>
          </w:p>
        </w:tc>
        <w:tc>
          <w:tcPr>
            <w:tcW w:w="9600" w:type="dxa"/>
            <w:vAlign w:val="bottom"/>
          </w:tcPr>
          <w:p>
            <w:pPr>
              <w:ind w:left="20"/>
              <w:spacing w:after="0"/>
              <w:rPr>
                <w:sz w:val="20"/>
                <w:szCs w:val="20"/>
                <w:color w:val="auto"/>
              </w:rPr>
            </w:pPr>
            <w:r>
              <w:rPr>
                <w:rFonts w:ascii="Arial" w:cs="Arial" w:eastAsia="Arial" w:hAnsi="Arial"/>
                <w:sz w:val="12"/>
                <w:szCs w:val="12"/>
                <w:color w:val="auto"/>
              </w:rPr>
              <w:t>Cover Page Interactive Date File (embedded within the Inline XBRL document)</w:t>
            </w:r>
          </w:p>
        </w:tc>
      </w:tr>
    </w:tbl>
    <w:p>
      <w:pPr>
        <w:spacing w:after="0" w:line="225"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The information in Items 2.02 and 7.01 and Exhibits 99.1 and 99.2, of this Current Report on Form 8-K are being furnished and shall not be deemed “filed” for purposes of Section 18 of the Securities Exchange Act of 1934 as amended (Exchange Act), or otherwise subject to the liabilities of that Section or Sections 11 and 12(a)(2) of the Securities Act of 1933, as amended (Securities Act). The information in Items 2.02 and 7.01, and Exhibits 99.1 and 99.2 shall not be deemed incorporated by reference in any filing under the Securities Act,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455295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140" w:type="dxa"/>
            <w:vAlign w:val="bottom"/>
            <w:gridSpan w:val="2"/>
          </w:tcPr>
          <w:p>
            <w:pPr>
              <w:ind w:left="1560"/>
              <w:spacing w:after="0"/>
              <w:rPr>
                <w:sz w:val="20"/>
                <w:szCs w:val="20"/>
                <w:color w:val="auto"/>
              </w:rPr>
            </w:pPr>
            <w:r>
              <w:rPr>
                <w:rFonts w:ascii="Arial" w:cs="Arial" w:eastAsia="Arial" w:hAnsi="Arial"/>
                <w:sz w:val="12"/>
                <w:szCs w:val="12"/>
                <w:b w:val="1"/>
                <w:bCs w:val="1"/>
                <w:color w:val="auto"/>
              </w:rPr>
              <w:t>SI-BONE, INC.</w:t>
            </w:r>
          </w:p>
        </w:tc>
      </w:tr>
      <w:tr>
        <w:trPr>
          <w:trHeight w:val="306"/>
        </w:trPr>
        <w:tc>
          <w:tcPr>
            <w:tcW w:w="540" w:type="dxa"/>
            <w:vAlign w:val="bottom"/>
          </w:tcPr>
          <w:p>
            <w:pPr>
              <w:spacing w:after="0"/>
              <w:rPr>
                <w:sz w:val="20"/>
                <w:szCs w:val="20"/>
                <w:color w:val="auto"/>
              </w:rPr>
            </w:pPr>
            <w:r>
              <w:rPr>
                <w:rFonts w:ascii="Arial" w:cs="Arial" w:eastAsia="Arial" w:hAnsi="Arial"/>
                <w:sz w:val="12"/>
                <w:szCs w:val="12"/>
                <w:color w:val="auto"/>
              </w:rPr>
              <w:t>Date:</w:t>
            </w:r>
          </w:p>
        </w:tc>
        <w:tc>
          <w:tcPr>
            <w:tcW w:w="2600" w:type="dxa"/>
            <w:vAlign w:val="bottom"/>
          </w:tcPr>
          <w:p>
            <w:pPr>
              <w:ind w:left="280"/>
              <w:spacing w:after="0"/>
              <w:rPr>
                <w:sz w:val="20"/>
                <w:szCs w:val="20"/>
                <w:color w:val="auto"/>
              </w:rPr>
            </w:pPr>
            <w:r>
              <w:rPr>
                <w:rFonts w:ascii="Arial" w:cs="Arial" w:eastAsia="Arial" w:hAnsi="Arial"/>
                <w:sz w:val="12"/>
                <w:szCs w:val="12"/>
                <w:color w:val="auto"/>
              </w:rPr>
              <w:t>January 7, 2021</w:t>
            </w:r>
          </w:p>
        </w:tc>
        <w:tc>
          <w:tcPr>
            <w:tcW w:w="2260" w:type="dxa"/>
            <w:vAlign w:val="bottom"/>
          </w:tcPr>
          <w:p>
            <w:pPr>
              <w:ind w:left="1560"/>
              <w:spacing w:after="0"/>
              <w:rPr>
                <w:sz w:val="20"/>
                <w:szCs w:val="20"/>
                <w:color w:val="auto"/>
              </w:rPr>
            </w:pPr>
            <w:r>
              <w:rPr>
                <w:rFonts w:ascii="Arial" w:cs="Arial" w:eastAsia="Arial" w:hAnsi="Arial"/>
                <w:sz w:val="12"/>
                <w:szCs w:val="12"/>
                <w:color w:val="auto"/>
              </w:rPr>
              <w:t>By:</w:t>
            </w: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Laura A. Francis</w:t>
            </w:r>
          </w:p>
        </w:tc>
      </w:tr>
      <w:tr>
        <w:trPr>
          <w:trHeight w:val="142"/>
        </w:trPr>
        <w:tc>
          <w:tcPr>
            <w:tcW w:w="5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80" w:type="dxa"/>
            <w:vAlign w:val="bottom"/>
          </w:tcPr>
          <w:p>
            <w:pPr>
              <w:ind w:left="20"/>
              <w:spacing w:after="0"/>
              <w:rPr>
                <w:sz w:val="20"/>
                <w:szCs w:val="20"/>
                <w:color w:val="auto"/>
              </w:rPr>
            </w:pPr>
            <w:r>
              <w:rPr>
                <w:rFonts w:ascii="Arial" w:cs="Arial" w:eastAsia="Arial" w:hAnsi="Arial"/>
                <w:sz w:val="12"/>
                <w:szCs w:val="12"/>
                <w:color w:val="auto"/>
              </w:rPr>
              <w:t>Laura A. Francis</w:t>
            </w:r>
          </w:p>
        </w:tc>
      </w:tr>
      <w:tr>
        <w:trPr>
          <w:trHeight w:val="153"/>
        </w:trPr>
        <w:tc>
          <w:tcPr>
            <w:tcW w:w="5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880" w:type="dxa"/>
            <w:vAlign w:val="bottom"/>
          </w:tcPr>
          <w:p>
            <w:pPr>
              <w:ind w:left="20"/>
              <w:spacing w:after="0"/>
              <w:rPr>
                <w:sz w:val="20"/>
                <w:szCs w:val="20"/>
                <w:color w:val="auto"/>
              </w:rPr>
            </w:pPr>
            <w:r>
              <w:rPr>
                <w:rFonts w:ascii="Arial" w:cs="Arial" w:eastAsia="Arial" w:hAnsi="Arial"/>
                <w:sz w:val="12"/>
                <w:szCs w:val="12"/>
                <w:color w:val="auto"/>
              </w:rPr>
              <w:t>Chief Operating Officer and Chief Financial Officer</w:t>
            </w:r>
          </w:p>
        </w:tc>
      </w:tr>
      <w:tr>
        <w:trPr>
          <w:trHeight w:val="153"/>
        </w:trPr>
        <w:tc>
          <w:tcPr>
            <w:tcW w:w="5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880" w:type="dxa"/>
            <w:vAlign w:val="bottom"/>
          </w:tcPr>
          <w:p>
            <w:pPr>
              <w:ind w:left="20"/>
              <w:spacing w:after="0"/>
              <w:rPr>
                <w:sz w:val="20"/>
                <w:szCs w:val="20"/>
                <w:color w:val="auto"/>
              </w:rPr>
            </w:pPr>
            <w:r>
              <w:rPr>
                <w:rFonts w:ascii="Arial" w:cs="Arial" w:eastAsia="Arial" w:hAnsi="Arial"/>
                <w:sz w:val="12"/>
                <w:szCs w:val="12"/>
                <w:color w:val="auto"/>
              </w:rPr>
              <w:t>(Principal Financial and Accounting Officer)</w:t>
            </w:r>
          </w:p>
        </w:tc>
      </w:tr>
    </w:tbl>
    <w:p>
      <w:pPr>
        <w:sectPr>
          <w:pgSz w:w="11900" w:h="16838" w:orient="portrait"/>
          <w:cols w:equalWidth="0" w:num="1">
            <w:col w:w="11280"/>
          </w:cols>
          <w:pgMar w:left="300" w:top="64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AMENDMENT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OFFER LETTER AGREEMENT AND SEVERANCE PLAN PARTICIPATION AGREEMENT</w:t>
      </w:r>
    </w:p>
    <w:p>
      <w:pPr>
        <w:spacing w:after="0" w:line="161" w:lineRule="exact"/>
        <w:rPr>
          <w:sz w:val="20"/>
          <w:szCs w:val="20"/>
          <w:color w:val="auto"/>
        </w:rPr>
      </w:pPr>
    </w:p>
    <w:p>
      <w:pPr>
        <w:jc w:val="both"/>
        <w:ind w:firstLine="219"/>
        <w:spacing w:after="0" w:line="265" w:lineRule="auto"/>
        <w:rPr>
          <w:sz w:val="20"/>
          <w:szCs w:val="20"/>
          <w:color w:val="auto"/>
        </w:rPr>
      </w:pPr>
      <w:r>
        <w:rPr>
          <w:rFonts w:ascii="Arial" w:cs="Arial" w:eastAsia="Arial" w:hAnsi="Arial"/>
          <w:sz w:val="14"/>
          <w:szCs w:val="14"/>
          <w:color w:val="auto"/>
        </w:rPr>
        <w:t>This Amendment (this “</w:t>
      </w:r>
      <w:r>
        <w:rPr>
          <w:rFonts w:ascii="Arial" w:cs="Arial" w:eastAsia="Arial" w:hAnsi="Arial"/>
          <w:sz w:val="14"/>
          <w:szCs w:val="14"/>
          <w:b w:val="1"/>
          <w:bCs w:val="1"/>
          <w:i w:val="1"/>
          <w:iCs w:val="1"/>
          <w:color w:val="auto"/>
        </w:rPr>
        <w:t>Amendment</w:t>
      </w:r>
      <w:r>
        <w:rPr>
          <w:rFonts w:ascii="Arial" w:cs="Arial" w:eastAsia="Arial" w:hAnsi="Arial"/>
          <w:sz w:val="14"/>
          <w:szCs w:val="14"/>
          <w:color w:val="auto"/>
        </w:rPr>
        <w:t>”) to the Offer Letter Agreement by and between SI-BONE,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and Jeffrey Dunn (the “</w:t>
      </w:r>
      <w:r>
        <w:rPr>
          <w:rFonts w:ascii="Arial" w:cs="Arial" w:eastAsia="Arial" w:hAnsi="Arial"/>
          <w:sz w:val="14"/>
          <w:szCs w:val="14"/>
          <w:b w:val="1"/>
          <w:bCs w:val="1"/>
          <w:i w:val="1"/>
          <w:iCs w:val="1"/>
          <w:color w:val="auto"/>
        </w:rPr>
        <w:t>Executive</w:t>
      </w:r>
      <w:r>
        <w:rPr>
          <w:rFonts w:ascii="Arial" w:cs="Arial" w:eastAsia="Arial" w:hAnsi="Arial"/>
          <w:sz w:val="14"/>
          <w:szCs w:val="14"/>
          <w:color w:val="auto"/>
        </w:rPr>
        <w:t>”), dated as of the 15th day of December, 2009 (the “</w:t>
      </w:r>
      <w:r>
        <w:rPr>
          <w:rFonts w:ascii="Arial" w:cs="Arial" w:eastAsia="Arial" w:hAnsi="Arial"/>
          <w:sz w:val="14"/>
          <w:szCs w:val="14"/>
          <w:b w:val="1"/>
          <w:bCs w:val="1"/>
          <w:i w:val="1"/>
          <w:iCs w:val="1"/>
          <w:color w:val="auto"/>
        </w:rPr>
        <w:t>Letter Agreement</w:t>
      </w:r>
      <w:r>
        <w:rPr>
          <w:rFonts w:ascii="Arial" w:cs="Arial" w:eastAsia="Arial" w:hAnsi="Arial"/>
          <w:sz w:val="14"/>
          <w:szCs w:val="14"/>
          <w:color w:val="auto"/>
        </w:rPr>
        <w:t>”) and the Participation Agreement (the “</w:t>
      </w:r>
      <w:r>
        <w:rPr>
          <w:rFonts w:ascii="Arial" w:cs="Arial" w:eastAsia="Arial" w:hAnsi="Arial"/>
          <w:sz w:val="14"/>
          <w:szCs w:val="14"/>
          <w:b w:val="1"/>
          <w:bCs w:val="1"/>
          <w:i w:val="1"/>
          <w:iCs w:val="1"/>
          <w:color w:val="auto"/>
        </w:rPr>
        <w:t>Participation Agreement</w:t>
      </w:r>
      <w:r>
        <w:rPr>
          <w:rFonts w:ascii="Arial" w:cs="Arial" w:eastAsia="Arial" w:hAnsi="Arial"/>
          <w:sz w:val="14"/>
          <w:szCs w:val="14"/>
          <w:color w:val="auto"/>
        </w:rPr>
        <w:t>”) under the SI-BONE, Inc. Severance Benefit Plan (the “</w:t>
      </w:r>
      <w:r>
        <w:rPr>
          <w:rFonts w:ascii="Arial" w:cs="Arial" w:eastAsia="Arial" w:hAnsi="Arial"/>
          <w:sz w:val="14"/>
          <w:szCs w:val="14"/>
          <w:b w:val="1"/>
          <w:bCs w:val="1"/>
          <w:i w:val="1"/>
          <w:iCs w:val="1"/>
          <w:color w:val="auto"/>
        </w:rPr>
        <w:t>Severance Plan</w:t>
      </w:r>
      <w:r>
        <w:rPr>
          <w:rFonts w:ascii="Arial" w:cs="Arial" w:eastAsia="Arial" w:hAnsi="Arial"/>
          <w:sz w:val="14"/>
          <w:szCs w:val="14"/>
          <w:color w:val="auto"/>
        </w:rPr>
        <w:t>”), is entered into as of this 5th day of January, 2021, by and between the Company and the Executive, effective and contingent upon the earlier of May 1, 2021 and the date on which a new Chief Financial Officer is appointed and begins employment at the Company (the “</w:t>
      </w:r>
      <w:r>
        <w:rPr>
          <w:rFonts w:ascii="Arial" w:cs="Arial" w:eastAsia="Arial" w:hAnsi="Arial"/>
          <w:sz w:val="14"/>
          <w:szCs w:val="14"/>
          <w:b w:val="1"/>
          <w:bCs w:val="1"/>
          <w:i w:val="1"/>
          <w:iCs w:val="1"/>
          <w:color w:val="auto"/>
        </w:rPr>
        <w:t>Effective Date</w:t>
      </w:r>
      <w:r>
        <w:rPr>
          <w:rFonts w:ascii="Arial" w:cs="Arial" w:eastAsia="Arial" w:hAnsi="Arial"/>
          <w:sz w:val="14"/>
          <w:szCs w:val="14"/>
          <w:color w:val="auto"/>
        </w:rPr>
        <w:t>”). The Company and Executive are referred to herein as the “parties.”</w:t>
      </w:r>
    </w:p>
    <w:p>
      <w:pPr>
        <w:spacing w:after="0" w:line="113"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RECITALS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WHEREAS, the Company and the Executive are parties to the Letter Agreement and to the Participation Agreement;</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WHEREAS, Section 9 of the Letter Agreement provides that the Letter Agreement may not be amended or modified, except by an express written agreement signed by both Executive and a duly authorized officer of the Company;</w:t>
      </w:r>
    </w:p>
    <w:p>
      <w:pPr>
        <w:spacing w:after="0" w:line="1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WHEREAS, Section 9(b) of the Severance Benefit Plan permits amendments to such plan provided that any such amendment will not be effective as to a particular employee who is or may be adversely impacted by such amendment or termination and has an effective Participation Agreement without the written consent of such employee; and</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WHEREAS, the parties desire to amend each of the Letter Agreement and Participation Agreement to provide for the modifications set forth herein.</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NOW, THEREFORE, the parties agree that each of the Letter Agreement and the Participation Agreement is hereby amended, automatically effective upon the Effective Date to reflect the following:</w:t>
      </w:r>
    </w:p>
    <w:p>
      <w:pPr>
        <w:spacing w:after="0" w:line="98" w:lineRule="exact"/>
        <w:rPr>
          <w:sz w:val="20"/>
          <w:szCs w:val="20"/>
          <w:color w:val="auto"/>
        </w:rPr>
      </w:pPr>
    </w:p>
    <w:p>
      <w:pPr>
        <w:ind w:left="860" w:hanging="436"/>
        <w:spacing w:after="0"/>
        <w:tabs>
          <w:tab w:leader="none" w:pos="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Executive’s title will be Executive Chairman and Executive’s duties will be consistent with that change in title. Executive’s time commitment to the Company will be </w:t>
      </w:r>
      <w:r>
        <w:rPr>
          <w:rFonts w:ascii="Arial" w:cs="Arial" w:eastAsia="Arial" w:hAnsi="Arial"/>
          <w:sz w:val="13"/>
          <w:szCs w:val="13"/>
          <w:b w:val="1"/>
          <w:bCs w:val="1"/>
          <w:color w:val="auto"/>
        </w:rPr>
        <w:t>fifty percent</w:t>
      </w:r>
    </w:p>
    <w:p>
      <w:pPr>
        <w:spacing w:after="0" w:line="36" w:lineRule="exact"/>
        <w:rPr>
          <w:rFonts w:ascii="Arial" w:cs="Arial" w:eastAsia="Arial" w:hAnsi="Arial"/>
          <w:sz w:val="13"/>
          <w:szCs w:val="13"/>
          <w:color w:val="auto"/>
        </w:rPr>
      </w:pPr>
    </w:p>
    <w:p>
      <w:pPr>
        <w:jc w:val="both"/>
        <w:ind w:left="420"/>
        <w:spacing w:after="0" w:line="258" w:lineRule="auto"/>
        <w:rPr>
          <w:rFonts w:ascii="Arial" w:cs="Arial" w:eastAsia="Arial" w:hAnsi="Arial"/>
          <w:sz w:val="13"/>
          <w:szCs w:val="13"/>
          <w:color w:val="auto"/>
        </w:rPr>
      </w:pPr>
      <w:r>
        <w:rPr>
          <w:rFonts w:ascii="Arial" w:cs="Arial" w:eastAsia="Arial" w:hAnsi="Arial"/>
          <w:sz w:val="14"/>
          <w:szCs w:val="14"/>
          <w:b w:val="1"/>
          <w:bCs w:val="1"/>
          <w:color w:val="auto"/>
        </w:rPr>
        <w:t xml:space="preserve">(50%) </w:t>
      </w:r>
      <w:r>
        <w:rPr>
          <w:rFonts w:ascii="Arial" w:cs="Arial" w:eastAsia="Arial" w:hAnsi="Arial"/>
          <w:sz w:val="14"/>
          <w:szCs w:val="14"/>
          <w:color w:val="auto"/>
        </w:rPr>
        <w:t>of his full working time prior to the Effective Date. As provided in the Letter Agreement, while Executive renders services to the Company, Executive will not engage in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employment, consulting or other business activity (whether full-time or part-time) that would create a conflict of interest with the Company. Executive will serve the Company in the capacity of Executive Chairman until the earlier of the date on which the Board determines that he shall no longer serve in such capacity and May 1, 2023, at which point his employment with the Company will end and Executive will transition to non-Executive Chairman of the Company. Upon and following Executive’s transition from Executive Chairman to non-Executive Chairman, Executive will not be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00"/>
          </w:cols>
          <w:pgMar w:left="300" w:top="994" w:right="29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14"/>
          <w:szCs w:val="14"/>
          <w:color w:val="auto"/>
        </w:rPr>
        <w:t xml:space="preserve">entitled the benefits provided in Section 2 of the Participation Agreement,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in the event of a Change in Control that occurs while Executive is serving as a non-Executive Chairman, Executive will remain entitled to the benefits described in Section 2(d) of the Participation Agreement.</w:t>
      </w:r>
    </w:p>
    <w:p>
      <w:pPr>
        <w:spacing w:after="0" w:line="98" w:lineRule="exact"/>
        <w:rPr>
          <w:sz w:val="20"/>
          <w:szCs w:val="20"/>
          <w:color w:val="auto"/>
        </w:rPr>
      </w:pPr>
    </w:p>
    <w:p>
      <w:pPr>
        <w:jc w:val="both"/>
        <w:ind w:firstLine="4"/>
        <w:spacing w:after="0" w:line="262" w:lineRule="auto"/>
        <w:tabs>
          <w:tab w:leader="none" w:pos="432"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Executive’s base salary will be at the rate of </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309,000</w:t>
      </w:r>
      <w:r>
        <w:rPr>
          <w:rFonts w:ascii="Arial" w:cs="Arial" w:eastAsia="Arial" w:hAnsi="Arial"/>
          <w:sz w:val="14"/>
          <w:szCs w:val="14"/>
          <w:color w:val="auto"/>
        </w:rPr>
        <w:t xml:space="preserve"> per year, which is </w:t>
      </w:r>
      <w:r>
        <w:rPr>
          <w:rFonts w:ascii="Arial" w:cs="Arial" w:eastAsia="Arial" w:hAnsi="Arial"/>
          <w:sz w:val="14"/>
          <w:szCs w:val="14"/>
          <w:b w:val="1"/>
          <w:bCs w:val="1"/>
          <w:color w:val="auto"/>
        </w:rPr>
        <w:t>fifty percent (50%)</w:t>
      </w:r>
      <w:r>
        <w:rPr>
          <w:rFonts w:ascii="Arial" w:cs="Arial" w:eastAsia="Arial" w:hAnsi="Arial"/>
          <w:sz w:val="14"/>
          <w:szCs w:val="14"/>
          <w:color w:val="auto"/>
        </w:rPr>
        <w:t xml:space="preserve"> of his base salary immediately preceding the Effective Date and which will continue to be payable in accordance with the Company’s standard payroll schedule. This new base salary will continue to be subject to adjustment pursuant to the Company’s employee compensation policies in effect from time to time. Executive’s target annual bonus will be </w:t>
      </w:r>
      <w:r>
        <w:rPr>
          <w:rFonts w:ascii="Arial" w:cs="Arial" w:eastAsia="Arial" w:hAnsi="Arial"/>
          <w:sz w:val="14"/>
          <w:szCs w:val="14"/>
          <w:b w:val="1"/>
          <w:bCs w:val="1"/>
          <w:color w:val="auto"/>
        </w:rPr>
        <w:t>100%</w:t>
      </w:r>
      <w:r>
        <w:rPr>
          <w:rFonts w:ascii="Arial" w:cs="Arial" w:eastAsia="Arial" w:hAnsi="Arial"/>
          <w:sz w:val="14"/>
          <w:szCs w:val="14"/>
          <w:color w:val="auto"/>
        </w:rPr>
        <w:t xml:space="preserve"> of base salary, and will be calculated and paid each year in accordance with corporate achievement, as determined by the Compensation Committee, under the Company’s corporate bonus plan. Executive’s target annual bonus for 2021 will be based on a blended base salary, determined by blending (i) the base salary for the portion of 2021 prior to the Effective Date with (ii) the base salary for the portion of 2021 from (and including) the Effective Date through December 31, 2021.</w:t>
      </w:r>
    </w:p>
    <w:p>
      <w:pPr>
        <w:spacing w:after="0" w:line="115" w:lineRule="exact"/>
        <w:rPr>
          <w:rFonts w:ascii="Arial" w:cs="Arial" w:eastAsia="Arial" w:hAnsi="Arial"/>
          <w:sz w:val="14"/>
          <w:szCs w:val="14"/>
          <w:color w:val="auto"/>
        </w:rPr>
      </w:pPr>
    </w:p>
    <w:p>
      <w:pPr>
        <w:jc w:val="both"/>
        <w:ind w:firstLine="4"/>
        <w:spacing w:after="0" w:line="273" w:lineRule="auto"/>
        <w:tabs>
          <w:tab w:leader="none" w:pos="432"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Fifty percent (50%) </w:t>
      </w:r>
      <w:r>
        <w:rPr>
          <w:rFonts w:ascii="Arial" w:cs="Arial" w:eastAsia="Arial" w:hAnsi="Arial"/>
          <w:sz w:val="14"/>
          <w:szCs w:val="14"/>
          <w:color w:val="auto"/>
        </w:rPr>
        <w:t>of the unvested portion of the equity award granted to Executive on January 5, 2021 will be forfeited on the Effective Date, and the remainder of such equity</w:t>
      </w:r>
      <w:r>
        <w:rPr>
          <w:rFonts w:ascii="Arial" w:cs="Arial" w:eastAsia="Arial" w:hAnsi="Arial"/>
          <w:sz w:val="14"/>
          <w:szCs w:val="14"/>
          <w:b w:val="1"/>
          <w:bCs w:val="1"/>
          <w:color w:val="auto"/>
        </w:rPr>
        <w:t xml:space="preserve"> </w:t>
      </w:r>
      <w:r>
        <w:rPr>
          <w:rFonts w:ascii="Arial" w:cs="Arial" w:eastAsia="Arial" w:hAnsi="Arial"/>
          <w:sz w:val="14"/>
          <w:szCs w:val="14"/>
          <w:color w:val="auto"/>
        </w:rPr>
        <w:t>award will continue to vest in installments over the term of the original vesting schedule, ratably in accordance with the time elapsed since the Vesting Commencement Date. All prior equity awards to Executive will continue to vest according to their original terms.</w:t>
      </w:r>
    </w:p>
    <w:p>
      <w:pPr>
        <w:spacing w:after="0" w:line="111" w:lineRule="exact"/>
        <w:rPr>
          <w:rFonts w:ascii="Arial" w:cs="Arial" w:eastAsia="Arial" w:hAnsi="Arial"/>
          <w:sz w:val="14"/>
          <w:szCs w:val="14"/>
          <w:color w:val="auto"/>
        </w:rPr>
      </w:pPr>
    </w:p>
    <w:p>
      <w:pPr>
        <w:jc w:val="both"/>
        <w:ind w:firstLine="4"/>
        <w:spacing w:after="0" w:line="270" w:lineRule="auto"/>
        <w:tabs>
          <w:tab w:leader="none" w:pos="432" w:val="left"/>
        </w:tabs>
        <w:numPr>
          <w:ilvl w:val="0"/>
          <w:numId w:val="5"/>
        </w:numPr>
        <w:rPr>
          <w:rFonts w:ascii="Arial" w:cs="Arial" w:eastAsia="Arial" w:hAnsi="Arial"/>
          <w:sz w:val="14"/>
          <w:szCs w:val="14"/>
          <w:color w:val="auto"/>
        </w:rPr>
      </w:pPr>
      <w:r>
        <w:rPr>
          <w:rFonts w:ascii="Arial" w:cs="Arial" w:eastAsia="Arial" w:hAnsi="Arial"/>
          <w:sz w:val="14"/>
          <w:szCs w:val="14"/>
          <w:color w:val="auto"/>
        </w:rPr>
        <w:t>Executive shall remain eligible to participate in the Severance Plan, but Executive’s “Base Salary” under the Severance Plan will be the base salary reflected in this Amendment, and Executive’s target cash bonus will be based on base salary for following the Effective Date of this Amendment, provided that Executive’s target cash bonus for 2021 will be based on Executive’s blended base salary as described in paragraph 2 above.</w:t>
      </w:r>
    </w:p>
    <w:p>
      <w:pPr>
        <w:spacing w:after="0" w:line="113" w:lineRule="exact"/>
        <w:rPr>
          <w:rFonts w:ascii="Arial" w:cs="Arial" w:eastAsia="Arial" w:hAnsi="Arial"/>
          <w:sz w:val="14"/>
          <w:szCs w:val="14"/>
          <w:color w:val="auto"/>
        </w:rPr>
      </w:pPr>
    </w:p>
    <w:p>
      <w:pPr>
        <w:jc w:val="both"/>
        <w:ind w:firstLine="4"/>
        <w:spacing w:after="0" w:line="265" w:lineRule="auto"/>
        <w:tabs>
          <w:tab w:leader="none" w:pos="432" w:val="left"/>
        </w:tabs>
        <w:numPr>
          <w:ilvl w:val="0"/>
          <w:numId w:val="5"/>
        </w:numPr>
        <w:rPr>
          <w:rFonts w:ascii="Arial" w:cs="Arial" w:eastAsia="Arial" w:hAnsi="Arial"/>
          <w:sz w:val="14"/>
          <w:szCs w:val="14"/>
          <w:color w:val="auto"/>
        </w:rPr>
      </w:pPr>
      <w:r>
        <w:rPr>
          <w:rFonts w:ascii="Arial" w:cs="Arial" w:eastAsia="Arial" w:hAnsi="Arial"/>
          <w:sz w:val="14"/>
          <w:szCs w:val="14"/>
          <w:color w:val="auto"/>
        </w:rPr>
        <w:t>Executive will receive the severance benefits set forth in Section 2 of the Participation Agreement upon the earlier of (i) a Covered Termination occurring during the Change in Control Period, or the Closing of a Change in Control, (as such terms are defined in the Severance Plan), regardless of whether Executive agrees to provide transition services following the Closing. To be clear, once Executive moves to the Executive Chairman position, 100% of all unvested options and RSUs held by Executive will vest upon the earlier to occur of (i) a Covered Termination occurring during the Change in Control Period, or (ii) the Closing of a Change in Control.</w:t>
      </w:r>
    </w:p>
    <w:p>
      <w:pPr>
        <w:spacing w:after="0" w:line="116" w:lineRule="exact"/>
        <w:rPr>
          <w:rFonts w:ascii="Arial" w:cs="Arial" w:eastAsia="Arial" w:hAnsi="Arial"/>
          <w:sz w:val="14"/>
          <w:szCs w:val="14"/>
          <w:color w:val="auto"/>
        </w:rPr>
      </w:pPr>
    </w:p>
    <w:p>
      <w:pPr>
        <w:ind w:firstLine="4"/>
        <w:spacing w:after="0" w:line="286" w:lineRule="auto"/>
        <w:tabs>
          <w:tab w:leader="none" w:pos="432" w:val="left"/>
        </w:tabs>
        <w:numPr>
          <w:ilvl w:val="0"/>
          <w:numId w:val="5"/>
        </w:numPr>
        <w:rPr>
          <w:rFonts w:ascii="Arial" w:cs="Arial" w:eastAsia="Arial" w:hAnsi="Arial"/>
          <w:sz w:val="14"/>
          <w:szCs w:val="14"/>
          <w:color w:val="auto"/>
        </w:rPr>
      </w:pPr>
      <w:r>
        <w:rPr>
          <w:rFonts w:ascii="Arial" w:cs="Arial" w:eastAsia="Arial" w:hAnsi="Arial"/>
          <w:sz w:val="14"/>
          <w:szCs w:val="14"/>
          <w:color w:val="auto"/>
        </w:rPr>
        <w:t>Executive agrees that neither of his transition described in this Amendment from President and Chief Executive Officer to Executive Chairman, nor his transition from Executive Chairman to Chairman will give rise to Executive’s right to resign with Good Reason.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880"/>
          </w:cols>
          <w:pgMar w:left="720" w:top="998" w:right="299" w:bottom="1440" w:gutter="0" w:footer="0" w:header="0"/>
        </w:sectPr>
      </w:pPr>
    </w:p>
    <w:bookmarkStart w:id="6" w:name="page7"/>
    <w:bookmarkEnd w:id="6"/>
    <w:p>
      <w:pPr>
        <w:ind w:left="440" w:hanging="436"/>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Except to the extent expressly amended hereby, the Letter Agreement, the Severance Plan and the Participation Agreement shall remain in full force and effect in all respects.</w:t>
      </w:r>
    </w:p>
    <w:p>
      <w:pPr>
        <w:spacing w:after="0" w:line="177" w:lineRule="exact"/>
        <w:rPr>
          <w:rFonts w:ascii="Arial" w:cs="Arial" w:eastAsia="Arial" w:hAnsi="Arial"/>
          <w:sz w:val="12"/>
          <w:szCs w:val="12"/>
          <w:color w:val="auto"/>
        </w:rPr>
      </w:pPr>
    </w:p>
    <w:p>
      <w:pPr>
        <w:ind w:left="3400"/>
        <w:spacing w:after="0"/>
        <w:rPr>
          <w:rFonts w:ascii="Arial" w:cs="Arial" w:eastAsia="Arial" w:hAnsi="Arial"/>
          <w:sz w:val="12"/>
          <w:szCs w:val="12"/>
          <w:color w:val="auto"/>
        </w:rPr>
      </w:pPr>
      <w:r>
        <w:rPr>
          <w:rFonts w:ascii="Arial" w:cs="Arial" w:eastAsia="Arial" w:hAnsi="Arial"/>
          <w:sz w:val="14"/>
          <w:szCs w:val="14"/>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440"/>
          </w:cols>
          <w:pgMar w:left="720" w:top="998" w:right="739" w:bottom="1440" w:gutter="0" w:footer="0" w:header="0"/>
        </w:sectPr>
      </w:pPr>
    </w:p>
    <w:bookmarkStart w:id="7" w:name="page8"/>
    <w:bookmarkEnd w:id="7"/>
    <w:p>
      <w:pPr>
        <w:spacing w:after="0"/>
        <w:rPr>
          <w:sz w:val="20"/>
          <w:szCs w:val="20"/>
          <w:color w:val="auto"/>
        </w:rPr>
      </w:pPr>
      <w:r>
        <w:rPr>
          <w:rFonts w:ascii="Arial" w:cs="Arial" w:eastAsia="Arial" w:hAnsi="Arial"/>
          <w:sz w:val="13"/>
          <w:szCs w:val="13"/>
          <w:color w:val="auto"/>
        </w:rPr>
        <w:t>IN WITNESS WHEREOF, this Amendment has been duly executed by the parties hereto as of the day and year first written above.</w:t>
      </w:r>
    </w:p>
    <w:p>
      <w:pPr>
        <w:sectPr>
          <w:pgSz w:w="11900" w:h="16838" w:orient="portrait"/>
          <w:cols w:equalWidth="0" w:num="1">
            <w:col w:w="9739"/>
          </w:cols>
          <w:pgMar w:left="720" w:top="998" w:right="1440" w:bottom="1440" w:gutter="0" w:footer="0" w:header="0"/>
        </w:sectPr>
      </w:pPr>
    </w:p>
    <w:p>
      <w:pPr>
        <w:spacing w:after="0" w:line="1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SI-BONE, Inc.</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Timothy E. Davis, Jr.</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Name: Timothy E. Davis, Jr.</w:t>
      </w:r>
    </w:p>
    <w:p>
      <w:pPr>
        <w:spacing w:after="0" w:line="10" w:lineRule="exact"/>
        <w:rPr>
          <w:sz w:val="20"/>
          <w:szCs w:val="20"/>
          <w:color w:val="auto"/>
        </w:rPr>
      </w:pPr>
    </w:p>
    <w:p>
      <w:pPr>
        <w:jc w:val="right"/>
        <w:ind w:right="2919"/>
        <w:spacing w:after="0"/>
        <w:rPr>
          <w:sz w:val="20"/>
          <w:szCs w:val="20"/>
          <w:color w:val="auto"/>
        </w:rPr>
      </w:pPr>
      <w:r>
        <w:rPr>
          <w:rFonts w:ascii="Arial" w:cs="Arial" w:eastAsia="Arial" w:hAnsi="Arial"/>
          <w:sz w:val="14"/>
          <w:szCs w:val="14"/>
          <w:color w:val="auto"/>
        </w:rPr>
        <w:t>Title: Lead Independent Director and Chairman of the Compensation Committee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EXECUTIVE</w:t>
      </w:r>
    </w:p>
    <w:p>
      <w:pPr>
        <w:spacing w:after="0" w:line="33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-6985</wp:posOffset>
            </wp:positionV>
            <wp:extent cx="10769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6960" cy="5715"/>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Jeffrey W. Dunn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739"/>
          </w:cols>
          <w:pgMar w:left="720" w:top="998" w:right="1440"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12065</wp:posOffset>
            </wp:positionV>
            <wp:extent cx="880110" cy="502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0110"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SI-BONE Announces Senior Leadership Changes and Record Quarterly Revenue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Laura Francis to Become Chief Executive Officer; Jeff Dunn to Become Executive Chairman;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Tony Recupero to Become President.</w:t>
      </w:r>
    </w:p>
    <w:p>
      <w:pPr>
        <w:spacing w:after="0" w:line="151" w:lineRule="exact"/>
        <w:rPr>
          <w:sz w:val="20"/>
          <w:szCs w:val="20"/>
          <w:color w:val="auto"/>
        </w:rPr>
      </w:pPr>
    </w:p>
    <w:p>
      <w:pPr>
        <w:jc w:val="both"/>
        <w:spacing w:after="0" w:line="300" w:lineRule="auto"/>
        <w:rPr>
          <w:sz w:val="20"/>
          <w:szCs w:val="20"/>
          <w:color w:val="auto"/>
        </w:rPr>
      </w:pPr>
      <w:r>
        <w:rPr>
          <w:rFonts w:ascii="Arial" w:cs="Arial" w:eastAsia="Arial" w:hAnsi="Arial"/>
          <w:sz w:val="12"/>
          <w:szCs w:val="12"/>
          <w:b w:val="1"/>
          <w:bCs w:val="1"/>
          <w:color w:val="auto"/>
        </w:rPr>
        <w:t>SANTA CLARA, Calif.</w:t>
      </w:r>
      <w:r>
        <w:rPr>
          <w:rFonts w:ascii="Arial" w:cs="Arial" w:eastAsia="Arial" w:hAnsi="Arial"/>
          <w:sz w:val="12"/>
          <w:szCs w:val="12"/>
          <w:color w:val="auto"/>
        </w:rPr>
        <w:t>, January 7, 2021 – SI-BONE, Inc. (Nasdaq: SIBN) (“SI-BONE” or the “Company”), a Silicon Valley-based medical device company focused on the development of implantable devices</w:t>
      </w:r>
      <w:r>
        <w:rPr>
          <w:rFonts w:ascii="Arial" w:cs="Arial" w:eastAsia="Arial" w:hAnsi="Arial"/>
          <w:sz w:val="12"/>
          <w:szCs w:val="12"/>
          <w:b w:val="1"/>
          <w:bCs w:val="1"/>
          <w:color w:val="auto"/>
        </w:rPr>
        <w:t xml:space="preserve"> </w:t>
      </w:r>
      <w:r>
        <w:rPr>
          <w:rFonts w:ascii="Arial" w:cs="Arial" w:eastAsia="Arial" w:hAnsi="Arial"/>
          <w:sz w:val="12"/>
          <w:szCs w:val="12"/>
          <w:color w:val="auto"/>
        </w:rPr>
        <w:t>used in the surgical treatment of the sacropelvic anatomy, today announced its intention to appoint Laura Francis as Chief Executive Officer and to the board of directors. Laura Francis currently serves as SI-</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BONE’s Chief Financial Officer and Chief Operating Officer. As CEO, Laura Francis will succeed Jeff Dunn, who will remain with the Company as Executive Chairman. Tony Recupero, one of the industry’s leading executives who has been with the company for the past five years as Chief Commercial Officer, will become President, Commercial Operations, heading up worldwide sales, marketing, clinical, reimbursement and medical affairs. The Company will begin a search for a new CFO immediately and senior leadership changes will occur upon the earlier of the CFO replacement or May 1, 2021.</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“Laura has been an exemplary leader and operator for SI-BONE since joining the Company in 2015. She is an exceptional executive who is passionate about our mission. She is highly respected by investors and our team as well as our Board of Directors. She is committed to our principles and values and knows how to lead and execute our strategy to invest in future growth,” said Jeff Dunn. “As Executive Chairman, I look forward to remaining highly engaged with SI-BONE and its strategy, and supporting Laura in her new role as CEO.”</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Laura Francis said, “I am honored and excited to lead SI-BONE during this period of unique opportunity. Now that we have addressed reimbursement, I look forward to working with Tony to invest in our growth</w:t>
      </w:r>
    </w:p>
    <w:p>
      <w:pPr>
        <w:spacing w:after="0" w:line="33" w:lineRule="exact"/>
        <w:rPr>
          <w:sz w:val="20"/>
          <w:szCs w:val="20"/>
          <w:color w:val="auto"/>
        </w:rPr>
      </w:pPr>
    </w:p>
    <w:p>
      <w:pPr>
        <w:jc w:val="both"/>
        <w:ind w:right="20"/>
        <w:spacing w:after="0" w:line="314" w:lineRule="auto"/>
        <w:rPr>
          <w:sz w:val="20"/>
          <w:szCs w:val="20"/>
          <w:color w:val="auto"/>
        </w:rPr>
      </w:pPr>
      <w:r>
        <w:rPr>
          <w:rFonts w:ascii="Arial" w:cs="Arial" w:eastAsia="Arial" w:hAnsi="Arial"/>
          <w:sz w:val="12"/>
          <w:szCs w:val="12"/>
          <w:color w:val="auto"/>
        </w:rPr>
        <w:t>through sales force hiring and productivity, surgeon training with our new SImulator technology, new products for sacropelvic surgical treatment, and direct to patient marketing. As a founder of the business over twelve years ago, Jeff has been a pioneer for the use of iFuse to treat sacroiliac joint dysfunction. He has left an indelible legacy and will continue to be a valuable resource as our Executive Chairman.”</w:t>
      </w:r>
    </w:p>
    <w:p>
      <w:pPr>
        <w:spacing w:after="0" w:line="116"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Preliminary and unaudited revenue for fourth quarter 2020 is expected to be in the range of $21.9-$22.2 million, reflecting growth of 11%-12% compared to the prior year period. U.S. revenue is expected to be in the range of $20.5-$20.7 million, reflecting growth of 11%-12% compared to the prior year period. International revenue is expected to be in the range of $1.4-$1.5 million. Preliminary and unaudited revenue for full year 2020 is expected to be in the range of $73.1-$73.4 million, reflecting growth of approximately 9% over full year 2019. U.S. revenue is expected to be in the range of $67.9-$68.1 million, reflecting growth of approximately 10% compared to the prior year period. International revenue is expected to be in the range of $5.2-$5.3 million. Revenue growth in October was consistent with trends in the third quarter. Revenue also grew in November and December, but at a lower rate due to COVID-19. Cash and marketable securities are expected to be approximately $196 million as of December 31, 2020. The fourth quarter and full year 2020 revenue and cash and marketable securities included in this release are preliminary and prior to the completion of SI-BONE's financial closing procedures and audit procedures by its external auditors and therefore may be subject to adjustment. SI-BONE expects to provide fourth quarter and full year 2020 financial results during its fourth quarter 2020 earnings call in March 2021.</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of COVID-19 Pandemic and Financial Guidance</w:t>
      </w:r>
    </w:p>
    <w:p>
      <w:pPr>
        <w:sectPr>
          <w:pgSz w:w="11900" w:h="16838" w:orient="portrait"/>
          <w:cols w:equalWidth="0" w:num="1">
            <w:col w:w="11300"/>
          </w:cols>
          <w:pgMar w:left="300" w:top="640" w:right="299" w:bottom="1440" w:gutter="0" w:footer="0" w:header="0"/>
        </w:sectPr>
      </w:pPr>
    </w:p>
    <w:bookmarkStart w:id="9" w:name="page10"/>
    <w:bookmarkEnd w:id="9"/>
    <w:p>
      <w:pPr>
        <w:jc w:val="both"/>
        <w:spacing w:after="0" w:line="292" w:lineRule="auto"/>
        <w:rPr>
          <w:sz w:val="20"/>
          <w:szCs w:val="20"/>
          <w:color w:val="auto"/>
        </w:rPr>
      </w:pPr>
      <w:r>
        <w:rPr>
          <w:rFonts w:ascii="Arial" w:cs="Arial" w:eastAsia="Arial" w:hAnsi="Arial"/>
          <w:sz w:val="13"/>
          <w:szCs w:val="13"/>
          <w:color w:val="auto"/>
        </w:rPr>
        <w:t>While SI-BONE has continued to see positive trends in its business, the Company remains mindful of the potential negative impacts due to the current increase in COVID-19 global case volumes. Given the experience of 2020 due to the pandemic, and due to the uncertain scope and duration of the pandemic, the global resurgence of cases, and uncertain timing of a global recovery and economic normalization, the Company cannot reliably estimate the future impact of the pandemic. As such, SI-BONE is unable to estimate the pandemic’s impact on operations and financial results and is not issuing 2021 financial guidance at this time.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SI-BONE, Inc.</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randomized controlled trials, showing improved pain, patient function and quality of life resulting from treatment. There are over 90 peer-reviewed publications demonstrating the safety, durable effectiveness, and biomechanical and economic benefits unique to the iFuse Implant (</w:t>
      </w:r>
      <w:r>
        <w:rPr>
          <w:rFonts w:ascii="Arial" w:cs="Arial" w:eastAsia="Arial" w:hAnsi="Arial"/>
          <w:sz w:val="14"/>
          <w:szCs w:val="14"/>
          <w:u w:val="single" w:color="auto"/>
          <w:color w:val="0000FF"/>
        </w:rPr>
        <w:t>www.si-bone.com/results</w:t>
      </w:r>
      <w:r>
        <w:rPr>
          <w:rFonts w:ascii="Arial" w:cs="Arial" w:eastAsia="Arial" w:hAnsi="Arial"/>
          <w:sz w:val="13"/>
          <w:szCs w:val="13"/>
          <w:color w:val="auto"/>
        </w:rPr>
        <w:t>). This body of evidence has enabled multiple government and private insurance payors to establish coverage of the SI joint fusion procedure exclusively when performed with the iFuse Implant System.</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stabilization and immobilization of the sacroiliac joint in skeletally mature patients undergoing sacropelvic fixation as part of a lumbar or thoracolumbar fusion. In addition, the iFuse Implant System is intended for sacroiliac fusion in acute, non-acute, and non-traumatic fractures involving the sacroiliac joint. There are potential risks associated with the iFuse Implant System. It may not be appropriate for all patients and all patients may not benefit.</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SI-BONE and iFuse Implant System are registered trademarks of SI-BONE, Inc. ©2021 SI-BONE, Inc. All Rights Reserved. 01072021</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 Looking Statements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preliminary unaudited financial results and statements regarding SI-BONE's continued growth and financial outlook in this press release, including SI-BONE’s expectation that it will be able to successfully invest in its future growth and the continued impact of the COVID-19 pandemic are "forward-looking" statements. These forward-looking statements are based on SI-BONE's current expectations and inherently involve significant risks and uncertainties. These risks include SI-BONE’s preliminary fourth quarter and full year 2020 revenue and cash and marketable securities, which are subject to continued review by SI-BONE and its auditors and significant adjustments may be made before final results are determined, as well as risks inherent to any leadership transition, the impact the COVID-19 pandemic will have on the ability and desire of patients and physicians to undergo procedures using the iFuse Implant System, the duration of the COVID-19 pandemic, whether the COVID-19 pandemic will recur in the future, and SI-BONE's ability to increase demand for iFuse, successfully deploy SImulators and convince surgeons to train on the SImulators, and obtain favorable coverage and reimbursement determinations from third-party payors.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t>
      </w:r>
      <w:r>
        <w:rPr>
          <w:rFonts w:ascii="Arial" w:cs="Arial" w:eastAsia="Arial" w:hAnsi="Arial"/>
          <w:sz w:val="13"/>
          <w:szCs w:val="13"/>
          <w:u w:val="single" w:color="auto"/>
          <w:color w:val="0000FF"/>
        </w:rPr>
        <w:t>www.sec.gov</w:t>
      </w:r>
      <w:r>
        <w:rPr>
          <w:rFonts w:ascii="Arial" w:cs="Arial" w:eastAsia="Arial" w:hAnsi="Arial"/>
          <w:sz w:val="12"/>
          <w:szCs w:val="12"/>
          <w:color w:val="auto"/>
        </w:rPr>
        <w:t>), especially under the caption "Risk Factors". SI-BONE does not undertake any obligation to update forward-looking</w:t>
      </w:r>
    </w:p>
    <w:p>
      <w:pPr>
        <w:sectPr>
          <w:pgSz w:w="11900" w:h="16838" w:orient="portrait"/>
          <w:cols w:equalWidth="0" w:num="1">
            <w:col w:w="11300"/>
          </w:cols>
          <w:pgMar w:left="300" w:top="813" w:right="299" w:bottom="1440" w:gutter="0" w:footer="0" w:header="0"/>
        </w:sectPr>
      </w:pPr>
    </w:p>
    <w:bookmarkStart w:id="10" w:name="page11"/>
    <w:bookmarkEnd w:id="10"/>
    <w:p>
      <w:pPr>
        <w:spacing w:after="0"/>
        <w:rPr>
          <w:sz w:val="20"/>
          <w:szCs w:val="20"/>
          <w:color w:val="auto"/>
        </w:rPr>
      </w:pPr>
      <w:r>
        <w:rPr>
          <w:rFonts w:ascii="Arial" w:cs="Arial" w:eastAsia="Arial" w:hAnsi="Arial"/>
          <w:sz w:val="11"/>
          <w:szCs w:val="11"/>
          <w:color w:val="auto"/>
        </w:rPr>
        <w:t>statements and expressly disclaims any obligations or undertaking to release publicly any updates or revisions to any forward-looking statements contained herein, except as required by law.</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Matt Bacso, CFA</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investors@SI-BONE.com</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Joe Powers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jpowers@si-bone.com</w:t>
      </w:r>
    </w:p>
    <w:p>
      <w:pPr>
        <w:sectPr>
          <w:pgSz w:w="11900" w:h="16838" w:orient="portrait"/>
          <w:cols w:equalWidth="0" w:num="1">
            <w:col w:w="10159"/>
          </w:cols>
          <w:pgMar w:left="300" w:top="651" w:right="1440" w:bottom="1440"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850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5206365</wp:posOffset>
            </wp:positionV>
            <wp:extent cx="713041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amp;"/>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2021-01-07T06:07:06Z</dcterms:created>
  <dcterms:modified xsi:type="dcterms:W3CDTF">2021-01-07T06:07:06Z</dcterms:modified>
</cp:coreProperties>
</file>