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5102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103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RECUPERO ANTHONY J</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SI-BONE,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SIBN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11/17/2025</w:t>
      </w:r>
    </w:p>
    <w:p>
      <w:pPr>
        <w:spacing w:after="0" w:line="20" w:lineRule="exact"/>
        <w:rPr>
          <w:sz w:val="24"/>
          <w:szCs w:val="24"/>
          <w:color w:val="auto"/>
        </w:rPr>
      </w:pPr>
      <w:r>
        <w:rPr>
          <w:sz w:val="24"/>
          <w:szCs w:val="24"/>
          <w:color w:val="auto"/>
        </w:rPr>
        <w:br w:type="column"/>
      </w:r>
    </w:p>
    <w:p>
      <w:pPr>
        <w:ind w:left="5" w:right="46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25"/>
        <w:spacing w:after="0"/>
        <w:rPr>
          <w:sz w:val="20"/>
          <w:szCs w:val="20"/>
          <w:color w:val="auto"/>
        </w:rPr>
      </w:pPr>
      <w:r>
        <w:rPr>
          <w:rFonts w:ascii="Times New Roman" w:cs="Times New Roman" w:eastAsia="Times New Roman" w:hAnsi="Times New Roman"/>
          <w:sz w:val="17"/>
          <w:szCs w:val="17"/>
          <w:color w:val="0000FF"/>
        </w:rPr>
        <w:t>President, Commercial Ops</w:t>
      </w:r>
    </w:p>
    <w:p>
      <w:pPr>
        <w:spacing w:after="0" w:line="562" w:lineRule="exact"/>
        <w:rPr>
          <w:sz w:val="24"/>
          <w:szCs w:val="24"/>
          <w:color w:val="auto"/>
        </w:rPr>
      </w:pPr>
    </w:p>
    <w:p>
      <w:pPr>
        <w:sectPr>
          <w:pgSz w:w="11900" w:h="16838" w:orient="portrait"/>
          <w:cols w:equalWidth="0" w:num="3">
            <w:col w:w="3200" w:space="720"/>
            <w:col w:w="3095" w:space="720"/>
            <w:col w:w="3265"/>
          </w:cols>
          <w:pgMar w:left="460" w:top="219" w:right="439" w:bottom="1033"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shd w:val="clear" w:color="auto" w:fill="9A9A9A"/>
          </w:tcPr>
          <w:p>
            <w:pPr>
              <w:spacing w:after="0"/>
              <w:rPr>
                <w:sz w:val="3"/>
                <w:szCs w:val="3"/>
                <w:color w:val="auto"/>
              </w:rPr>
            </w:pPr>
          </w:p>
        </w:tc>
        <w:tc>
          <w:tcPr>
            <w:tcW w:w="740" w:type="dxa"/>
            <w:vAlign w:val="bottom"/>
            <w:shd w:val="clear" w:color="auto" w:fill="9A9A9A"/>
          </w:tcPr>
          <w:p>
            <w:pPr>
              <w:spacing w:after="0"/>
              <w:rPr>
                <w:sz w:val="3"/>
                <w:szCs w:val="3"/>
                <w:color w:val="auto"/>
              </w:rPr>
            </w:pPr>
          </w:p>
        </w:tc>
        <w:tc>
          <w:tcPr>
            <w:tcW w:w="1760" w:type="dxa"/>
            <w:vAlign w:val="bottom"/>
            <w:shd w:val="clear" w:color="auto" w:fill="9A9A9A"/>
          </w:tcPr>
          <w:p>
            <w:pPr>
              <w:spacing w:after="0"/>
              <w:rPr>
                <w:sz w:val="3"/>
                <w:szCs w:val="3"/>
                <w:color w:val="auto"/>
              </w:rPr>
            </w:pPr>
          </w:p>
        </w:tc>
        <w:tc>
          <w:tcPr>
            <w:tcW w:w="3540" w:type="dxa"/>
            <w:vAlign w:val="bottom"/>
            <w:gridSpan w:val="5"/>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5"/>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3540" w:type="dxa"/>
            <w:vAlign w:val="bottom"/>
            <w:gridSpan w:val="5"/>
            <w:vMerge w:val="continue"/>
          </w:tcPr>
          <w:p>
            <w:pPr>
              <w:spacing w:after="0"/>
              <w:rPr>
                <w:sz w:val="9"/>
                <w:szCs w:val="9"/>
                <w:color w:val="auto"/>
              </w:rPr>
            </w:pPr>
          </w:p>
        </w:tc>
        <w:tc>
          <w:tcPr>
            <w:tcW w:w="368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7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ind w:left="440"/>
              <w:spacing w:after="0"/>
              <w:rPr>
                <w:sz w:val="20"/>
                <w:szCs w:val="20"/>
                <w:color w:val="auto"/>
              </w:rPr>
            </w:pPr>
            <w:r>
              <w:rPr>
                <w:rFonts w:ascii="Arial" w:cs="Arial" w:eastAsia="Arial" w:hAnsi="Arial"/>
                <w:sz w:val="13"/>
                <w:szCs w:val="13"/>
                <w:color w:val="auto"/>
              </w:rPr>
              <w:t>Line)</w:t>
            </w: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CA</w:t>
            </w:r>
          </w:p>
        </w:tc>
        <w:tc>
          <w:tcPr>
            <w:tcW w:w="1760" w:type="dxa"/>
            <w:vAlign w:val="bottom"/>
            <w:vMerge w:val="restart"/>
          </w:tcPr>
          <w:p>
            <w:pPr>
              <w:ind w:left="560"/>
              <w:spacing w:after="0"/>
              <w:rPr>
                <w:sz w:val="20"/>
                <w:szCs w:val="20"/>
                <w:color w:val="auto"/>
              </w:rPr>
            </w:pPr>
            <w:r>
              <w:rPr>
                <w:rFonts w:ascii="Times New Roman" w:cs="Times New Roman" w:eastAsia="Times New Roman" w:hAnsi="Times New Roman"/>
                <w:sz w:val="17"/>
                <w:szCs w:val="17"/>
                <w:color w:val="0000FF"/>
              </w:rPr>
              <w:t>95050</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20" w:type="dxa"/>
            <w:vAlign w:val="bottom"/>
            <w:gridSpan w:val="4"/>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740" w:type="dxa"/>
            <w:vAlign w:val="bottom"/>
            <w:vMerge w:val="continue"/>
          </w:tcPr>
          <w:p>
            <w:pPr>
              <w:spacing w:after="0"/>
              <w:rPr>
                <w:sz w:val="10"/>
                <w:szCs w:val="10"/>
                <w:color w:val="auto"/>
              </w:rPr>
            </w:pPr>
          </w:p>
        </w:tc>
        <w:tc>
          <w:tcPr>
            <w:tcW w:w="176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820" w:type="dxa"/>
            <w:vAlign w:val="bottom"/>
            <w:gridSpan w:val="4"/>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17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8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1760" w:type="dxa"/>
            <w:vAlign w:val="bottom"/>
            <w:tcBorders>
              <w:bottom w:val="single" w:sz="8" w:color="9A9A9A"/>
            </w:tcBorders>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40" w:type="dxa"/>
            <w:vAlign w:val="bottom"/>
          </w:tcPr>
          <w:p>
            <w:pPr>
              <w:ind w:left="100"/>
              <w:spacing w:after="0"/>
              <w:rPr>
                <w:sz w:val="20"/>
                <w:szCs w:val="20"/>
                <w:color w:val="auto"/>
              </w:rPr>
            </w:pPr>
            <w:r>
              <w:rPr>
                <w:rFonts w:ascii="Arial" w:cs="Arial" w:eastAsia="Arial" w:hAnsi="Arial"/>
                <w:sz w:val="13"/>
                <w:szCs w:val="13"/>
                <w:color w:val="auto"/>
              </w:rPr>
              <w:t>Person</w:t>
            </w:r>
          </w:p>
        </w:tc>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740" w:type="dxa"/>
            <w:vAlign w:val="bottom"/>
          </w:tcPr>
          <w:p>
            <w:pPr>
              <w:ind w:left="80"/>
              <w:spacing w:after="0"/>
              <w:rPr>
                <w:sz w:val="20"/>
                <w:szCs w:val="20"/>
                <w:color w:val="auto"/>
              </w:rPr>
            </w:pPr>
            <w:r>
              <w:rPr>
                <w:rFonts w:ascii="Arial" w:cs="Arial" w:eastAsia="Arial" w:hAnsi="Arial"/>
                <w:sz w:val="13"/>
                <w:szCs w:val="13"/>
                <w:color w:val="auto"/>
              </w:rPr>
              <w:t>(State)</w:t>
            </w:r>
          </w:p>
        </w:tc>
        <w:tc>
          <w:tcPr>
            <w:tcW w:w="2040" w:type="dxa"/>
            <w:vAlign w:val="bottom"/>
            <w:gridSpan w:val="2"/>
          </w:tcPr>
          <w:p>
            <w:pPr>
              <w:ind w:left="560"/>
              <w:spacing w:after="0"/>
              <w:rPr>
                <w:sz w:val="20"/>
                <w:szCs w:val="20"/>
                <w:color w:val="auto"/>
              </w:rPr>
            </w:pPr>
            <w:r>
              <w:rPr>
                <w:rFonts w:ascii="Arial" w:cs="Arial" w:eastAsia="Arial" w:hAnsi="Arial"/>
                <w:sz w:val="13"/>
                <w:szCs w:val="13"/>
                <w:color w:val="auto"/>
              </w:rPr>
              <w:t>(Zip)</w:t>
            </w:r>
          </w:p>
        </w:tc>
        <w:tc>
          <w:tcPr>
            <w:tcW w:w="1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tcPr>
          <w:p>
            <w:pPr>
              <w:spacing w:after="0"/>
              <w:rPr>
                <w:sz w:val="10"/>
                <w:szCs w:val="10"/>
                <w:color w:val="auto"/>
              </w:rPr>
            </w:pPr>
          </w:p>
        </w:tc>
        <w:tc>
          <w:tcPr>
            <w:tcW w:w="5540" w:type="dxa"/>
            <w:vAlign w:val="bottom"/>
            <w:tcBorders>
              <w:bottom w:val="single" w:sz="8" w:color="2C2C2C"/>
            </w:tcBorders>
            <w:gridSpan w:val="7"/>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300" w:type="dxa"/>
            <w:vAlign w:val="bottom"/>
            <w:tcBorders>
              <w:top w:val="single" w:sz="8" w:color="2C2C2C"/>
            </w:tcBorders>
            <w:gridSpan w:val="8"/>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0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204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200" w:type="dxa"/>
            <w:vAlign w:val="bottom"/>
            <w:tcBorders>
              <w:bottom w:val="single" w:sz="8" w:color="2C2C2C"/>
            </w:tcBorders>
            <w:gridSpan w:val="3"/>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040" w:type="dxa"/>
            <w:vAlign w:val="bottom"/>
            <w:gridSpan w:val="2"/>
          </w:tcPr>
          <w:p>
            <w:pPr>
              <w:ind w:left="10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40" w:type="dxa"/>
            <w:vAlign w:val="bottom"/>
            <w:gridSpan w:val="2"/>
          </w:tcPr>
          <w:p>
            <w:pPr>
              <w:ind w:left="100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3"/>
          </w:tcPr>
          <w:p>
            <w:pPr>
              <w:jc w:val="center"/>
              <w:ind w:right="107"/>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40" w:type="dxa"/>
            <w:vAlign w:val="bottom"/>
            <w:gridSpan w:val="2"/>
          </w:tcPr>
          <w:p>
            <w:pPr>
              <w:ind w:left="100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8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6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4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40" w:type="dxa"/>
            <w:vAlign w:val="bottom"/>
            <w:tcBorders>
              <w:bottom w:val="single" w:sz="8" w:color="2C2C2C"/>
            </w:tcBorders>
            <w:gridSpan w:val="2"/>
          </w:tcPr>
          <w:p>
            <w:pPr>
              <w:jc w:val="right"/>
              <w:ind w:right="93"/>
              <w:spacing w:after="0"/>
              <w:rPr>
                <w:sz w:val="20"/>
                <w:szCs w:val="20"/>
                <w:color w:val="auto"/>
              </w:rPr>
            </w:pPr>
            <w:r>
              <w:rPr>
                <w:rFonts w:ascii="Times New Roman" w:cs="Times New Roman" w:eastAsia="Times New Roman" w:hAnsi="Times New Roman"/>
                <w:sz w:val="17"/>
                <w:szCs w:val="17"/>
                <w:color w:val="0000FF"/>
              </w:rPr>
              <w:t>11/17/2025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right"/>
              <w:ind w:right="49"/>
              <w:spacing w:after="0"/>
              <w:rPr>
                <w:sz w:val="20"/>
                <w:szCs w:val="20"/>
                <w:color w:val="auto"/>
              </w:rPr>
            </w:pPr>
            <w:r>
              <w:rPr>
                <w:rFonts w:ascii="Times New Roman" w:cs="Times New Roman" w:eastAsia="Times New Roman" w:hAnsi="Times New Roman"/>
                <w:sz w:val="17"/>
                <w:szCs w:val="17"/>
                <w:color w:val="0000FF"/>
              </w:rPr>
              <w:t>1,707</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17.4232</w:t>
            </w:r>
            <w:r>
              <w:rPr>
                <w:rFonts w:ascii="Times New Roman" w:cs="Times New Roman" w:eastAsia="Times New Roman" w:hAnsi="Times New Roman"/>
                <w:sz w:val="22"/>
                <w:szCs w:val="22"/>
                <w:color w:val="008000"/>
                <w:vertAlign w:val="superscript"/>
              </w:rPr>
              <w:t>(2)</w:t>
            </w:r>
          </w:p>
        </w:tc>
        <w:tc>
          <w:tcPr>
            <w:tcW w:w="1140" w:type="dxa"/>
            <w:vAlign w:val="bottom"/>
            <w:tcBorders>
              <w:bottom w:val="single" w:sz="8" w:color="2C2C2C"/>
            </w:tcBorders>
          </w:tcPr>
          <w:p>
            <w:pPr>
              <w:jc w:val="right"/>
              <w:ind w:right="234"/>
              <w:spacing w:after="0"/>
              <w:rPr>
                <w:sz w:val="20"/>
                <w:szCs w:val="20"/>
                <w:color w:val="auto"/>
              </w:rPr>
            </w:pPr>
            <w:r>
              <w:rPr>
                <w:rFonts w:ascii="Times New Roman" w:cs="Times New Roman" w:eastAsia="Times New Roman" w:hAnsi="Times New Roman"/>
                <w:sz w:val="17"/>
                <w:szCs w:val="17"/>
                <w:color w:val="0000FF"/>
              </w:rPr>
              <w:t>270,270</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40" w:type="dxa"/>
            <w:vAlign w:val="bottom"/>
            <w:tcBorders>
              <w:bottom w:val="single" w:sz="8" w:color="2C2C2C"/>
            </w:tcBorders>
            <w:gridSpan w:val="2"/>
          </w:tcPr>
          <w:p>
            <w:pPr>
              <w:jc w:val="right"/>
              <w:ind w:right="93"/>
              <w:spacing w:after="0"/>
              <w:rPr>
                <w:sz w:val="20"/>
                <w:szCs w:val="20"/>
                <w:color w:val="auto"/>
              </w:rPr>
            </w:pPr>
            <w:r>
              <w:rPr>
                <w:rFonts w:ascii="Times New Roman" w:cs="Times New Roman" w:eastAsia="Times New Roman" w:hAnsi="Times New Roman"/>
                <w:sz w:val="17"/>
                <w:szCs w:val="17"/>
                <w:color w:val="0000FF"/>
              </w:rPr>
              <w:t>11/17/2025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right"/>
              <w:ind w:right="49"/>
              <w:spacing w:after="0"/>
              <w:rPr>
                <w:sz w:val="20"/>
                <w:szCs w:val="20"/>
                <w:color w:val="auto"/>
              </w:rPr>
            </w:pPr>
            <w:r>
              <w:rPr>
                <w:rFonts w:ascii="Times New Roman" w:cs="Times New Roman" w:eastAsia="Times New Roman" w:hAnsi="Times New Roman"/>
                <w:sz w:val="17"/>
                <w:szCs w:val="17"/>
                <w:color w:val="0000FF"/>
              </w:rPr>
              <w:t>2,126</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17.4462</w:t>
            </w:r>
            <w:r>
              <w:rPr>
                <w:rFonts w:ascii="Times New Roman" w:cs="Times New Roman" w:eastAsia="Times New Roman" w:hAnsi="Times New Roman"/>
                <w:sz w:val="22"/>
                <w:szCs w:val="22"/>
                <w:color w:val="008000"/>
                <w:vertAlign w:val="superscript"/>
              </w:rPr>
              <w:t>(3)</w:t>
            </w:r>
          </w:p>
        </w:tc>
        <w:tc>
          <w:tcPr>
            <w:tcW w:w="1140" w:type="dxa"/>
            <w:vAlign w:val="bottom"/>
            <w:tcBorders>
              <w:bottom w:val="single" w:sz="8" w:color="2C2C2C"/>
            </w:tcBorders>
          </w:tcPr>
          <w:p>
            <w:pPr>
              <w:jc w:val="center"/>
              <w:ind w:right="134"/>
              <w:spacing w:after="0"/>
              <w:rPr>
                <w:sz w:val="20"/>
                <w:szCs w:val="20"/>
                <w:color w:val="auto"/>
              </w:rPr>
            </w:pPr>
            <w:r>
              <w:rPr>
                <w:rFonts w:ascii="Times New Roman" w:cs="Times New Roman" w:eastAsia="Times New Roman" w:hAnsi="Times New Roman"/>
                <w:sz w:val="17"/>
                <w:szCs w:val="17"/>
                <w:color w:val="0000FF"/>
              </w:rPr>
              <w:t>268,144</w:t>
            </w:r>
            <w:r>
              <w:rPr>
                <w:rFonts w:ascii="Times New Roman" w:cs="Times New Roman" w:eastAsia="Times New Roman" w:hAnsi="Times New Roman"/>
                <w:sz w:val="22"/>
                <w:szCs w:val="22"/>
                <w:color w:val="008000"/>
                <w:vertAlign w:val="superscript"/>
              </w:rPr>
              <w:t>(4)</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40" w:right="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$17.11 USD to $17.60 USD; the price reported above reflects the weighted average sale price. The Reporting Person undertakes to provide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$17.12 USD to $17.60 USD; the price reported above reflects the weighted average sale price. The Reporting Person undertakes to provide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3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133,316 shares issuable on the settlement of restricted stock units granted to the Reporting Person. Each restricted stock unit represents a contingent right to receive one share of the Issuer's common stock.</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Michael A.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407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Anthony</w:t>
        <w:tab/>
        <w:t>11/19/2025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9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J. Recupero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194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1943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03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210230" TargetMode="External"/><Relationship Id="rId14"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2025-11-19T18:09:31Z</dcterms:created>
  <dcterms:modified xsi:type="dcterms:W3CDTF">2025-11-19T18:09:31Z</dcterms:modified>
</cp:coreProperties>
</file>