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40" w:right="60"/>
        <w:spacing w:after="0" w:line="233" w:lineRule="auto"/>
        <w:rPr>
          <w:sz w:val="20"/>
          <w:szCs w:val="20"/>
          <w:color w:val="auto"/>
        </w:rPr>
      </w:pPr>
      <w:r>
        <w:rPr>
          <w:rFonts w:ascii="Arial" w:cs="Arial" w:eastAsia="Arial" w:hAnsi="Arial"/>
          <w:sz w:val="14"/>
          <w:szCs w:val="14"/>
          <w:b w:val="1"/>
          <w:bCs w:val="1"/>
          <w:color w:val="auto"/>
        </w:rPr>
        <w:t>Confidential draft registration statement submitted to the U.S. Securities and Exchange Commission on July 31, 2018. This draft registration statement has not been filed publicly with the U.S. Securities and Exchange Commission and all information contained herein remains strictly confidential.</w:t>
      </w:r>
    </w:p>
    <w:p>
      <w:pPr>
        <w:spacing w:after="0" w:line="1" w:lineRule="exact"/>
        <w:rPr>
          <w:sz w:val="24"/>
          <w:szCs w:val="24"/>
          <w:color w:val="auto"/>
        </w:rPr>
      </w:pPr>
    </w:p>
    <w:p>
      <w:pPr>
        <w:ind w:left="93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81915</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159385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jc w:val="center"/>
        <w:ind w:right="-179"/>
        <w:spacing w:after="0" w:line="221" w:lineRule="auto"/>
        <w:rPr>
          <w:sz w:val="20"/>
          <w:szCs w:val="20"/>
          <w:color w:val="auto"/>
        </w:rPr>
      </w:pPr>
      <w:r>
        <w:rPr>
          <w:rFonts w:ascii="Arial" w:cs="Arial" w:eastAsia="Arial" w:hAnsi="Arial"/>
          <w:sz w:val="14"/>
          <w:szCs w:val="14"/>
          <w:b w:val="1"/>
          <w:bCs w:val="1"/>
          <w:color w:val="auto"/>
        </w:rPr>
        <w:t>Under</w:t>
      </w: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3841</w:t>
            </w:r>
          </w:p>
        </w:tc>
        <w:tc>
          <w:tcPr>
            <w:tcW w:w="242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26-2216351</w:t>
            </w:r>
          </w:p>
        </w:tc>
      </w:tr>
      <w:tr>
        <w:trPr>
          <w:trHeight w:val="149"/>
        </w:trPr>
        <w:tc>
          <w:tcPr>
            <w:tcW w:w="278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80" w:type="dxa"/>
            <w:vAlign w:val="bottom"/>
          </w:tcPr>
          <w:p>
            <w:pPr>
              <w:jc w:val="center"/>
              <w:ind w:right="928"/>
              <w:spacing w:after="0"/>
              <w:rPr>
                <w:sz w:val="20"/>
                <w:szCs w:val="20"/>
                <w:color w:val="auto"/>
              </w:rPr>
            </w:pPr>
            <w:r>
              <w:rPr>
                <w:rFonts w:ascii="Arial" w:cs="Arial" w:eastAsia="Arial" w:hAnsi="Arial"/>
                <w:sz w:val="14"/>
                <w:szCs w:val="14"/>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85090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SI-BONE, Inc.</w:t>
      </w:r>
    </w:p>
    <w:p>
      <w:pPr>
        <w:jc w:val="center"/>
        <w:ind w:right="-179"/>
        <w:spacing w:after="0" w:line="226" w:lineRule="auto"/>
        <w:rPr>
          <w:sz w:val="20"/>
          <w:szCs w:val="20"/>
          <w:color w:val="auto"/>
        </w:rPr>
      </w:pPr>
      <w:r>
        <w:rPr>
          <w:rFonts w:ascii="Arial" w:cs="Arial" w:eastAsia="Arial" w:hAnsi="Arial"/>
          <w:sz w:val="14"/>
          <w:szCs w:val="14"/>
          <w:b w:val="1"/>
          <w:bCs w:val="1"/>
          <w:color w:val="auto"/>
        </w:rPr>
        <w:t>471 El Camino Real, Suite 101</w:t>
      </w:r>
    </w:p>
    <w:p>
      <w:pPr>
        <w:jc w:val="center"/>
        <w:ind w:right="-179"/>
        <w:spacing w:after="0" w:line="222" w:lineRule="auto"/>
        <w:rPr>
          <w:sz w:val="20"/>
          <w:szCs w:val="20"/>
          <w:color w:val="auto"/>
        </w:rPr>
      </w:pPr>
      <w:r>
        <w:rPr>
          <w:rFonts w:ascii="Arial" w:cs="Arial" w:eastAsia="Arial" w:hAnsi="Arial"/>
          <w:sz w:val="14"/>
          <w:szCs w:val="14"/>
          <w:b w:val="1"/>
          <w:bCs w:val="1"/>
          <w:color w:val="auto"/>
        </w:rPr>
        <w:t>Santa Clara, California 95050</w:t>
      </w:r>
    </w:p>
    <w:p>
      <w:pPr>
        <w:jc w:val="center"/>
        <w:ind w:right="-179"/>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Laura A. Francis</w:t>
      </w:r>
    </w:p>
    <w:p>
      <w:pPr>
        <w:jc w:val="center"/>
        <w:ind w:right="-179"/>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SI-BONE, Inc.</w:t>
      </w:r>
    </w:p>
    <w:p>
      <w:pPr>
        <w:jc w:val="center"/>
        <w:ind w:right="-179"/>
        <w:spacing w:after="0" w:line="221" w:lineRule="auto"/>
        <w:rPr>
          <w:sz w:val="20"/>
          <w:szCs w:val="20"/>
          <w:color w:val="auto"/>
        </w:rPr>
      </w:pPr>
      <w:r>
        <w:rPr>
          <w:rFonts w:ascii="Arial" w:cs="Arial" w:eastAsia="Arial" w:hAnsi="Arial"/>
          <w:sz w:val="14"/>
          <w:szCs w:val="14"/>
          <w:b w:val="1"/>
          <w:bCs w:val="1"/>
          <w:color w:val="auto"/>
        </w:rPr>
        <w:t>471 El Camino Real, Suite 101</w:t>
      </w:r>
    </w:p>
    <w:p>
      <w:pPr>
        <w:jc w:val="center"/>
        <w:ind w:right="-179"/>
        <w:spacing w:after="0" w:line="222" w:lineRule="auto"/>
        <w:rPr>
          <w:sz w:val="20"/>
          <w:szCs w:val="20"/>
          <w:color w:val="auto"/>
        </w:rPr>
      </w:pPr>
      <w:r>
        <w:rPr>
          <w:rFonts w:ascii="Arial" w:cs="Arial" w:eastAsia="Arial" w:hAnsi="Arial"/>
          <w:sz w:val="14"/>
          <w:szCs w:val="14"/>
          <w:b w:val="1"/>
          <w:bCs w:val="1"/>
          <w:color w:val="auto"/>
        </w:rPr>
        <w:t>Santa Clara, California 95050</w:t>
      </w:r>
    </w:p>
    <w:p>
      <w:pPr>
        <w:jc w:val="center"/>
        <w:ind w:right="-179"/>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2660" w:type="dxa"/>
            <w:vAlign w:val="bottom"/>
            <w:vMerge w:val="restart"/>
          </w:tcPr>
          <w:p>
            <w:pPr>
              <w:jc w:val="center"/>
              <w:ind w:right="948"/>
              <w:spacing w:after="0"/>
              <w:rPr>
                <w:sz w:val="20"/>
                <w:szCs w:val="20"/>
                <w:color w:val="auto"/>
              </w:rPr>
            </w:pPr>
            <w:r>
              <w:rPr>
                <w:rFonts w:ascii="Arial" w:cs="Arial" w:eastAsia="Arial" w:hAnsi="Arial"/>
                <w:sz w:val="14"/>
                <w:szCs w:val="14"/>
                <w:b w:val="1"/>
                <w:bCs w:val="1"/>
                <w:color w:val="auto"/>
                <w:w w:val="95"/>
              </w:rPr>
              <w:t>Matthew B. Hemington</w:t>
            </w:r>
          </w:p>
        </w:tc>
        <w:tc>
          <w:tcPr>
            <w:tcW w:w="3800" w:type="dxa"/>
            <w:vAlign w:val="bottom"/>
          </w:tcPr>
          <w:p>
            <w:pPr>
              <w:ind w:left="1560"/>
              <w:spacing w:after="0"/>
              <w:rPr>
                <w:sz w:val="20"/>
                <w:szCs w:val="20"/>
                <w:color w:val="auto"/>
              </w:rPr>
            </w:pPr>
            <w:r>
              <w:rPr>
                <w:rFonts w:ascii="Arial" w:cs="Arial" w:eastAsia="Arial" w:hAnsi="Arial"/>
                <w:sz w:val="14"/>
                <w:szCs w:val="14"/>
                <w:i w:val="1"/>
                <w:iCs w:val="1"/>
                <w:color w:val="auto"/>
              </w:rPr>
              <w:t>Copies to:</w:t>
            </w:r>
          </w:p>
        </w:tc>
        <w:tc>
          <w:tcPr>
            <w:tcW w:w="264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4"/>
              </w:rPr>
              <w:t>Michael Benjamin</w:t>
            </w: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Michael A. Pisetsky</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64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3"/>
              </w:rPr>
              <w:t>Peter J. Sluka</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SI-BONE, Inc.</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471 El Camino Real, Suite 101</w:t>
            </w:r>
          </w:p>
        </w:tc>
        <w:tc>
          <w:tcPr>
            <w:tcW w:w="264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0" w:type="dxa"/>
            <w:vAlign w:val="bottom"/>
          </w:tcPr>
          <w:p>
            <w:pPr>
              <w:spacing w:after="0"/>
              <w:rPr>
                <w:sz w:val="1"/>
                <w:szCs w:val="1"/>
                <w:color w:val="auto"/>
              </w:rPr>
            </w:pP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Santa Clara, California 95050</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86"/>
        </w:trPr>
        <w:tc>
          <w:tcPr>
            <w:tcW w:w="26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3"/>
              </w:rPr>
              <w:t>(408) 207-0700</w:t>
            </w:r>
          </w:p>
        </w:tc>
        <w:tc>
          <w:tcPr>
            <w:tcW w:w="2640" w:type="dxa"/>
            <w:vAlign w:val="bottom"/>
          </w:tcPr>
          <w:p>
            <w:pPr>
              <w:jc w:val="center"/>
              <w:ind w:left="908"/>
              <w:spacing w:after="0"/>
              <w:rPr>
                <w:sz w:val="20"/>
                <w:szCs w:val="20"/>
                <w:color w:val="auto"/>
              </w:rPr>
            </w:pPr>
            <w:r>
              <w:rPr>
                <w:rFonts w:ascii="Arial" w:cs="Arial" w:eastAsia="Arial" w:hAnsi="Arial"/>
                <w:sz w:val="14"/>
                <w:szCs w:val="14"/>
                <w:b w:val="1"/>
                <w:bCs w:val="1"/>
                <w:color w:val="auto"/>
                <w:w w:val="93"/>
              </w:rPr>
              <w:t>(212) 906-1200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41910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1" w:lineRule="exact"/>
        <w:rPr>
          <w:sz w:val="24"/>
          <w:szCs w:val="24"/>
          <w:color w:val="auto"/>
        </w:rPr>
      </w:pPr>
    </w:p>
    <w:p>
      <w:pPr>
        <w:ind w:left="200" w:right="460" w:firstLine="331"/>
        <w:spacing w:after="0" w:line="182"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 If any of the securities being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200" w:right="70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40" w:firstLine="331"/>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00"/>
        <w:spacing w:after="0" w:line="161" w:lineRule="exact"/>
        <w:tabs>
          <w:tab w:leader="none" w:pos="2840" w:val="left"/>
          <w:tab w:leader="none" w:pos="5700" w:val="left"/>
          <w:tab w:leader="none" w:pos="85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(Do not check if a</w:t>
      </w:r>
    </w:p>
    <w:p>
      <w:pPr>
        <w:jc w:val="center"/>
        <w:ind w:right="-179"/>
        <w:spacing w:after="0"/>
        <w:rPr>
          <w:sz w:val="20"/>
          <w:szCs w:val="20"/>
          <w:color w:val="auto"/>
        </w:rPr>
      </w:pPr>
      <w:r>
        <w:rPr>
          <w:rFonts w:ascii="Arial" w:cs="Arial" w:eastAsia="Arial" w:hAnsi="Arial"/>
          <w:sz w:val="14"/>
          <w:szCs w:val="14"/>
          <w:color w:val="auto"/>
        </w:rPr>
        <w:t>smaller reporting company)</w:t>
      </w:r>
    </w:p>
    <w:p>
      <w:pPr>
        <w:spacing w:after="0" w:line="16" w:lineRule="exact"/>
        <w:rPr>
          <w:sz w:val="24"/>
          <w:szCs w:val="24"/>
          <w:color w:val="auto"/>
        </w:rPr>
      </w:pPr>
    </w:p>
    <w:p>
      <w:pPr>
        <w:ind w:left="2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2" w:lineRule="exact"/>
        <w:rPr>
          <w:sz w:val="24"/>
          <w:szCs w:val="24"/>
          <w:color w:val="auto"/>
        </w:rPr>
      </w:pPr>
    </w:p>
    <w:p>
      <w:pPr>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0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8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2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8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7"/>
              </w:rPr>
              <w:t>Aggregate Offering</w:t>
            </w: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0"/>
                <w:szCs w:val="10"/>
                <w:b w:val="1"/>
                <w:bCs w:val="1"/>
                <w:color w:val="auto"/>
                <w:w w:val="92"/>
              </w:rPr>
              <w:t>(1)(2)</w:t>
            </w:r>
          </w:p>
        </w:tc>
        <w:tc>
          <w:tcPr>
            <w:tcW w:w="22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49"/>
        </w:trPr>
        <w:tc>
          <w:tcPr>
            <w:tcW w:w="710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$0.0001 par value</w:t>
            </w:r>
          </w:p>
        </w:tc>
        <w:tc>
          <w:tcPr>
            <w:tcW w:w="1740" w:type="dxa"/>
            <w:vAlign w:val="bottom"/>
            <w:tcBorders>
              <w:right w:val="single" w:sz="8" w:color="auto"/>
            </w:tcBorders>
          </w:tcPr>
          <w:p>
            <w:pPr>
              <w:jc w:val="right"/>
              <w:ind w:right="1197"/>
              <w:spacing w:after="0" w:line="142" w:lineRule="exact"/>
              <w:rPr>
                <w:sz w:val="20"/>
                <w:szCs w:val="20"/>
                <w:color w:val="auto"/>
              </w:rPr>
            </w:pPr>
            <w:r>
              <w:rPr>
                <w:rFonts w:ascii="Arial" w:cs="Arial" w:eastAsia="Arial" w:hAnsi="Arial"/>
                <w:sz w:val="14"/>
                <w:szCs w:val="14"/>
                <w:color w:val="auto"/>
              </w:rPr>
              <w:t>$</w:t>
            </w:r>
          </w:p>
        </w:tc>
        <w:tc>
          <w:tcPr>
            <w:tcW w:w="2200" w:type="dxa"/>
            <w:vAlign w:val="bottom"/>
          </w:tcPr>
          <w:p>
            <w:pPr>
              <w:jc w:val="right"/>
              <w:ind w:right="14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8" w:lineRule="exact"/>
        <w:rPr>
          <w:sz w:val="24"/>
          <w:szCs w:val="24"/>
          <w:color w:val="auto"/>
        </w:rPr>
      </w:pPr>
    </w:p>
    <w:p>
      <w:pPr>
        <w:ind w:left="200" w:right="80"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89" w:lineRule="auto"/>
        <w:rPr>
          <w:sz w:val="20"/>
          <w:szCs w:val="20"/>
          <w:color w:val="auto"/>
        </w:rPr>
      </w:pPr>
      <w:r>
        <w:rPr>
          <w:rFonts w:ascii="Arial" w:cs="Arial" w:eastAsia="Arial" w:hAnsi="Arial"/>
          <w:sz w:val="17"/>
          <w:szCs w:val="17"/>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1"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pacing w:after="0" w:line="148"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161290</wp:posOffset>
            </wp:positionV>
            <wp:extent cx="2573020" cy="1003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226695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18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 share will be between $ and $ . We intend to apply to list our common stock on the Nasdaq Global Market under the symbol “SIBN.”</w:t>
      </w:r>
    </w:p>
    <w:p>
      <w:pPr>
        <w:spacing w:after="0" w:line="14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194310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14.</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18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To the extent that the underwriters sell more than shares of common stock, the underwriters have a 30-day option to purchase up to an additional shares from us at the initial public offering price, less the underwriting discounts and commissions.</w:t>
      </w:r>
    </w:p>
    <w:p>
      <w:pPr>
        <w:sectPr>
          <w:pgSz w:w="11900" w:h="16838" w:orient="portrait"/>
          <w:cols w:equalWidth="0" w:num="1">
            <w:col w:w="11220"/>
          </w:cols>
          <w:pgMar w:left="240" w:top="459" w:right="439" w:bottom="1440" w:gutter="0" w:footer="0" w:header="0"/>
        </w:sectPr>
      </w:pPr>
    </w:p>
    <w:p>
      <w:pPr>
        <w:spacing w:after="0" w:line="1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2018.</w:t>
      </w:r>
    </w:p>
    <w:p>
      <w:pPr>
        <w:spacing w:after="0" w:line="200" w:lineRule="exact"/>
        <w:rPr>
          <w:sz w:val="20"/>
          <w:szCs w:val="20"/>
          <w:color w:val="auto"/>
        </w:rPr>
      </w:pPr>
    </w:p>
    <w:p>
      <w:pPr>
        <w:sectPr>
          <w:pgSz w:w="11900" w:h="16838" w:orient="portrait"/>
          <w:cols w:equalWidth="0" w:num="2">
            <w:col w:w="6680" w:space="720"/>
            <w:col w:w="3820"/>
          </w:cols>
          <w:pgMar w:left="240" w:top="459" w:right="439" w:bottom="1440" w:gutter="0" w:footer="0" w:header="0"/>
          <w:type w:val="continuous"/>
        </w:sectPr>
      </w:pPr>
    </w:p>
    <w:p>
      <w:pPr>
        <w:spacing w:after="0" w:line="17"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182880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40" w:space="720"/>
            <w:col w:w="2760"/>
          </w:cols>
          <w:pgMar w:left="240" w:top="459" w:right="439" w:bottom="144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880" w:space="720"/>
            <w:col w:w="1620"/>
          </w:cols>
          <w:pgMar w:left="240" w:top="459" w:right="439" w:bottom="1440" w:gutter="0" w:footer="0" w:header="0"/>
          <w:type w:val="continuous"/>
        </w:sectPr>
      </w:pPr>
    </w:p>
    <w:p>
      <w:pPr>
        <w:spacing w:after="0" w:line="13"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7"/>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380" w:type="dxa"/>
            <w:vAlign w:val="bottom"/>
            <w:gridSpan w:val="6"/>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380" w:type="dxa"/>
            <w:vAlign w:val="bottom"/>
            <w:vMerge w:val="restart"/>
          </w:tcPr>
          <w:p>
            <w:pPr>
              <w:spacing w:after="0"/>
              <w:rPr>
                <w:sz w:val="14"/>
                <w:szCs w:val="14"/>
                <w:color w:val="auto"/>
              </w:rPr>
            </w:pPr>
          </w:p>
        </w:tc>
        <w:tc>
          <w:tcPr>
            <w:tcW w:w="1820" w:type="dxa"/>
            <w:vAlign w:val="bottom"/>
            <w:gridSpan w:val="6"/>
            <w:vMerge w:val="restart"/>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Executive Compensation</w:t>
              </w:r>
            </w:hyperlink>
          </w:p>
        </w:tc>
        <w:tc>
          <w:tcPr>
            <w:tcW w:w="3200" w:type="dxa"/>
            <w:vAlign w:val="bottom"/>
            <w:gridSpan w:val="8"/>
            <w:vMerge w:val="restart"/>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7"/>
            <w:vMerge w:val="continue"/>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380" w:type="dxa"/>
            <w:vAlign w:val="bottom"/>
            <w:vMerge w:val="continue"/>
          </w:tcPr>
          <w:p>
            <w:pPr>
              <w:spacing w:after="0"/>
              <w:rPr>
                <w:sz w:val="14"/>
                <w:szCs w:val="14"/>
                <w:color w:val="auto"/>
              </w:rPr>
            </w:pPr>
          </w:p>
        </w:tc>
        <w:tc>
          <w:tcPr>
            <w:tcW w:w="1820" w:type="dxa"/>
            <w:vAlign w:val="bottom"/>
            <w:tcBorders>
              <w:bottom w:val="single" w:sz="8" w:color="0000EE"/>
            </w:tcBorders>
            <w:gridSpan w:val="6"/>
            <w:vMerge w:val="continue"/>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4"/>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40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Information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9"/>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Market, Industry, and Other Data</w:t>
              </w:r>
            </w:hyperlink>
          </w:p>
        </w:tc>
        <w:tc>
          <w:tcPr>
            <w:tcW w:w="142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Use of Proceeds</w:t>
              </w:r>
            </w:hyperlink>
          </w:p>
        </w:tc>
        <w:tc>
          <w:tcPr>
            <w:tcW w:w="1220" w:type="dxa"/>
            <w:vAlign w:val="bottom"/>
            <w:gridSpan w:val="3"/>
          </w:tcPr>
          <w:p>
            <w:pPr>
              <w:spacing w:after="0"/>
              <w:rPr>
                <w:sz w:val="17"/>
                <w:szCs w:val="17"/>
                <w:color w:val="auto"/>
              </w:rPr>
            </w:pPr>
          </w:p>
        </w:tc>
        <w:tc>
          <w:tcPr>
            <w:tcW w:w="25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3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Holders of our Common Stock</w:t>
              </w:r>
            </w:hyperlink>
          </w:p>
        </w:tc>
        <w:tc>
          <w:tcPr>
            <w:tcW w:w="5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Dilution</w:t>
              </w:r>
            </w:hyperlink>
          </w:p>
        </w:tc>
        <w:tc>
          <w:tcPr>
            <w:tcW w:w="39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Selected Consolidated Financial Data</w:t>
              </w:r>
            </w:hyperlink>
          </w:p>
        </w:tc>
        <w:tc>
          <w:tcPr>
            <w:tcW w:w="2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38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9">
              <w:r>
                <w:rPr>
                  <w:rFonts w:ascii="Arial" w:cs="Arial" w:eastAsia="Arial" w:hAnsi="Arial"/>
                  <w:sz w:val="18"/>
                  <w:szCs w:val="18"/>
                  <w:color w:val="0000EE"/>
                  <w:w w:val="91"/>
                </w:rPr>
                <w:t>Legal Matters</w:t>
              </w:r>
            </w:hyperlink>
          </w:p>
        </w:tc>
        <w:tc>
          <w:tcPr>
            <w:tcW w:w="40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Management’s Discussion and Analysis of Financial Condition</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Experts</w:t>
              </w:r>
            </w:hyperlink>
          </w:p>
        </w:tc>
        <w:tc>
          <w:tcPr>
            <w:tcW w:w="4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and Results of Operations</w:t>
              </w:r>
            </w:hyperlink>
          </w:p>
        </w:tc>
        <w:tc>
          <w:tcPr>
            <w:tcW w:w="28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38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79">
              <w:r>
                <w:rPr>
                  <w:rFonts w:ascii="Arial" w:cs="Arial" w:eastAsia="Arial" w:hAnsi="Arial"/>
                  <w:sz w:val="18"/>
                  <w:szCs w:val="18"/>
                  <w:color w:val="0000EE"/>
                  <w:w w:val="93"/>
                </w:rPr>
                <w:t>Where You Can Find Additional Information</w:t>
              </w:r>
            </w:hyperlink>
          </w:p>
        </w:tc>
        <w:tc>
          <w:tcPr>
            <w:tcW w:w="1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7"/>
          <w:szCs w:val="17"/>
          <w:b w:val="1"/>
          <w:bCs w:val="1"/>
          <w:color w:val="auto"/>
        </w:rPr>
        <w:t>Through and including , 2018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Unless the context indicates otherwise, as used in this prospectus, the terms “SI-BONE” and “iFuse Implant System” or “iFuse” and other iFuse-formative trademarks, as well as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w:t>
      </w:r>
    </w:p>
    <w:p>
      <w:pPr>
        <w:ind w:left="200" w:right="240"/>
        <w:spacing w:after="0" w:line="261" w:lineRule="auto"/>
        <w:rPr>
          <w:sz w:val="20"/>
          <w:szCs w:val="20"/>
          <w:color w:val="auto"/>
        </w:rPr>
      </w:pPr>
      <w:r>
        <w:rPr>
          <w:rFonts w:ascii="Arial" w:cs="Arial" w:eastAsia="Arial" w:hAnsi="Arial"/>
          <w:sz w:val="18"/>
          <w:szCs w:val="18"/>
          <w:color w:val="auto"/>
        </w:rPr>
        <w:t>0.01% chance that the demonstrated reduction in pain for subjects surgically treated with iFuse in relation to the non-surgical management group was purely due to chance).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1060" w:hanging="424"/>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worst pain imaginable. The VAS score is used to calculate changes in patient pain.</w:t>
      </w:r>
    </w:p>
    <w:p>
      <w:pPr>
        <w:spacing w:after="0" w:line="67" w:lineRule="exact"/>
        <w:rPr>
          <w:rFonts w:ascii="Arial" w:cs="Arial" w:eastAsia="Arial" w:hAnsi="Arial"/>
          <w:sz w:val="18"/>
          <w:szCs w:val="18"/>
          <w:color w:val="auto"/>
        </w:rPr>
      </w:pPr>
    </w:p>
    <w:p>
      <w:pPr>
        <w:ind w:left="1060" w:right="20" w:hanging="424"/>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33,000 procedures have been performed by over 1,600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73"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payer coverage policies exclusive to our iFuse system, as well as our efforts to educate the market regarding sacroiliac dysfunction. Since January 1, 2018, because of the strength of published clinical evidence on iFuse, 19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2016 and 2017, we generated revenue of $42.1 million and $48.0 million, respectively, a growth rate of 14%, and incurred net losses of</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June 30, 2017 and 2018, we generated revenue of $22.5 million and $26.4 million, respectively, a growth rate of 17%, and incurred net losses of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$12.5 million and $7.3 million, respectively. Our gross margins were 89% and 92% for the six months ended June 30, 2017 and 2018, respectively.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number of iFuse procedures performed in the six months ended June 30, 2017 and 2018 was 2,739 and 3,200, respectively.</w:t>
      </w:r>
    </w:p>
    <w:p>
      <w:pPr>
        <w:spacing w:after="0" w:line="21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7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3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93" w:lineRule="auto"/>
        <w:rPr>
          <w:sz w:val="20"/>
          <w:szCs w:val="20"/>
          <w:color w:val="auto"/>
        </w:rPr>
      </w:pPr>
      <w:r>
        <w:rPr>
          <w:rFonts w:ascii="Arial" w:cs="Arial" w:eastAsia="Arial" w:hAnsi="Arial"/>
          <w:sz w:val="16"/>
          <w:szCs w:val="16"/>
          <w:color w:val="auto"/>
        </w:rPr>
        <w:t>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Published Clinical Evidence on iFuse</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The safety, clinical effectiveness, durability of pain relief and reduction in disability, cost effectiveness, and reduction in opioid use that result from iFuse are supported by a large number of studies that have resulted in more than 55 published papers. Several of these papers publish results from three prospective multicenter studies (INSITE, SIFI, and iMIA), two of which were randomized controlled clinical trials. These three prospective multicenter studies were summarized in a publication in </w:t>
      </w:r>
      <w:r>
        <w:rPr>
          <w:rFonts w:ascii="Arial" w:cs="Arial" w:eastAsia="Arial" w:hAnsi="Arial"/>
          <w:sz w:val="18"/>
          <w:szCs w:val="18"/>
          <w:i w:val="1"/>
          <w:iCs w:val="1"/>
          <w:color w:val="auto"/>
        </w:rPr>
        <w:t>SPINE</w:t>
      </w:r>
      <w:r>
        <w:rPr>
          <w:rFonts w:ascii="Arial" w:cs="Arial" w:eastAsia="Arial" w:hAnsi="Arial"/>
          <w:sz w:val="18"/>
          <w:szCs w:val="18"/>
          <w:color w:val="auto"/>
        </w:rPr>
        <w:t>, analyzing combined results from the three trials, as summarized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80" w:firstLine="426"/>
        <w:spacing w:after="0" w:line="279" w:lineRule="auto"/>
        <w:rPr>
          <w:sz w:val="20"/>
          <w:szCs w:val="20"/>
          <w:color w:val="auto"/>
        </w:rPr>
      </w:pPr>
      <w:r>
        <w:rPr>
          <w:rFonts w:ascii="Arial" w:cs="Arial" w:eastAsia="Arial" w:hAnsi="Arial"/>
          <w:sz w:val="17"/>
          <w:szCs w:val="17"/>
          <w:color w:val="auto"/>
        </w:rPr>
        <w:t>In INSITE, for example, one of the studies included in the graph above, subjects surgically treated with iFuse had mean 52-, 54-, and 55-point reductions in sacroiliac joint pain at 6, 12, and 24 months, respectively, as measured by the VAS, a standard method of assessing pain in which study subjects are asked to rate their pain from 0 (no pain) to 100 (worst imaginable pain). By contrast, subjects in the non-surgical management group had only a mean 12-point reduction at six months (p&lt;0.0001), and only a small proportion of patients in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5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650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non-surgical group had sufficient pain relief. The 12-point reduction in pain in the non-surgical management group is below a commonly accepted threshold of 20 points for clinically significant reduction in chronic back pain. At 24 months, the proportion of subjects with a reduction in VAS sacroiliac joint pain of 20 or more points due to the assigned treatment was 83% in the iFuse group and 10% in the non-surgical management group.</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Results from the iMIA and SIFI studies were similar to INSITE.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have been several studies showing longer-term follow-up of up to six years.</w:t>
      </w:r>
    </w:p>
    <w:p>
      <w:pPr>
        <w:spacing w:after="0" w:line="131" w:lineRule="exact"/>
        <w:rPr>
          <w:sz w:val="20"/>
          <w:szCs w:val="20"/>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6" w:lineRule="exact"/>
        <w:rPr>
          <w:rFonts w:ascii="Arial" w:cs="Arial" w:eastAsia="Arial" w:hAnsi="Arial"/>
          <w:sz w:val="17"/>
          <w:szCs w:val="17"/>
          <w:color w:val="auto"/>
        </w:rPr>
      </w:pPr>
    </w:p>
    <w:p>
      <w:pPr>
        <w:ind w:left="12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As shown in the graph below, at the last follow-up visit, 84% of patients who received non-surgical management were using opioids, while only 7% of patients treated with iFuse were using opioids.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40" w:firstLine="426"/>
        <w:spacing w:after="0" w:line="276" w:lineRule="auto"/>
        <w:rPr>
          <w:sz w:val="20"/>
          <w:szCs w:val="20"/>
          <w:color w:val="auto"/>
        </w:rPr>
      </w:pPr>
      <w:r>
        <w:rPr>
          <w:rFonts w:ascii="Arial" w:cs="Arial" w:eastAsia="Arial" w:hAnsi="Arial"/>
          <w:sz w:val="17"/>
          <w:szCs w:val="17"/>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Research </w:t>
      </w:r>
      <w:r>
        <w:rPr>
          <w:rFonts w:ascii="Arial" w:cs="Arial" w:eastAsia="Arial" w:hAnsi="Arial"/>
          <w:sz w:val="17"/>
          <w:szCs w:val="17"/>
          <w:color w:val="auto"/>
        </w:rPr>
        <w:t>in November 2015 showed that the cumulative four-year revision rate with iFuse was 3.5%. A single surgeon retrospective study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January 2017 showed that the cumulative four-year revision rate for screw-based treatment of the sacroiliac joint was five times higher than the cumulative four-year revision rate for iFuse.</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“Business—Our Published Studies” for more detail from these studies.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459"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40" w:firstLine="426"/>
        <w:spacing w:after="0" w:line="254" w:lineRule="auto"/>
        <w:rPr>
          <w:sz w:val="20"/>
          <w:szCs w:val="20"/>
          <w:color w:val="auto"/>
        </w:rPr>
      </w:pPr>
      <w:r>
        <w:rPr>
          <w:rFonts w:ascii="Arial" w:cs="Arial" w:eastAsia="Arial" w:hAnsi="Arial"/>
          <w:sz w:val="18"/>
          <w:szCs w:val="18"/>
          <w:color w:val="auto"/>
        </w:rPr>
        <w:t>We estimate that over 30 million American adults have chronic lower back pain</w:t>
      </w:r>
      <w:r>
        <w:rPr>
          <w:rFonts w:ascii="Arial" w:cs="Arial" w:eastAsia="Arial" w:hAnsi="Arial"/>
          <w:sz w:val="18"/>
          <w:szCs w:val="18"/>
          <w:i w:val="1"/>
          <w:iCs w:val="1"/>
          <w:color w:val="auto"/>
        </w:rPr>
        <w:t>.</w:t>
      </w:r>
      <w:r>
        <w:rPr>
          <w:rFonts w:ascii="Arial" w:cs="Arial" w:eastAsia="Arial" w:hAnsi="Arial"/>
          <w:sz w:val="18"/>
          <w:szCs w:val="18"/>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288,000 patients annually, for a potential annual market in the United States of approximately $2.7 billion. While we have made significant inroads at penetrating this market, patients received only 4,319 iFuse procedures in 2017.</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Limitations of Prior Treatment</w:t>
      </w:r>
    </w:p>
    <w:p>
      <w:pPr>
        <w:spacing w:after="0" w:line="12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154" w:lineRule="exact"/>
        <w:rPr>
          <w:sz w:val="20"/>
          <w:szCs w:val="20"/>
          <w:color w:val="auto"/>
        </w:rPr>
      </w:pPr>
    </w:p>
    <w:p>
      <w:pPr>
        <w:ind w:left="380" w:right="120" w:firstLine="426"/>
        <w:spacing w:after="0" w:line="293" w:lineRule="auto"/>
        <w:rPr>
          <w:sz w:val="20"/>
          <w:szCs w:val="20"/>
          <w:color w:val="auto"/>
        </w:rPr>
      </w:pPr>
      <w:r>
        <w:rPr>
          <w:rFonts w:ascii="Arial" w:cs="Arial" w:eastAsia="Arial" w:hAnsi="Arial"/>
          <w:sz w:val="16"/>
          <w:szCs w:val="16"/>
          <w:color w:val="auto"/>
        </w:rPr>
        <w:t>Since we launched iFuse, we have made considerable investments in teaching healthcare professionals to accurately diagnose and treat sacroiliac joint disorders. We provide instruction and training on how to perform provocative maneuvers in a physician’s office that can reveal the sacroiliac joint as the source of pain. If the provocative tests are positive, surgeons (or other physicians)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65"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Recently, major medical societies involved in spine surgery have begun offering sacroiliac joint diagnostic training sessions for their membership. In 2018, these societies include the North American Spine Society, or NASS, Congress of Neurologic Surgeons, or CNS, American Academy of Neurologic Surgeons, or AANS, International Society for the Advancement of Spine Surgery, or ISASS, and the Scoliosis Research Society, or SRS.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in many cases, to failure to diagnose the sacroiliac joint as the correct cause of pain.</w:t>
      </w:r>
    </w:p>
    <w:p>
      <w:pPr>
        <w:spacing w:after="0" w:line="166"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1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380" w:right="80" w:firstLine="426"/>
        <w:spacing w:after="0" w:line="272" w:lineRule="auto"/>
        <w:rPr>
          <w:sz w:val="20"/>
          <w:szCs w:val="20"/>
          <w:color w:val="auto"/>
        </w:rPr>
      </w:pPr>
      <w:r>
        <w:rPr>
          <w:rFonts w:ascii="Arial" w:cs="Arial" w:eastAsia="Arial" w:hAnsi="Arial"/>
          <w:sz w:val="17"/>
          <w:szCs w:val="17"/>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The image on the right below shows the cross section cut from an iFuse-3D implant removed from an animal as part of the study, and reveals robust growth of bone into the implants.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of July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87" w:lineRule="exact"/>
        <w:rPr>
          <w:sz w:val="20"/>
          <w:szCs w:val="20"/>
          <w:color w:val="auto"/>
        </w:rPr>
      </w:pPr>
    </w:p>
    <w:p>
      <w:pPr>
        <w:ind w:left="380" w:right="260" w:firstLine="426"/>
        <w:spacing w:after="0" w:line="259" w:lineRule="auto"/>
        <w:rPr>
          <w:sz w:val="20"/>
          <w:szCs w:val="20"/>
          <w:color w:val="auto"/>
        </w:rPr>
      </w:pPr>
      <w:r>
        <w:rPr>
          <w:rFonts w:ascii="Arial" w:cs="Arial" w:eastAsia="Arial" w:hAnsi="Arial"/>
          <w:sz w:val="18"/>
          <w:szCs w:val="18"/>
          <w:color w:val="auto"/>
        </w:rPr>
        <w:t>Prior to our launch of iFuse in 2009, Medicare and most private insurance companies reimbursed surgeons routinely for sacroiliac joint fusions, which were primarily invasive. However, effective July 1, 2013, the American Medical Association’s, or AMA’s, Editorial Panel effectively restricted reimbursement for minimally invasive sacroiliac joint fusion because they considered the published clinical evidence at the time to be inadequate.</w:t>
      </w:r>
    </w:p>
    <w:p>
      <w:pPr>
        <w:spacing w:after="0" w:line="187"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91"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However, as of July 31, 2018, 39 of the largest 66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fiscal year 2018.</w:t>
      </w:r>
    </w:p>
    <w:p>
      <w:pPr>
        <w:spacing w:after="0" w:line="167"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We believe it takes between six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As reimbursement coverage has improved, surgeon interest in learning to diagnose the sacroiliac joint and perform iFuse procedures has been increasing.</w:t>
      </w:r>
    </w:p>
    <w:p>
      <w:pPr>
        <w:spacing w:after="0" w:line="173" w:lineRule="exact"/>
        <w:rPr>
          <w:sz w:val="20"/>
          <w:szCs w:val="20"/>
          <w:color w:val="auto"/>
        </w:rPr>
      </w:pPr>
    </w:p>
    <w:p>
      <w:pPr>
        <w:ind w:left="380" w:right="200" w:firstLine="426"/>
        <w:spacing w:after="0" w:line="273" w:lineRule="auto"/>
        <w:rPr>
          <w:sz w:val="20"/>
          <w:szCs w:val="20"/>
          <w:color w:val="auto"/>
        </w:rPr>
      </w:pPr>
      <w:r>
        <w:rPr>
          <w:rFonts w:ascii="Arial" w:cs="Arial" w:eastAsia="Arial" w:hAnsi="Arial"/>
          <w:sz w:val="17"/>
          <w:szCs w:val="17"/>
          <w:color w:val="auto"/>
        </w:rPr>
        <w:t>Specialty benefit managers and companies which perform healthcare technology assessments have significant influence on coverage decisions. In 2018, four of the leading organizations, including Milliman Care Guidelines, AIM Specialty Health, Blue Cross Blue Shield Association Evidence Street, and eviCore Healthcare published positive coverage recommendations to their constituents and payor customers, of which three have recommended that iFuse be covered exclusively. Internationally, the United Kingdom’s National Institute for Health and Care Excellence, or NICE, published a positive coverage recommendation for sacroiliac joint fusion in 2017. Additionally, in June 2018, the public hospital system in France announced it will initiate coverage for iFuse exclusively beginning September 1, 2018.</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29" w:lineRule="exact"/>
        <w:rPr>
          <w:sz w:val="20"/>
          <w:szCs w:val="20"/>
          <w:color w:val="auto"/>
        </w:rPr>
      </w:pPr>
    </w:p>
    <w:p>
      <w:pPr>
        <w:ind w:left="1220" w:right="8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29" w:lineRule="exact"/>
        <w:rPr>
          <w:rFonts w:ascii="Arial" w:cs="Arial" w:eastAsia="Arial" w:hAnsi="Arial"/>
          <w:sz w:val="16"/>
          <w:szCs w:val="16"/>
          <w:color w:val="auto"/>
        </w:rPr>
      </w:pPr>
    </w:p>
    <w:p>
      <w:pPr>
        <w:ind w:left="1220" w:hanging="415"/>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NASS, CNS, AANS, ISASS, SRS, and the American Academy of Orthopaedic Surgeons, or AAOS, to increase their education programs teaching the diagnosis of the sacroiliac joint as part of the differential diagnosis of lower back pain;</w:t>
      </w:r>
    </w:p>
    <w:p>
      <w:pPr>
        <w:spacing w:after="0" w:line="92"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 our direct field organization in the United States and select European countries to help drive adoption of our iFuse products;</w:t>
      </w:r>
    </w:p>
    <w:p>
      <w:pPr>
        <w:spacing w:after="0" w:line="153" w:lineRule="exact"/>
        <w:rPr>
          <w:rFonts w:ascii="Arial" w:cs="Arial" w:eastAsia="Arial" w:hAnsi="Arial"/>
          <w:sz w:val="16"/>
          <w:szCs w:val="16"/>
          <w:color w:val="auto"/>
        </w:rPr>
      </w:pPr>
    </w:p>
    <w:p>
      <w:pPr>
        <w:ind w:left="1220" w:right="16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41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6341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18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of June 30, 2018, we had 168 employees, including a direct field sales organization of 72 in the United States and 28 in Europe. We intend to expand our direct field organization with some of the proceeds from this offering. As of June 30, 2018, we had 40 issued patents throughout the world, of which 34 were in the United States, and 18 pending patent applications, of which 11 were in the United States. These patents and applications cover various aspects of the iFuse procedure, implants, and instruments.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“Risk Factors,” which immediately follow this prospectus summary. These risks include, among others:</w:t>
      </w:r>
    </w:p>
    <w:p>
      <w:pPr>
        <w:spacing w:after="0" w:line="76" w:lineRule="exact"/>
        <w:rPr>
          <w:sz w:val="20"/>
          <w:szCs w:val="20"/>
          <w:color w:val="auto"/>
        </w:rPr>
      </w:pPr>
    </w:p>
    <w:p>
      <w:pPr>
        <w:ind w:left="1220" w:right="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ind w:left="1220" w:right="44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86" w:lineRule="exact"/>
        <w:rPr>
          <w:rFonts w:ascii="Arial" w:cs="Arial" w:eastAsia="Arial" w:hAnsi="Arial"/>
          <w:sz w:val="18"/>
          <w:szCs w:val="18"/>
          <w:color w:val="auto"/>
        </w:rPr>
      </w:pPr>
    </w:p>
    <w:p>
      <w:pPr>
        <w:ind w:left="1220" w:right="32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29" w:lineRule="exact"/>
        <w:rPr>
          <w:rFonts w:ascii="Arial" w:cs="Arial" w:eastAsia="Arial" w:hAnsi="Arial"/>
          <w:sz w:val="16"/>
          <w:szCs w:val="16"/>
          <w:color w:val="auto"/>
        </w:rPr>
      </w:pPr>
    </w:p>
    <w:p>
      <w:pPr>
        <w:ind w:left="1220" w:right="26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86" w:lineRule="exact"/>
        <w:rPr>
          <w:rFonts w:ascii="Arial" w:cs="Arial" w:eastAsia="Arial" w:hAnsi="Arial"/>
          <w:sz w:val="18"/>
          <w:szCs w:val="18"/>
          <w:color w:val="auto"/>
        </w:rPr>
      </w:pPr>
    </w:p>
    <w:p>
      <w:pPr>
        <w:ind w:left="1220" w:right="1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220" w:right="26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220" w:right="12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86"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220" w:right="4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manufacture and sell products used in a single procedure, which could negatively affect our operations and financial condition.</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83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3383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3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those relating to physician kickbacks and false claims for reimbursement, as well as equivalent foreign laws.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auto"/>
        </w:rPr>
        <w:t>We were incorporated in March 2008 in Delaware.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95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600" w:type="dxa"/>
            <w:vAlign w:val="bottom"/>
          </w:tcPr>
          <w:p>
            <w:pPr>
              <w:ind w:left="140"/>
              <w:spacing w:after="0"/>
              <w:rPr>
                <w:sz w:val="20"/>
                <w:szCs w:val="20"/>
                <w:color w:val="auto"/>
              </w:rPr>
            </w:pPr>
            <w:r>
              <w:rPr>
                <w:rFonts w:ascii="Arial" w:cs="Arial" w:eastAsia="Arial" w:hAnsi="Arial"/>
                <w:sz w:val="18"/>
                <w:szCs w:val="18"/>
                <w:b w:val="1"/>
                <w:bCs w:val="1"/>
                <w:color w:val="auto"/>
              </w:rPr>
              <w:t>THE OFFERING</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527"/>
        </w:trPr>
        <w:tc>
          <w:tcPr>
            <w:tcW w:w="4500" w:type="dxa"/>
            <w:vAlign w:val="bottom"/>
          </w:tcPr>
          <w:p>
            <w:pPr>
              <w:ind w:left="20"/>
              <w:spacing w:after="0"/>
              <w:rPr>
                <w:sz w:val="20"/>
                <w:szCs w:val="20"/>
                <w:color w:val="auto"/>
              </w:rPr>
            </w:pPr>
            <w:r>
              <w:rPr>
                <w:rFonts w:ascii="Arial" w:cs="Arial" w:eastAsia="Arial" w:hAnsi="Arial"/>
                <w:sz w:val="18"/>
                <w:szCs w:val="18"/>
                <w:color w:val="auto"/>
              </w:rPr>
              <w:t>Shares of common stock offered by us</w:t>
            </w:r>
          </w:p>
        </w:tc>
        <w:tc>
          <w:tcPr>
            <w:tcW w:w="160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shares</w:t>
            </w: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w w:val="92"/>
              </w:rPr>
              <w:t>Shares of common stock to be outstanding after this offering</w:t>
            </w:r>
          </w:p>
        </w:tc>
        <w:tc>
          <w:tcPr>
            <w:tcW w:w="160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shares (</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shares if the underwriters exercise their</w:t>
            </w:r>
          </w:p>
        </w:tc>
      </w:tr>
      <w:tr>
        <w:trPr>
          <w:trHeight w:val="230"/>
        </w:trPr>
        <w:tc>
          <w:tcPr>
            <w:tcW w:w="4500" w:type="dxa"/>
            <w:vAlign w:val="bottom"/>
          </w:tcPr>
          <w:p>
            <w:pPr>
              <w:spacing w:after="0"/>
              <w:rPr>
                <w:sz w:val="20"/>
                <w:szCs w:val="20"/>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option to purchase additional shares in full)</w:t>
            </w:r>
          </w:p>
        </w:tc>
      </w:tr>
      <w:tr>
        <w:trPr>
          <w:trHeight w:val="283"/>
        </w:trPr>
        <w:tc>
          <w:tcPr>
            <w:tcW w:w="4500" w:type="dxa"/>
            <w:vAlign w:val="bottom"/>
          </w:tcPr>
          <w:p>
            <w:pPr>
              <w:ind w:left="20"/>
              <w:spacing w:after="0"/>
              <w:rPr>
                <w:sz w:val="20"/>
                <w:szCs w:val="20"/>
                <w:color w:val="auto"/>
              </w:rPr>
            </w:pPr>
            <w:r>
              <w:rPr>
                <w:rFonts w:ascii="Arial" w:cs="Arial" w:eastAsia="Arial" w:hAnsi="Arial"/>
                <w:sz w:val="18"/>
                <w:szCs w:val="18"/>
                <w:color w:val="auto"/>
              </w:rPr>
              <w:t>Option to purchase additional shares</w:t>
            </w: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4"/>
              </w:rPr>
              <w:t>We have granted to the underwriters the option, exercisable for 30</w:t>
            </w:r>
          </w:p>
        </w:tc>
      </w:tr>
      <w:tr>
        <w:trPr>
          <w:trHeight w:val="216"/>
        </w:trPr>
        <w:tc>
          <w:tcPr>
            <w:tcW w:w="4500" w:type="dxa"/>
            <w:vAlign w:val="bottom"/>
          </w:tcPr>
          <w:p>
            <w:pPr>
              <w:spacing w:after="0"/>
              <w:rPr>
                <w:sz w:val="18"/>
                <w:szCs w:val="18"/>
                <w:color w:val="auto"/>
              </w:rPr>
            </w:pP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w w:val="88"/>
              </w:rPr>
              <w:t>days, to purchase up to</w:t>
            </w:r>
          </w:p>
        </w:tc>
        <w:tc>
          <w:tcPr>
            <w:tcW w:w="3300" w:type="dxa"/>
            <w:vAlign w:val="bottom"/>
            <w:gridSpan w:val="2"/>
          </w:tcPr>
          <w:p>
            <w:pPr>
              <w:jc w:val="right"/>
              <w:ind w:right="290"/>
              <w:spacing w:after="0"/>
              <w:rPr>
                <w:sz w:val="20"/>
                <w:szCs w:val="20"/>
                <w:color w:val="auto"/>
              </w:rPr>
            </w:pPr>
            <w:r>
              <w:rPr>
                <w:rFonts w:ascii="Arial" w:cs="Arial" w:eastAsia="Arial" w:hAnsi="Arial"/>
                <w:sz w:val="18"/>
                <w:szCs w:val="18"/>
                <w:color w:val="auto"/>
              </w:rPr>
              <w:t>additional shares of our common</w:t>
            </w:r>
          </w:p>
        </w:tc>
      </w:tr>
      <w:tr>
        <w:trPr>
          <w:trHeight w:val="230"/>
        </w:trPr>
        <w:tc>
          <w:tcPr>
            <w:tcW w:w="4500" w:type="dxa"/>
            <w:vAlign w:val="bottom"/>
          </w:tcPr>
          <w:p>
            <w:pPr>
              <w:spacing w:after="0"/>
              <w:rPr>
                <w:sz w:val="20"/>
                <w:szCs w:val="20"/>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w w:val="89"/>
              </w:rPr>
              <w:t>stock.</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We estimate that the net proceeds from this offering</w:t>
            </w:r>
          </w:p>
        </w:tc>
      </w:tr>
      <w:tr>
        <w:trPr>
          <w:trHeight w:val="216"/>
        </w:trPr>
        <w:tc>
          <w:tcPr>
            <w:tcW w:w="450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of</w:t>
            </w:r>
          </w:p>
        </w:tc>
        <w:tc>
          <w:tcPr>
            <w:tcW w:w="4540" w:type="dxa"/>
            <w:vAlign w:val="bottom"/>
            <w:gridSpan w:val="3"/>
          </w:tcPr>
          <w:p>
            <w:pPr>
              <w:jc w:val="right"/>
              <w:ind w:right="270"/>
              <w:spacing w:after="0"/>
              <w:rPr>
                <w:sz w:val="20"/>
                <w:szCs w:val="20"/>
                <w:color w:val="auto"/>
              </w:rPr>
            </w:pPr>
            <w:r>
              <w:rPr>
                <w:rFonts w:ascii="Arial" w:cs="Arial" w:eastAsia="Arial" w:hAnsi="Arial"/>
                <w:sz w:val="18"/>
                <w:szCs w:val="18"/>
                <w:color w:val="auto"/>
              </w:rPr>
              <w:t>shares of our common stock will be approximately</w:t>
            </w:r>
          </w:p>
        </w:tc>
      </w:tr>
      <w:tr>
        <w:trPr>
          <w:trHeight w:val="216"/>
        </w:trPr>
        <w:tc>
          <w:tcPr>
            <w:tcW w:w="450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r>
              <w:rPr>
                <w:rFonts w:ascii="Arial" w:cs="Arial" w:eastAsia="Arial" w:hAnsi="Arial"/>
                <w:sz w:val="18"/>
                <w:szCs w:val="18"/>
                <w:color w:val="auto"/>
              </w:rPr>
              <w:t>million, or $</w:t>
            </w:r>
          </w:p>
        </w:tc>
        <w:tc>
          <w:tcPr>
            <w:tcW w:w="3300" w:type="dxa"/>
            <w:vAlign w:val="bottom"/>
            <w:gridSpan w:val="2"/>
          </w:tcPr>
          <w:p>
            <w:pPr>
              <w:jc w:val="right"/>
              <w:ind w:right="290"/>
              <w:spacing w:after="0"/>
              <w:rPr>
                <w:sz w:val="20"/>
                <w:szCs w:val="20"/>
                <w:color w:val="auto"/>
              </w:rPr>
            </w:pPr>
            <w:r>
              <w:rPr>
                <w:rFonts w:ascii="Arial" w:cs="Arial" w:eastAsia="Arial" w:hAnsi="Arial"/>
                <w:sz w:val="18"/>
                <w:szCs w:val="18"/>
                <w:color w:val="auto"/>
                <w:w w:val="93"/>
              </w:rPr>
              <w:t>million if the underwriters exercise their</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option to purchase additional shares in full, after deducting</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7"/>
              </w:rPr>
              <w:t>underwriting discounts and commissions and estimated offering</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3"/>
              </w:rPr>
              <w:t>expenses payable by us, assuming an initial public offering price of</w:t>
            </w:r>
          </w:p>
        </w:tc>
      </w:tr>
      <w:tr>
        <w:trPr>
          <w:trHeight w:val="216"/>
        </w:trPr>
        <w:tc>
          <w:tcPr>
            <w:tcW w:w="450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w:t>
            </w:r>
          </w:p>
        </w:tc>
        <w:tc>
          <w:tcPr>
            <w:tcW w:w="4540" w:type="dxa"/>
            <w:vAlign w:val="bottom"/>
            <w:gridSpan w:val="3"/>
          </w:tcPr>
          <w:p>
            <w:pPr>
              <w:spacing w:after="0"/>
              <w:rPr>
                <w:sz w:val="20"/>
                <w:szCs w:val="20"/>
                <w:color w:val="auto"/>
              </w:rPr>
            </w:pPr>
            <w:r>
              <w:rPr>
                <w:rFonts w:ascii="Arial" w:cs="Arial" w:eastAsia="Arial" w:hAnsi="Arial"/>
                <w:sz w:val="18"/>
                <w:szCs w:val="18"/>
                <w:color w:val="auto"/>
                <w:w w:val="91"/>
              </w:rPr>
              <w:t>per share, which is the midpoint of the price range set forth on</w:t>
            </w:r>
          </w:p>
        </w:tc>
      </w:tr>
      <w:tr>
        <w:trPr>
          <w:trHeight w:val="230"/>
        </w:trPr>
        <w:tc>
          <w:tcPr>
            <w:tcW w:w="4500" w:type="dxa"/>
            <w:vAlign w:val="bottom"/>
          </w:tcPr>
          <w:p>
            <w:pPr>
              <w:spacing w:after="0"/>
              <w:rPr>
                <w:sz w:val="20"/>
                <w:szCs w:val="20"/>
                <w:color w:val="auto"/>
              </w:rPr>
            </w:pPr>
          </w:p>
        </w:tc>
        <w:tc>
          <w:tcPr>
            <w:tcW w:w="3780" w:type="dxa"/>
            <w:vAlign w:val="bottom"/>
            <w:gridSpan w:val="3"/>
          </w:tcPr>
          <w:p>
            <w:pPr>
              <w:ind w:left="1160"/>
              <w:spacing w:after="0"/>
              <w:rPr>
                <w:sz w:val="20"/>
                <w:szCs w:val="20"/>
                <w:color w:val="auto"/>
              </w:rPr>
            </w:pPr>
            <w:r>
              <w:rPr>
                <w:rFonts w:ascii="Arial" w:cs="Arial" w:eastAsia="Arial" w:hAnsi="Arial"/>
                <w:sz w:val="18"/>
                <w:szCs w:val="18"/>
                <w:color w:val="auto"/>
                <w:w w:val="96"/>
              </w:rPr>
              <w:t>the cover page of this prospectus.</w:t>
            </w:r>
          </w:p>
        </w:tc>
        <w:tc>
          <w:tcPr>
            <w:tcW w:w="2360" w:type="dxa"/>
            <w:vAlign w:val="bottom"/>
          </w:tcPr>
          <w:p>
            <w:pPr>
              <w:spacing w:after="0"/>
              <w:rPr>
                <w:sz w:val="20"/>
                <w:szCs w:val="20"/>
                <w:color w:val="auto"/>
              </w:rPr>
            </w:pPr>
          </w:p>
        </w:tc>
      </w:tr>
      <w:tr>
        <w:trPr>
          <w:trHeight w:val="269"/>
        </w:trPr>
        <w:tc>
          <w:tcPr>
            <w:tcW w:w="4500" w:type="dxa"/>
            <w:vAlign w:val="bottom"/>
          </w:tcPr>
          <w:p>
            <w:pPr>
              <w:spacing w:after="0"/>
              <w:rPr>
                <w:sz w:val="23"/>
                <w:szCs w:val="23"/>
                <w:color w:val="auto"/>
              </w:rPr>
            </w:pPr>
          </w:p>
        </w:tc>
        <w:tc>
          <w:tcPr>
            <w:tcW w:w="3780" w:type="dxa"/>
            <w:vAlign w:val="bottom"/>
            <w:gridSpan w:val="3"/>
          </w:tcPr>
          <w:p>
            <w:pPr>
              <w:ind w:left="1160"/>
              <w:spacing w:after="0"/>
              <w:rPr>
                <w:sz w:val="20"/>
                <w:szCs w:val="20"/>
                <w:color w:val="auto"/>
              </w:rPr>
            </w:pPr>
            <w:r>
              <w:rPr>
                <w:rFonts w:ascii="Arial" w:cs="Arial" w:eastAsia="Arial" w:hAnsi="Arial"/>
                <w:sz w:val="18"/>
                <w:szCs w:val="18"/>
                <w:color w:val="auto"/>
                <w:w w:val="95"/>
              </w:rPr>
              <w:t>We expect to use approximately $</w:t>
            </w:r>
          </w:p>
        </w:tc>
        <w:tc>
          <w:tcPr>
            <w:tcW w:w="2360" w:type="dxa"/>
            <w:vAlign w:val="bottom"/>
          </w:tcPr>
          <w:p>
            <w:pPr>
              <w:jc w:val="right"/>
              <w:spacing w:after="0"/>
              <w:rPr>
                <w:sz w:val="20"/>
                <w:szCs w:val="20"/>
                <w:color w:val="auto"/>
              </w:rPr>
            </w:pPr>
            <w:r>
              <w:rPr>
                <w:rFonts w:ascii="Arial" w:cs="Arial" w:eastAsia="Arial" w:hAnsi="Arial"/>
                <w:sz w:val="18"/>
                <w:szCs w:val="18"/>
                <w:color w:val="auto"/>
                <w:w w:val="99"/>
              </w:rPr>
              <w:t>million of the net proceeds for</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2"/>
              </w:rPr>
              <w:t>sales and marketing activities to support ongoing commercialization</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4"/>
              </w:rPr>
              <w:t>of the iFuse Implant System and the remainder, if any, for working</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8"/>
              </w:rPr>
              <w:t>capital and general corporate purposes, including research and</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3"/>
              </w:rPr>
              <w:t>development and clinical studies. We may also use a portion of our</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net proceeds to acquire or invest in complementary products,</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technologies, or businesses; however, we currently have no</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0"/>
              </w:rPr>
              <w:t>agreements or commitments to complete any such transactions. See</w:t>
            </w:r>
          </w:p>
        </w:tc>
      </w:tr>
      <w:tr>
        <w:trPr>
          <w:trHeight w:val="230"/>
        </w:trPr>
        <w:tc>
          <w:tcPr>
            <w:tcW w:w="4500" w:type="dxa"/>
            <w:vAlign w:val="bottom"/>
          </w:tcPr>
          <w:p>
            <w:pPr>
              <w:spacing w:after="0"/>
              <w:rPr>
                <w:sz w:val="20"/>
                <w:szCs w:val="20"/>
                <w:color w:val="auto"/>
              </w:rPr>
            </w:pP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rPr>
              <w:t>“Use of Proceeds.”</w:t>
            </w: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See “Risk Factors” and the other information included in this</w:t>
            </w:r>
          </w:p>
        </w:tc>
      </w:tr>
      <w:tr>
        <w:trPr>
          <w:trHeight w:val="216"/>
        </w:trPr>
        <w:tc>
          <w:tcPr>
            <w:tcW w:w="4500" w:type="dxa"/>
            <w:vAlign w:val="bottom"/>
          </w:tcPr>
          <w:p>
            <w:pPr>
              <w:spacing w:after="0"/>
              <w:rPr>
                <w:sz w:val="18"/>
                <w:szCs w:val="18"/>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w w:val="92"/>
              </w:rPr>
              <w:t>prospectus for a discussion of factors you should consider carefully</w:t>
            </w:r>
          </w:p>
        </w:tc>
      </w:tr>
      <w:tr>
        <w:trPr>
          <w:trHeight w:val="230"/>
        </w:trPr>
        <w:tc>
          <w:tcPr>
            <w:tcW w:w="4500" w:type="dxa"/>
            <w:vAlign w:val="bottom"/>
          </w:tcPr>
          <w:p>
            <w:pPr>
              <w:spacing w:after="0"/>
              <w:rPr>
                <w:sz w:val="20"/>
                <w:szCs w:val="20"/>
                <w:color w:val="auto"/>
              </w:rPr>
            </w:pPr>
          </w:p>
        </w:tc>
        <w:tc>
          <w:tcPr>
            <w:tcW w:w="6140" w:type="dxa"/>
            <w:vAlign w:val="bottom"/>
            <w:gridSpan w:val="4"/>
          </w:tcPr>
          <w:p>
            <w:pPr>
              <w:ind w:left="1160"/>
              <w:spacing w:after="0"/>
              <w:rPr>
                <w:sz w:val="20"/>
                <w:szCs w:val="20"/>
                <w:color w:val="auto"/>
              </w:rPr>
            </w:pPr>
            <w:r>
              <w:rPr>
                <w:rFonts w:ascii="Arial" w:cs="Arial" w:eastAsia="Arial" w:hAnsi="Arial"/>
                <w:sz w:val="18"/>
                <w:szCs w:val="18"/>
                <w:color w:val="auto"/>
              </w:rPr>
              <w:t>before deciding to invest in our common stock.</w:t>
            </w:r>
          </w:p>
        </w:tc>
      </w:tr>
      <w:tr>
        <w:trPr>
          <w:trHeight w:val="284"/>
        </w:trPr>
        <w:tc>
          <w:tcPr>
            <w:tcW w:w="4500" w:type="dxa"/>
            <w:vAlign w:val="bottom"/>
          </w:tcPr>
          <w:p>
            <w:pPr>
              <w:ind w:left="20"/>
              <w:spacing w:after="0"/>
              <w:rPr>
                <w:sz w:val="20"/>
                <w:szCs w:val="20"/>
                <w:color w:val="auto"/>
              </w:rPr>
            </w:pPr>
            <w:r>
              <w:rPr>
                <w:rFonts w:ascii="Arial" w:cs="Arial" w:eastAsia="Arial" w:hAnsi="Arial"/>
                <w:sz w:val="18"/>
                <w:szCs w:val="18"/>
                <w:color w:val="auto"/>
              </w:rPr>
              <w:t>Proposed Nasdaq Global Market symbol</w:t>
            </w:r>
          </w:p>
        </w:tc>
        <w:tc>
          <w:tcPr>
            <w:tcW w:w="2840" w:type="dxa"/>
            <w:vAlign w:val="bottom"/>
            <w:gridSpan w:val="2"/>
          </w:tcPr>
          <w:p>
            <w:pPr>
              <w:ind w:left="1160"/>
              <w:spacing w:after="0"/>
              <w:rPr>
                <w:sz w:val="20"/>
                <w:szCs w:val="20"/>
                <w:color w:val="auto"/>
              </w:rPr>
            </w:pPr>
            <w:r>
              <w:rPr>
                <w:rFonts w:ascii="Arial" w:cs="Arial" w:eastAsia="Arial" w:hAnsi="Arial"/>
                <w:sz w:val="18"/>
                <w:szCs w:val="18"/>
                <w:color w:val="auto"/>
              </w:rPr>
              <w:t>“SIBN”</w:t>
            </w: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18"/>
        </w:trPr>
        <w:tc>
          <w:tcPr>
            <w:tcW w:w="7340" w:type="dxa"/>
            <w:vAlign w:val="bottom"/>
            <w:gridSpan w:val="3"/>
          </w:tcPr>
          <w:p>
            <w:pPr>
              <w:ind w:left="440"/>
              <w:spacing w:after="0"/>
              <w:rPr>
                <w:sz w:val="20"/>
                <w:szCs w:val="20"/>
                <w:color w:val="auto"/>
              </w:rPr>
            </w:pPr>
            <w:r>
              <w:rPr>
                <w:rFonts w:ascii="Arial" w:cs="Arial" w:eastAsia="Arial" w:hAnsi="Arial"/>
                <w:sz w:val="18"/>
                <w:szCs w:val="18"/>
                <w:color w:val="auto"/>
                <w:w w:val="98"/>
              </w:rPr>
              <w:t>The number of shares of common stock to be outstanding after this offering is based on</w:t>
            </w:r>
          </w:p>
        </w:tc>
        <w:tc>
          <w:tcPr>
            <w:tcW w:w="330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shares of common stock outstanding as of</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June 30, 2018, and excludes:</w:t>
            </w: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07" w:lineRule="exact"/>
        <w:rPr>
          <w:sz w:val="20"/>
          <w:szCs w:val="20"/>
          <w:color w:val="auto"/>
        </w:rPr>
      </w:pPr>
    </w:p>
    <w:p>
      <w:pPr>
        <w:ind w:left="1220" w:right="3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52,224,031 shares of common stock issuable upon the exercise of options outstanding as of June 30, 2018, with a weighted-average exercise price of $0.23 per share;</w:t>
      </w:r>
    </w:p>
    <w:p>
      <w:pPr>
        <w:spacing w:after="0" w:line="75" w:lineRule="exact"/>
        <w:rPr>
          <w:rFonts w:ascii="Arial" w:cs="Arial" w:eastAsia="Arial" w:hAnsi="Arial"/>
          <w:sz w:val="18"/>
          <w:szCs w:val="18"/>
          <w:color w:val="auto"/>
        </w:rPr>
      </w:pPr>
    </w:p>
    <w:p>
      <w:pPr>
        <w:ind w:left="1220" w:right="6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June 30, 2018, with a weighted-average exercise price of $0.48 per share;</w:t>
      </w:r>
    </w:p>
    <w:p>
      <w:pPr>
        <w:spacing w:after="0" w:line="75" w:lineRule="exact"/>
        <w:rPr>
          <w:rFonts w:ascii="Arial" w:cs="Arial" w:eastAsia="Arial" w:hAnsi="Arial"/>
          <w:sz w:val="18"/>
          <w:szCs w:val="18"/>
          <w:color w:val="auto"/>
        </w:rPr>
      </w:pPr>
    </w:p>
    <w:p>
      <w:pPr>
        <w:ind w:left="1220" w:right="16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867,474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137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4137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20" w:right="100" w:hanging="415"/>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46,377,691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86" w:lineRule="exact"/>
        <w:rPr>
          <w:rFonts w:ascii="Arial" w:cs="Arial" w:eastAsia="Arial" w:hAnsi="Arial"/>
          <w:sz w:val="18"/>
          <w:szCs w:val="18"/>
          <w:color w:val="auto"/>
        </w:rPr>
      </w:pPr>
    </w:p>
    <w:p>
      <w:pPr>
        <w:ind w:left="1220" w:hanging="415"/>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9,275,538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220" w:right="160" w:hanging="415"/>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6" w:lineRule="exact"/>
        <w:rPr>
          <w:sz w:val="20"/>
          <w:szCs w:val="20"/>
          <w:color w:val="auto"/>
        </w:rPr>
      </w:pPr>
    </w:p>
    <w:p>
      <w:pPr>
        <w:ind w:left="800"/>
        <w:spacing w:after="0"/>
        <w:tabs>
          <w:tab w:leader="none" w:pos="1200" w:val="left"/>
          <w:tab w:leader="none" w:pos="1540" w:val="left"/>
          <w:tab w:leader="none" w:pos="2100" w:val="left"/>
          <w:tab w:leader="none" w:pos="7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tab/>
        <w:t>-for-</w:t>
        <w:tab/>
        <w:t>reverse stock split of common stock and preferred stock effected on</w:t>
      </w:r>
      <w:r>
        <w:rPr>
          <w:sz w:val="20"/>
          <w:szCs w:val="20"/>
          <w:color w:val="auto"/>
        </w:rPr>
        <w:tab/>
      </w:r>
      <w:r>
        <w:rPr>
          <w:rFonts w:ascii="Arial" w:cs="Arial" w:eastAsia="Arial" w:hAnsi="Arial"/>
          <w:sz w:val="16"/>
          <w:szCs w:val="16"/>
          <w:color w:val="auto"/>
        </w:rPr>
        <w:t>, 2018;</w:t>
      </w:r>
    </w:p>
    <w:p>
      <w:pPr>
        <w:spacing w:after="0" w:line="131" w:lineRule="exact"/>
        <w:rPr>
          <w:sz w:val="20"/>
          <w:szCs w:val="20"/>
          <w:color w:val="auto"/>
        </w:rPr>
      </w:pPr>
    </w:p>
    <w:p>
      <w:pPr>
        <w:ind w:left="1220" w:right="30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warrants to purchase shares of preferred stock into warrants to purchase shares of common stock immediately prior to the closing of this offering;</w:t>
      </w:r>
    </w:p>
    <w:p>
      <w:pPr>
        <w:spacing w:after="0" w:line="75" w:lineRule="exact"/>
        <w:rPr>
          <w:rFonts w:ascii="Arial" w:cs="Arial" w:eastAsia="Arial" w:hAnsi="Arial"/>
          <w:sz w:val="18"/>
          <w:szCs w:val="18"/>
          <w:color w:val="auto"/>
        </w:rPr>
      </w:pPr>
    </w:p>
    <w:p>
      <w:pPr>
        <w:ind w:left="12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217,201,525 shares of common stock immediately prior to the closing of this offering;</w:t>
      </w:r>
    </w:p>
    <w:p>
      <w:pPr>
        <w:sectPr>
          <w:pgSz w:w="11900" w:h="16838" w:orient="portrait"/>
          <w:cols w:equalWidth="0" w:num="1">
            <w:col w:w="11000"/>
          </w:cols>
          <w:pgMar w:left="240" w:top="459" w:right="659" w:bottom="1440" w:gutter="0" w:footer="0" w:header="0"/>
        </w:sectPr>
      </w:pPr>
    </w:p>
    <w:p>
      <w:pPr>
        <w:spacing w:after="0" w:line="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issuance of shares of common stock upon the automatic net exercise of warrants, with an exercise price of $0.51 per share, immediately prior to the closing of this offering, assuming an initial public offering price of $ per share, which is the midpoint of the price range set forth on the cover page of this prospectus;</w:t>
      </w:r>
    </w:p>
    <w:p>
      <w:pPr>
        <w:spacing w:after="0" w:line="87" w:lineRule="exact"/>
        <w:rPr>
          <w:sz w:val="20"/>
          <w:szCs w:val="20"/>
          <w:color w:val="auto"/>
        </w:rPr>
      </w:pPr>
    </w:p>
    <w:p>
      <w:pPr>
        <w:sectPr>
          <w:pgSz w:w="11900" w:h="16838" w:orient="portrait"/>
          <w:cols w:equalWidth="0" w:num="2">
            <w:col w:w="860" w:space="360"/>
            <w:col w:w="9780"/>
          </w:cols>
          <w:pgMar w:left="240" w:top="459" w:right="659" w:bottom="1440" w:gutter="0" w:footer="0" w:header="0"/>
          <w:type w:val="continuous"/>
        </w:sectPr>
      </w:pPr>
    </w:p>
    <w:p>
      <w:pPr>
        <w:jc w:val="both"/>
        <w:ind w:left="1220" w:hanging="415"/>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Series 1 common stock and Series 2 common stock into a single class of common stock named “common stock,” which shall have the same voting powers, preferences, rights and qualifications, limitations, and restrictions as the current Series 2 common stock, immediately prior to the closing of this offering;</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options and warrants, other than as provided for above; and</w:t>
      </w:r>
    </w:p>
    <w:p>
      <w:pPr>
        <w:spacing w:after="0" w:line="131" w:lineRule="exact"/>
        <w:rPr>
          <w:sz w:val="20"/>
          <w:szCs w:val="20"/>
          <w:color w:val="auto"/>
        </w:rPr>
      </w:pPr>
    </w:p>
    <w:p>
      <w:pPr>
        <w:ind w:left="800"/>
        <w:spacing w:after="0"/>
        <w:tabs>
          <w:tab w:leader="none" w:pos="120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459" w:right="6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The following summary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7"/>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(in thousands, except share and per share data)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42,101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47,983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22,531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5,112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35,215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41,646</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21,130</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12,906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13,062</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6,737</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60,221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(6,204)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(23,039)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foreign currency translation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Weighted-average common shares used to compute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59,659,307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62,411,906</w:t>
            </w:r>
          </w:p>
        </w:tc>
        <w:tc>
          <w:tcPr>
            <w:tcW w:w="16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62,024,861</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64,862,952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 forma net loss per common share, basic and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0"/>
        <w:spacing w:after="0"/>
        <w:rPr>
          <w:sz w:val="20"/>
          <w:szCs w:val="20"/>
          <w:color w:val="auto"/>
        </w:rPr>
      </w:pPr>
      <w:r>
        <w:rPr>
          <w:rFonts w:ascii="Arial" w:cs="Arial" w:eastAsia="Arial" w:hAnsi="Arial"/>
          <w:sz w:val="18"/>
          <w:szCs w:val="18"/>
          <w:color w:val="auto"/>
        </w:rPr>
        <w:t>Pro forma weighted-average number of common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used to compute basic and diluted net loss per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(1)</w:t>
      </w:r>
    </w:p>
    <w:p>
      <w:pPr>
        <w:spacing w:after="0" w:line="238" w:lineRule="exact"/>
        <w:rPr>
          <w:sz w:val="20"/>
          <w:szCs w:val="20"/>
          <w:color w:val="auto"/>
        </w:rPr>
      </w:pPr>
    </w:p>
    <w:p>
      <w:pPr>
        <w:ind w:left="800" w:right="140" w:hanging="414"/>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69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43694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As of June 30, 2018</w:t>
            </w:r>
          </w:p>
        </w:tc>
        <w:tc>
          <w:tcPr>
            <w:tcW w:w="1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Actual</w:t>
            </w:r>
          </w:p>
        </w:tc>
        <w:tc>
          <w:tcPr>
            <w:tcW w:w="1640" w:type="dxa"/>
            <w:vAlign w:val="bottom"/>
          </w:tcPr>
          <w:p>
            <w:pPr>
              <w:jc w:val="center"/>
              <w:ind w:right="25"/>
              <w:spacing w:after="0" w:line="119" w:lineRule="exact"/>
              <w:rPr>
                <w:sz w:val="20"/>
                <w:szCs w:val="20"/>
                <w:color w:val="auto"/>
              </w:rPr>
            </w:pPr>
            <w:r>
              <w:rPr>
                <w:rFonts w:ascii="Arial" w:cs="Arial" w:eastAsia="Arial" w:hAnsi="Arial"/>
                <w:sz w:val="13"/>
                <w:szCs w:val="13"/>
                <w:b w:val="1"/>
                <w:bCs w:val="1"/>
                <w:color w:val="auto"/>
              </w:rPr>
              <w:t>Pro</w:t>
            </w:r>
          </w:p>
        </w:tc>
        <w:tc>
          <w:tcPr>
            <w:tcW w:w="122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(2)(3)</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1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w w:val="95"/>
              </w:rPr>
              <w:t>$  16,233</w:t>
            </w:r>
          </w:p>
        </w:tc>
        <w:tc>
          <w:tcPr>
            <w:tcW w:w="1640" w:type="dxa"/>
            <w:vAlign w:val="bottom"/>
          </w:tcPr>
          <w:p>
            <w:pPr>
              <w:ind w:left="440"/>
              <w:spacing w:after="0"/>
              <w:rPr>
                <w:sz w:val="20"/>
                <w:szCs w:val="20"/>
                <w:color w:val="auto"/>
              </w:rPr>
            </w:pPr>
            <w:r>
              <w:rPr>
                <w:rFonts w:ascii="Arial" w:cs="Arial" w:eastAsia="Arial" w:hAnsi="Arial"/>
                <w:sz w:val="18"/>
                <w:szCs w:val="18"/>
                <w:color w:val="auto"/>
              </w:rPr>
              <w:t>$</w:t>
            </w:r>
          </w:p>
        </w:tc>
        <w:tc>
          <w:tcPr>
            <w:tcW w:w="1220" w:type="dxa"/>
            <w:vAlign w:val="bottom"/>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20,040</w:t>
            </w: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29,913</w:t>
            </w: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646</w:t>
            </w: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Total long-term borrowings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38,834</w:t>
            </w: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47,068</w:t>
            </w: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118,548</w:t>
            </w: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 equity</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(135,703)</w:t>
            </w:r>
          </w:p>
        </w:tc>
        <w:tc>
          <w:tcPr>
            <w:tcW w:w="1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 forma column reflects (i) the conversion of all outstanding shares of our preferred stock into an aggregate of 217,201,525 shares of</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640" w:type="dxa"/>
            <w:vAlign w:val="bottom"/>
            <w:gridSpan w:val="7"/>
          </w:tcPr>
          <w:p>
            <w:pPr>
              <w:ind w:left="100"/>
              <w:spacing w:after="0"/>
              <w:rPr>
                <w:sz w:val="20"/>
                <w:szCs w:val="20"/>
                <w:color w:val="auto"/>
              </w:rPr>
            </w:pPr>
            <w:r>
              <w:rPr>
                <w:rFonts w:ascii="Arial" w:cs="Arial" w:eastAsia="Arial" w:hAnsi="Arial"/>
                <w:sz w:val="18"/>
                <w:szCs w:val="18"/>
                <w:color w:val="auto"/>
              </w:rPr>
              <w:t>common stock immediately prior to the closing of this offering, (ii) the issuance of</w:t>
            </w:r>
          </w:p>
        </w:tc>
        <w:tc>
          <w:tcPr>
            <w:tcW w:w="3900" w:type="dxa"/>
            <w:vAlign w:val="bottom"/>
          </w:tcPr>
          <w:p>
            <w:pPr>
              <w:jc w:val="right"/>
              <w:ind w:right="230"/>
              <w:spacing w:after="0"/>
              <w:rPr>
                <w:sz w:val="20"/>
                <w:szCs w:val="20"/>
                <w:color w:val="auto"/>
              </w:rPr>
            </w:pPr>
            <w:r>
              <w:rPr>
                <w:rFonts w:ascii="Arial" w:cs="Arial" w:eastAsia="Arial" w:hAnsi="Arial"/>
                <w:sz w:val="18"/>
                <w:szCs w:val="18"/>
                <w:color w:val="auto"/>
                <w:w w:val="92"/>
              </w:rPr>
              <w:t>shares of common stock upon the automatic net</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6"/>
              </w:rPr>
              <w:t>exercise of outstanding warrants, with an exercise price of $0.51 per share, immediately prior to the closing of this offering, assuming an</w:t>
            </w:r>
          </w:p>
        </w:tc>
      </w:tr>
      <w:tr>
        <w:trPr>
          <w:trHeight w:val="216"/>
        </w:trPr>
        <w:tc>
          <w:tcPr>
            <w:tcW w:w="500" w:type="dxa"/>
            <w:vAlign w:val="bottom"/>
          </w:tcPr>
          <w:p>
            <w:pPr>
              <w:spacing w:after="0"/>
              <w:rPr>
                <w:sz w:val="18"/>
                <w:szCs w:val="18"/>
                <w:color w:val="auto"/>
              </w:rPr>
            </w:pP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rPr>
              <w:t>initial public offering price of $</w:t>
            </w:r>
          </w:p>
        </w:tc>
        <w:tc>
          <w:tcPr>
            <w:tcW w:w="7980" w:type="dxa"/>
            <w:vAlign w:val="bottom"/>
            <w:gridSpan w:val="5"/>
          </w:tcPr>
          <w:p>
            <w:pPr>
              <w:jc w:val="right"/>
              <w:ind w:right="470"/>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 prospectus, and</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7"/>
              </w:rPr>
              <w:t>(iii) the reclassification of our preferred stock warrant liability to additional paid-in capital immediately prior to the closing of this offering.</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700" w:type="dxa"/>
            <w:vAlign w:val="bottom"/>
            <w:gridSpan w:val="5"/>
          </w:tcPr>
          <w:p>
            <w:pPr>
              <w:ind w:left="100"/>
              <w:spacing w:after="0"/>
              <w:rPr>
                <w:sz w:val="20"/>
                <w:szCs w:val="20"/>
                <w:color w:val="auto"/>
              </w:rPr>
            </w:pPr>
            <w:r>
              <w:rPr>
                <w:rFonts w:ascii="Arial" w:cs="Arial" w:eastAsia="Arial" w:hAnsi="Arial"/>
                <w:sz w:val="18"/>
                <w:szCs w:val="18"/>
                <w:color w:val="auto"/>
                <w:w w:val="95"/>
              </w:rPr>
              <w:t>The pro forma as adjusted column further reflects the sale of</w:t>
            </w:r>
          </w:p>
        </w:tc>
        <w:tc>
          <w:tcPr>
            <w:tcW w:w="5840" w:type="dxa"/>
            <w:vAlign w:val="bottom"/>
            <w:gridSpan w:val="3"/>
          </w:tcPr>
          <w:p>
            <w:pPr>
              <w:jc w:val="right"/>
              <w:ind w:right="470"/>
              <w:spacing w:after="0"/>
              <w:rPr>
                <w:sz w:val="20"/>
                <w:szCs w:val="20"/>
                <w:color w:val="auto"/>
              </w:rPr>
            </w:pPr>
            <w:r>
              <w:rPr>
                <w:rFonts w:ascii="Arial" w:cs="Arial" w:eastAsia="Arial" w:hAnsi="Arial"/>
                <w:sz w:val="18"/>
                <w:szCs w:val="18"/>
                <w:color w:val="auto"/>
              </w:rPr>
              <w:t>shares of common stock in this offering, assuming an initial public</w:t>
            </w:r>
          </w:p>
        </w:tc>
      </w:tr>
      <w:tr>
        <w:trPr>
          <w:trHeight w:val="216"/>
        </w:trPr>
        <w:tc>
          <w:tcPr>
            <w:tcW w:w="5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8940" w:type="dxa"/>
            <w:vAlign w:val="bottom"/>
            <w:gridSpan w:val="6"/>
          </w:tcPr>
          <w:p>
            <w:pPr>
              <w:jc w:val="right"/>
              <w:ind w:right="610"/>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 prospectus, after deducting</w:t>
            </w:r>
          </w:p>
        </w:tc>
      </w:tr>
      <w:tr>
        <w:trPr>
          <w:trHeight w:val="216"/>
        </w:trPr>
        <w:tc>
          <w:tcPr>
            <w:tcW w:w="500" w:type="dxa"/>
            <w:vAlign w:val="bottom"/>
          </w:tcPr>
          <w:p>
            <w:pPr>
              <w:spacing w:after="0"/>
              <w:rPr>
                <w:sz w:val="18"/>
                <w:szCs w:val="18"/>
                <w:color w:val="auto"/>
              </w:rPr>
            </w:pPr>
          </w:p>
        </w:tc>
        <w:tc>
          <w:tcPr>
            <w:tcW w:w="6640" w:type="dxa"/>
            <w:vAlign w:val="bottom"/>
            <w:gridSpan w:val="7"/>
          </w:tcPr>
          <w:p>
            <w:pPr>
              <w:ind w:left="100"/>
              <w:spacing w:after="0"/>
              <w:rPr>
                <w:sz w:val="20"/>
                <w:szCs w:val="20"/>
                <w:color w:val="auto"/>
              </w:rPr>
            </w:pPr>
            <w:r>
              <w:rPr>
                <w:rFonts w:ascii="Arial" w:cs="Arial" w:eastAsia="Arial" w:hAnsi="Arial"/>
                <w:sz w:val="18"/>
                <w:szCs w:val="18"/>
                <w:color w:val="auto"/>
                <w:w w:val="91"/>
              </w:rPr>
              <w:t>underwriting discounts and commissions and estimated offering expenses payable by us.</w:t>
            </w:r>
          </w:p>
        </w:tc>
        <w:tc>
          <w:tcPr>
            <w:tcW w:w="3900" w:type="dxa"/>
            <w:vAlign w:val="bottom"/>
          </w:tcPr>
          <w:p>
            <w:pPr>
              <w:spacing w:after="0"/>
              <w:rPr>
                <w:sz w:val="18"/>
                <w:szCs w:val="18"/>
                <w:color w:val="auto"/>
              </w:rPr>
            </w:pP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720" w:type="dxa"/>
            <w:vAlign w:val="bottom"/>
            <w:gridSpan w:val="6"/>
          </w:tcPr>
          <w:p>
            <w:pPr>
              <w:ind w:left="10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820" w:type="dxa"/>
            <w:vAlign w:val="bottom"/>
            <w:gridSpan w:val="2"/>
          </w:tcPr>
          <w:p>
            <w:pPr>
              <w:jc w:val="right"/>
              <w:ind w:right="290"/>
              <w:spacing w:after="0"/>
              <w:rPr>
                <w:sz w:val="20"/>
                <w:szCs w:val="20"/>
                <w:color w:val="auto"/>
              </w:rPr>
            </w:pPr>
            <w:r>
              <w:rPr>
                <w:rFonts w:ascii="Arial" w:cs="Arial" w:eastAsia="Arial" w:hAnsi="Arial"/>
                <w:sz w:val="18"/>
                <w:szCs w:val="18"/>
                <w:color w:val="auto"/>
                <w:w w:val="94"/>
              </w:rPr>
              <w:t>per share, which is the midpoint of the price range set forth</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4"/>
              </w:rPr>
              <w:t>on the cover page of this prospectus, would increase (decrease) each of pro forma as adjusted cash and cash equivalents, working capital,</w:t>
            </w:r>
          </w:p>
        </w:tc>
      </w:tr>
      <w:tr>
        <w:trPr>
          <w:trHeight w:val="216"/>
        </w:trPr>
        <w:tc>
          <w:tcPr>
            <w:tcW w:w="500" w:type="dxa"/>
            <w:vAlign w:val="bottom"/>
          </w:tcPr>
          <w:p>
            <w:pPr>
              <w:spacing w:after="0"/>
              <w:rPr>
                <w:sz w:val="18"/>
                <w:szCs w:val="18"/>
                <w:color w:val="auto"/>
              </w:rPr>
            </w:pPr>
          </w:p>
        </w:tc>
        <w:tc>
          <w:tcPr>
            <w:tcW w:w="3660" w:type="dxa"/>
            <w:vAlign w:val="bottom"/>
            <w:gridSpan w:val="4"/>
          </w:tcPr>
          <w:p>
            <w:pPr>
              <w:ind w:left="100"/>
              <w:spacing w:after="0"/>
              <w:rPr>
                <w:sz w:val="20"/>
                <w:szCs w:val="20"/>
                <w:color w:val="auto"/>
              </w:rPr>
            </w:pPr>
            <w:r>
              <w:rPr>
                <w:rFonts w:ascii="Arial" w:cs="Arial" w:eastAsia="Arial" w:hAnsi="Arial"/>
                <w:sz w:val="18"/>
                <w:szCs w:val="18"/>
                <w:color w:val="auto"/>
                <w:w w:val="95"/>
              </w:rPr>
              <w:t>total assets, and total stockholders’ equity by $</w:t>
            </w:r>
          </w:p>
        </w:tc>
        <w:tc>
          <w:tcPr>
            <w:tcW w:w="6880" w:type="dxa"/>
            <w:vAlign w:val="bottom"/>
            <w:gridSpan w:val="4"/>
          </w:tcPr>
          <w:p>
            <w:pPr>
              <w:jc w:val="right"/>
              <w:ind w:right="250"/>
              <w:spacing w:after="0"/>
              <w:rPr>
                <w:sz w:val="20"/>
                <w:szCs w:val="20"/>
                <w:color w:val="auto"/>
              </w:rPr>
            </w:pPr>
            <w:r>
              <w:rPr>
                <w:rFonts w:ascii="Arial" w:cs="Arial" w:eastAsia="Arial" w:hAnsi="Arial"/>
                <w:sz w:val="18"/>
                <w:szCs w:val="18"/>
                <w:color w:val="auto"/>
                <w:w w:val="92"/>
              </w:rPr>
              <w:t>million, assuming the number of shares we are offering, as set forth on the cover page of</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3"/>
              </w:rPr>
              <w:t>this prospectus, remains the same, after deducting underwriting discounts and commissions and estimated offering expenses payable by us.</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2"/>
              </w:rPr>
              <w:t>We may also increase or decrease the number of shares we are offering. An increase (decrease) of 1,000,000 in the number of shares offered</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1"/>
              </w:rPr>
              <w:t>by us would increase (decrease) each of pro forma as adjusted cash and cash equivalents, working capital, total assets, and total stockholders’</w:t>
            </w:r>
          </w:p>
        </w:tc>
      </w:tr>
      <w:tr>
        <w:trPr>
          <w:trHeight w:val="216"/>
        </w:trPr>
        <w:tc>
          <w:tcPr>
            <w:tcW w:w="50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equity by $</w:t>
            </w:r>
          </w:p>
        </w:tc>
        <w:tc>
          <w:tcPr>
            <w:tcW w:w="9440" w:type="dxa"/>
            <w:vAlign w:val="bottom"/>
            <w:gridSpan w:val="7"/>
          </w:tcPr>
          <w:p>
            <w:pPr>
              <w:jc w:val="right"/>
              <w:ind w:right="470"/>
              <w:spacing w:after="0"/>
              <w:rPr>
                <w:sz w:val="20"/>
                <w:szCs w:val="20"/>
                <w:color w:val="auto"/>
              </w:rPr>
            </w:pPr>
            <w:r>
              <w:rPr>
                <w:rFonts w:ascii="Arial" w:cs="Arial" w:eastAsia="Arial" w:hAnsi="Arial"/>
                <w:sz w:val="18"/>
                <w:szCs w:val="18"/>
                <w:color w:val="auto"/>
                <w:w w:val="93"/>
              </w:rPr>
              <w:t>million, assuming the initial public offering price per share remains the same, after deducting underwriting discounts and</w:t>
            </w:r>
          </w:p>
        </w:tc>
      </w:tr>
      <w:tr>
        <w:trPr>
          <w:trHeight w:val="216"/>
        </w:trPr>
        <w:tc>
          <w:tcPr>
            <w:tcW w:w="500" w:type="dxa"/>
            <w:vAlign w:val="bottom"/>
          </w:tcPr>
          <w:p>
            <w:pPr>
              <w:spacing w:after="0"/>
              <w:rPr>
                <w:sz w:val="18"/>
                <w:szCs w:val="18"/>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w w:val="94"/>
              </w:rPr>
              <w:t>commissions. The pro forma as adjusted information is illustrative only, and we will adjust this information based on the actual initial public</w:t>
            </w:r>
          </w:p>
        </w:tc>
      </w:tr>
      <w:tr>
        <w:trPr>
          <w:trHeight w:val="230"/>
        </w:trPr>
        <w:tc>
          <w:tcPr>
            <w:tcW w:w="500" w:type="dxa"/>
            <w:vAlign w:val="bottom"/>
          </w:tcPr>
          <w:p>
            <w:pPr>
              <w:spacing w:after="0"/>
              <w:rPr>
                <w:sz w:val="20"/>
                <w:szCs w:val="20"/>
                <w:color w:val="auto"/>
              </w:rPr>
            </w:pPr>
          </w:p>
        </w:tc>
        <w:tc>
          <w:tcPr>
            <w:tcW w:w="10540" w:type="dxa"/>
            <w:vAlign w:val="bottom"/>
            <w:gridSpan w:val="8"/>
          </w:tcPr>
          <w:p>
            <w:pPr>
              <w:ind w:left="100"/>
              <w:spacing w:after="0"/>
              <w:rPr>
                <w:sz w:val="20"/>
                <w:szCs w:val="20"/>
                <w:color w:val="auto"/>
              </w:rPr>
            </w:pPr>
            <w:r>
              <w:rPr>
                <w:rFonts w:ascii="Arial" w:cs="Arial" w:eastAsia="Arial" w:hAnsi="Arial"/>
                <w:sz w:val="18"/>
                <w:szCs w:val="18"/>
                <w:color w:val="auto"/>
              </w:rPr>
              <w:t>offering price, number of shares offered, and other terms of this offering determined at pricing.</w:t>
            </w:r>
          </w:p>
        </w:tc>
      </w:tr>
      <w:tr>
        <w:trPr>
          <w:trHeight w:val="240"/>
        </w:trPr>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r>
      <w:tr>
        <w:trPr>
          <w:trHeight w:val="604"/>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incurred net losses since our inception in 2008. For 2017 and the six months ended June 30, 2018, we had net losses of $23.0 million and $7.3 million, respectively. As of June 30, 2018, we had an accumulated deficit of $147.1 million. To date, we have financed our operations primarily through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recurring losses from operations and negative cash flows raise substantial doubt about our ability to continue as a going concern. In addition, our credit facility agreement requires us to comply with certain financial covenants, including minimum liquidity, revenue, and earnings targets. As a result, our independent registered public accounting firm included an explanatory paragraph in its report on our financial statements as of, and for the year ended, December 31, 2017, describing the existence of substantial doubt about our ability to continue as a going concern. We believe that the successful completion of this offering will eliminate this doubt and enable us to continue as a going concern; however, if we are unable to raise sufficient capital in this offering, we may need to obtain alternative financing or significantly modify our operational plans for us to continue as a going concern. 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55" w:lineRule="exact"/>
        <w:rPr>
          <w:sz w:val="20"/>
          <w:szCs w:val="20"/>
          <w:color w:val="auto"/>
        </w:rPr>
      </w:pPr>
    </w:p>
    <w:p>
      <w:pPr>
        <w:ind w:left="200" w:right="38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6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Many private payors refer to coverage decisions and payment amounts determined by the Centers for Medicare and Medicaid Services, or CMS, which administers the Medicare program, as guidelines for setting their coverage and reimbursement policies. By June 30,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6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timely manner, if at all. Our failure to receive such approvals would negatively impact market acceptance of our products in the international markets in which those approvals are sought.</w:t>
      </w:r>
    </w:p>
    <w:p>
      <w:pPr>
        <w:spacing w:after="0" w:line="27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3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surgery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2018, the national average Medicare payment to hospital outpatient departments is $15,371. Effective January 1, 2018, the Medicare payment to an ambulatory surgery center for a sacroiliac joint fusion is $12,456.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2018,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We believe that some surgeons view the current Medicare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July 31, 2018, 23 of the largest 66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in June 2018, the public hospital system in France announced it will initiate coverage for iFuse exclusively beginning September 1, 2018. We believe that payors have adopted these exclusive coverage decisions due to the strength of our clinical evidence and in part due to recommendations of specialty benefit managers and healthcare technology assessment organizations. In the first six months of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86"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8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The number of competitors that we are aware of marketing sacroiliac joint fusion products in the United States has grown from zero to 18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9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5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currently manufacture and sell products used in a single procedure, which could negatively affect our operations and financial condition.</w:t>
      </w:r>
    </w:p>
    <w:p>
      <w:pPr>
        <w:spacing w:after="0" w:line="14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June 30, 2018, our U.S. sales force consisted of 45 sales representatives directly employed by us and 30 third-party distributors. As of June 30, 2018, our international sales force consisted of 18 sales representatives and 27 exclusive third-party distributors, which together have had sales in 33 countries through June 30, 2018. Our operating results are directly dependent upon the sales and marketing efforts of both our direct sales force and of our third-party distributors.</w:t>
      </w:r>
    </w:p>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6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a limited operating history and may face difficulties encountered by early stage companies in new and rapidly evolving markets.</w:t>
      </w:r>
    </w:p>
    <w:p>
      <w:pPr>
        <w:spacing w:after="0" w:line="140"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2"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7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7"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 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you that we will be able to obtain sufficient quantities of product in the future.</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our iFuse implants and one supplier, rms Company, for our second-generation iFuse-3D implants. Our dependence on such a limited number of suppliers exposes us to risks, including, among other things:</w:t>
      </w:r>
    </w:p>
    <w:p>
      <w:pPr>
        <w:spacing w:after="0" w:line="87" w:lineRule="exact"/>
        <w:rPr>
          <w:sz w:val="20"/>
          <w:szCs w:val="20"/>
          <w:color w:val="auto"/>
        </w:rPr>
      </w:pPr>
    </w:p>
    <w:p>
      <w:pPr>
        <w:ind w:left="1060" w:right="120" w:hanging="424"/>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1" w:lineRule="exact"/>
        <w:rPr>
          <w:rFonts w:ascii="Arial" w:cs="Arial" w:eastAsia="Arial" w:hAnsi="Arial"/>
          <w:sz w:val="17"/>
          <w:szCs w:val="17"/>
          <w:color w:val="auto"/>
        </w:rPr>
      </w:pPr>
    </w:p>
    <w:p>
      <w:pPr>
        <w:ind w:left="1060" w:right="140" w:hanging="424"/>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51"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53" w:lineRule="exact"/>
        <w:rPr>
          <w:rFonts w:ascii="Arial" w:cs="Arial" w:eastAsia="Arial" w:hAnsi="Arial"/>
          <w:sz w:val="16"/>
          <w:szCs w:val="16"/>
          <w:color w:val="auto"/>
        </w:rPr>
      </w:pPr>
    </w:p>
    <w:p>
      <w:pPr>
        <w:ind w:left="1060" w:right="12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8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65"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8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7"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4"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some of the countries in which we sell or plan to sell our products are, to some degree, subject to various risks, including:</w:t>
      </w:r>
    </w:p>
    <w:p>
      <w:pPr>
        <w:spacing w:after="0" w:line="142"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5620" w:right="4560" w:hanging="4984"/>
        <w:spacing w:after="0" w:line="449"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 29</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6"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77" w:lineRule="exact"/>
        <w:rPr>
          <w:sz w:val="20"/>
          <w:szCs w:val="20"/>
          <w:color w:val="auto"/>
        </w:rPr>
      </w:pPr>
    </w:p>
    <w:p>
      <w:pPr>
        <w:ind w:left="200" w:right="2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7"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8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30" w:lineRule="exact"/>
        <w:rPr>
          <w:rFonts w:ascii="Arial" w:cs="Arial" w:eastAsia="Arial" w:hAnsi="Arial"/>
          <w:sz w:val="18"/>
          <w:szCs w:val="18"/>
          <w:color w:val="auto"/>
        </w:rPr>
      </w:pPr>
    </w:p>
    <w:p>
      <w:pPr>
        <w:ind w:left="5620" w:right="4800" w:hanging="4984"/>
        <w:spacing w:after="0" w:line="536" w:lineRule="auto"/>
        <w:tabs>
          <w:tab w:leader="none" w:pos="10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testing, labeling, content, and language of instructions for use and storage; 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7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1"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Failure to comply with applicable regulations could jeopardize our ability to sell our products and result in enforcement actions such as:</w:t>
      </w:r>
    </w:p>
    <w:p>
      <w:pPr>
        <w:spacing w:after="0" w:line="142"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8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81"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1060" w:right="160" w:hanging="424"/>
        <w:spacing w:after="0" w:line="259"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1060" w:right="40" w:hanging="424"/>
        <w:spacing w:after="0" w:line="255"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98" w:lineRule="exact"/>
        <w:rPr>
          <w:rFonts w:ascii="Arial" w:cs="Arial" w:eastAsia="Arial" w:hAnsi="Arial"/>
          <w:sz w:val="18"/>
          <w:szCs w:val="18"/>
          <w:color w:val="auto"/>
        </w:rPr>
      </w:pPr>
    </w:p>
    <w:p>
      <w:pPr>
        <w:ind w:left="1060" w:right="40" w:hanging="424"/>
        <w:spacing w:after="0" w:line="297"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3" w:lineRule="exact"/>
        <w:rPr>
          <w:rFonts w:ascii="Arial" w:cs="Arial" w:eastAsia="Arial" w:hAnsi="Arial"/>
          <w:sz w:val="16"/>
          <w:szCs w:val="16"/>
          <w:color w:val="auto"/>
        </w:rPr>
      </w:pPr>
    </w:p>
    <w:p>
      <w:pPr>
        <w:ind w:left="1060" w:right="80" w:hanging="424"/>
        <w:spacing w:after="0" w:line="276"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77" w:lineRule="exact"/>
        <w:rPr>
          <w:rFonts w:ascii="Arial" w:cs="Arial" w:eastAsia="Arial" w:hAnsi="Arial"/>
          <w:sz w:val="17"/>
          <w:szCs w:val="17"/>
          <w:color w:val="auto"/>
        </w:rPr>
      </w:pPr>
    </w:p>
    <w:p>
      <w:pPr>
        <w:ind w:left="1060" w:hanging="424"/>
        <w:spacing w:after="0" w:line="27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 Additional information about these laws is provided in “Business—Regulation.”</w:t>
      </w:r>
    </w:p>
    <w:p>
      <w:pPr>
        <w:spacing w:after="0" w:line="147" w:lineRule="exact"/>
        <w:rPr>
          <w:sz w:val="20"/>
          <w:szCs w:val="20"/>
          <w:color w:val="auto"/>
        </w:rPr>
      </w:pPr>
    </w:p>
    <w:p>
      <w:pPr>
        <w:ind w:left="200" w:right="300" w:firstLine="441"/>
        <w:spacing w:after="0" w:line="291"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w:t>
      </w:r>
    </w:p>
    <w:p>
      <w:pPr>
        <w:ind w:left="200" w:right="80"/>
        <w:spacing w:after="0" w:line="269" w:lineRule="auto"/>
        <w:rPr>
          <w:sz w:val="20"/>
          <w:szCs w:val="20"/>
          <w:color w:val="auto"/>
        </w:rPr>
      </w:pPr>
      <w:r>
        <w:rPr>
          <w:rFonts w:ascii="Arial" w:cs="Arial" w:eastAsia="Arial" w:hAnsi="Arial"/>
          <w:sz w:val="17"/>
          <w:szCs w:val="17"/>
          <w:color w:val="auto"/>
        </w:rPr>
        <w:t>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18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3"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will supersede current EU data protection legislation, impose more stringent EU data protection requirements and provide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5"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62"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8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at 12-months post-implantation.” Moreover, iFuse is one of the few devices regulated through the class II pathway that has claims for clinical improvements. iFuse-3D, which was FDA-cleared in 2017, has a very similar indication statement but does not have the statement regarding improvement in pain, function and disability.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3"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6" w:lineRule="exact"/>
        <w:rPr>
          <w:sz w:val="20"/>
          <w:szCs w:val="20"/>
          <w:color w:val="auto"/>
        </w:rPr>
      </w:pPr>
    </w:p>
    <w:p>
      <w:pPr>
        <w:ind w:left="200" w:right="160"/>
        <w:spacing w:after="0" w:line="375" w:lineRule="auto"/>
        <w:rPr>
          <w:sz w:val="20"/>
          <w:szCs w:val="20"/>
          <w:color w:val="auto"/>
        </w:rPr>
      </w:pPr>
      <w:r>
        <w:rPr>
          <w:rFonts w:ascii="Arial" w:cs="Arial" w:eastAsia="Arial" w:hAnsi="Arial"/>
          <w:sz w:val="15"/>
          <w:szCs w:val="15"/>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9"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96" w:lineRule="exact"/>
        <w:rPr>
          <w:sz w:val="20"/>
          <w:szCs w:val="20"/>
          <w:color w:val="auto"/>
        </w:rPr>
      </w:pPr>
    </w:p>
    <w:p>
      <w:pPr>
        <w:ind w:left="200" w:right="34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95"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Moreover, the policies of the Trump Administration and their impact on the regulation of our products in the United States remain uncertain. The outcome of the 2016 election and the forthcoming 2018 mid-term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99"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30" w:lineRule="exact"/>
        <w:rPr>
          <w:rFonts w:ascii="Arial" w:cs="Arial" w:eastAsia="Arial" w:hAnsi="Arial"/>
          <w:sz w:val="18"/>
          <w:szCs w:val="18"/>
          <w:color w:val="auto"/>
        </w:rPr>
      </w:pPr>
    </w:p>
    <w:p>
      <w:pPr>
        <w:jc w:val="both"/>
        <w:ind w:left="1060" w:right="60" w:hanging="424"/>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and appear likely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 In July 2018, the U.S. House of Representatives voted to repeal this tax. The U.S. Senate is expected to vote on the matter in the fourth quarter of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June 30, 2018, we owned 34 issued U.S. patents and had 11 pending U.S. patent applications, and we owned six issued foreign patents and had seven pending foreign patent applications. As of June 30, 2018, we have 12 registered trademarks in the United States and have filed for one more. We have sought protection for at least two of these trademarks in 60 countries including the 28 European member countries of the Madrid Protocol.</w:t>
      </w:r>
    </w:p>
    <w:p>
      <w:pPr>
        <w:spacing w:after="0" w:line="188"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 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6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86"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7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necessary licenses on commercially reasonable terms, our customers and third-party distributors may be forced to stop using or selling our products.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Prior to this offering, there has been no public market for our common stock, and medical device stocks have historically experienced volatility. The trading price of our common stock following this offering may fluctuate substantially. Following the closing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78"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97"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that these sales could occur, could adversely affect the market price of our common stock, and may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make it more difficult for you to sell your common stock at a time and price that you deem appropriate. Based on the total number of outstanding shares</w:t>
      </w:r>
    </w:p>
    <w:p>
      <w:pPr>
        <w:spacing w:after="0" w:line="46"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of our common stock as of June 30, 2018, upon the closing of this offering, we will have shares of common stock outstanding. All of the shares of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9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Subject to certain exceptions, we, our directors and officers and the holders of substantially all of our capital stock, warrants and stock options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9"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Based on shares outstanding as of June 30, 2018, the holders of 217,201,525 shares, or approximately %,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89"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directors, executive officers, and each of our stockholders that own greater than 5% of our outstanding common stock, in the aggregate, will beneficially own approximately % of the outstanding shares of our common stock after this offering, based on the number of shares outstanding as of June 30, 2018. 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86"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As of December 31, 2017, we had net operating loss, or NOL, carryforwards of approximately $124.9 million and $101.7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Internal Revenue Code of 1986, as amended, or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may experience ownership changes in the future as a result of subsequent shifts in our stock ownership, including this offering, some of which may be outside of our control. If a future ownership change occurs, our ability to use our NOL tax credit carryforwards may be materially limited, which would harm our future operating results by effectively increasing our future tax obligations.</w:t>
      </w:r>
    </w:p>
    <w:p>
      <w:pPr>
        <w:spacing w:after="0" w:line="29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hired additional employees to comply with these requirements, we may need to hire even more employees in the future, which will increase our costs and expenses.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1060" w:right="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297"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w:t>
      </w:r>
    </w:p>
    <w:p>
      <w:pPr>
        <w:ind w:left="200"/>
        <w:spacing w:after="0"/>
        <w:tabs>
          <w:tab w:leader="none" w:pos="6940" w:val="left"/>
        </w:tabs>
        <w:rPr>
          <w:sz w:val="20"/>
          <w:szCs w:val="20"/>
          <w:color w:val="auto"/>
        </w:rPr>
      </w:pPr>
      <w:r>
        <w:rPr>
          <w:rFonts w:ascii="Arial" w:cs="Arial" w:eastAsia="Arial" w:hAnsi="Arial"/>
          <w:sz w:val="18"/>
          <w:szCs w:val="18"/>
          <w:color w:val="auto"/>
        </w:rPr>
        <w:t>shares of our common stock in this offering, you will experience immediate dilution of $</w:t>
      </w:r>
      <w:r>
        <w:rPr>
          <w:sz w:val="20"/>
          <w:szCs w:val="20"/>
          <w:color w:val="auto"/>
        </w:rPr>
        <w:tab/>
      </w:r>
      <w:r>
        <w:rPr>
          <w:rFonts w:ascii="Arial" w:cs="Arial" w:eastAsia="Arial" w:hAnsi="Arial"/>
          <w:sz w:val="16"/>
          <w:szCs w:val="16"/>
          <w:color w:val="auto"/>
        </w:rPr>
        <w:t>per share, the difference between the assumed limited</w:t>
      </w:r>
    </w:p>
    <w:p>
      <w:pPr>
        <w:spacing w:after="0" w:line="9"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public offering price of $ per share, which is the midpoint of the range as set forth on the cover page of this prospectus, after deducting underwriting discounts and commissions and estimated offering expenses payable by us, and the pro forma as adjusted net tangible book value per share of our</w:t>
      </w:r>
    </w:p>
    <w:p>
      <w:pPr>
        <w:spacing w:after="0" w:line="1" w:lineRule="exact"/>
        <w:rPr>
          <w:sz w:val="20"/>
          <w:szCs w:val="20"/>
          <w:color w:val="auto"/>
        </w:rPr>
      </w:pPr>
    </w:p>
    <w:p>
      <w:pPr>
        <w:ind w:left="200"/>
        <w:spacing w:after="0"/>
        <w:tabs>
          <w:tab w:leader="none" w:pos="2120" w:val="left"/>
        </w:tabs>
        <w:rPr>
          <w:sz w:val="20"/>
          <w:szCs w:val="20"/>
          <w:color w:val="auto"/>
        </w:rPr>
      </w:pPr>
      <w:r>
        <w:rPr>
          <w:rFonts w:ascii="Arial" w:cs="Arial" w:eastAsia="Arial" w:hAnsi="Arial"/>
          <w:sz w:val="18"/>
          <w:szCs w:val="18"/>
          <w:color w:val="auto"/>
        </w:rPr>
        <w:t>common stock as of $</w:t>
      </w:r>
      <w:r>
        <w:rPr>
          <w:sz w:val="20"/>
          <w:szCs w:val="20"/>
          <w:color w:val="auto"/>
        </w:rPr>
        <w:tab/>
      </w:r>
      <w:r>
        <w:rPr>
          <w:rFonts w:ascii="Arial" w:cs="Arial" w:eastAsia="Arial" w:hAnsi="Arial"/>
          <w:sz w:val="16"/>
          <w:szCs w:val="16"/>
          <w:color w:val="auto"/>
        </w:rPr>
        <w:t>, immediately after giving effect to the issuance of shares of our common stock in this offering. See “Dilution.”</w:t>
      </w:r>
    </w:p>
    <w:p>
      <w:pPr>
        <w:spacing w:after="0" w:line="31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Borrowings under our credit facility are secured by substantially all of our assets. Our credit facility also restricts our ability to, among other things:</w:t>
      </w:r>
    </w:p>
    <w:p>
      <w:pPr>
        <w:spacing w:after="0" w:line="76"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22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8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closing of this offering contain provisions that could delay or prevent a change in control of our company. These provisions could also make it difficult for stockholders to elect directors that are not nominated by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current members of our board of directors or take other corporate actions, including effecting changes in our management. These provisions include:</w:t>
      </w:r>
    </w:p>
    <w:p>
      <w:pPr>
        <w:spacing w:after="0" w:line="154" w:lineRule="exact"/>
        <w:rPr>
          <w:sz w:val="20"/>
          <w:szCs w:val="20"/>
          <w:color w:val="auto"/>
        </w:rPr>
      </w:pPr>
    </w:p>
    <w:p>
      <w:pPr>
        <w:ind w:left="1060" w:right="12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60" w:right="100" w:hanging="424"/>
        <w:spacing w:after="0" w:line="34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1060" w:right="420" w:hanging="424"/>
        <w:spacing w:after="0" w:line="34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86"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rFonts w:ascii="Arial" w:cs="Arial" w:eastAsia="Arial" w:hAnsi="Arial"/>
          <w:sz w:val="18"/>
          <w:szCs w:val="18"/>
          <w:color w:val="auto"/>
        </w:rPr>
      </w:pPr>
    </w:p>
    <w:p>
      <w:pPr>
        <w:ind w:left="1060" w:right="200" w:hanging="424"/>
        <w:spacing w:after="0" w:line="286"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6"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8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7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240" w:top="459" w:right="5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Results of Operations” and “Business.” These forward-looking statements include, but are not limited to, statements concerning the following:</w:t>
      </w:r>
    </w:p>
    <w:p>
      <w:pPr>
        <w:spacing w:after="0" w:line="87" w:lineRule="exact"/>
        <w:rPr>
          <w:sz w:val="20"/>
          <w:szCs w:val="20"/>
          <w:color w:val="auto"/>
        </w:rPr>
      </w:pPr>
    </w:p>
    <w:p>
      <w:pPr>
        <w:ind w:left="1060" w:right="8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the iFuse Implant System, or iFuse;</w:t>
      </w:r>
    </w:p>
    <w:p>
      <w:pPr>
        <w:spacing w:after="0" w:line="75"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the section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58"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58"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USE OF PROCEEDS</w:t>
            </w:r>
          </w:p>
        </w:tc>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4720" w:type="dxa"/>
            <w:vAlign w:val="bottom"/>
            <w:gridSpan w:val="2"/>
          </w:tcPr>
          <w:p>
            <w:pPr>
              <w:ind w:left="640"/>
              <w:spacing w:after="0"/>
              <w:rPr>
                <w:sz w:val="20"/>
                <w:szCs w:val="20"/>
                <w:color w:val="auto"/>
              </w:rPr>
            </w:pPr>
            <w:r>
              <w:rPr>
                <w:rFonts w:ascii="Arial" w:cs="Arial" w:eastAsia="Arial" w:hAnsi="Arial"/>
                <w:sz w:val="18"/>
                <w:szCs w:val="18"/>
                <w:color w:val="auto"/>
                <w:w w:val="93"/>
              </w:rPr>
              <w:t>We estimate that the net proceeds from this offering of</w:t>
            </w:r>
          </w:p>
        </w:tc>
        <w:tc>
          <w:tcPr>
            <w:tcW w:w="4260" w:type="dxa"/>
            <w:vAlign w:val="bottom"/>
            <w:gridSpan w:val="4"/>
          </w:tcPr>
          <w:p>
            <w:pPr>
              <w:ind w:left="580"/>
              <w:spacing w:after="0"/>
              <w:rPr>
                <w:sz w:val="20"/>
                <w:szCs w:val="20"/>
                <w:color w:val="auto"/>
              </w:rPr>
            </w:pPr>
            <w:r>
              <w:rPr>
                <w:rFonts w:ascii="Arial" w:cs="Arial" w:eastAsia="Arial" w:hAnsi="Arial"/>
                <w:sz w:val="18"/>
                <w:szCs w:val="18"/>
                <w:color w:val="auto"/>
                <w:w w:val="95"/>
              </w:rPr>
              <w:t>shares of common stock will be approximately $</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980" w:type="dxa"/>
            <w:vAlign w:val="bottom"/>
          </w:tcPr>
          <w:p>
            <w:pPr>
              <w:ind w:left="180"/>
              <w:spacing w:after="0"/>
              <w:rPr>
                <w:sz w:val="20"/>
                <w:szCs w:val="20"/>
                <w:color w:val="auto"/>
              </w:rPr>
            </w:pPr>
            <w:r>
              <w:rPr>
                <w:rFonts w:ascii="Arial" w:cs="Arial" w:eastAsia="Arial" w:hAnsi="Arial"/>
                <w:sz w:val="18"/>
                <w:szCs w:val="18"/>
                <w:color w:val="auto"/>
              </w:rPr>
              <w:t>million if</w:t>
            </w:r>
          </w:p>
        </w:tc>
      </w:tr>
      <w:tr>
        <w:trPr>
          <w:trHeight w:val="216"/>
        </w:trPr>
        <w:tc>
          <w:tcPr>
            <w:tcW w:w="11200" w:type="dxa"/>
            <w:vAlign w:val="bottom"/>
            <w:gridSpan w:val="8"/>
          </w:tcPr>
          <w:p>
            <w:pPr>
              <w:ind w:left="200"/>
              <w:spacing w:after="0"/>
              <w:rPr>
                <w:sz w:val="20"/>
                <w:szCs w:val="20"/>
                <w:color w:val="auto"/>
              </w:rPr>
            </w:pPr>
            <w:r>
              <w:rPr>
                <w:rFonts w:ascii="Arial" w:cs="Arial" w:eastAsia="Arial" w:hAnsi="Arial"/>
                <w:sz w:val="18"/>
                <w:szCs w:val="18"/>
                <w:color w:val="auto"/>
                <w:w w:val="94"/>
              </w:rPr>
              <w:t>the underwriters exercise their option to purchase additional shares in full, after deducting underwriting discounts and commissions and estimated</w:t>
            </w:r>
          </w:p>
        </w:tc>
      </w:tr>
      <w:tr>
        <w:trPr>
          <w:trHeight w:val="216"/>
        </w:trPr>
        <w:tc>
          <w:tcPr>
            <w:tcW w:w="6000" w:type="dxa"/>
            <w:vAlign w:val="bottom"/>
            <w:gridSpan w:val="4"/>
          </w:tcPr>
          <w:p>
            <w:pPr>
              <w:ind w:left="200"/>
              <w:spacing w:after="0"/>
              <w:rPr>
                <w:sz w:val="20"/>
                <w:szCs w:val="20"/>
                <w:color w:val="auto"/>
              </w:rPr>
            </w:pPr>
            <w:r>
              <w:rPr>
                <w:rFonts w:ascii="Arial" w:cs="Arial" w:eastAsia="Arial" w:hAnsi="Arial"/>
                <w:sz w:val="18"/>
                <w:szCs w:val="18"/>
                <w:color w:val="auto"/>
                <w:w w:val="94"/>
              </w:rPr>
              <w:t>offering expenses payable by us, assuming an initial public offering price of $</w:t>
            </w:r>
          </w:p>
        </w:tc>
        <w:tc>
          <w:tcPr>
            <w:tcW w:w="5200" w:type="dxa"/>
            <w:vAlign w:val="bottom"/>
            <w:gridSpan w:val="4"/>
          </w:tcPr>
          <w:p>
            <w:pPr>
              <w:ind w:left="180"/>
              <w:spacing w:after="0"/>
              <w:rPr>
                <w:sz w:val="20"/>
                <w:szCs w:val="20"/>
                <w:color w:val="auto"/>
              </w:rPr>
            </w:pPr>
            <w:r>
              <w:rPr>
                <w:rFonts w:ascii="Arial" w:cs="Arial" w:eastAsia="Arial" w:hAnsi="Arial"/>
                <w:sz w:val="18"/>
                <w:szCs w:val="18"/>
                <w:color w:val="auto"/>
                <w:w w:val="95"/>
              </w:rPr>
              <w:t>per share, which is the midpoint of the price range set forth on the</w:t>
            </w:r>
          </w:p>
        </w:tc>
      </w:tr>
      <w:tr>
        <w:trPr>
          <w:trHeight w:val="230"/>
        </w:trPr>
        <w:tc>
          <w:tcPr>
            <w:tcW w:w="4720" w:type="dxa"/>
            <w:vAlign w:val="bottom"/>
            <w:gridSpan w:val="2"/>
          </w:tcPr>
          <w:p>
            <w:pPr>
              <w:ind w:left="200"/>
              <w:spacing w:after="0"/>
              <w:rPr>
                <w:sz w:val="20"/>
                <w:szCs w:val="20"/>
                <w:color w:val="auto"/>
              </w:rPr>
            </w:pPr>
            <w:r>
              <w:rPr>
                <w:rFonts w:ascii="Arial" w:cs="Arial" w:eastAsia="Arial" w:hAnsi="Arial"/>
                <w:sz w:val="18"/>
                <w:szCs w:val="18"/>
                <w:color w:val="auto"/>
              </w:rPr>
              <w:t>cover page of this prospectus.</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8"/>
        </w:trPr>
        <w:tc>
          <w:tcPr>
            <w:tcW w:w="6600" w:type="dxa"/>
            <w:vAlign w:val="bottom"/>
            <w:gridSpan w:val="5"/>
          </w:tcPr>
          <w:p>
            <w:pPr>
              <w:ind w:left="64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600" w:type="dxa"/>
            <w:vAlign w:val="bottom"/>
            <w:gridSpan w:val="3"/>
          </w:tcPr>
          <w:p>
            <w:pPr>
              <w:ind w:left="60"/>
              <w:spacing w:after="0"/>
              <w:rPr>
                <w:sz w:val="20"/>
                <w:szCs w:val="20"/>
                <w:color w:val="auto"/>
              </w:rPr>
            </w:pPr>
            <w:r>
              <w:rPr>
                <w:rFonts w:ascii="Arial" w:cs="Arial" w:eastAsia="Arial" w:hAnsi="Arial"/>
                <w:sz w:val="18"/>
                <w:szCs w:val="18"/>
                <w:color w:val="auto"/>
                <w:w w:val="89"/>
              </w:rPr>
              <w:t>per share, the midpoint of the price range set forth on the cover</w:t>
            </w:r>
          </w:p>
        </w:tc>
      </w:tr>
      <w:tr>
        <w:trPr>
          <w:trHeight w:val="230"/>
        </w:trPr>
        <w:tc>
          <w:tcPr>
            <w:tcW w:w="5600" w:type="dxa"/>
            <w:vAlign w:val="bottom"/>
            <w:gridSpan w:val="3"/>
          </w:tcPr>
          <w:p>
            <w:pPr>
              <w:ind w:left="200"/>
              <w:spacing w:after="0"/>
              <w:rPr>
                <w:sz w:val="20"/>
                <w:szCs w:val="20"/>
                <w:color w:val="auto"/>
              </w:rPr>
            </w:pPr>
            <w:r>
              <w:rPr>
                <w:rFonts w:ascii="Arial" w:cs="Arial" w:eastAsia="Arial" w:hAnsi="Arial"/>
                <w:sz w:val="18"/>
                <w:szCs w:val="18"/>
                <w:color w:val="auto"/>
                <w:w w:val="91"/>
              </w:rPr>
              <w:t>page of this prospectus, would increase (decrease) our net proceeds by $</w:t>
            </w:r>
          </w:p>
        </w:tc>
        <w:tc>
          <w:tcPr>
            <w:tcW w:w="5600" w:type="dxa"/>
            <w:vAlign w:val="bottom"/>
            <w:gridSpan w:val="5"/>
          </w:tcPr>
          <w:p>
            <w:pPr>
              <w:ind w:left="180"/>
              <w:spacing w:after="0"/>
              <w:rPr>
                <w:sz w:val="20"/>
                <w:szCs w:val="20"/>
                <w:color w:val="auto"/>
              </w:rPr>
            </w:pPr>
            <w:r>
              <w:rPr>
                <w:rFonts w:ascii="Arial" w:cs="Arial" w:eastAsia="Arial" w:hAnsi="Arial"/>
                <w:sz w:val="18"/>
                <w:szCs w:val="18"/>
                <w:color w:val="auto"/>
                <w:w w:val="93"/>
              </w:rPr>
              <w:t>million, assuming the number of shares offered by us, as set forth on the</w:t>
            </w:r>
          </w:p>
        </w:tc>
      </w:tr>
    </w:tbl>
    <w:p>
      <w:pPr>
        <w:ind w:left="200" w:right="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 page of this prospectus, remains the same, after deducting underwriting discounts and commissions and estimated offering expenses payable by us. Each increase (decrease) by 1,000,000 shares in the number of shares offered by us would increase (decrease) the net proceeds from this offering by</w:t>
      </w:r>
    </w:p>
    <w:p>
      <w:pPr>
        <w:spacing w:after="0" w:line="1" w:lineRule="exact"/>
        <w:rPr>
          <w:sz w:val="20"/>
          <w:szCs w:val="20"/>
          <w:color w:val="auto"/>
        </w:rPr>
      </w:pPr>
    </w:p>
    <w:p>
      <w:pPr>
        <w:ind w:left="640" w:right="840" w:hanging="436"/>
        <w:spacing w:after="0" w:line="437" w:lineRule="auto"/>
        <w:tabs>
          <w:tab w:leader="none" w:pos="6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remains the same, after deducting underwriting discounts and commissions. We expect to use the net proceeds from this offering, as follows:</w:t>
      </w:r>
    </w:p>
    <w:p>
      <w:pPr>
        <w:spacing w:after="0" w:line="1" w:lineRule="exact"/>
        <w:rPr>
          <w:rFonts w:ascii="Arial" w:cs="Arial" w:eastAsia="Arial" w:hAnsi="Arial"/>
          <w:sz w:val="18"/>
          <w:szCs w:val="18"/>
          <w:color w:val="auto"/>
        </w:rPr>
      </w:pPr>
    </w:p>
    <w:p>
      <w:pPr>
        <w:ind w:left="1060" w:hanging="424"/>
        <w:spacing w:after="0" w:line="264"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approximately $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credit facility with Biopharma Credit Investments IV Sub LP, or Pharmakon,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4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2018:</w:t>
      </w:r>
    </w:p>
    <w:p>
      <w:pPr>
        <w:spacing w:after="0" w:line="131" w:lineRule="exact"/>
        <w:rPr>
          <w:sz w:val="20"/>
          <w:szCs w:val="20"/>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1" w:lineRule="exact"/>
        <w:rPr>
          <w:sz w:val="20"/>
          <w:szCs w:val="20"/>
          <w:color w:val="auto"/>
        </w:rPr>
      </w:pPr>
    </w:p>
    <w:p>
      <w:pPr>
        <w:ind w:left="1620" w:right="840" w:hanging="5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217,201,525 shares of common stock immediately prior to the closing of this offering;</w:t>
      </w:r>
    </w:p>
    <w:p>
      <w:pPr>
        <w:sectPr>
          <w:pgSz w:w="11900" w:h="16838" w:orient="portrait"/>
          <w:cols w:equalWidth="0" w:num="1">
            <w:col w:w="11140"/>
          </w:cols>
          <w:pgMar w:left="240" w:top="459" w:right="519" w:bottom="1440" w:gutter="0" w:footer="0" w:header="0"/>
        </w:sectPr>
      </w:pP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issuance of shares of common stock upon the automatic net exercise of outstanding warrants, with an exercise price of $0.51 per share, immediately prior to the closing of this offering, assuming an initial public offering price of $ per share, which is the midpoint of the price range set forth on the cover page of this prospectus;</w:t>
      </w:r>
    </w:p>
    <w:p>
      <w:pPr>
        <w:spacing w:after="0" w:line="87" w:lineRule="exact"/>
        <w:rPr>
          <w:sz w:val="20"/>
          <w:szCs w:val="20"/>
          <w:color w:val="auto"/>
        </w:rPr>
      </w:pPr>
    </w:p>
    <w:p>
      <w:pPr>
        <w:sectPr>
          <w:pgSz w:w="11900" w:h="16838" w:orient="portrait"/>
          <w:cols w:equalWidth="0" w:num="2">
            <w:col w:w="1140" w:space="480"/>
            <w:col w:w="9520"/>
          </w:cols>
          <w:pgMar w:left="240" w:top="459" w:right="519" w:bottom="1440" w:gutter="0" w:footer="0" w:header="0"/>
          <w:type w:val="continuous"/>
        </w:sectPr>
      </w:pPr>
    </w:p>
    <w:p>
      <w:pPr>
        <w:ind w:left="1620" w:right="480" w:hanging="538"/>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reclassification of our preferred stock warrant liability to additional paid-in capital immediately prior to the closing of this offering;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upon the closing of this offering; and</w:t>
      </w:r>
    </w:p>
    <w:p>
      <w:pPr>
        <w:sectPr>
          <w:pgSz w:w="11900" w:h="16838" w:orient="portrait"/>
          <w:cols w:equalWidth="0" w:num="1">
            <w:col w:w="11140"/>
          </w:cols>
          <w:pgMar w:left="240" w:top="459" w:right="519" w:bottom="1440" w:gutter="0" w:footer="0" w:header="0"/>
          <w:type w:val="continuous"/>
        </w:sectPr>
      </w:pPr>
    </w:p>
    <w:p>
      <w:pPr>
        <w:spacing w:after="0" w:line="14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a pro forma as adjusted basis to give further effect to the sale of shares of common stock in this offering assuming an initial public offering price of $ per share, which is the midpoint of the price range set forth on the cover page of this prospectus, and after deducting underwriting discounts and commissions and estimated offering expenses payable by us.</w:t>
      </w:r>
    </w:p>
    <w:p>
      <w:pPr>
        <w:spacing w:after="0" w:line="114" w:lineRule="exact"/>
        <w:rPr>
          <w:sz w:val="20"/>
          <w:szCs w:val="20"/>
          <w:color w:val="auto"/>
        </w:rPr>
      </w:pPr>
    </w:p>
    <w:p>
      <w:pPr>
        <w:sectPr>
          <w:pgSz w:w="11900" w:h="16838" w:orient="portrait"/>
          <w:cols w:equalWidth="0" w:num="2">
            <w:col w:w="700" w:space="360"/>
            <w:col w:w="10080"/>
          </w:cols>
          <w:pgMar w:left="240" w:top="459" w:right="519" w:bottom="1440" w:gutter="0" w:footer="0" w:header="0"/>
          <w:type w:val="continuous"/>
        </w:sectPr>
      </w:pPr>
    </w:p>
    <w:p>
      <w:pPr>
        <w:jc w:val="center"/>
        <w:ind w:right="-2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40"/>
          </w:cols>
          <w:pgMar w:left="240" w:top="459" w:right="51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in “Selected Consolidated Financial Data” and “Management’s Discussion and Analysis of Financial Condition and Results of Operations.”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As of June 30, 2018</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Pro</w:t>
            </w:r>
          </w:p>
        </w:tc>
        <w:tc>
          <w:tcPr>
            <w:tcW w:w="100" w:type="dxa"/>
            <w:vAlign w:val="bottom"/>
          </w:tcPr>
          <w:p>
            <w:pPr>
              <w:spacing w:after="0"/>
              <w:rPr>
                <w:sz w:val="10"/>
                <w:szCs w:val="10"/>
                <w:color w:val="auto"/>
              </w:rPr>
            </w:pPr>
          </w:p>
        </w:tc>
        <w:tc>
          <w:tcPr>
            <w:tcW w:w="74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Forma 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gridSpan w:val="7"/>
          </w:tcPr>
          <w:p>
            <w:pPr>
              <w:jc w:val="center"/>
              <w:ind w:right="22"/>
              <w:spacing w:after="0" w:line="119" w:lineRule="exact"/>
              <w:rPr>
                <w:sz w:val="20"/>
                <w:szCs w:val="20"/>
                <w:color w:val="auto"/>
              </w:rPr>
            </w:pPr>
            <w:r>
              <w:rPr>
                <w:rFonts w:ascii="Arial" w:cs="Arial" w:eastAsia="Arial" w:hAnsi="Arial"/>
                <w:sz w:val="13"/>
                <w:szCs w:val="13"/>
                <w:b w:val="1"/>
                <w:bCs w:val="1"/>
                <w:color w:val="auto"/>
                <w:w w:val="97"/>
              </w:rPr>
              <w:t>(in thousands, except for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per share amounts)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8"/>
                <w:szCs w:val="18"/>
                <w:color w:val="auto"/>
                <w:w w:val="92"/>
              </w:rPr>
              <w:t>Redeemable convertible preferred stock warrant liability</w:t>
            </w: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borrowings</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7"/>
          </w:tcPr>
          <w:p>
            <w:pPr>
              <w:spacing w:after="0" w:line="201" w:lineRule="exact"/>
              <w:rPr>
                <w:sz w:val="20"/>
                <w:szCs w:val="20"/>
                <w:color w:val="auto"/>
              </w:rPr>
            </w:pPr>
            <w:r>
              <w:rPr>
                <w:rFonts w:ascii="Arial" w:cs="Arial" w:eastAsia="Arial" w:hAnsi="Arial"/>
                <w:sz w:val="18"/>
                <w:szCs w:val="18"/>
                <w:color w:val="auto"/>
                <w:w w:val="95"/>
              </w:rPr>
              <w:t>Redeemable convertible preferred stock, $0.0001 par value; 217,885,520 shares authorized, 213,689,844</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7"/>
          </w:tcPr>
          <w:p>
            <w:pPr>
              <w:ind w:left="160"/>
              <w:spacing w:after="0"/>
              <w:rPr>
                <w:sz w:val="20"/>
                <w:szCs w:val="20"/>
                <w:color w:val="auto"/>
              </w:rPr>
            </w:pPr>
            <w:r>
              <w:rPr>
                <w:rFonts w:ascii="Arial" w:cs="Arial" w:eastAsia="Arial" w:hAnsi="Arial"/>
                <w:sz w:val="18"/>
                <w:szCs w:val="18"/>
                <w:color w:val="auto"/>
                <w:w w:val="94"/>
              </w:rPr>
              <w:t>shares issued and outstanding, actual; no shares authorized, issued and outstanding, pro forma and pro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forma as adjusted</w:t>
            </w: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118,548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7"/>
          </w:tcPr>
          <w:p>
            <w:pPr>
              <w:ind w:left="340"/>
              <w:spacing w:after="0" w:line="201" w:lineRule="exact"/>
              <w:rPr>
                <w:sz w:val="20"/>
                <w:szCs w:val="20"/>
                <w:color w:val="auto"/>
              </w:rPr>
            </w:pPr>
            <w:r>
              <w:rPr>
                <w:rFonts w:ascii="Arial" w:cs="Arial" w:eastAsia="Arial" w:hAnsi="Arial"/>
                <w:sz w:val="18"/>
                <w:szCs w:val="18"/>
                <w:color w:val="auto"/>
                <w:w w:val="98"/>
              </w:rPr>
              <w:t>Preferred stock, $0.0001 par value; no shares authorized, issued or outstanding, actual; 5,000,000</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7"/>
          </w:tcPr>
          <w:p>
            <w:pPr>
              <w:ind w:left="520"/>
              <w:spacing w:after="0"/>
              <w:rPr>
                <w:sz w:val="20"/>
                <w:szCs w:val="20"/>
                <w:color w:val="auto"/>
              </w:rPr>
            </w:pPr>
            <w:r>
              <w:rPr>
                <w:rFonts w:ascii="Arial" w:cs="Arial" w:eastAsia="Arial" w:hAnsi="Arial"/>
                <w:sz w:val="18"/>
                <w:szCs w:val="18"/>
                <w:color w:val="auto"/>
              </w:rPr>
              <w:t>shares authorized, no shares issued or outstanding, pro forma and pro forma as adjusted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7"/>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$0.0001 par value; 348,000,000 shares authorized, 66,734,168 shares issued and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outstanding, actual; 100,000,000 shares authorized,</w:t>
            </w:r>
          </w:p>
        </w:tc>
        <w:tc>
          <w:tcPr>
            <w:tcW w:w="3600" w:type="dxa"/>
            <w:vAlign w:val="bottom"/>
            <w:gridSpan w:val="4"/>
            <w:shd w:val="clear" w:color="auto" w:fill="CCEEFF"/>
          </w:tcPr>
          <w:p>
            <w:pPr>
              <w:jc w:val="right"/>
              <w:ind w:right="710"/>
              <w:spacing w:after="0"/>
              <w:rPr>
                <w:sz w:val="20"/>
                <w:szCs w:val="20"/>
                <w:color w:val="auto"/>
              </w:rPr>
            </w:pPr>
            <w:r>
              <w:rPr>
                <w:rFonts w:ascii="Arial" w:cs="Arial" w:eastAsia="Arial" w:hAnsi="Arial"/>
                <w:sz w:val="18"/>
                <w:szCs w:val="18"/>
                <w:color w:val="auto"/>
              </w:rPr>
              <w:t>shares issued and outstanding, pro</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forma; and 100,000,000 shares authorized,</w:t>
            </w:r>
          </w:p>
        </w:tc>
        <w:tc>
          <w:tcPr>
            <w:tcW w:w="3920" w:type="dxa"/>
            <w:vAlign w:val="bottom"/>
            <w:gridSpan w:val="5"/>
            <w:shd w:val="clear" w:color="auto" w:fill="CCEEFF"/>
          </w:tcPr>
          <w:p>
            <w:pPr>
              <w:jc w:val="right"/>
              <w:ind w:right="670"/>
              <w:spacing w:after="0"/>
              <w:rPr>
                <w:sz w:val="20"/>
                <w:szCs w:val="20"/>
                <w:color w:val="auto"/>
              </w:rPr>
            </w:pPr>
            <w:r>
              <w:rPr>
                <w:rFonts w:ascii="Arial" w:cs="Arial" w:eastAsia="Arial" w:hAnsi="Arial"/>
                <w:sz w:val="18"/>
                <w:szCs w:val="18"/>
                <w:color w:val="auto"/>
                <w:w w:val="89"/>
              </w:rPr>
              <w:t>shares issued and outstanding, pro forma as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3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(147,072)</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(135,703)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360" w:type="dxa"/>
            <w:vAlign w:val="bottom"/>
            <w:gridSpan w:val="3"/>
          </w:tcPr>
          <w:p>
            <w:pPr>
              <w:spacing w:after="0"/>
              <w:rPr>
                <w:sz w:val="11"/>
                <w:szCs w:val="11"/>
                <w:color w:val="auto"/>
              </w:rPr>
            </w:pPr>
          </w:p>
        </w:tc>
        <w:tc>
          <w:tcPr>
            <w:tcW w:w="458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60" w:type="dxa"/>
            <w:vAlign w:val="bottom"/>
            <w:gridSpan w:val="5"/>
          </w:tcPr>
          <w:p>
            <w:pPr>
              <w:spacing w:after="0"/>
              <w:rPr>
                <w:sz w:val="20"/>
                <w:szCs w:val="20"/>
                <w:color w:val="auto"/>
              </w:rPr>
            </w:pPr>
            <w:r>
              <w:rPr>
                <w:rFonts w:ascii="Arial" w:cs="Arial" w:eastAsia="Arial" w:hAnsi="Arial"/>
                <w:sz w:val="18"/>
                <w:szCs w:val="18"/>
                <w:color w:val="auto"/>
                <w:w w:val="97"/>
              </w:rPr>
              <w:t>(1)   Each $1.00 increase (decrease) in the assumed initial public offering price of $</w:t>
            </w:r>
          </w:p>
        </w:tc>
        <w:tc>
          <w:tcPr>
            <w:tcW w:w="4580" w:type="dxa"/>
            <w:vAlign w:val="bottom"/>
            <w:gridSpan w:val="11"/>
          </w:tcPr>
          <w:p>
            <w:pPr>
              <w:jc w:val="right"/>
              <w:ind w:right="120"/>
              <w:spacing w:after="0"/>
              <w:rPr>
                <w:sz w:val="20"/>
                <w:szCs w:val="20"/>
                <w:color w:val="auto"/>
              </w:rPr>
            </w:pPr>
            <w:r>
              <w:rPr>
                <w:rFonts w:ascii="Arial" w:cs="Arial" w:eastAsia="Arial" w:hAnsi="Arial"/>
                <w:sz w:val="18"/>
                <w:szCs w:val="18"/>
                <w:color w:val="auto"/>
                <w:w w:val="97"/>
              </w:rPr>
              <w:t>per share, the midpoint of the price range set forth on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20" w:type="dxa"/>
            <w:vAlign w:val="bottom"/>
            <w:gridSpan w:val="15"/>
          </w:tcPr>
          <w:p>
            <w:pPr>
              <w:ind w:left="420"/>
              <w:spacing w:after="0"/>
              <w:rPr>
                <w:sz w:val="20"/>
                <w:szCs w:val="20"/>
                <w:color w:val="auto"/>
              </w:rPr>
            </w:pPr>
            <w:r>
              <w:rPr>
                <w:rFonts w:ascii="Arial" w:cs="Arial" w:eastAsia="Arial" w:hAnsi="Arial"/>
                <w:sz w:val="18"/>
                <w:szCs w:val="18"/>
                <w:color w:val="auto"/>
                <w:w w:val="90"/>
              </w:rPr>
              <w:t>cover page of this prospectus, would increase (decrease) each of pro forma as adjusted cash and cash equivalents, additional paid-in capital, 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w w:val="96"/>
              </w:rPr>
              <w:t>stockholders’ equity and total capitalization by $</w:t>
            </w:r>
          </w:p>
        </w:tc>
        <w:tc>
          <w:tcPr>
            <w:tcW w:w="320" w:type="dxa"/>
            <w:vAlign w:val="bottom"/>
          </w:tcPr>
          <w:p>
            <w:pPr>
              <w:spacing w:after="0"/>
              <w:rPr>
                <w:sz w:val="20"/>
                <w:szCs w:val="20"/>
                <w:color w:val="auto"/>
              </w:rPr>
            </w:pPr>
          </w:p>
        </w:tc>
        <w:tc>
          <w:tcPr>
            <w:tcW w:w="6580" w:type="dxa"/>
            <w:vAlign w:val="bottom"/>
            <w:gridSpan w:val="12"/>
          </w:tcPr>
          <w:p>
            <w:pPr>
              <w:ind w:left="200"/>
              <w:spacing w:after="0"/>
              <w:rPr>
                <w:sz w:val="20"/>
                <w:szCs w:val="20"/>
                <w:color w:val="auto"/>
              </w:rPr>
            </w:pPr>
            <w:r>
              <w:rPr>
                <w:rFonts w:ascii="Arial" w:cs="Arial" w:eastAsia="Arial" w:hAnsi="Arial"/>
                <w:sz w:val="18"/>
                <w:szCs w:val="18"/>
                <w:color w:val="auto"/>
                <w:w w:val="90"/>
              </w:rPr>
              <w:t>million, assuming that the number of shares offered by us, as set forth on the cover page</w:t>
            </w:r>
          </w:p>
        </w:tc>
        <w:tc>
          <w:tcPr>
            <w:tcW w:w="0" w:type="dxa"/>
            <w:vAlign w:val="bottom"/>
          </w:tcPr>
          <w:p>
            <w:pPr>
              <w:spacing w:after="0"/>
              <w:rPr>
                <w:sz w:val="1"/>
                <w:szCs w:val="1"/>
                <w:color w:val="auto"/>
              </w:rPr>
            </w:pPr>
          </w:p>
        </w:tc>
      </w:tr>
    </w:tbl>
    <w:p>
      <w:pPr>
        <w:ind w:left="640" w:right="80"/>
        <w:spacing w:after="0" w:line="281" w:lineRule="auto"/>
        <w:rPr>
          <w:sz w:val="20"/>
          <w:szCs w:val="20"/>
          <w:color w:val="auto"/>
        </w:rPr>
      </w:pPr>
      <w:r>
        <w:rPr>
          <w:rFonts w:ascii="Arial" w:cs="Arial" w:eastAsia="Arial" w:hAnsi="Arial"/>
          <w:sz w:val="16"/>
          <w:szCs w:val="16"/>
          <w:color w:val="auto"/>
        </w:rPr>
        <w:t>of this prospectus, remains the same, and after deducting underwriting discounts and commissions and estimated offering expenses payable by us. We may also increase or decrease the number of shares we are offering. An increase (decrease) of 1,000,000 shares in the number of shares offered by us would increase (decrease) each of pro forma as adjusted cash and cash equivalents, additional paid-in-capital, total stockholders’</w:t>
      </w:r>
    </w:p>
    <w:p>
      <w:pPr>
        <w:spacing w:after="0" w:line="2"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auto"/>
        </w:rPr>
        <w:t>equity and total capitalization by $ million, assuming that the assumed initial price to the public remains the same, and after deducting underwriting discounts and commissions and estimated offering expenses payable by us. The pro forma as adjusted information discussed above is illustrative only, and we will adjust this information based on the actual initial public offering price, number of shares offered and other terms of this offering determined at pricing.</w:t>
      </w:r>
    </w:p>
    <w:p>
      <w:pPr>
        <w:spacing w:after="0" w:line="2"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borrowings consist of $40.0 million of principal, net of discount of $1.2 million.</w:t>
      </w:r>
    </w:p>
    <w:p>
      <w:pPr>
        <w:sectPr>
          <w:pgSz w:w="11900" w:h="16838" w:orient="portrait"/>
          <w:cols w:equalWidth="0" w:num="1">
            <w:col w:w="11240"/>
          </w:cols>
          <w:pgMar w:left="240" w:top="459" w:right="419" w:bottom="1440" w:gutter="0" w:footer="0" w:header="0"/>
        </w:sect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and excludes: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outstanding as of</w:t>
      </w:r>
    </w:p>
    <w:p>
      <w:pPr>
        <w:spacing w:after="0" w:line="369" w:lineRule="exact"/>
        <w:rPr>
          <w:sz w:val="20"/>
          <w:szCs w:val="20"/>
          <w:color w:val="auto"/>
        </w:rPr>
      </w:pPr>
    </w:p>
    <w:p>
      <w:pPr>
        <w:sectPr>
          <w:pgSz w:w="11900" w:h="16838" w:orient="portrait"/>
          <w:cols w:equalWidth="0" w:num="2">
            <w:col w:w="6940" w:space="720"/>
            <w:col w:w="3580"/>
          </w:cols>
          <w:pgMar w:left="240" w:top="459" w:right="419" w:bottom="1440" w:gutter="0" w:footer="0" w:header="0"/>
          <w:type w:val="continuous"/>
        </w:sectPr>
      </w:pPr>
    </w:p>
    <w:p>
      <w:pPr>
        <w:ind w:left="1060" w:right="6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52,224,031 shares of common stock issuable upon the exercise of options outstanding as of June 30, 2018, with a weighted-average exercise price of $0.23 per share;</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June 30, 2018, with a weighted-average exercise price of $0.48 per share;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867,474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6" w:lineRule="exact"/>
        <w:rPr>
          <w:rFonts w:ascii="Arial" w:cs="Arial" w:eastAsia="Arial" w:hAnsi="Arial"/>
          <w:sz w:val="18"/>
          <w:szCs w:val="18"/>
          <w:color w:val="auto"/>
        </w:rPr>
      </w:pPr>
    </w:p>
    <w:p>
      <w:pPr>
        <w:jc w:val="both"/>
        <w:ind w:left="1060" w:right="34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46,377,691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86" w:lineRule="exact"/>
        <w:rPr>
          <w:rFonts w:ascii="Arial" w:cs="Arial" w:eastAsia="Arial" w:hAnsi="Arial"/>
          <w:sz w:val="18"/>
          <w:szCs w:val="18"/>
          <w:color w:val="auto"/>
        </w:rPr>
      </w:pPr>
    </w:p>
    <w:p>
      <w:pPr>
        <w:jc w:val="both"/>
        <w:ind w:left="1060" w:right="6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9,275,538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459"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4"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Historical net tangible book value (deficit) per share represents our total tangible assets less our liabilities and preferred stock that is not included in equity divided by the total number of shares outstanding. As of June 30, 2018, our historical net tangible book value (deficit) was $(135.7) million, or $(2.03) per share.</w:t>
      </w:r>
    </w:p>
    <w:p>
      <w:pPr>
        <w:spacing w:after="0" w:line="181"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color w:val="auto"/>
        </w:rPr>
        <w:t>Our pro forma net tangible book value as of June 30, 2018, was $ million, or $ per share after giving effect to (i) the conversion of all outstanding shares of our preferred stock into an aggregate of 217,201,525 shares of common stock; (ii) the issuance of shares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upon the automatic net exercise of outstanding warrants, with an exercise price of $0.51 per share, immediately prior to the closing of</w:t>
      </w:r>
    </w:p>
    <w:p>
      <w:pPr>
        <w:spacing w:after="0" w:line="32"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this offering, assuming an initial public offering price of $ per share, which is the midpoint of the price range set forth on the cover page of this prospectus; (iii) the reclassification of our preferred stock warrant liability to additional paid-in capital immediately prior to the closing of this offering.</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140" w:type="dxa"/>
            <w:vAlign w:val="bottom"/>
            <w:gridSpan w:val="5"/>
          </w:tcPr>
          <w:p>
            <w:pPr>
              <w:ind w:left="440"/>
              <w:spacing w:after="0"/>
              <w:rPr>
                <w:sz w:val="20"/>
                <w:szCs w:val="20"/>
                <w:color w:val="auto"/>
              </w:rPr>
            </w:pPr>
            <w:r>
              <w:rPr>
                <w:rFonts w:ascii="Arial" w:cs="Arial" w:eastAsia="Arial" w:hAnsi="Arial"/>
                <w:sz w:val="18"/>
                <w:szCs w:val="18"/>
                <w:color w:val="auto"/>
              </w:rPr>
              <w:t>After giving further effect to receipt of the net proceeds of our sale of</w:t>
            </w:r>
          </w:p>
        </w:tc>
        <w:tc>
          <w:tcPr>
            <w:tcW w:w="4760" w:type="dxa"/>
            <w:vAlign w:val="bottom"/>
            <w:gridSpan w:val="7"/>
          </w:tcPr>
          <w:p>
            <w:pPr>
              <w:ind w:left="20"/>
              <w:spacing w:after="0"/>
              <w:rPr>
                <w:sz w:val="20"/>
                <w:szCs w:val="20"/>
                <w:color w:val="auto"/>
              </w:rPr>
            </w:pPr>
            <w:r>
              <w:rPr>
                <w:rFonts w:ascii="Arial" w:cs="Arial" w:eastAsia="Arial" w:hAnsi="Arial"/>
                <w:sz w:val="18"/>
                <w:szCs w:val="18"/>
                <w:color w:val="auto"/>
                <w:w w:val="91"/>
              </w:rPr>
              <w:t>shares of common stock, assuming an initial public offering price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of $</w:t>
            </w:r>
          </w:p>
        </w:tc>
        <w:tc>
          <w:tcPr>
            <w:tcW w:w="40" w:type="dxa"/>
            <w:vAlign w:val="bottom"/>
          </w:tcPr>
          <w:p>
            <w:pPr>
              <w:spacing w:after="0"/>
              <w:rPr>
                <w:sz w:val="18"/>
                <w:szCs w:val="18"/>
                <w:color w:val="auto"/>
              </w:rPr>
            </w:pPr>
          </w:p>
        </w:tc>
        <w:tc>
          <w:tcPr>
            <w:tcW w:w="10060" w:type="dxa"/>
            <w:vAlign w:val="bottom"/>
            <w:gridSpan w:val="10"/>
          </w:tcPr>
          <w:p>
            <w:pPr>
              <w:ind w:left="160"/>
              <w:spacing w:after="0"/>
              <w:rPr>
                <w:sz w:val="20"/>
                <w:szCs w:val="20"/>
                <w:color w:val="auto"/>
              </w:rPr>
            </w:pPr>
            <w:r>
              <w:rPr>
                <w:rFonts w:ascii="Arial" w:cs="Arial" w:eastAsia="Arial" w:hAnsi="Arial"/>
                <w:sz w:val="18"/>
                <w:szCs w:val="18"/>
                <w:color w:val="auto"/>
                <w:w w:val="91"/>
              </w:rPr>
              <w:t>per share, which is the midpoint of the price range set forth on the cover page of this prospectus, after deducting underwriting discounts</w:t>
            </w:r>
          </w:p>
        </w:tc>
        <w:tc>
          <w:tcPr>
            <w:tcW w:w="0" w:type="dxa"/>
            <w:vAlign w:val="bottom"/>
          </w:tcPr>
          <w:p>
            <w:pPr>
              <w:spacing w:after="0"/>
              <w:rPr>
                <w:sz w:val="1"/>
                <w:szCs w:val="1"/>
                <w:color w:val="auto"/>
              </w:rPr>
            </w:pPr>
          </w:p>
        </w:tc>
      </w:tr>
      <w:tr>
        <w:trPr>
          <w:trHeight w:val="216"/>
        </w:trPr>
        <w:tc>
          <w:tcPr>
            <w:tcW w:w="10900" w:type="dxa"/>
            <w:vAlign w:val="bottom"/>
            <w:gridSpan w:val="12"/>
          </w:tcPr>
          <w:p>
            <w:pPr>
              <w:spacing w:after="0"/>
              <w:rPr>
                <w:sz w:val="20"/>
                <w:szCs w:val="20"/>
                <w:color w:val="auto"/>
              </w:rPr>
            </w:pPr>
            <w:r>
              <w:rPr>
                <w:rFonts w:ascii="Arial" w:cs="Arial" w:eastAsia="Arial" w:hAnsi="Arial"/>
                <w:sz w:val="18"/>
                <w:szCs w:val="18"/>
                <w:color w:val="auto"/>
                <w:w w:val="97"/>
              </w:rPr>
              <w:t>and commissions and estimated offering expenses, our pro forma as adjusted net tangible book value as of June 30, 2018, would have been</w:t>
            </w: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w w:val="91"/>
              </w:rPr>
              <w:t>approximately $</w:t>
            </w:r>
          </w:p>
        </w:tc>
        <w:tc>
          <w:tcPr>
            <w:tcW w:w="2000" w:type="dxa"/>
            <w:vAlign w:val="bottom"/>
          </w:tcPr>
          <w:p>
            <w:pPr>
              <w:ind w:left="720"/>
              <w:spacing w:after="0"/>
              <w:rPr>
                <w:sz w:val="20"/>
                <w:szCs w:val="20"/>
                <w:color w:val="auto"/>
              </w:rPr>
            </w:pPr>
            <w:r>
              <w:rPr>
                <w:rFonts w:ascii="Arial" w:cs="Arial" w:eastAsia="Arial" w:hAnsi="Arial"/>
                <w:sz w:val="18"/>
                <w:szCs w:val="18"/>
                <w:color w:val="auto"/>
              </w:rPr>
              <w:t>million, or $</w:t>
            </w:r>
          </w:p>
        </w:tc>
        <w:tc>
          <w:tcPr>
            <w:tcW w:w="7720" w:type="dxa"/>
            <w:vAlign w:val="bottom"/>
            <w:gridSpan w:val="8"/>
          </w:tcPr>
          <w:p>
            <w:pPr>
              <w:ind w:left="340"/>
              <w:spacing w:after="0"/>
              <w:rPr>
                <w:sz w:val="20"/>
                <w:szCs w:val="20"/>
                <w:color w:val="auto"/>
              </w:rPr>
            </w:pPr>
            <w:r>
              <w:rPr>
                <w:rFonts w:ascii="Arial" w:cs="Arial" w:eastAsia="Arial" w:hAnsi="Arial"/>
                <w:sz w:val="18"/>
                <w:szCs w:val="18"/>
                <w:color w:val="auto"/>
                <w:w w:val="91"/>
              </w:rPr>
              <w:t>per share. This represents an immediate increase in pro forma as adjusted net tangible book value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gridSpan w:val="4"/>
          </w:tcPr>
          <w:p>
            <w:pPr>
              <w:ind w:left="20"/>
              <w:spacing w:after="0"/>
              <w:rPr>
                <w:sz w:val="20"/>
                <w:szCs w:val="20"/>
                <w:color w:val="auto"/>
              </w:rPr>
            </w:pPr>
            <w:r>
              <w:rPr>
                <w:rFonts w:ascii="Arial" w:cs="Arial" w:eastAsia="Arial" w:hAnsi="Arial"/>
                <w:sz w:val="18"/>
                <w:szCs w:val="18"/>
                <w:color w:val="auto"/>
                <w:w w:val="97"/>
              </w:rPr>
              <w:t>per share to our existing stockholders and an immediate dilution of $</w:t>
            </w:r>
          </w:p>
        </w:tc>
        <w:tc>
          <w:tcPr>
            <w:tcW w:w="300" w:type="dxa"/>
            <w:vAlign w:val="bottom"/>
          </w:tcPr>
          <w:p>
            <w:pPr>
              <w:spacing w:after="0"/>
              <w:rPr>
                <w:sz w:val="18"/>
                <w:szCs w:val="18"/>
                <w:color w:val="auto"/>
              </w:rPr>
            </w:pPr>
          </w:p>
        </w:tc>
        <w:tc>
          <w:tcPr>
            <w:tcW w:w="4460" w:type="dxa"/>
            <w:vAlign w:val="bottom"/>
            <w:gridSpan w:val="6"/>
          </w:tcPr>
          <w:p>
            <w:pPr>
              <w:ind w:left="40"/>
              <w:spacing w:after="0"/>
              <w:rPr>
                <w:sz w:val="20"/>
                <w:szCs w:val="20"/>
                <w:color w:val="auto"/>
              </w:rPr>
            </w:pPr>
            <w:r>
              <w:rPr>
                <w:rFonts w:ascii="Arial" w:cs="Arial" w:eastAsia="Arial" w:hAnsi="Arial"/>
                <w:sz w:val="18"/>
                <w:szCs w:val="18"/>
                <w:color w:val="auto"/>
                <w:w w:val="95"/>
              </w:rPr>
              <w:t>per share to our existing stockholders and an immediately</w:t>
            </w:r>
          </w:p>
        </w:tc>
        <w:tc>
          <w:tcPr>
            <w:tcW w:w="0" w:type="dxa"/>
            <w:vAlign w:val="bottom"/>
          </w:tcPr>
          <w:p>
            <w:pPr>
              <w:spacing w:after="0"/>
              <w:rPr>
                <w:sz w:val="1"/>
                <w:szCs w:val="1"/>
                <w:color w:val="auto"/>
              </w:rPr>
            </w:pP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dilution of $</w:t>
            </w:r>
          </w:p>
        </w:tc>
        <w:tc>
          <w:tcPr>
            <w:tcW w:w="5260" w:type="dxa"/>
            <w:vAlign w:val="bottom"/>
            <w:gridSpan w:val="3"/>
          </w:tcPr>
          <w:p>
            <w:pPr>
              <w:ind w:left="440"/>
              <w:spacing w:after="0"/>
              <w:rPr>
                <w:sz w:val="20"/>
                <w:szCs w:val="20"/>
                <w:color w:val="auto"/>
              </w:rPr>
            </w:pPr>
            <w:r>
              <w:rPr>
                <w:rFonts w:ascii="Arial" w:cs="Arial" w:eastAsia="Arial" w:hAnsi="Arial"/>
                <w:sz w:val="18"/>
                <w:szCs w:val="18"/>
                <w:color w:val="auto"/>
                <w:w w:val="94"/>
              </w:rPr>
              <w:t>per share to investors purchasing common stock in this offering.</w:t>
            </w: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6"/>
          </w:tcPr>
          <w:p>
            <w:pPr>
              <w:ind w:left="440"/>
              <w:spacing w:after="0"/>
              <w:rPr>
                <w:sz w:val="20"/>
                <w:szCs w:val="20"/>
                <w:color w:val="auto"/>
              </w:rPr>
            </w:pPr>
            <w:r>
              <w:rPr>
                <w:rFonts w:ascii="Arial" w:cs="Arial" w:eastAsia="Arial" w:hAnsi="Arial"/>
                <w:sz w:val="18"/>
                <w:szCs w:val="18"/>
                <w:color w:val="auto"/>
                <w:w w:val="94"/>
              </w:rPr>
              <w:t>The following table illustrates this dilution to new investors on a per share basis:</w:t>
            </w: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40" w:type="dxa"/>
            <w:vAlign w:val="bottom"/>
            <w:vMerge w:val="restart"/>
          </w:tcPr>
          <w:p>
            <w:pPr>
              <w:spacing w:after="0"/>
              <w:rPr>
                <w:sz w:val="21"/>
                <w:szCs w:val="21"/>
                <w:color w:val="auto"/>
              </w:rPr>
            </w:pPr>
          </w:p>
        </w:tc>
        <w:tc>
          <w:tcPr>
            <w:tcW w:w="530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gridSpan w:val="3"/>
          </w:tcPr>
          <w:p>
            <w:pPr>
              <w:ind w:left="20"/>
              <w:spacing w:after="0"/>
              <w:rPr>
                <w:sz w:val="20"/>
                <w:szCs w:val="20"/>
                <w:color w:val="auto"/>
              </w:rPr>
            </w:pPr>
            <w:r>
              <w:rPr>
                <w:rFonts w:ascii="Arial" w:cs="Arial" w:eastAsia="Arial" w:hAnsi="Arial"/>
                <w:sz w:val="18"/>
                <w:szCs w:val="18"/>
                <w:color w:val="auto"/>
                <w:w w:val="91"/>
              </w:rPr>
              <w:t>Historical net tangible book value (deficit) per share as of June 30, 2018</w:t>
            </w:r>
          </w:p>
        </w:tc>
        <w:tc>
          <w:tcPr>
            <w:tcW w:w="360" w:type="dxa"/>
            <w:vAlign w:val="bottom"/>
          </w:tcPr>
          <w:p>
            <w:pPr>
              <w:spacing w:after="0"/>
              <w:rPr>
                <w:sz w:val="18"/>
                <w:szCs w:val="18"/>
                <w:color w:val="auto"/>
              </w:rPr>
            </w:pPr>
          </w:p>
        </w:tc>
        <w:tc>
          <w:tcPr>
            <w:tcW w:w="2700" w:type="dxa"/>
            <w:vAlign w:val="bottom"/>
            <w:gridSpan w:val="3"/>
          </w:tcPr>
          <w:p>
            <w:pPr>
              <w:jc w:val="right"/>
              <w:ind w:right="320"/>
              <w:spacing w:after="0"/>
              <w:rPr>
                <w:sz w:val="20"/>
                <w:szCs w:val="20"/>
                <w:color w:val="auto"/>
              </w:rPr>
            </w:pPr>
            <w:r>
              <w:rPr>
                <w:rFonts w:ascii="Arial" w:cs="Arial" w:eastAsia="Arial" w:hAnsi="Arial"/>
                <w:sz w:val="18"/>
                <w:szCs w:val="18"/>
                <w:color w:val="auto"/>
              </w:rPr>
              <w:t>$(2.03)</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32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increase in net tangible book value (deficit) per share attributable to the conversion of</w:t>
            </w:r>
          </w:p>
        </w:tc>
        <w:tc>
          <w:tcPr>
            <w:tcW w:w="700" w:type="dxa"/>
            <w:vAlign w:val="bottom"/>
            <w:tcBorders>
              <w:right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our preferred stock and preferred stock warrants</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8"/>
                <w:szCs w:val="18"/>
                <w:color w:val="auto"/>
                <w:w w:val="95"/>
              </w:rPr>
              <w:t>Pro forma net tangible book value per share as of June 30, 2018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32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Increase in net tangible book value per share attributable to new investors purchasing shares in</w:t>
            </w:r>
          </w:p>
        </w:tc>
        <w:tc>
          <w:tcPr>
            <w:tcW w:w="700" w:type="dxa"/>
            <w:vAlign w:val="bottom"/>
            <w:tcBorders>
              <w:right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this offering</w:t>
            </w:r>
          </w:p>
        </w:tc>
        <w:tc>
          <w:tcPr>
            <w:tcW w:w="2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340" w:type="dxa"/>
            <w:vAlign w:val="bottom"/>
            <w:gridSpan w:val="4"/>
          </w:tcPr>
          <w:p>
            <w:pPr>
              <w:ind w:left="40"/>
              <w:spacing w:after="0"/>
              <w:rPr>
                <w:sz w:val="20"/>
                <w:szCs w:val="20"/>
                <w:color w:val="auto"/>
              </w:rPr>
            </w:pPr>
            <w:r>
              <w:rPr>
                <w:rFonts w:ascii="Arial" w:cs="Arial" w:eastAsia="Arial" w:hAnsi="Arial"/>
                <w:sz w:val="18"/>
                <w:szCs w:val="18"/>
                <w:color w:val="auto"/>
                <w:w w:val="90"/>
              </w:rPr>
              <w:t>Pro forma as adjusted net tangible book value per share after this offering</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gridSpan w:val="10"/>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00" w:type="dxa"/>
            <w:vAlign w:val="bottom"/>
            <w:gridSpan w:val="12"/>
          </w:tcPr>
          <w:p>
            <w:pPr>
              <w:ind w:left="440"/>
              <w:spacing w:after="0"/>
              <w:rPr>
                <w:sz w:val="20"/>
                <w:szCs w:val="20"/>
                <w:color w:val="auto"/>
              </w:rPr>
            </w:pPr>
            <w:r>
              <w:rPr>
                <w:rFonts w:ascii="Arial" w:cs="Arial" w:eastAsia="Arial" w:hAnsi="Arial"/>
                <w:sz w:val="18"/>
                <w:szCs w:val="18"/>
                <w:color w:val="auto"/>
                <w:w w:val="94"/>
              </w:rPr>
              <w:t>If the underwriters’ option to purchase additional shares in this offering is exercised in full, the pro forma as adjusted net tangible book value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89"/>
              </w:rPr>
              <w:t>would be $</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gridSpan w:val="9"/>
          </w:tcPr>
          <w:p>
            <w:pPr>
              <w:ind w:left="340"/>
              <w:spacing w:after="0"/>
              <w:rPr>
                <w:sz w:val="20"/>
                <w:szCs w:val="20"/>
                <w:color w:val="auto"/>
              </w:rPr>
            </w:pPr>
            <w:r>
              <w:rPr>
                <w:rFonts w:ascii="Arial" w:cs="Arial" w:eastAsia="Arial" w:hAnsi="Arial"/>
                <w:sz w:val="18"/>
                <w:szCs w:val="18"/>
                <w:color w:val="auto"/>
                <w:w w:val="97"/>
              </w:rPr>
              <w:t>per share, the increase in the pro forma as adjusted net tangible book value per share for existing stockholders would be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w:t>
            </w:r>
          </w:p>
        </w:tc>
        <w:tc>
          <w:tcPr>
            <w:tcW w:w="6000" w:type="dxa"/>
            <w:vAlign w:val="bottom"/>
            <w:gridSpan w:val="6"/>
          </w:tcPr>
          <w:p>
            <w:pPr>
              <w:ind w:left="20"/>
              <w:spacing w:after="0"/>
              <w:rPr>
                <w:sz w:val="20"/>
                <w:szCs w:val="20"/>
                <w:color w:val="auto"/>
              </w:rPr>
            </w:pPr>
            <w:r>
              <w:rPr>
                <w:rFonts w:ascii="Arial" w:cs="Arial" w:eastAsia="Arial" w:hAnsi="Arial"/>
                <w:sz w:val="18"/>
                <w:szCs w:val="18"/>
                <w:color w:val="auto"/>
                <w:w w:val="91"/>
              </w:rPr>
              <w:t>per share and the dilution to new investors participating in this offering would be $</w:t>
            </w:r>
          </w:p>
        </w:tc>
        <w:tc>
          <w:tcPr>
            <w:tcW w:w="2700" w:type="dxa"/>
            <w:vAlign w:val="bottom"/>
            <w:gridSpan w:val="3"/>
          </w:tcPr>
          <w:p>
            <w:pPr>
              <w:jc w:val="right"/>
              <w:ind w:right="1300"/>
              <w:spacing w:after="0"/>
              <w:rPr>
                <w:sz w:val="20"/>
                <w:szCs w:val="20"/>
                <w:color w:val="auto"/>
              </w:rPr>
            </w:pPr>
            <w:r>
              <w:rPr>
                <w:rFonts w:ascii="Arial" w:cs="Arial" w:eastAsia="Arial" w:hAnsi="Arial"/>
                <w:sz w:val="18"/>
                <w:szCs w:val="18"/>
                <w:color w:val="auto"/>
              </w:rPr>
              <w:t>per share.</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40" w:type="dxa"/>
            <w:vAlign w:val="bottom"/>
            <w:gridSpan w:val="5"/>
          </w:tcPr>
          <w:p>
            <w:pPr>
              <w:ind w:left="44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gridSpan w:val="5"/>
          </w:tcPr>
          <w:p>
            <w:pPr>
              <w:ind w:left="20"/>
              <w:spacing w:after="0"/>
              <w:rPr>
                <w:sz w:val="20"/>
                <w:szCs w:val="20"/>
                <w:color w:val="auto"/>
              </w:rPr>
            </w:pPr>
            <w:r>
              <w:rPr>
                <w:rFonts w:ascii="Arial" w:cs="Arial" w:eastAsia="Arial" w:hAnsi="Arial"/>
                <w:sz w:val="18"/>
                <w:szCs w:val="18"/>
                <w:color w:val="auto"/>
                <w:w w:val="95"/>
              </w:rPr>
              <w:t>per share, which is the midpoint of the price range set</w:t>
            </w:r>
          </w:p>
        </w:tc>
        <w:tc>
          <w:tcPr>
            <w:tcW w:w="0" w:type="dxa"/>
            <w:vAlign w:val="bottom"/>
          </w:tcPr>
          <w:p>
            <w:pPr>
              <w:spacing w:after="0"/>
              <w:rPr>
                <w:sz w:val="1"/>
                <w:szCs w:val="1"/>
                <w:color w:val="auto"/>
              </w:rPr>
            </w:pPr>
          </w:p>
        </w:tc>
      </w:tr>
      <w:tr>
        <w:trPr>
          <w:trHeight w:val="216"/>
        </w:trPr>
        <w:tc>
          <w:tcPr>
            <w:tcW w:w="9500" w:type="dxa"/>
            <w:vAlign w:val="bottom"/>
            <w:gridSpan w:val="10"/>
          </w:tcPr>
          <w:p>
            <w:pPr>
              <w:spacing w:after="0"/>
              <w:rPr>
                <w:sz w:val="20"/>
                <w:szCs w:val="20"/>
                <w:color w:val="auto"/>
              </w:rPr>
            </w:pPr>
            <w:r>
              <w:rPr>
                <w:rFonts w:ascii="Arial" w:cs="Arial" w:eastAsia="Arial" w:hAnsi="Arial"/>
                <w:sz w:val="18"/>
                <w:szCs w:val="18"/>
                <w:color w:val="auto"/>
                <w:w w:val="95"/>
              </w:rPr>
              <w:t>forth on the cover page of this prospectus, would increase (decrease) the pro forma as adjusted net tangible book value, by $</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w w:val="86"/>
              </w:rPr>
              <w:t>per share and the</w:t>
            </w:r>
          </w:p>
        </w:tc>
        <w:tc>
          <w:tcPr>
            <w:tcW w:w="0" w:type="dxa"/>
            <w:vAlign w:val="bottom"/>
          </w:tcPr>
          <w:p>
            <w:pPr>
              <w:spacing w:after="0"/>
              <w:rPr>
                <w:sz w:val="1"/>
                <w:szCs w:val="1"/>
                <w:color w:val="auto"/>
              </w:rPr>
            </w:pPr>
          </w:p>
        </w:tc>
      </w:tr>
      <w:tr>
        <w:trPr>
          <w:trHeight w:val="230"/>
        </w:trPr>
        <w:tc>
          <w:tcPr>
            <w:tcW w:w="3180" w:type="dxa"/>
            <w:vAlign w:val="bottom"/>
            <w:gridSpan w:val="4"/>
          </w:tcPr>
          <w:p>
            <w:pPr>
              <w:spacing w:after="0"/>
              <w:rPr>
                <w:sz w:val="20"/>
                <w:szCs w:val="20"/>
                <w:color w:val="auto"/>
              </w:rPr>
            </w:pPr>
            <w:r>
              <w:rPr>
                <w:rFonts w:ascii="Arial" w:cs="Arial" w:eastAsia="Arial" w:hAnsi="Arial"/>
                <w:sz w:val="18"/>
                <w:szCs w:val="18"/>
                <w:color w:val="auto"/>
              </w:rPr>
              <w:t>dilution per share to new investors by $</w:t>
            </w:r>
          </w:p>
        </w:tc>
        <w:tc>
          <w:tcPr>
            <w:tcW w:w="7720" w:type="dxa"/>
            <w:vAlign w:val="bottom"/>
            <w:gridSpan w:val="8"/>
          </w:tcPr>
          <w:p>
            <w:pPr>
              <w:ind w:left="380"/>
              <w:spacing w:after="0"/>
              <w:rPr>
                <w:sz w:val="20"/>
                <w:szCs w:val="20"/>
                <w:color w:val="auto"/>
              </w:rPr>
            </w:pPr>
            <w:r>
              <w:rPr>
                <w:rFonts w:ascii="Arial" w:cs="Arial" w:eastAsia="Arial" w:hAnsi="Arial"/>
                <w:sz w:val="18"/>
                <w:szCs w:val="18"/>
                <w:color w:val="auto"/>
                <w:w w:val="97"/>
              </w:rPr>
              <w:t>per share, assuming the number of shares offered by us, as set forth on the cover page of this</w:t>
            </w:r>
          </w:p>
        </w:tc>
        <w:tc>
          <w:tcPr>
            <w:tcW w:w="0" w:type="dxa"/>
            <w:vAlign w:val="bottom"/>
          </w:tcPr>
          <w:p>
            <w:pPr>
              <w:spacing w:after="0"/>
              <w:rPr>
                <w:sz w:val="1"/>
                <w:szCs w:val="1"/>
                <w:color w:val="auto"/>
              </w:rPr>
            </w:pPr>
          </w:p>
        </w:tc>
      </w:tr>
    </w:tbl>
    <w:p>
      <w:pPr>
        <w:ind w:left="5620" w:right="1260" w:hanging="5419"/>
        <w:spacing w:after="0" w:line="433" w:lineRule="auto"/>
        <w:rPr>
          <w:sz w:val="20"/>
          <w:szCs w:val="20"/>
          <w:color w:val="auto"/>
        </w:rPr>
      </w:pPr>
      <w:r>
        <w:rPr>
          <w:rFonts w:ascii="Arial" w:cs="Arial" w:eastAsia="Arial" w:hAnsi="Arial"/>
          <w:sz w:val="18"/>
          <w:szCs w:val="18"/>
          <w:color w:val="auto"/>
        </w:rPr>
        <w:t>prospectus, remains the same, after deducting underwriting discounts and commissions and estimated offering expenses payable by us. 65</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may also increase or decrease the number of shares we are offering. An increase (decrease) of 1,000,000 shares in the number of shares we are</w:t>
      </w:r>
    </w:p>
    <w:p>
      <w:pPr>
        <w:spacing w:after="0" w:line="46" w:lineRule="exact"/>
        <w:rPr>
          <w:sz w:val="20"/>
          <w:szCs w:val="20"/>
          <w:color w:val="auto"/>
        </w:rPr>
      </w:pPr>
    </w:p>
    <w:p>
      <w:pPr>
        <w:ind w:left="200"/>
        <w:spacing w:after="0"/>
        <w:tabs>
          <w:tab w:leader="none" w:pos="7000" w:val="left"/>
          <w:tab w:leader="none" w:pos="8260" w:val="left"/>
        </w:tabs>
        <w:rPr>
          <w:sz w:val="20"/>
          <w:szCs w:val="20"/>
          <w:color w:val="auto"/>
        </w:rPr>
      </w:pPr>
      <w:r>
        <w:rPr>
          <w:rFonts w:ascii="Arial" w:cs="Arial" w:eastAsia="Arial" w:hAnsi="Arial"/>
          <w:sz w:val="18"/>
          <w:szCs w:val="18"/>
          <w:color w:val="auto"/>
        </w:rPr>
        <w:t>offering would increase (decrease) our pro forma as adjusted net tangible book value by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and the dilution per share to</w:t>
      </w:r>
    </w:p>
    <w:p>
      <w:pPr>
        <w:spacing w:after="0" w:line="9" w:lineRule="exact"/>
        <w:rPr>
          <w:sz w:val="20"/>
          <w:szCs w:val="20"/>
          <w:color w:val="auto"/>
        </w:rPr>
      </w:pPr>
    </w:p>
    <w:p>
      <w:pPr>
        <w:ind w:left="200" w:right="260"/>
        <w:spacing w:after="0" w:line="277" w:lineRule="auto"/>
        <w:rPr>
          <w:sz w:val="20"/>
          <w:szCs w:val="20"/>
          <w:color w:val="auto"/>
        </w:rPr>
      </w:pPr>
      <w:r>
        <w:rPr>
          <w:rFonts w:ascii="Arial" w:cs="Arial" w:eastAsia="Arial" w:hAnsi="Arial"/>
          <w:sz w:val="17"/>
          <w:szCs w:val="17"/>
          <w:color w:val="auto"/>
        </w:rPr>
        <w:t>investors in this offering by $ per share, assuming that the assumed initial public offering price remains the same,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table below summarizes, as of June 30, 2018, on the pro forma basis described above, the number of shares of our common stock, the total consideration, and the average price per share (1) paid to us by our existing stockholders and (2) to be paid by new investors participating in this offering</w:t>
      </w:r>
    </w:p>
    <w:p>
      <w:pPr>
        <w:ind w:left="200" w:right="20"/>
        <w:spacing w:after="0" w:line="261" w:lineRule="auto"/>
        <w:rPr>
          <w:sz w:val="20"/>
          <w:szCs w:val="20"/>
          <w:color w:val="auto"/>
        </w:rPr>
      </w:pPr>
      <w:r>
        <w:rPr>
          <w:rFonts w:ascii="Arial" w:cs="Arial" w:eastAsia="Arial" w:hAnsi="Arial"/>
          <w:sz w:val="18"/>
          <w:szCs w:val="18"/>
          <w:color w:val="auto"/>
        </w:rPr>
        <w:t>assuming an initial public offering price of $ per share, which is the midpoint of the price range set forth on the cover page of this prospectus, before deducting underwriting discounts and commissions and estimated offering expenses payable by 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5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3"/>
              </w:rPr>
              <w:t>Shares Purchased</w:t>
            </w:r>
          </w:p>
        </w:tc>
        <w:tc>
          <w:tcPr>
            <w:tcW w:w="160" w:type="dxa"/>
            <w:vAlign w:val="bottom"/>
          </w:tcPr>
          <w:p>
            <w:pPr>
              <w:spacing w:after="0"/>
              <w:rPr>
                <w:sz w:val="12"/>
                <w:szCs w:val="12"/>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86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0"/>
              </w:rPr>
              <w:t>Number</w:t>
            </w:r>
          </w:p>
        </w:tc>
        <w:tc>
          <w:tcPr>
            <w:tcW w:w="74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if the underwriters’ option to purchase additional shares is exercised in full, the number of shares held by existing stockholders will be reduced to % of the total number of shares of common stock to be outstanding upon closing of this offering, and the number of shares of common</w:t>
      </w:r>
    </w:p>
    <w:p>
      <w:pPr>
        <w:ind w:left="200" w:right="800"/>
        <w:spacing w:after="0" w:line="261" w:lineRule="auto"/>
        <w:rPr>
          <w:sz w:val="20"/>
          <w:szCs w:val="20"/>
          <w:color w:val="auto"/>
        </w:rPr>
      </w:pPr>
      <w:r>
        <w:rPr>
          <w:rFonts w:ascii="Arial" w:cs="Arial" w:eastAsia="Arial" w:hAnsi="Arial"/>
          <w:sz w:val="18"/>
          <w:szCs w:val="18"/>
          <w:color w:val="auto"/>
        </w:rPr>
        <w:t>stock held by new investors participating in this offering will be further increased to % of the total number of shares of common stock to be outstanding upon closing of the offering.</w:t>
      </w:r>
    </w:p>
    <w:p>
      <w:pPr>
        <w:spacing w:after="0" w:line="18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total consideration paid by new investors by $ million and increase (decrease) the percent of total consideration paid by new investors by %, assuming the number of shares</w:t>
      </w:r>
    </w:p>
    <w:p>
      <w:pPr>
        <w:ind w:left="200" w:right="140"/>
        <w:spacing w:after="0" w:line="281" w:lineRule="auto"/>
        <w:rPr>
          <w:sz w:val="20"/>
          <w:szCs w:val="20"/>
          <w:color w:val="auto"/>
        </w:rPr>
      </w:pPr>
      <w:r>
        <w:rPr>
          <w:rFonts w:ascii="Arial" w:cs="Arial" w:eastAsia="Arial" w:hAnsi="Arial"/>
          <w:sz w:val="16"/>
          <w:szCs w:val="16"/>
          <w:color w:val="auto"/>
        </w:rPr>
        <w:t>we are offering, as set forth on the cover page of this prospectus, remains the same. We may also increase or decrease the number of shares we are offering. An increase (decrease) of 1,000,000 in the number of shares offered by us would increase (decrease) total consideration paid by new investors</w:t>
      </w:r>
    </w:p>
    <w:p>
      <w:pPr>
        <w:spacing w:after="0" w:line="1"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6"/>
          <w:szCs w:val="16"/>
          <w:color w:val="auto"/>
        </w:rPr>
        <w:t>million, assuming that the assumed initial price to the public remains the same.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common stock to be outstanding after this offering excludes:</w:t>
      </w:r>
    </w:p>
    <w:p>
      <w:pPr>
        <w:spacing w:after="0" w:line="131" w:lineRule="exact"/>
        <w:rPr>
          <w:sz w:val="20"/>
          <w:szCs w:val="20"/>
          <w:color w:val="auto"/>
        </w:rPr>
      </w:pPr>
    </w:p>
    <w:p>
      <w:pPr>
        <w:ind w:left="1060" w:right="6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52,224,031 shares of common stock issuable upon the exercise of options outstanding as of June 30, 2018, with a weighted-average exercise price of $0.23 per share;</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June 30, 2018, with a weighted-average exercise price of $0.48 per share;</w:t>
      </w:r>
    </w:p>
    <w:p>
      <w:pPr>
        <w:spacing w:after="0" w:line="75"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867,474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6"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46,377,691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4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9,275,538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To the extent that any outstanding stock options or warrants are exercised, new options are issued under our stock-based compensation plans, or we issue additional shares of common stock in the future, there will be further dilution to investors participating in this offering. If all outstanding options under our 2008 Stock Plan as of June 30, 2018 and all outstanding warrants as of June 30, 2018 (other than warrants that will be automatically net exercised immediately prior to the closing of this offering) were exercised for cash, then our existing stockholders, including the holders of these options and warrants, would own % and our new investors would own % of the total number of shares of our common stock outstanding upon the closing of this offering, respectively. In such event, the total consideration paid by our existing stockholders, including the holders of these options and</w:t>
      </w:r>
    </w:p>
    <w:p>
      <w:pPr>
        <w:spacing w:after="0" w:line="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warrants, would be $ , or %, the total consideration paid by our new investors would be $ , or %, the average price per share paid by our existing stockholders would be $ and the average price per share paid by our new investors would be $ .</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240" w:top="459" w:right="5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and the consolidated balance sheet data at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60" w:type="dxa"/>
            <w:vAlign w:val="bottom"/>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(in thousands, except share and per share data)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42,101</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47,983</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22,531</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common shares used to compute basic and</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diluted net loss per common share</w:t>
            </w: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59,659,307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62,411,906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62,024,861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64,862,952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common share, basic and diluted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color w:val="auto"/>
        </w:rPr>
        <w:t>Pro forma weighted-average number of common shares used to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compute basic and diluted net loss per share (unaudited)</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5746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22860</wp:posOffset>
            </wp:positionV>
            <wp:extent cx="5746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5715</wp:posOffset>
            </wp:positionV>
            <wp:extent cx="5746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22860</wp:posOffset>
            </wp:positionV>
            <wp:extent cx="5746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125730</wp:posOffset>
            </wp:positionV>
            <wp:extent cx="694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18" w:lineRule="exact"/>
        <w:rPr>
          <w:sz w:val="20"/>
          <w:szCs w:val="20"/>
          <w:color w:val="auto"/>
        </w:rPr>
      </w:pPr>
    </w:p>
    <w:p>
      <w:pPr>
        <w:ind w:left="640" w:right="200" w:hanging="436"/>
        <w:spacing w:after="0" w:line="26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weighted-average number of shares used in the computation of the per share amounts.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  27,900</w:t>
            </w:r>
          </w:p>
        </w:tc>
        <w:tc>
          <w:tcPr>
            <w:tcW w:w="1040" w:type="dxa"/>
            <w:vAlign w:val="bottom"/>
          </w:tcPr>
          <w:p>
            <w:pPr>
              <w:jc w:val="right"/>
              <w:spacing w:after="0"/>
              <w:rPr>
                <w:sz w:val="20"/>
                <w:szCs w:val="20"/>
                <w:color w:val="auto"/>
              </w:rPr>
            </w:pPr>
            <w:r>
              <w:rPr>
                <w:rFonts w:ascii="Arial" w:cs="Arial" w:eastAsia="Arial" w:hAnsi="Arial"/>
                <w:sz w:val="18"/>
                <w:szCs w:val="18"/>
                <w:color w:val="auto"/>
              </w:rPr>
              <w:t>$  22,408</w:t>
            </w:r>
          </w:p>
        </w:tc>
        <w:tc>
          <w:tcPr>
            <w:tcW w:w="36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22,938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39,436</w:t>
            </w:r>
          </w:p>
        </w:tc>
        <w:tc>
          <w:tcPr>
            <w:tcW w:w="1040" w:type="dxa"/>
            <w:vAlign w:val="bottom"/>
          </w:tcPr>
          <w:p>
            <w:pPr>
              <w:jc w:val="right"/>
              <w:spacing w:after="0"/>
              <w:rPr>
                <w:sz w:val="20"/>
                <w:szCs w:val="20"/>
                <w:color w:val="auto"/>
              </w:rPr>
            </w:pPr>
            <w:r>
              <w:rPr>
                <w:rFonts w:ascii="Arial" w:cs="Arial" w:eastAsia="Arial" w:hAnsi="Arial"/>
                <w:sz w:val="18"/>
                <w:szCs w:val="18"/>
                <w:color w:val="auto"/>
              </w:rPr>
              <w:t>35,834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 warrant liability</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long-term borrowings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29,310</w:t>
            </w:r>
          </w:p>
        </w:tc>
        <w:tc>
          <w:tcPr>
            <w:tcW w:w="1040" w:type="dxa"/>
            <w:vAlign w:val="bottom"/>
          </w:tcPr>
          <w:p>
            <w:pPr>
              <w:jc w:val="right"/>
              <w:spacing w:after="0"/>
              <w:rPr>
                <w:sz w:val="20"/>
                <w:szCs w:val="20"/>
                <w:color w:val="auto"/>
              </w:rPr>
            </w:pPr>
            <w:r>
              <w:rPr>
                <w:rFonts w:ascii="Arial" w:cs="Arial" w:eastAsia="Arial" w:hAnsi="Arial"/>
                <w:sz w:val="18"/>
                <w:szCs w:val="18"/>
                <w:color w:val="auto"/>
              </w:rPr>
              <w:t>38,704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35,048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113,121</w:t>
            </w:r>
          </w:p>
        </w:tc>
        <w:tc>
          <w:tcPr>
            <w:tcW w:w="1040" w:type="dxa"/>
            <w:vAlign w:val="bottom"/>
          </w:tcPr>
          <w:p>
            <w:pPr>
              <w:jc w:val="right"/>
              <w:spacing w:after="0"/>
              <w:rPr>
                <w:sz w:val="20"/>
                <w:szCs w:val="20"/>
                <w:color w:val="auto"/>
              </w:rPr>
            </w:pPr>
            <w:r>
              <w:rPr>
                <w:rFonts w:ascii="Arial" w:cs="Arial" w:eastAsia="Arial" w:hAnsi="Arial"/>
                <w:sz w:val="18"/>
                <w:szCs w:val="18"/>
                <w:color w:val="auto"/>
              </w:rPr>
              <w:t>118,548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3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(108,733)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(129,378)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(135,703)</w:t>
            </w: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20" w:type="dxa"/>
            <w:vAlign w:val="bottom"/>
          </w:tcPr>
          <w:p>
            <w:pPr>
              <w:jc w:val="right"/>
              <w:ind w:right="1670"/>
              <w:spacing w:after="0"/>
              <w:rPr>
                <w:sz w:val="20"/>
                <w:szCs w:val="20"/>
                <w:color w:val="auto"/>
              </w:rPr>
            </w:pPr>
            <w:r>
              <w:rPr>
                <w:rFonts w:ascii="Arial" w:cs="Arial" w:eastAsia="Arial" w:hAnsi="Arial"/>
                <w:sz w:val="18"/>
                <w:szCs w:val="18"/>
                <w:color w:val="auto"/>
              </w:rPr>
              <w:t>69</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the section “Risk Factors” included elsewhere in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33,000 procedures have been performed by over 1,600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incurred net losses since our inception in 2008. During 2016 and 2017 and for the six months ended 2018 we had net losses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$20.6 million, $23.0 million, and $7.3 million, respectively. As of June 30, 2018, we had an accumulated deficit of $147.1 million. To date, we have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financed our operations primarily through private placements of equity securities, certain debt-related financing arrangements, and sales of our products.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devoted substantially all of our resources to research and development of our products, reimbursement-related initiatives, sales and marketing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activities, and clinical, quality assurance, and regulatory matters for our products.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As of July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Prior to our launch of iFuse in 2009, Medicare and most private insurance companies reimbursed surgeons routinely for sacroiliac joint fusions, which were primarily invasive. However, effective July 1, 2013, the AMA’s Editorial Panel effectively restricted reimbursement for minimally invasive sacroiliac joint fusion because they considered the published clinical evidence at the time to be inadequate.</w:t>
      </w:r>
    </w:p>
    <w:p>
      <w:pPr>
        <w:spacing w:after="0" w:line="166"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5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However, as of July 31, 2018, 39 of the largest 66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our fiscal year 2018.</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jc w:val="both"/>
        <w:ind w:left="200" w:right="620" w:firstLine="441"/>
        <w:spacing w:after="0" w:line="264" w:lineRule="auto"/>
        <w:rPr>
          <w:sz w:val="20"/>
          <w:szCs w:val="20"/>
          <w:color w:val="auto"/>
        </w:rPr>
      </w:pPr>
      <w:r>
        <w:rPr>
          <w:rFonts w:ascii="Arial" w:cs="Arial" w:eastAsia="Arial" w:hAnsi="Arial"/>
          <w:sz w:val="18"/>
          <w:szCs w:val="18"/>
          <w:color w:val="auto"/>
        </w:rPr>
        <w:t>We market and sell iFuse primarily through a direct sales force and a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3"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178"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changes, physician activities, and seasonality. Our revenue from international sales may also be significantly impacted by fluctuations in foreign currency exchange rates between the U.S. dollar (our reporting currency) and the local currency.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in absolute dollars as case levels increase.</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 In July 2018, the U.S. House of Representatives voted to repeal this tax. The U.S. Senate is expected to vote on the matter in the fourth quarter of 2018. Our gross margins have been and will continue to be affected by a variety of factors, including the cost to have our products manufactured for us, pricing pressure from increasing competition, and the factors described above impacting our revenue. Our gross margins are typically higher on products we sell directly as compared to products we sell through third-party distributors. As a result, changes in the mix of direct versus distributor sales can directly influence gross margin.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September 2017, we implemented cost-saving measures, which reduced our operational expenses though headcount reductions, reduced project spending, and more targeted marketing and surgeon training activities.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in absolute dollars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 While we expect the general and administrative expenses to increase in absolute dollars, we anticipate that it will decrease as a percentage of revenue over time.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initial public offering, we expect that our preferred stock warrant liability will be settled.</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240" w:top="459" w:right="5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for the period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6"/>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42,101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$ 47,983</w:t>
            </w: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22,531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35,215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21,130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(17,350)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(20,589)</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(23,039)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as a percentage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Year Ended December 31,</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3"/>
          </w:tcPr>
          <w:p>
            <w:pPr>
              <w:jc w:val="right"/>
              <w:ind w:right="94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6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00" w:type="dxa"/>
            <w:vAlign w:val="bottom"/>
            <w:gridSpan w:val="2"/>
          </w:tcPr>
          <w:p>
            <w:pPr>
              <w:jc w:val="right"/>
              <w:ind w:right="274"/>
              <w:spacing w:after="0"/>
              <w:rPr>
                <w:sz w:val="20"/>
                <w:szCs w:val="20"/>
                <w:color w:val="auto"/>
              </w:rPr>
            </w:pPr>
            <w:r>
              <w:rPr>
                <w:rFonts w:ascii="Arial" w:cs="Arial" w:eastAsia="Arial" w:hAnsi="Arial"/>
                <w:sz w:val="18"/>
                <w:szCs w:val="18"/>
                <w:color w:val="auto"/>
              </w:rPr>
              <w:t>74</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United States and international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right"/>
              <w:ind w:right="437"/>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38,791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International</w:t>
            </w: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42,101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United States and international revenue as a percentage of our total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2017 and 2018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b w:val="1"/>
                <w:bCs w:val="1"/>
                <w:i w:val="1"/>
                <w:iCs w:val="1"/>
                <w:color w:val="auto"/>
                <w:w w:val="96"/>
              </w:rPr>
              <w:t>Revenue, Cost of Goods Sold, Gross Profit, and Gross Margin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9"/>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22,531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$3.8 million, or 17%, for the six months ended June 30, 2018 as compared to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the increase is due to $3.0 million of growth from domestic sales as a result of higher sales force productivity and improved U.S. reimbursement coverage. In addition, international revenue increased $0.8 million as a result of an expanded international direct sales force and improving reimbursement coverage in Europe.</w:t>
      </w:r>
    </w:p>
    <w:p>
      <w:pPr>
        <w:spacing w:after="0" w:line="187"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decreased $0.3 million, or 13%,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the six months ended June 30, 2017. The decrease in cost of goods sold is primarily due to $0.5 million of cost control measures related to reduced headcount in operations that more than offset the increase in direct product costs from higher case volumes. Gross profit increased $4.2 million, or 21%, to $24.1 million due to higher revenue and lower cost of goods sold.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 except for percentages)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(1,765)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$0.2 million, or 1%, for the six months ended June 30,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2017. The increase was primarily due to $0.9 million in increased salaries, commissions, and related expenses due to an increase in the number of sales representatives hired late in the first quarter of 2017 to support the growth of our business. This increase was largely offset by a $0.5 million decrease in the level of spending on general marketing costs related to a shift in marketing effort from print media to less expensive digital media, as well as other cost control measures that were put in place at the end of the third quarter of 2017. The increased compensation costs were also offset by a $0.3 million decrease in surgeon training costs, including training facilities and consulting surgeon costs due to continued focus on maximizing class sizes to more fully leverage training events.</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$0.3 million, or 10%,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six months ended June 30, 2017. The decrease was primarily due to a $0.3 million reduction in compensation expense related to cost control measures put in place at the end of the third quarter 2017.</w:t>
      </w:r>
    </w:p>
    <w:p>
      <w:pPr>
        <w:spacing w:after="0" w:line="181"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decreased $1.8 million, or 26%,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compared to the six months ended June 30, 2017. The decrease was primarily due to a decrease of $0.5 million in compensation expense due to the write-off of principal and interest due on a promissory note from our Chief Executive Officer in the first half of 2017, with no similar write-offs in the six months ended June 30, 2018. In addition, there were decreases of $0.4 million in legal costs for patent and general corporate matters,</w:t>
      </w:r>
    </w:p>
    <w:p>
      <w:pPr>
        <w:spacing w:after="0" w:line="2"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$0.3 million in audit and accounting fees, $0.2 million in compensation expense as a result of a decrease in headcount, $0.1 million in travel expense, and $0.2 million of recoveries of accounts receivable previously written off during the six months ended June 30, 2017.</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6350</wp:posOffset>
            </wp:positionV>
            <wp:extent cx="1406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wp:posOffset>
            </wp:positionV>
            <wp:extent cx="30873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7440"/>
        <w:spacing w:after="0" w:line="233"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(1,920)</w:t>
            </w:r>
          </w:p>
        </w:tc>
        <w:tc>
          <w:tcPr>
            <w:tcW w:w="52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(2,544)</w:t>
            </w:r>
          </w:p>
        </w:tc>
        <w:tc>
          <w:tcPr>
            <w:tcW w:w="48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(624)</w:t>
            </w:r>
          </w:p>
        </w:tc>
        <w:tc>
          <w:tcPr>
            <w:tcW w:w="1020" w:type="dxa"/>
            <w:vAlign w:val="bottom"/>
          </w:tcPr>
          <w:p>
            <w:pPr>
              <w:ind w:left="6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(386)</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left="200" w:right="20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$0.1 million, or 78%, for the six months ended June 30, 2018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due to investment of excess cash in money market funds.</w:t>
      </w:r>
    </w:p>
    <w:p>
      <w:pPr>
        <w:spacing w:after="0" w:line="170"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$0.6 million, or 33%, for the six months ended June 30, 2018,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2017, primarily due to a $10.0 million increase in the level of borrowings associated with closing a new debt arrangement in October 2017.</w:t>
      </w:r>
    </w:p>
    <w:p>
      <w:pPr>
        <w:spacing w:after="0" w:line="124"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decreased $0.4 million for the six months ended June 30, 2018,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2017 primarily due to losses related to the change in the fair value of our preferred stock warrants outstanding, which are accounted for as a liability and revalued at each reporting period, and foreign currency exchange losses.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Years Ended December 31, 2016 and 2017</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8"/>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(in thousands except for percentages)</w:t>
            </w: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42,101</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47,983</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42,871</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$5.9 million, or 14%, from 2016 to 2017. The increase of $5.9 million was primarily due to an increase of</w:t>
      </w:r>
    </w:p>
    <w:p>
      <w:pPr>
        <w:spacing w:after="0" w:line="35"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$4.6 million from growth of domestic revenue from additional hiring of sales personnel and improved U.S. reimbursement coverage. In addition, we had $1.3 million from growth of international revenue from our branch in the United Kingdom, increased sales force productivity in Germany, and new business in Australia and Taiwan.</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decreased $0.1 million, or 1%, from 2016 to 2017. This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reduction in inventory write-offs from improved inventory level management, offset by the increase in direct product costs from higher case volumes. Gross profit increased $5.9 million, or 16%, to $42.9 million from 2016 to 2017 due to higher revenue and relatively flat cost of goods sold.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Years Ended December 31,</w:t>
            </w:r>
          </w:p>
        </w:tc>
        <w:tc>
          <w:tcPr>
            <w:tcW w:w="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(867)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$6.4 million, or 18%, from 2016 to 2017 from increased efforts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revenues. The increase was primarily due to $4.7 million in increased salaries, guaranteed minimum commissions, and related expenses from higher headcount, $0.9 million in increased commissions due to higher revenues, $0.7 million in increased general marketing expenses, and $0.2 million in surgeon training programs.</w:t>
      </w:r>
    </w:p>
    <w:p>
      <w:pPr>
        <w:spacing w:after="0" w:line="187"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$0.9 million, or 14%, from 2016 to 2017.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due to a $0.4 million reduction in salaries and related expenditures, from lower headcount, a $0.3 million reduction in clinical trial expense as the INSITE and SIFI studies mature, and a decrease of $0.2 million in reduced consulting expense from lower engineering project spending.</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$0.2 million, or 1%, from 2016 to 2017.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$0.9 million in salaries and employee related costs, including the forgiveness of a loan to the Chief Executive Officer for $0.5 million. This increase was offset by a decrease of $0.3 million in external professional fees related to reimbursement related activities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and a decrease of $0.3 million in accounting fees. Included in general administrative expenses is $1.5 million and $1.3 million in public offering costs previously recorded on the consolidated balance sheet, which were written off in 2016 and 2017, respectively, as a result of delays in the public offering process.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13976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wp:posOffset>
            </wp:positionV>
            <wp:extent cx="30784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7460"/>
        <w:spacing w:after="0" w:line="233"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   104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(3,308)</w:t>
            </w:r>
          </w:p>
        </w:tc>
        <w:tc>
          <w:tcPr>
            <w:tcW w:w="5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(6,204)</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(2,896)</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340</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increased $0.1 million, or 146%, from 2016 to 2017 due to investment of excess cash in money market funds.</w:t>
      </w:r>
    </w:p>
    <w:p>
      <w:pPr>
        <w:spacing w:after="0" w:line="24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$2.9 million, or 88%, from 2016 to 2017 primarily due to the extinguishment of a credit facility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SVB, and Oxford Finance LLC, or Oxford, in October 2017. The extinguishment resulted in $1.5 million in early termination fees and we expensed an additional $0.7 million of unamortized debt discounts. In conjunction with the extinguishment, we entered into a new term loan with Pharmakon, or the New Term Loan, with an increased principal balance from $30.6 million to $40.0 million resulting in an increase in interest of approximately $0.2 million. In December 2016, we also had drawn an additional $4.0 million in debt, resulting in $0.4 million of higher interest expense in 2017.</w:t>
      </w:r>
    </w:p>
    <w:p>
      <w:pPr>
        <w:spacing w:after="0" w:line="193"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increased $0.1 million or 60%, from 2016 to 2017, as a result in losses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fair value of outstanding preferred stock warrants, which are accounted for as a liability and revalued at each reporting period.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of June 30, 2018, we had cash and cash equivalents of $16.2 million. Since inception, we have financed our operations through private placements of preferred stock, debt financing arrangements, and the sale of our products. As of June 30, 2018, we had $38.8 million principal amount of outstanding debt, net of debt discounts.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As of June 30, 2018, we had an accumulated deficit of $147.1 million. During 2017 and the six months ended June 30, 2018 we incurred net losses of $23.0 million and $7.3 million, respectively, and expect to incur additional losses in the future. We have not achieved positive cash flow from operations to date. We evaluated our current cash position, historical results, forecasted cashflows, and plans in regards to liquidity. We further considered the debt covenants associated with our current debt agreement. These covenants require us to maintain a minimum cash balance of $5.0 million and revenue targets. Beginning with the three months ended March 31, 2019, we are required to meet either revenue or earnings targets. If we do not comply with these covenants, the debt will immediately become due. Considering all of these factors, we believe, absent this offering, that there is substantial doubt about our ability to continue as a going concern for the next 12 months.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and cash equivalents, will enable us to fund our operating expenses and capital expenditure requirements through at least the next 12 months from the date of this offering.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2015, we entered into a term loan facility and a revolving line of credit with SVB and Oxford, or Term Loan, for $35.2 million.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the Term Loan closed in October 2015 for $16.2 million, the proceeds of which were used to pay off previous loans with SVB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$15.5 million and final fees of $0.7 million related to the previous loans. Prepayment fees on the then existing debt facilities were waived. We drew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second tranche of $10.0 million in November 2015 and the third tranche of $4.0 million in December 2016. The maturity date of the Term Loan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 2019, and it carried an interest rate equal to the greater of 11% or the WSJ Prime rate plus 7.75%.</w:t>
      </w:r>
    </w:p>
    <w:p>
      <w:pPr>
        <w:spacing w:after="0" w:line="21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In connection with this agreement, we also issued to SVB and Oxford warrants to purchase, in the aggregate, 1,145,231 shares of our Series 6 preferred stock, with an exercise price of $0.92 per share. Subsequently, in August 2016, we amended the agreement to extend the draw period of the fourth tranche for an additional three months. In conjunction with the additional draw of the Term Loan, we issued an additional 174,844 warrants for the purchase of Series 7 preferred stock at an exercise price of $0.56 per share in December 2016. In February 2017, we amended the agreement to extend the interest only period by six months to October 2017 and extended the draw period of the fourth tranche through January 2018.</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October 2017, we extinguished the Term Loan and revolving line of credit facility with SVB and Oxford and concurrently, entered into the New Term Loan with Pharmakon for $40.0 million. The New Term Loan includes an interest-only period for 35 months through September 2020 and is then repaid for 25 months of equal principal payments plus interest through December 2022. The New Term Loan carries a fixed interest rate of 11.5% and a closing fee of 1.5% of the funded amount, or $0.6 million. The New Term Loan includes a pre-payment fee of the remaining interest payable for the first 30 months of the agreement if it is prepaid within the first 30 months, a 2% prepayment penalty for months 31-48, and a 1% penalty for months 49-60. The New Term Loan requires us to maintain a minimum cash balance of $5.0 million and revenue targets. Beginning with the three months ended March 31, 2019, we are required to meet either revenue or earnings targets. Under the New Term Loan, we also have a second tranche of $10.0 million available through January 2019, contingent upon the achievement of certain revenue milestones. The New Term Loan is collateralized by all of our assets, including intellectual property.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June 30, 2018 we were in compliance with all of our debt obligations and covenants.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4-5 years</w:t>
            </w: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4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r>
              <w:rPr>
                <w:rFonts w:ascii="Arial" w:cs="Arial" w:eastAsia="Arial" w:hAnsi="Arial"/>
                <w:sz w:val="15"/>
                <w:szCs w:val="15"/>
                <w:color w:val="auto"/>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Interest obligations on the debt arrangements</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18,658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9,341</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59,625</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13,954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40,286</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further discussion, see Note 6 to our consolidated financial statements.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lease obligations consist primarily of lease payments for our San Jose, California facility and Europe facilities.</w:t>
      </w:r>
    </w:p>
    <w:p>
      <w:pPr>
        <w:spacing w:after="0" w:line="21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February 2018, we entered into a new seven-year lease for our Santa Clara, California facility. The total commitment is $5.1 million.</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$(9,520)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$(5,673)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3,847</w:t>
            </w: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(5,010)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(6,175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720"/>
              <w:spacing w:after="0" w:line="158"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7"/>
              <w:spacing w:after="0" w:line="136"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3"/>
              <w:spacing w:after="0" w:line="136"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line="136"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(in thousands, except for percentages)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24,755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(11,893)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Effects of exchange rate changes on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(13,120</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Net cash used in operating activities decreased $3.8 million, or 40%, from the six months ended June 30, 2017 to the six months ended June 30, 2018. The decrease in the net cash used in operating activities was primarily due to a decrease of $5.1 million in our net loss, offset by a decrease of $1.3 million in accounts payable related to the timing of payments made.</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Net cash used in operating activities increased $0.8 million, or 5%, from 2016 to 2017. The increase in the net cash used in operating activities was primarily due to an increase of $2.5 million in our net loss, an increase of $1.2 million in accounts receivable, an increase of $2.2 million in inventory, and an increase in prepaid and other assets of $0.1 million. These uses of cash were partially offset by an increase of $2.3 million in accounts payable, and an increase of $1.8 million in accrued liabilities, as well as non-cash adjustments for the write-off of a debt discount of $0.7 million and the forgiveness of a note receivable of $0.4 million.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increased $0.4 million, or 161%, from the six months ended June 30, 2017 to the six months ended June 30,</w:t>
      </w:r>
    </w:p>
    <w:p>
      <w:pPr>
        <w:spacing w:after="0" w:line="46"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2018. Cash used in investing activities for the six months ended June 30, 2018 primarily consisted of leasehold improvements related to the new building lease entered into in February 2018 of $0.6 million. Cash used in investing activities for the six months ended June 30, 2017 primarily consisted of instrument set purchases of $0.3 million. The instrument sets are carried by our sales representatives and used during iFuse procedures.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 was relatively constant from 2016 to 2017 and consisted primarily of instrument set purchases.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Cash provided by financing activities decreased $5.0 million, or 96%, from the six months ended June 30, 2017 to the six months ended June 30, 2018. Cash provided by financing activities for the six months ended June 30, 2017 consisted primarily of net proceeds of $5.4 million from the issuance of Series 7 preferred stock from February through March 2017, offset by payments for public offering costs of $0.3 million. Cash provided by financing activities for the six months ended June 30, 2018 consisted of proceeds from exercises of common stock options of $0.2 million.</w:t>
      </w:r>
    </w:p>
    <w:p>
      <w:pPr>
        <w:spacing w:after="0" w:line="15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Cash provided by financing activities decreased $11.9 million, or 48%, from 2016 to 2017. Cash provided by financing activities during 2016 consisted of net proceeds of $20.3 million from the issuance of Series 7 preferred stock from June through August 2016 and proceeds from additional debt financing of $4.0 million in December 2016. Cash provided by financing activities during 2017 consisted of net proceeds of $5.4 million from the issuance of Series 7 preferred stock from February through March 2017 and proceeds of $40 million from debt financing, offset by $29.1 million in extinguishment of debt financing, $1.1 million in repayment of debt financing, payments of debt issuance costs of $1.5 million, and payments of public offering costs of $1.3 million.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accordance with ASC Topic 605, Revenue Recognition, 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we recognize revenue based on shipping or delivery, which represents the point in time when the customer has taken ownership and assumed risk of loss and the required revenue recognition criteria are met. Such customers are obligated to pay within specified terms regardless of when or if they ever sell or use the products, and we have no post-delivery obligations.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measure our stock-based awards made to employees based on the estimated fair value of the awards as of the grant date using the Black-Scholes option pricing model. Stock-based compensation cost is recognized over the requisite service period using the straight-line method and is based on the value of the portion of stock-based payment awards ultimately expected to vest.</w:t>
      </w:r>
    </w:p>
    <w:p>
      <w:pPr>
        <w:spacing w:after="0" w:line="18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 as the underling equity instruments vest. We believe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July 2016, we modified the terms of 10,365,515 vested and unvested stock option awards by reducing their exercise price to the fair value of our common stock on the date of modification which resulted in an incremental value of $0.4 million being allocated to the options. In December 2017, we modified the terms of 7,103,900 unvested stock option awards by reducing their exercise price to the fair value of our common stock on the date of modification and removing the vesting performance conditions for the awards which resulted in a fair value expense of $0.8 million for the options.</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recorded total non-cash stock-based compensation expense of $1.4 million during both 2016 and 2017. At June 30, 2018, we had $2.2 million of total unrecognized employee stock-based compensation expense, net of estimated forfeitures, related to stock option grants. This amount will be recognized as expense over a weighted-average period of 2.5 years. We expect to continue to grant stock options in the future, and, to the extent that we do, our actual stock-based compensation expense recognized in future periods will likely increase.</w:t>
      </w:r>
    </w:p>
    <w:p>
      <w:pPr>
        <w:sectPr>
          <w:pgSz w:w="11900" w:h="16838" w:orient="portrait"/>
          <w:cols w:equalWidth="0" w:num="1">
            <w:col w:w="11220"/>
          </w:cols>
          <w:pgMar w:left="240" w:top="459" w:right="439" w:bottom="1440" w:gutter="0" w:footer="0" w:header="0"/>
        </w:sectPr>
      </w:pP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intrinsic value of all outstanding options as of June 30, 2018 was $ million based on the assumed initial public offering price of $ share, which is the midpoint of the price range set forth on the cover page of this prospectus, of which $ million related to vested options and $ million related to unvested options.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per</w:t>
      </w:r>
    </w:p>
    <w:p>
      <w:pPr>
        <w:spacing w:after="0" w:line="613" w:lineRule="exact"/>
        <w:rPr>
          <w:sz w:val="20"/>
          <w:szCs w:val="20"/>
          <w:color w:val="auto"/>
        </w:rPr>
      </w:pPr>
    </w:p>
    <w:p>
      <w:pPr>
        <w:sectPr>
          <w:pgSz w:w="11900" w:h="16838" w:orient="portrait"/>
          <w:cols w:equalWidth="0" w:num="2">
            <w:col w:w="10660" w:space="320"/>
            <w:col w:w="24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20"/>
          </w:cols>
          <w:pgMar w:left="24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117"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grant date fair value of the stock-based awards is generally recognized on a straight-line basis over the requisite service period, which is generally the vesting period of the respective awards.</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76" w:lineRule="exact"/>
        <w:rPr>
          <w:sz w:val="20"/>
          <w:szCs w:val="20"/>
          <w:color w:val="auto"/>
        </w:rPr>
      </w:pPr>
    </w:p>
    <w:p>
      <w:pPr>
        <w:jc w:val="both"/>
        <w:ind w:left="1060" w:right="260" w:hanging="424"/>
        <w:spacing w:after="0" w:line="26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expected term to be the midpoint between the vesting date and the contractual life of the stock-based awards.</w:t>
      </w:r>
    </w:p>
    <w:p>
      <w:pPr>
        <w:spacing w:after="0" w:line="86" w:lineRule="exact"/>
        <w:rPr>
          <w:rFonts w:ascii="Arial" w:cs="Arial" w:eastAsia="Arial" w:hAnsi="Arial"/>
          <w:sz w:val="18"/>
          <w:szCs w:val="18"/>
          <w:color w:val="auto"/>
        </w:rPr>
      </w:pPr>
    </w:p>
    <w:p>
      <w:pPr>
        <w:ind w:left="1060" w:right="180" w:hanging="424"/>
        <w:spacing w:after="0" w:line="31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have been privately held and do not have any trading history for our common stock,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volatility for comparable publicly traded companies over a period equal to the expected term of the stock option grants. The comparable companies were chosen based on their similar size, stage in the life cycle, or area of specialty.</w:t>
      </w:r>
    </w:p>
    <w:p>
      <w:pPr>
        <w:spacing w:after="0" w:line="52"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 xml:space="preserve">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Our board of directors, with the assistance of management, developed these valuations using significant judgment and taking</w:t>
      </w:r>
      <w:r>
        <w:rPr>
          <w:rFonts w:ascii="Arial" w:cs="Arial" w:eastAsia="Arial" w:hAnsi="Arial"/>
          <w:sz w:val="16"/>
          <w:szCs w:val="16"/>
          <w:i w:val="1"/>
          <w:iCs w:val="1"/>
          <w:color w:val="auto"/>
        </w:rPr>
        <w:t xml:space="preserve"> </w:t>
      </w:r>
      <w:r>
        <w:rPr>
          <w:rFonts w:ascii="Arial" w:cs="Arial" w:eastAsia="Arial" w:hAnsi="Arial"/>
          <w:sz w:val="16"/>
          <w:szCs w:val="16"/>
          <w:color w:val="auto"/>
        </w:rPr>
        <w:t>into account numerous factors, including developments at our company, market conditions, and contemporaneous independent third-party valuations. In valuing our common stock, the fair value of our business, or enterprise value, was determined using both the income approach and market approach. The income approach estimates value based on the expectation of future cash flows that a company will generate. These future cash flows are discounted to their present values using a discount rate based on the capital rates of return for venture-backed early stage companies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73"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enterprise values derived from the approaches discussed above were then allocated to each of our classes of stock using a hybrid methodology, which included both the Option Pricing Method, or OPM, and the Probability Weighted Expected Return Method, or PWERM. The allocation of these enterprise values to each part of our capital structure, including our common stock, was done based on the OPM. OPM treats the rights of the holders of preferred and common shares as equivalent to call options on any value of the enterprise above certain breakpoints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is appropriate to use when the range of possible future outcomes is difficult to predict and thus creates highly speculative forecasts. The OPM backsolve method derives the implied enterprise value of a company from a recent transaction involving our own</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securities issued on an arms-length basis. Under the PWERM the value is estimated based upon analysis of future values for the enterprise under varying scenarios, probabilities are ascribed to these scenarios based on expected future outcomes.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scenarios.</w:t>
      </w:r>
    </w:p>
    <w:p>
      <w:pPr>
        <w:spacing w:after="0" w:line="154"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After the equity value is determined and allocated to the various classes of shares, a discount for lack of marketability, or DLOM, is applied to arrive at the fair value of common stock.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4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Following the closing of this offering, the fair value of our common stock will be determined based on the closing price of our common stock on the Nasdaq Global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our prior debt facilities. We account for these warrants as a liability in our consolidated financial statements because the underlying instrument into which the warrants are exercisable contains deemed liquidation provisions that are outside our control.</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warrants were recorded at fair value using the Black-Scholes option pricing model. The warrants are re-measured at each financial reporting period with any changes in fair value being recognized as a component of other income (expense), net in the consolidated statements of operations. We will continue to adjust the liability for changes in fair value until the earlier of (i) exercise or expiration of the warrants, or (ii) the closing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We determined that the warrants for shares of common stock issued in connection with our prior debt facilities. We estimate the fair value of our warrants for shares of common stock by using the Black-Scholes option pricing model. Warrants classified as equity are recorded as additional paid-in capital on the consolidated balance sheet and no further adjustments to their valuation are made after the issuance of the warrants.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December 31, 2017, we had net operating loss carryforwards of approximately $124.9 million and $101.7 million available to reduce future taxable income, if any, for federal and state income tax purposes, respectively. If not utilized, our federal and state net operating loss carryforwards begin to expire in 2029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respectively, and valuation allowances have been established, where necessary. We also have research credit carryforwards of approximately</w:t>
      </w:r>
    </w:p>
    <w:p>
      <w:pPr>
        <w:spacing w:after="0" w:line="46"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$1.6 million and $1.7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9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did not record a provision or benefit for income taxes during the six months ended June 30, 2017 or 2018. We continue to maintain a full valuation allowance against our net deferred tax assets.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experienced Section 382 ownership changes in 2010 and $1.4 million of our NOL carryforwards are subject to limitation.</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6"/>
          <w:szCs w:val="16"/>
          <w:color w:val="auto"/>
        </w:rPr>
        <w:t>On December 22, 2017, the 2017 Tax Cuts and Jobs Act, or the Tax Act, was enacted into law and the new legislation contains several key tax provisions that affected us, including a reduction of the corporate income tax rate to 21% effective January 1, 2018, among others. We are required to recognize the effect of the tax law changes in the period of enactment, such as remeasuring our U.S. deferred tax assets and liabilities as well as reassessing the net realizability of our deferred tax assets and liabilities. In December 2017, the SEC staff issued Staff Accounting Bulletin</w:t>
      </w:r>
    </w:p>
    <w:p>
      <w:pPr>
        <w:spacing w:after="0" w:line="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(SAB 118), which allows us to record provisional amounts during a measurement period not to extend beyond one year of the enactment date. We consider the accounting of the deferred tax re-measurements to be complete. However, ongoing guidance and accounting interpretation are expected in the near term and we expect to complete our analysis relating to this guidance and interpretation within the measurement period in accordance with SAB 118.</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During 2016 and 2017 and for the six months ended June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exposed to interest rate risks related to our cash and cash equivalents. We had cash and cash equivalents of $22.4 million and $16.2 million as of December 31, 2017 and June 30, 2018, respectively, which consist of bank deposits and money market funds. Our cash balance consisted of bank deposits and money market funds in 2017. Such interest-earning instruments carry a degree of interest rate risk; however, historical fluctuations in interest income have not been significant.</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We had outstanding debt of $38.7 million and $38.8 million as of December 31, 2017 and June 30, 2018, which accrues interest at a fixed rate of 11.5%.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operate in countries other than the United States, and, therefore, we are exposed to foreign currency risks.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required an entity to recognize the amount of revenue to which it expects to be entitled for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Principal versus Agent Considerations (Reporting Revenue Gross versus Net)</w:t>
      </w:r>
      <w:r>
        <w:rPr>
          <w:rFonts w:ascii="Arial" w:cs="Arial" w:eastAsia="Arial" w:hAnsi="Arial"/>
          <w:sz w:val="16"/>
          <w:szCs w:val="16"/>
          <w:color w:val="auto"/>
        </w:rPr>
        <w:t>, which clarifies the implementation guidance on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versus agent considerations in ASU 2014-09. In April 2016, the FASB issued ASU 2016-10,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which clarifies certain aspects of identifying performance obligations and licensing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May 2016, the FASB issued ASU 2016-12, </w:t>
      </w:r>
      <w:r>
        <w:rPr>
          <w:rFonts w:ascii="Arial" w:cs="Arial" w:eastAsia="Arial" w:hAnsi="Arial"/>
          <w:sz w:val="16"/>
          <w:szCs w:val="16"/>
          <w:i w:val="1"/>
          <w:iCs w:val="1"/>
          <w:color w:val="auto"/>
        </w:rPr>
        <w:t>Revenue from Contracts with Customers (Topic 606): Narrow-Scope Improvements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Practical Expedients</w:t>
      </w:r>
      <w:r>
        <w:rPr>
          <w:rFonts w:ascii="Arial" w:cs="Arial" w:eastAsia="Arial" w:hAnsi="Arial"/>
          <w:sz w:val="16"/>
          <w:szCs w:val="16"/>
          <w:color w:val="auto"/>
        </w:rPr>
        <w:t>, which relates to disclosures of remaining performance obligations, as well as other amendments to guidance on collectability,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consideration, and the presentation of sales and other similar taxes collected from customers. These standards have the same effective date and transition date as ASU 2014-09. Our management is undergoing its assessment of the new standard, which includes the review of contracts and revenue channels, and will adopt the standard for the fiscal year ending December 31, 2019.</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We have adopted this standard for the fiscal year ended December 31, 2017, which did not have a material impact on our consolidated financial statements.</w:t>
      </w:r>
    </w:p>
    <w:p>
      <w:pPr>
        <w:spacing w:after="0" w:line="18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We have early adopted this standard for the fiscal year ended December 31, 2017, which did not have a material impact on our consolidated financial statements.</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our consolidated financial statements, and anticipate adopting the standard for the fiscal year ending December 31, 2020.</w:t>
      </w:r>
    </w:p>
    <w:p>
      <w:pPr>
        <w:spacing w:after="0" w:line="18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We early adopted this standard in the first quarter of 2017 by recording the cumulative impact of applying this guidance to retained earnings, which was not material. We elected to continue to estimate the number of awards that are expected to vest.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ASU 2016-15 provides guidance on the following eight specific cash flow classification issues: (1) debt prepayment or debt extinguishment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reporting periods beginning after December 15, 2018 and interim periods with fiscal years beginning after December 15, 2019 for private companies, with early adoption permitted. We are currently evaluating the impact of adopting ASU 2016-15 on our consolidated financial statements, and anticipate adopting the standard for the fiscal year ending December 31, 2019.</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We have adopted this standard for the fiscal year ending December 31, 2018, which did not have a material impact on our consolidated financial statements.</w:t>
      </w:r>
    </w:p>
    <w:p>
      <w:pPr>
        <w:spacing w:after="0" w:line="19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w:t>
      </w:r>
      <w:r>
        <w:rPr>
          <w:rFonts w:ascii="Arial" w:cs="Arial" w:eastAsia="Arial" w:hAnsi="Arial"/>
          <w:sz w:val="16"/>
          <w:szCs w:val="16"/>
          <w:color w:val="auto"/>
        </w:rPr>
        <w:t>Replacement of the Indefinite Deferral for</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We are currently evaluating the impact that the adoption of this standard will have on our consolidated financial statements, and anticipate adopting the standard for the fiscal year ending December 31, 2020.</w:t>
      </w:r>
    </w:p>
    <w:p>
      <w:pPr>
        <w:spacing w:after="0" w:line="173"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This update provides companies with the option to reclassify stranded tax effects caused by the 2017 Tax Cuts and Jobs Act, or the 2017 Tax Act, from accumulated other comprehensive income to retained earnings. This standard is effective for all entities for fiscal years, and interim periods within those fiscal years, beginning after December 15, 2018. Early adoption is permitted. We are currently evaluating the impact that the adoption of this standard will have on our consolidated financial statements, and anticipate adopting the standard for the fiscal year ending December 31, 2019.</w:t>
      </w:r>
    </w:p>
    <w:p>
      <w:pPr>
        <w:spacing w:after="0" w:line="15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In March 2018, the FASB issued ASU 2018-05,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This update amends the certain paragraphs in ASC 740 to reflect the provisions of SEC Staff Accounting Bulletin (SAB) 118, which provides guidance for companies that are not able to complete their accounting for income tax effects of the 2017 Tax Act in the period of enactment. This standard is effective for all entities immediately. The impact that the adoption of this standard has on our consolidated financial statements is further discussed in Note 12. Income Taxes.</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expands the scope of </w:t>
      </w:r>
      <w:r>
        <w:rPr>
          <w:rFonts w:ascii="Arial" w:cs="Arial" w:eastAsia="Arial" w:hAnsi="Arial"/>
          <w:sz w:val="18"/>
          <w:szCs w:val="18"/>
          <w:i w:val="1"/>
          <w:iCs w:val="1"/>
          <w:color w:val="auto"/>
        </w:rPr>
        <w:t>Topic 718, Compensation—Stock Compensation</w:t>
      </w:r>
      <w:r>
        <w:rPr>
          <w:rFonts w:ascii="Arial" w:cs="Arial" w:eastAsia="Arial" w:hAnsi="Arial"/>
          <w:sz w:val="18"/>
          <w:szCs w:val="18"/>
          <w:color w:val="auto"/>
        </w:rPr>
        <w:t xml:space="preserve">, to include share-based payments issued to nonemployees for goods or services. Consequently, the accounting for share-based payments to nonemployees and employees will be substantially aligned. ASU 2018-07 supersedes </w:t>
      </w:r>
      <w:r>
        <w:rPr>
          <w:rFonts w:ascii="Arial" w:cs="Arial" w:eastAsia="Arial" w:hAnsi="Arial"/>
          <w:sz w:val="18"/>
          <w:szCs w:val="18"/>
          <w:i w:val="1"/>
          <w:iCs w:val="1"/>
          <w:color w:val="auto"/>
        </w:rPr>
        <w:t>Subtopic 505-50,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Equity-Based Payments to Non-Employees. </w:t>
      </w:r>
      <w:r>
        <w:rPr>
          <w:rFonts w:ascii="Arial" w:cs="Arial" w:eastAsia="Arial" w:hAnsi="Arial"/>
          <w:sz w:val="18"/>
          <w:szCs w:val="18"/>
          <w:color w:val="auto"/>
        </w:rPr>
        <w:t>For public business entities,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 xml:space="preserve">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We are evaluating the impact that the adoption of this standard will have on our consolidated financial statements, and anticipate adopting the standard for the fiscal year ending December 31, 2020.</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240" w:top="459" w:right="5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33,000 procedures have been performed by over 1,600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payer coverage policies exclusive to our iFuse system, as well as our efforts to educate the market regarding sacroiliac dysfunction. Since January 1, 2018, because of the strength of published clinical evidence on iFuse, 19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2016 and 2017, we generated revenue of $42.1 million and $48.0 million, respectively, a growth rate of 14%, and incurred net losses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 June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2018, we generated revenue of $22.5 million and $26.4 million, respectively, a growth rate of 17%, and incurred net losses of $12.5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$7.3 million, respectively. Our gross margins were 89% and 92% for the six months ended June 30, 2017 and 2018, respectively. The number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iFuse procedures performed in the six months ended June 30, 2017 and 2018 was 2,739 and 3,200, respectively.</w:t>
      </w:r>
    </w:p>
    <w:p>
      <w:pPr>
        <w:spacing w:after="0" w:line="21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 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19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safety, clinical effectiveness, durability of pain relief and reduction in disability, cost effectiveness, and reduction in opioid use that result from iFuse are supported by a large number of studies that have resulted in more than 55 published papers. Several of these papers publish results from three prospective multicenter studies (INSITE, SIFI, and iMIA), two of which were randomized controlled clinical trials. Additionally, there have been several studies showing longer-term follow-up of up to six years.</w:t>
      </w:r>
    </w:p>
    <w:p>
      <w:pPr>
        <w:spacing w:after="0" w:line="92" w:lineRule="exact"/>
        <w:rPr>
          <w:sz w:val="20"/>
          <w:szCs w:val="20"/>
          <w:color w:val="auto"/>
        </w:rPr>
      </w:pPr>
    </w:p>
    <w:p>
      <w:pPr>
        <w:ind w:left="1060" w:right="34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INSITE is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64" w:lineRule="auto"/>
        <w:rPr>
          <w:sz w:val="20"/>
          <w:szCs w:val="20"/>
          <w:color w:val="auto"/>
        </w:rPr>
      </w:pPr>
      <w:r>
        <w:rPr>
          <w:rFonts w:ascii="Arial" w:cs="Arial" w:eastAsia="Arial" w:hAnsi="Arial"/>
          <w:sz w:val="18"/>
          <w:szCs w:val="18"/>
          <w:color w:val="auto"/>
        </w:rPr>
        <w:t>statistically significant and clinically important reduction in pain and disability after sacroiliac joint fusion but very little response to maximal non-surgical treatment. In April 2015, INSITE was awarded the “Best Overall Paper” out of approximately 450 submitted clinical study papers at the International Society for Advancement of Spine Surgery, or ISASS, conference.</w:t>
      </w:r>
    </w:p>
    <w:p>
      <w:pPr>
        <w:spacing w:after="0" w:line="87" w:lineRule="exact"/>
        <w:rPr>
          <w:sz w:val="20"/>
          <w:szCs w:val="20"/>
          <w:color w:val="auto"/>
        </w:rPr>
      </w:pPr>
    </w:p>
    <w:p>
      <w:pPr>
        <w:ind w:left="1060" w:right="8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iMIA is a randomized controlled study conducted in Europe. Positive six-month follow-up results were published in </w:t>
      </w:r>
      <w:r>
        <w:rPr>
          <w:rFonts w:ascii="Arial" w:cs="Arial" w:eastAsia="Arial" w:hAnsi="Arial"/>
          <w:sz w:val="18"/>
          <w:szCs w:val="18"/>
          <w:i w:val="1"/>
          <w:iCs w:val="1"/>
          <w:color w:val="auto"/>
        </w:rPr>
        <w:t>European Spine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in May 2016, and the 12 follow-up results were published in August 2017 in</w:t>
      </w:r>
      <w:r>
        <w:rPr>
          <w:rFonts w:ascii="Arial" w:cs="Arial" w:eastAsia="Arial" w:hAnsi="Arial"/>
          <w:sz w:val="18"/>
          <w:szCs w:val="18"/>
          <w:i w:val="1"/>
          <w:iCs w:val="1"/>
          <w:color w:val="auto"/>
        </w:rPr>
        <w:t xml:space="preserve"> Pain Physician</w:t>
      </w:r>
      <w:r>
        <w:rPr>
          <w:rFonts w:ascii="Arial" w:cs="Arial" w:eastAsia="Arial" w:hAnsi="Arial"/>
          <w:sz w:val="18"/>
          <w:szCs w:val="18"/>
          <w:color w:val="auto"/>
        </w:rPr>
        <w:t>. 24-month results are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at an orthopedic journal. Like INSITE, results from iMIA show statistically significant and clinically profound reduction in pain and disability after SI joint fusion but little improvement after non-surgical treatment.</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SIFI is a single-arm study conducted in the United States. Positive 24-month follow-up results were published in the </w:t>
      </w:r>
      <w:r>
        <w:rPr>
          <w:rFonts w:ascii="Arial" w:cs="Arial" w:eastAsia="Arial" w:hAnsi="Arial"/>
          <w:sz w:val="18"/>
          <w:szCs w:val="18"/>
          <w:i w:val="1"/>
          <w:iCs w:val="1"/>
          <w:color w:val="auto"/>
        </w:rPr>
        <w:t>International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Spine Surgery </w:t>
      </w:r>
      <w:r>
        <w:rPr>
          <w:rFonts w:ascii="Arial" w:cs="Arial" w:eastAsia="Arial" w:hAnsi="Arial"/>
          <w:sz w:val="18"/>
          <w:szCs w:val="18"/>
          <w:color w:val="auto"/>
        </w:rPr>
        <w:t>in April 2016, showing substantial and sustained reduction in pain and disability.</w:t>
      </w:r>
    </w:p>
    <w:p>
      <w:pPr>
        <w:spacing w:after="0" w:line="75" w:lineRule="exact"/>
        <w:rPr>
          <w:rFonts w:ascii="Arial" w:cs="Arial" w:eastAsia="Arial" w:hAnsi="Arial"/>
          <w:sz w:val="18"/>
          <w:szCs w:val="18"/>
          <w:color w:val="auto"/>
        </w:rPr>
      </w:pPr>
    </w:p>
    <w:p>
      <w:pPr>
        <w:ind w:left="1060" w:hanging="424"/>
        <w:spacing w:after="0" w:line="279"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6" w:lineRule="exact"/>
        <w:rPr>
          <w:rFonts w:ascii="Arial" w:cs="Arial" w:eastAsia="Arial" w:hAnsi="Arial"/>
          <w:sz w:val="17"/>
          <w:szCs w:val="17"/>
          <w:color w:val="auto"/>
        </w:rPr>
      </w:pPr>
    </w:p>
    <w:p>
      <w:pPr>
        <w:ind w:left="1060" w:right="28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90" w:lineRule="exact"/>
        <w:rPr>
          <w:sz w:val="20"/>
          <w:szCs w:val="20"/>
          <w:color w:val="auto"/>
        </w:rPr>
      </w:pPr>
    </w:p>
    <w:p>
      <w:pPr>
        <w:ind w:left="1060" w:right="20" w:hanging="424"/>
        <w:spacing w:after="0" w:line="27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very small responses in those treated with non-surgical management. Subjects surgically treated with iFuse had mean 52- 54- and 55-point reductions in sacroiliac joint pain at 6, 12 and 24 months, respectively, as measured by the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77" w:lineRule="exact"/>
        <w:rPr>
          <w:rFonts w:ascii="Arial" w:cs="Arial" w:eastAsia="Arial" w:hAnsi="Arial"/>
          <w:sz w:val="17"/>
          <w:szCs w:val="17"/>
          <w:color w:val="auto"/>
        </w:rPr>
      </w:pPr>
    </w:p>
    <w:p>
      <w:pPr>
        <w:ind w:left="1060" w:right="20" w:hanging="424"/>
        <w:spacing w:after="0" w:line="298"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statistically significant and clinically important reduction in disability in subjects treated with iFuse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very little response in those treated with non-surgical management. Subjects surgically treated with iFuse had a mean 27-point reduction in disability at six months, on the 0–100 Oswestry Disability Index, or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97" w:lineRule="auto"/>
        <w:rPr>
          <w:sz w:val="20"/>
          <w:szCs w:val="20"/>
          <w:color w:val="auto"/>
        </w:rPr>
      </w:pPr>
      <w:r>
        <w:rPr>
          <w:rFonts w:ascii="Arial" w:cs="Arial" w:eastAsia="Arial" w:hAnsi="Arial"/>
          <w:sz w:val="16"/>
          <w:szCs w:val="16"/>
          <w:color w:val="auto"/>
        </w:rPr>
        <w:t>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 These are very large differences.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Patients from certain sites participating in the INSITE study will be followed for up to five years as part of LOIS, a separate long-term study.</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xml:space="preserve"> in November 2015 showed that the cumulative four-year revision rate with iFuse was 3.5%. A single surgeon retrospective study published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in January 2017 showed that the cumulative four-year revision rate for screw-based treatment of the sacroiliac</w:t>
      </w:r>
      <w:r>
        <w:rPr>
          <w:rFonts w:ascii="Arial" w:cs="Arial" w:eastAsia="Arial" w:hAnsi="Arial"/>
          <w:sz w:val="18"/>
          <w:szCs w:val="18"/>
          <w:i w:val="1"/>
          <w:iCs w:val="1"/>
          <w:color w:val="auto"/>
        </w:rPr>
        <w:t xml:space="preserve"> </w:t>
      </w:r>
      <w:r>
        <w:rPr>
          <w:rFonts w:ascii="Arial" w:cs="Arial" w:eastAsia="Arial" w:hAnsi="Arial"/>
          <w:sz w:val="18"/>
          <w:szCs w:val="18"/>
          <w:color w:val="auto"/>
        </w:rPr>
        <w:t>joint was five times higher than the cumulative four-year revision rate for iFuse.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estimate that over 30 million American adults have chronic lower back pain</w:t>
      </w:r>
      <w:r>
        <w:rPr>
          <w:rFonts w:ascii="Arial" w:cs="Arial" w:eastAsia="Arial" w:hAnsi="Arial"/>
          <w:sz w:val="16"/>
          <w:szCs w:val="16"/>
          <w:i w:val="1"/>
          <w:iCs w:val="1"/>
          <w:color w:val="auto"/>
        </w:rPr>
        <w:t>.</w:t>
      </w:r>
      <w:r>
        <w:rPr>
          <w:rFonts w:ascii="Arial" w:cs="Arial" w:eastAsia="Arial" w:hAnsi="Arial"/>
          <w:sz w:val="16"/>
          <w:szCs w:val="16"/>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288,000 patients annually, for a potential annual market in the United States of approximately $2.7 billion. While we have made significant inroads at penetrating this market, patients received only 4,319 iFuse procedures in 2017.</w:t>
      </w:r>
    </w:p>
    <w:p>
      <w:pPr>
        <w:spacing w:after="0" w:line="16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Frequently, sacroiliac joint patients are aging and/or may have experienced one or more of the following events that have contributed to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It is often difficult to identify the source of lower back pain. As a result, some surgical procedures performed on the spine have a sub-optimal success rate. For example, published studies of lumbar fusion have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shown success rates of only approximately 60%. Unsuccessful spine surgery may result in failed back surgery syndrome, which has been shown to result in high healthcare costs with poor overall relief of pain. We believe low success rates of lumbar fusion are likely related, in many cases, to failure to diagnose the sacroiliac joint as the correct cause of pain.</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 Non-surgical treatments include:</w:t>
      </w:r>
    </w:p>
    <w:p>
      <w:pPr>
        <w:spacing w:after="0" w:line="72"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1060" w:right="600" w:hanging="424"/>
        <w:spacing w:after="0" w:line="282"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Intra-articular injections of steroid medications</w:t>
      </w:r>
      <w:r>
        <w:rPr>
          <w:rFonts w:ascii="Arial" w:cs="Arial" w:eastAsia="Arial" w:hAnsi="Arial"/>
          <w:sz w:val="18"/>
          <w:szCs w:val="18"/>
          <w:color w:val="auto"/>
        </w:rPr>
        <w:t>, which are typically performed by physicians who specialize in pain treatment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anesthesia.</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Solution—The iFuse Implant System</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iFuse system, which includes our implants and instruments, is designed to address the shortcomings of alternative treatments, including open surgery, non-surgical management, and screw-based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fixation of the bone to the implants. We introduced the original iFuse implants in 2009, and our second 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135890</wp:posOffset>
            </wp:positionV>
            <wp:extent cx="4073525" cy="1380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7352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By contrast, open fusion of the sacroiliac joint, as well as the minimally invasive solutions offered by other companies, typically use screws and/or plates for fixation. When placed across the sacroiliac joint, standard orthopedic screws, which lack features to encourage biologic fixation, have an exhibited propensity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implants cross the sacroiliac joint and provide immediate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5620" w:right="2520" w:hanging="4984"/>
        <w:spacing w:after="0" w:line="454" w:lineRule="auto"/>
        <w:tabs>
          <w:tab w:leader="none" w:pos="106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r>
        <w:rPr>
          <w:rFonts w:ascii="Arial" w:cs="Arial" w:eastAsia="Arial" w:hAnsi="Arial"/>
          <w:sz w:val="18"/>
          <w:szCs w:val="18"/>
          <w:b w:val="1"/>
          <w:bCs w:val="1"/>
          <w:color w:val="auto"/>
        </w:rPr>
        <w:t xml:space="preserve"> </w:t>
      </w: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right="240" w:hanging="424"/>
        <w:spacing w:after="0" w:line="282"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sharp-tip broach.</w:t>
      </w:r>
    </w:p>
    <w:p>
      <w:pPr>
        <w:spacing w:after="0" w:line="67" w:lineRule="exact"/>
        <w:rPr>
          <w:rFonts w:ascii="Arial" w:cs="Arial" w:eastAsia="Arial" w:hAnsi="Arial"/>
          <w:sz w:val="18"/>
          <w:szCs w:val="18"/>
          <w:color w:val="auto"/>
        </w:rPr>
      </w:pPr>
    </w:p>
    <w:p>
      <w:pPr>
        <w:ind w:left="1060" w:right="340" w:hanging="424"/>
        <w:spacing w:after="0" w:line="282"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1060" w:right="200" w:hanging="424"/>
        <w:spacing w:after="0" w:line="282"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the implant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sacrum. The channel is slightly smaller than the implant, which produces an interference fit.</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1" w:lineRule="exact"/>
        <w:rPr>
          <w:sz w:val="20"/>
          <w:szCs w:val="20"/>
          <w:color w:val="auto"/>
        </w:rPr>
      </w:pPr>
    </w:p>
    <w:p>
      <w:pPr>
        <w:jc w:val="both"/>
        <w:ind w:left="200" w:right="320" w:firstLine="441"/>
        <w:spacing w:after="0" w:line="257" w:lineRule="auto"/>
        <w:rPr>
          <w:sz w:val="20"/>
          <w:szCs w:val="20"/>
          <w:color w:val="auto"/>
        </w:rPr>
      </w:pPr>
      <w:r>
        <w:rPr>
          <w:rFonts w:ascii="Arial" w:cs="Arial" w:eastAsia="Arial" w:hAnsi="Arial"/>
          <w:sz w:val="18"/>
          <w:szCs w:val="18"/>
          <w:color w:val="auto"/>
        </w:rPr>
        <w:t>We currently offer three custom instrument sets for surgical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 We also have instrument sets which have been cleared for use with Medtronic’s surgical navigation system and with the Mazor surgical robot.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pain and disability pain relief in affected patients. To accomplish this objective, we intend to:</w:t>
      </w:r>
    </w:p>
    <w:p>
      <w:pPr>
        <w:spacing w:after="0" w:line="29" w:lineRule="exact"/>
        <w:rPr>
          <w:sz w:val="20"/>
          <w:szCs w:val="20"/>
          <w:color w:val="auto"/>
        </w:rPr>
      </w:pPr>
    </w:p>
    <w:p>
      <w:pPr>
        <w:ind w:left="1060" w:right="30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evidence supporting the safety, durable clinical effectiveness, economic benefit, and reduction in opioid use associated with the iFuse procedure;</w:t>
      </w:r>
    </w:p>
    <w:p>
      <w:pPr>
        <w:spacing w:after="0" w:line="75" w:lineRule="exact"/>
        <w:rPr>
          <w:rFonts w:ascii="Arial" w:cs="Arial" w:eastAsia="Arial" w:hAnsi="Arial"/>
          <w:sz w:val="18"/>
          <w:szCs w:val="18"/>
          <w:color w:val="auto"/>
        </w:rPr>
      </w:pPr>
    </w:p>
    <w:p>
      <w:pPr>
        <w:ind w:left="1060" w:hanging="424"/>
        <w:spacing w:after="0" w:line="312"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Educate and train the healthcare community on the prevalence, anatomy, diagnosis, and treatment options for the sacroiliac joint, including minimally invasive surgical fusion, and work with and support medical societies including NASS, CNS, AANS, ISASS, SRS, and AAOS to increase their education programs teaching the diagnosis of the sacroiliac joint as part of the differential diagnosis of lower back pain;</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42" w:lineRule="exact"/>
        <w:rPr>
          <w:rFonts w:ascii="Arial" w:cs="Arial" w:eastAsia="Arial" w:hAnsi="Arial"/>
          <w:sz w:val="17"/>
          <w:szCs w:val="17"/>
          <w:color w:val="auto"/>
        </w:rPr>
      </w:pPr>
    </w:p>
    <w:p>
      <w:pPr>
        <w:ind w:left="1060" w:right="440" w:hanging="424"/>
        <w:spacing w:after="0" w:line="342"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iFuse is the only minimally invasive product for sacroiliac joint fusion commercially available in the United States that, to our knowledge, is supported by substantial high-quality published evidence of safety, clinical effectiveness, durability, and economic utility.</w:t>
      </w:r>
    </w:p>
    <w:p>
      <w:pPr>
        <w:spacing w:after="0" w:line="14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benefits are supported by more than 55 published papers (45 of which we financially supported), including a prospective, randomized controlled multi-center clinical trial referred to as “INSITE” and 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prospective multi-center clinical study referred to as “SIFI.” INSITE 24-month follow-up results were published in August 2016 in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6-month and 1-year summaries were also published in reputable journals. Published results demonstrate clinically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and statistically significant improvement for sacroiliac joint pain, disability due to lower back pain, quality of life, and patient satisfaction. Moreover, the level of published evidence supporting the safety and effectiveness of sacroiliac joint fusion using iFuse is high.</w:t>
      </w:r>
    </w:p>
    <w:p>
      <w:pPr>
        <w:spacing w:after="0" w:line="17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the United States, the iFuse Implant System is FDA-cleared with the following indication statement: The iFuse Implant System</w:t>
      </w:r>
      <w:r>
        <w:rPr>
          <w:rFonts w:ascii="Arial" w:cs="Arial" w:eastAsia="Arial" w:hAnsi="Arial"/>
          <w:sz w:val="13"/>
          <w:szCs w:val="13"/>
          <w:color w:val="auto"/>
        </w:rPr>
        <w:t>®</w:t>
      </w:r>
      <w:r>
        <w:rPr>
          <w:rFonts w:ascii="Arial" w:cs="Arial" w:eastAsia="Arial" w:hAnsi="Arial"/>
          <w:sz w:val="16"/>
          <w:szCs w:val="16"/>
          <w:color w:val="auto"/>
        </w:rPr>
        <w:t xml:space="preserve">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INSITE is a prospective multicenter randomized controlled trial conducted in the US. This section describes INSITE in more detail.</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178"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follow-up before electing to cross over to surgery. There was no early crossover.</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Subjects assigned to non-surgical management began immediately with treatment consisting of one or more of the following: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88"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Baseline assessments included medical history and physical examination. Subjects were scheduled for follow-up at 1, 3, 6, 12, 18, and 24 months after enrollment. At each follow-up, the subjects evaluated their pain and disability by completing questionnaires to assess pain and disability.</w:t>
      </w:r>
    </w:p>
    <w:p>
      <w:pPr>
        <w:spacing w:after="0" w:line="12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 high-resolution pelvic CT scan was performed at the 24-month follow-up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study required that subjects receive only the assigned treatment to month six. After six months, the study allowed subjects assigned to non-surgical treatment to cross over to surgery. Crossover was allowed because the anticipated success rate for non- surgical management was low, and many subjects would not have participated without the ability to cross over to surgical care within the study. One-hundred percent of subjects who crossed over to surgical treatment in the study did so after their six-month visit was complete in compliance with the design of the study. Nearly 90% of non-surgical management subjects still participating at month six crossed over to surgical care after six months. All subjects who crossed over had sacroiliac joint fusion using iFuse and were subsequently evaluated with follow-up visits. No early crossover occurred.</w:t>
      </w:r>
    </w:p>
    <w:p>
      <w:pPr>
        <w:spacing w:after="0" w:line="17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4"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Enrolled subjects were highly debilitated by sacroiliac joint pain as indicated by high baseline VAS scores (mean 82.3) and ODI scores (mean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56.8). Nineteen percent were not working due to chronic pain. The duration of pain prior to enrollment averaged 6.4 years (range 0.5 to 40.7 years),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87.2% had had pain for more than one year and 73.6% had pain for more than two years.</w:t>
      </w:r>
    </w:p>
    <w:p>
      <w:pPr>
        <w:spacing w:after="0" w:line="21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8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Follow-up was excellent with 96% of non-surgical subjects having 6-month follow-up and 87% of sacroiliac joint fusion patients having 24-month follow-up.</w:t>
      </w:r>
    </w:p>
    <w:p>
      <w:pPr>
        <w:spacing w:after="0" w:line="170"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INSITE clinical outcomes can be summarized as follows.</w:t>
      </w:r>
    </w:p>
    <w:p>
      <w:pPr>
        <w:spacing w:after="0" w:line="127" w:lineRule="exact"/>
        <w:rPr>
          <w:sz w:val="20"/>
          <w:szCs w:val="20"/>
          <w:color w:val="auto"/>
        </w:rPr>
      </w:pPr>
    </w:p>
    <w:p>
      <w:pPr>
        <w:ind w:left="1060" w:right="20" w:hanging="424"/>
        <w:spacing w:after="0" w:line="255"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Reduction in Pain</w:t>
      </w:r>
      <w:r>
        <w:rPr>
          <w:rFonts w:ascii="Arial" w:cs="Arial" w:eastAsia="Arial" w:hAnsi="Arial"/>
          <w:sz w:val="18"/>
          <w:szCs w:val="18"/>
          <w:color w:val="auto"/>
        </w:rPr>
        <w:t>. There was a statistically significant and clinically important reduction in pain among subjects treated with iFuse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non-surgical management. As shown in the graph below, subjects surgically treated with iFuse had a mean 52-point VAS reduction in sacroiliac joint pain at six months. The reduction in pain was sustained with a mean 54- and 55-point reduction in sacroiliac joint pain observed at 12 and 24 months, respectively.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146685</wp:posOffset>
            </wp:positionV>
            <wp:extent cx="4982845" cy="3644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284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1060" w:hanging="424"/>
        <w:spacing w:after="0" w:line="281"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Reduction in Disability</w:t>
      </w:r>
      <w:r>
        <w:rPr>
          <w:rFonts w:ascii="Arial" w:cs="Arial" w:eastAsia="Arial" w:hAnsi="Arial"/>
          <w:sz w:val="17"/>
          <w:szCs w:val="17"/>
          <w:color w:val="auto"/>
        </w:rPr>
        <w:t>. There was a statistically significant reduction in disability with iFuse as compared to non-surgical management.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shown in the graph below, subjects surgically treated with iFuse had a mean 27-point ODI reduction in disability at six months, while subjects in the non-surgical management group had only a mean 4.6-point decrease (p&lt;0.0001). At 12 and 24 months, the iFuse group had a mean 29- and 28-point reduction in disability, respectively. At six months, the proportion</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20"/>
        <w:spacing w:after="0" w:line="264" w:lineRule="auto"/>
        <w:rPr>
          <w:sz w:val="20"/>
          <w:szCs w:val="20"/>
          <w:color w:val="auto"/>
        </w:rPr>
      </w:pPr>
      <w:r>
        <w:rPr>
          <w:rFonts w:ascii="Arial" w:cs="Arial" w:eastAsia="Arial" w:hAnsi="Arial"/>
          <w:sz w:val="18"/>
          <w:szCs w:val="18"/>
          <w:color w:val="auto"/>
        </w:rPr>
        <w:t>of subjects with ODI improvements of at least 15 points was 72.5% and 13.0% in the iFuse and non-surgical management groups, respectively. At 24 months, the proportion of subjects with an improvement of at least 15 points due to the assigned treatment was 68.2% and 7.5% in the iFuse and non-surgical management groups, respectively (p&lt;0.0001).</w:t>
      </w:r>
    </w:p>
    <w:p>
      <w:pPr>
        <w:spacing w:after="0" w:line="181"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141605</wp:posOffset>
            </wp:positionV>
            <wp:extent cx="4982845" cy="3567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8284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jc w:val="center"/>
        <w:ind w:right="140"/>
        <w:spacing w:after="0" w:line="291" w:lineRule="auto"/>
        <w:rPr>
          <w:sz w:val="20"/>
          <w:szCs w:val="20"/>
          <w:color w:val="auto"/>
        </w:rPr>
      </w:pPr>
      <w:r>
        <w:rPr>
          <w:rFonts w:ascii="Arial" w:cs="Arial" w:eastAsia="Arial" w:hAnsi="Arial"/>
          <w:sz w:val="16"/>
          <w:szCs w:val="16"/>
          <w:color w:val="auto"/>
        </w:rPr>
        <w:t>Patient satisfaction was assessed by asking subjects whether they were very satisfied, somewhat satisfied, somewhat dissatisfied or very dissatisfied with the treatment received. At six months, 79.0% of subjects who had received the iFuse procedure were very satisfied, compared with</w:t>
      </w:r>
    </w:p>
    <w:p>
      <w:pPr>
        <w:jc w:val="both"/>
        <w:ind w:left="200"/>
        <w:spacing w:after="0" w:line="302" w:lineRule="auto"/>
        <w:rPr>
          <w:sz w:val="20"/>
          <w:szCs w:val="20"/>
          <w:color w:val="auto"/>
        </w:rPr>
      </w:pPr>
      <w:r>
        <w:rPr>
          <w:rFonts w:ascii="Arial" w:cs="Arial" w:eastAsia="Arial" w:hAnsi="Arial"/>
          <w:sz w:val="16"/>
          <w:szCs w:val="16"/>
          <w:color w:val="auto"/>
        </w:rPr>
        <w:t>27.3% of subjects in the non-surgical management group. At six months, 81.0% of surgery subjects said they would definitely have the procedure again. At 24 months, satisfaction rates were high, with 73.3% reporting being very satisfied with surgical treatment of the sacroiliac joint, and 71.1% indicated they would have the procedure again. These results are consistent with the satisfaction results from other studies, covering approximately 500 subjects.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During the first six months, the mean number of adverse events per subject was slightly but not statistically significantly higher in the surgery group (1.3 events) as compared to the non-surgical management group (1.1 events, p=0.3063). The most common adverse event related to our implant was leg pain resulting from misplacement of the implant, resulting in impingement of the implant on a lumbar spine nerve root. The most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560" w:type="dxa"/>
            <w:vAlign w:val="bottom"/>
            <w:gridSpan w:val="3"/>
          </w:tcPr>
          <w:p>
            <w:pPr>
              <w:jc w:val="center"/>
              <w:ind w:left="1854"/>
              <w:spacing w:after="0"/>
              <w:rPr>
                <w:sz w:val="20"/>
                <w:szCs w:val="20"/>
                <w:color w:val="auto"/>
              </w:rPr>
            </w:pPr>
            <w:r>
              <w:rPr>
                <w:rFonts w:ascii="Arial" w:cs="Arial" w:eastAsia="Arial" w:hAnsi="Arial"/>
                <w:sz w:val="14"/>
                <w:szCs w:val="14"/>
                <w:b w:val="1"/>
                <w:bCs w:val="1"/>
                <w:color w:val="auto"/>
                <w:w w:val="94"/>
              </w:rPr>
              <w:t>Non-Surgical</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Sacroiliac</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Management</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(n=46)</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(n=102)</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Definitely related</w:t>
            </w:r>
          </w:p>
        </w:tc>
        <w:tc>
          <w:tcPr>
            <w:tcW w:w="2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Probably related</w:t>
            </w:r>
          </w:p>
        </w:tc>
        <w:tc>
          <w:tcPr>
            <w:tcW w:w="2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w w:val="94"/>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 (6.5%)</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jc w:val="right"/>
              <w:spacing w:after="0"/>
              <w:rPr>
                <w:sz w:val="20"/>
                <w:szCs w:val="20"/>
                <w:color w:val="auto"/>
              </w:rPr>
            </w:pPr>
            <w:r>
              <w:rPr>
                <w:rFonts w:ascii="Arial" w:cs="Arial" w:eastAsia="Arial" w:hAnsi="Arial"/>
                <w:sz w:val="18"/>
                <w:szCs w:val="18"/>
                <w:color w:val="auto"/>
                <w:w w:val="94"/>
              </w:rPr>
              <w:t>(5.9%)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Definitely related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Probably related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 (8.7%)</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5"/>
              </w:rPr>
              <w:t>16 (15.7%)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right="4900" w:firstLine="4"/>
        <w:spacing w:after="0" w:line="277"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provides substantial evidence of clinically important and statistically significant efficacy supporting the superiority of sacroiliac joint fusion using iFuse as compared to non-surgical management. Further, the fact that subjects who crossed over responded, as well as those who were originally assigned to the iFuse group, adds significantly to the trial’s validity and importance.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 xml:space="preserve">iMIA is a second prospective, randomized clinical trial of sacroiliac joint fusion using iFuse compared to non-surgical management with a design very similar to that of INSITE. iMIA enrolled and treated 103 subjects at nine sites in four European countries. The trial’s six-month results were published in European Spine Journal in May 2016 and 12-month results were published in August 2017 in </w:t>
      </w:r>
      <w:r>
        <w:rPr>
          <w:rFonts w:ascii="Arial" w:cs="Arial" w:eastAsia="Arial" w:hAnsi="Arial"/>
          <w:sz w:val="17"/>
          <w:szCs w:val="17"/>
          <w:i w:val="1"/>
          <w:iCs w:val="1"/>
          <w:color w:val="auto"/>
        </w:rPr>
        <w:t>Pain Physician</w:t>
      </w:r>
      <w:r>
        <w:rPr>
          <w:rFonts w:ascii="Arial" w:cs="Arial" w:eastAsia="Arial" w:hAnsi="Arial"/>
          <w:sz w:val="17"/>
          <w:szCs w:val="17"/>
          <w:color w:val="auto"/>
        </w:rPr>
        <w:t>.</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in a one-to-one ratio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At 12 months, low back pain in the surgically treated group improved by 42 points and ODI improved by 25 points (p&lt;.0001 from baseline). Adverse events occurred at a low rate and the frequency of adverse events did not differ between groups. One case of postoperative nerve impingement occurred in the surgical group, which was resolved by repositioning the implant.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profound, rapid and sustained reduction in pain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288925</wp:posOffset>
            </wp:positionV>
            <wp:extent cx="4236720" cy="31642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367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240" w:top="459" w:right="6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 clinically profound, rapid and sustained reduction in disability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134620</wp:posOffset>
            </wp:positionV>
            <wp:extent cx="4236720" cy="3087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3672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 manuscript describing 24-month results is currently under review at a medical journal. Study data show that improvements in pain, disability and quality of life were sustained at 24 months and satisfaction rates remained high.</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 xml:space="preserve">Sacroiliac Joint Fusion with iFuse Implant System, or SIFI, is a prospective, multicenter single-arm clinical trial. Eligibility criteria and endpoints were identical to INSITE. A manuscript summarizing 24-month results was published in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xml:space="preserve"> in April 2016.</w:t>
      </w:r>
    </w:p>
    <w:p>
      <w:pPr>
        <w:spacing w:after="0" w:line="124"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Each of the 172 enrolled subjects received the iFuse procedure at one of 26 participating sites between August 2012 and December 2013. Mean subject age was 51 years and 96.5% subjects were Caucasian and approximately 70% were female. Follow-up rates at month 6, 12, and 24 were 97%, 91%, and 87%, respectively.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figure on the left below shows mean VAS pain scores at baseline and throughout follow-up. The figure on the right shows mean ODI scores at baseline and throughout follow-up. The results for both VAS pain and ODI scores each show clinically important and sustained reduction in disability across the subject population and follow-up period, consistent with the results observed in the surgical group in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131445</wp:posOffset>
            </wp:positionV>
            <wp:extent cx="5917565" cy="2804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1756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Four adverse events (2.4% of all subjects) were rated by the investigator to be definitely device-related and three (1.8%) were probably device-related. Pain related to implant impingement on sacral nerve roots occurred in three cases (including one non-study-related side), all of which resolved with immediate repositioning of implants. In four cases, sacroiliac joint or hip pain was attributed to the presence of an implant or bone growth around the implant. Twenty-six events were rated as probably or definitely related to the placement procedure. The most common events were wound infection, irritation or drainage, sacroiliac joint pain related to implant malposition (described above), and recurrent sacroiliac joint pain related to inadequate device placement. One subject had a deep wound infection that required surgical debridement.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LOIS is a prospective follow-on study, enrolling subjects at a subset of INSITE and SIFI sites who underwent sacroiliac joint fusion. Enrolled subjects will be followed out to five years following surgery. Study outcomes at three years were published in April 2018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and Research</w:t>
      </w:r>
      <w:r>
        <w:rPr>
          <w:rFonts w:ascii="Arial" w:cs="Arial" w:eastAsia="Arial" w:hAnsi="Arial"/>
          <w:sz w:val="17"/>
          <w:szCs w:val="17"/>
          <w:color w:val="auto"/>
        </w:rPr>
        <w:t>. Among 103 enrolled subjects, mean sacroiliac joint pain at three years decreased from 81.5 preoperatively to 26.2 (a 56-point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from baseline, p&lt;.0001), as shown in the graph below. A manuscript with results at four years of follow-up was recently accepted for publication. Study data show continued improvements in pain, disability and quality of life sustained at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212725</wp:posOffset>
            </wp:positionV>
            <wp:extent cx="6003290" cy="2881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0329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Subjects in the LOIS study experienced similar improvements in disability and quality of life. As shown in the graph below on the left, average disability prior to treatment as measured on the ODI scale was 56.3 and fell to an average of 28.2 by 36 months following treatment. As shown in the graph on the right, average quality of life as measured by the EuroQol-5D prior to treatment was 0.45 and had improved to 0.75 by 36 months following treatment with iFuse.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A retrospective multicenter analysis of three-year outcomes after sacroiliac joint fusion with iFuse showed similar responses.</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Of more than 500 patients treated with iFuse in 10 studies we have sponsored or followed in which satisfaction was measured, 91% were satisfied or very satisfied with the result. All of the iFuse studies published as of June 2018 report sacroiliac joint pain using the VAS pain scale are in the graph below. We financially supported nine of these thirteen clinical studies.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To date, several studies, some of which we did not sponsor, have been published on the safety and effectiveness of sacroiliac joint fusion using iFuse. These are prospective or retrospective, single site or multi- 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iMIA, and SIFI. These additional studies are consistent with the results of INSITE, iMIA, and SIFI.</w:t>
      </w:r>
    </w:p>
    <w:p>
      <w:pPr>
        <w:spacing w:after="0" w:line="18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 xml:space="preserve">A study published in April 2017 in </w:t>
      </w:r>
      <w:r>
        <w:rPr>
          <w:rFonts w:ascii="Arial" w:cs="Arial" w:eastAsia="Arial" w:hAnsi="Arial"/>
          <w:sz w:val="17"/>
          <w:szCs w:val="17"/>
          <w:i w:val="1"/>
          <w:iCs w:val="1"/>
          <w:color w:val="auto"/>
        </w:rPr>
        <w:t>Neurosurgery</w:t>
      </w:r>
      <w:r>
        <w:rPr>
          <w:rFonts w:ascii="Arial" w:cs="Arial" w:eastAsia="Arial" w:hAnsi="Arial"/>
          <w:sz w:val="17"/>
          <w:szCs w:val="17"/>
          <w:color w:val="auto"/>
        </w:rPr>
        <w:t xml:space="preserve"> shows the impact of non-coverage of sacroiliac joint fusion by the healthcare system. In this study, a Spanish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only able to pursue continued non-surgical treatment. Of the remaining 78 patients, 51 underwent radiofrequency ablation of lateral branches of sacral nerve roots and 27 underwent sacroiliac joint fusion with iFuse.</w:t>
      </w:r>
    </w:p>
    <w:p>
      <w:pPr>
        <w:spacing w:after="0" w:line="173"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a decreased incidence of opioid use. The differences in all outcomes (pain, disability, work status, and opioid use) were both statistically significant and clinically profound. The graph below shows the pain scores of the three treatment cohorts followed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135255</wp:posOffset>
            </wp:positionV>
            <wp:extent cx="5205730" cy="37560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0573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graph below shows the changes in the percentage of subjects using opioids among the iFuse and conservative care groups in the study. Forty-nine percent of subjects who were not able to access treatment with iFuse were using opioids at the beginning of the study, whereas 80% of them were using opioids at the time of</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their final follow-up. In contrast, 63% of the subjects who were able to obtain treatment with iFuse were using opioids prior to treatment, whereas only 7% were using opioids at their final follow-up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134620</wp:posOffset>
            </wp:positionV>
            <wp:extent cx="3524885" cy="26073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248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several important aspects to this study:</w:t>
      </w:r>
    </w:p>
    <w:p>
      <w:pPr>
        <w:spacing w:after="0" w:line="131" w:lineRule="exact"/>
        <w:rPr>
          <w:sz w:val="20"/>
          <w:szCs w:val="20"/>
          <w:color w:val="auto"/>
        </w:rPr>
      </w:pPr>
    </w:p>
    <w:p>
      <w:pPr>
        <w:ind w:left="1060" w:right="6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130"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w:t>
      </w:r>
      <w:r>
        <w:rPr>
          <w:rFonts w:ascii="Arial" w:cs="Arial" w:eastAsia="Arial" w:hAnsi="Arial"/>
          <w:sz w:val="16"/>
          <w:szCs w:val="16"/>
          <w:i w:val="1"/>
          <w:iCs w:val="1"/>
          <w:color w:val="auto"/>
        </w:rPr>
        <w:t xml:space="preserve"> </w:t>
      </w:r>
      <w:r>
        <w:rPr>
          <w:rFonts w:ascii="Arial" w:cs="Arial" w:eastAsia="Arial" w:hAnsi="Arial"/>
          <w:sz w:val="16"/>
          <w:szCs w:val="16"/>
          <w:color w:val="auto"/>
        </w:rPr>
        <w:t>One of these studies used data from INSITE to calculate the incremental cost-effectiveness of the iFuse procedure and found it to be similar to that of hip and knee arthroplasty, commonly known as total joint replacement. The two latter procedures are generally accepted as being safe, effective, and highly cost-effective. The incremental cost effectiveness ratio, or ICER, of a procedure or therapy is a common way of quantifying its cost-effectiveness and represents the incremental cost to the healthcare system of providing one additional quality adjusted life-year, obtained by dividing the average cost of the therapy by the average increase in quality-adjusted life years that it achieves. Therapies with ICERs below $50,000 are considered cost-effective and generally gain acceptance. For example, studies have shown that the ICER of total joint replacement surgery for knees is approximately $12,000 and that for hip replacements is approximately $10,000. One study showed the ICER of the iFuse procedure to be $13,000, nearly as cost-effective as knee and hip surgeries, which are both common and well-accepted procedures.</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 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third health economic study currently under review for publication examined healthcare costs for low back pain before and after sacroiliac joint fusion in patients in a commercial insurance database. Analysis showed reductions in median low back pain-related healthcare costs after sacroiliac joint fusion compared to before. A break-even analysis for health plan reimbursements for patients undergoing minimally invasive sacroiliac joint fusion on an outpatient basis showed similar cumulative claims for patients not undergoing the procedure within approximately 2.5 years. Following the procedure, per patient costs related to sacroiliac joint pain decrease to approximately $250 per quarter among the group who underwent sacroiliac joint fusion.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Spine Surgery</w:t>
      </w:r>
      <w:r>
        <w:rPr>
          <w:rFonts w:ascii="Arial" w:cs="Arial" w:eastAsia="Arial" w:hAnsi="Arial"/>
          <w:sz w:val="18"/>
          <w:szCs w:val="18"/>
          <w:color w:val="auto"/>
        </w:rPr>
        <w:t>. The image on the right below shows the cross section cut from an iFuse-3D implant removed from an animal as part of the study,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reveals robust growth of bone into the implants.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6354445" cy="2006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5444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seven regional Medicare Administrative Contractors is permitted to make its own determination of whether that item or service is covered by Medicare.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the United States, the American Medical Association, or AMA, generally creates specific billing codes for surgical procedures under a coding system known as Current Procedure Terminology, or CPT, which surgeons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88" w:lineRule="exact"/>
        <w:rPr>
          <w:sz w:val="20"/>
          <w:szCs w:val="20"/>
          <w:color w:val="auto"/>
        </w:rPr>
      </w:pPr>
    </w:p>
    <w:p>
      <w:pPr>
        <w:ind w:left="200" w:right="340" w:firstLine="441"/>
        <w:spacing w:after="0" w:line="272" w:lineRule="auto"/>
        <w:rPr>
          <w:sz w:val="20"/>
          <w:szCs w:val="20"/>
          <w:color w:val="auto"/>
        </w:rPr>
      </w:pPr>
      <w:r>
        <w:rPr>
          <w:rFonts w:ascii="Arial" w:cs="Arial" w:eastAsia="Arial" w:hAnsi="Arial"/>
          <w:sz w:val="17"/>
          <w:szCs w:val="17"/>
          <w:color w:val="auto"/>
        </w:rPr>
        <w:t>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7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that sacroiliac joint fusion using a minimally invasive surgical approach should be routinely reimbursed. In March 2015, the International Society for Advancement of Spine Surgery, or ISASS, also published a similar, updated positive advocacy document intended to encourage insurance companies in the United States to reimburse for the procedure.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However, by July 31, 2018, 39 of the largest 66 private payors that we track had positive coverage policies for the procedure, were consistently covering the procedure, or had announced coming future coverage.</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Third-party payors, whether governmental or commercial, are also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4"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franchisor to all 36 Blue Cross and Blue Shield insurers across the United States, wrote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July 2018, eviCore published its draft guidelines to be published in final form in October 2018, recommending our iFuse system exclusively for sacroiliac joint fusion or stabilization.</w:t>
      </w:r>
    </w:p>
    <w:p>
      <w:pPr>
        <w:spacing w:after="0" w:line="174"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b w:val="1"/>
          <w:bCs w:val="1"/>
          <w:color w:val="auto"/>
        </w:rPr>
        <w:t>Private Payors</w:t>
      </w:r>
      <w:r>
        <w:rPr>
          <w:rFonts w:ascii="Arial" w:cs="Arial" w:eastAsia="Arial" w:hAnsi="Arial"/>
          <w:sz w:val="17"/>
          <w:szCs w:val="17"/>
          <w:color w:val="auto"/>
        </w:rPr>
        <w:t>. Private payors also decide whether to cover and how much to pay on an individual basis. We target and track 66 of the largest</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payors that cover over 200 million lives in the United States as of December 31, 2017. As of July 31, 2018, 39 of the largest 66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fiscal year 2018. The private payors covering iFuse exclusively are:</w:t>
      </w:r>
    </w:p>
    <w:p>
      <w:pPr>
        <w:spacing w:after="0" w:line="13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 Florida</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BCBS-Kansas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BCBS-Illinois (HCSC)</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BCBS-Louisiana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BCBS-New Mexico (HCSC)</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BCBS-Massachusetts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BCBS-Oklahoma (HCSC)</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BCBS-Minnesota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BCBS-Texas (HCSC)</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BCBS-Mississippi</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 Montana (HCSC)</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w w:val="91"/>
              </w:rPr>
              <w:t>BCBS-New Jersey (Horizon)</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BCBS-Idaho</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BCBS-NY (HealthNow)</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BCBS-Kansas City</w:t>
            </w:r>
          </w:p>
        </w:tc>
        <w:tc>
          <w:tcPr>
            <w:tcW w:w="210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180"/>
              <w:spacing w:after="0"/>
              <w:rPr>
                <w:sz w:val="20"/>
                <w:szCs w:val="20"/>
                <w:color w:val="auto"/>
              </w:rPr>
            </w:pPr>
            <w:r>
              <w:rPr>
                <w:rFonts w:ascii="Arial" w:cs="Arial" w:eastAsia="Arial" w:hAnsi="Arial"/>
                <w:sz w:val="18"/>
                <w:szCs w:val="18"/>
                <w:color w:val="auto"/>
              </w:rPr>
              <w:t>BCBS-Pennsylvania</w:t>
            </w:r>
          </w:p>
        </w:tc>
      </w:tr>
      <w:tr>
        <w:trPr>
          <w:trHeight w:val="513"/>
        </w:trPr>
        <w:tc>
          <w:tcPr>
            <w:tcW w:w="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00" w:type="dxa"/>
            <w:vAlign w:val="bottom"/>
          </w:tcPr>
          <w:p>
            <w:pPr>
              <w:ind w:left="1260"/>
              <w:spacing w:after="0"/>
              <w:rPr>
                <w:sz w:val="20"/>
                <w:szCs w:val="20"/>
                <w:color w:val="auto"/>
              </w:rPr>
            </w:pPr>
            <w:r>
              <w:rPr>
                <w:rFonts w:ascii="Arial" w:cs="Arial" w:eastAsia="Arial" w:hAnsi="Arial"/>
                <w:sz w:val="18"/>
                <w:szCs w:val="18"/>
                <w:color w:val="auto"/>
              </w:rPr>
              <w:t>109</w:t>
            </w:r>
          </w:p>
        </w:tc>
        <w:tc>
          <w:tcPr>
            <w:tcW w:w="22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0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573"/>
        </w:trPr>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180"/>
              <w:spacing w:after="0"/>
              <w:rPr>
                <w:sz w:val="20"/>
                <w:szCs w:val="20"/>
                <w:color w:val="auto"/>
              </w:rPr>
            </w:pPr>
            <w:r>
              <w:rPr>
                <w:rFonts w:ascii="Arial" w:cs="Arial" w:eastAsia="Arial" w:hAnsi="Arial"/>
                <w:sz w:val="18"/>
                <w:szCs w:val="18"/>
                <w:color w:val="auto"/>
              </w:rPr>
              <w:t>BCBS-Independence</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1740" w:type="dxa"/>
            <w:vAlign w:val="bottom"/>
          </w:tcPr>
          <w:p>
            <w:pPr>
              <w:ind w:left="180"/>
              <w:spacing w:after="0"/>
              <w:rPr>
                <w:sz w:val="20"/>
                <w:szCs w:val="20"/>
                <w:color w:val="auto"/>
              </w:rPr>
            </w:pPr>
            <w:r>
              <w:rPr>
                <w:rFonts w:ascii="Arial" w:cs="Arial" w:eastAsia="Arial" w:hAnsi="Arial"/>
                <w:sz w:val="18"/>
                <w:szCs w:val="18"/>
                <w:color w:val="auto"/>
              </w:rPr>
              <w:t>BCBS-Tennessee</w:t>
            </w:r>
          </w:p>
        </w:tc>
      </w:tr>
      <w:tr>
        <w:trPr>
          <w:trHeight w:val="216"/>
        </w:trPr>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180"/>
              <w:spacing w:after="0"/>
              <w:rPr>
                <w:sz w:val="20"/>
                <w:szCs w:val="20"/>
                <w:color w:val="auto"/>
              </w:rPr>
            </w:pPr>
            <w:r>
              <w:rPr>
                <w:rFonts w:ascii="Arial" w:cs="Arial" w:eastAsia="Arial" w:hAnsi="Arial"/>
                <w:sz w:val="18"/>
                <w:szCs w:val="18"/>
                <w:color w:val="auto"/>
              </w:rPr>
              <w:t>BCBS-Regence</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1740" w:type="dxa"/>
            <w:vAlign w:val="bottom"/>
          </w:tcPr>
          <w:p>
            <w:pPr>
              <w:ind w:left="180"/>
              <w:spacing w:after="0"/>
              <w:rPr>
                <w:sz w:val="20"/>
                <w:szCs w:val="20"/>
                <w:color w:val="auto"/>
              </w:rPr>
            </w:pPr>
            <w:r>
              <w:rPr>
                <w:rFonts w:ascii="Arial" w:cs="Arial" w:eastAsia="Arial" w:hAnsi="Arial"/>
                <w:sz w:val="18"/>
                <w:szCs w:val="18"/>
                <w:color w:val="auto"/>
              </w:rPr>
              <w:t>BCBS-Wyoming</w:t>
            </w:r>
          </w:p>
        </w:tc>
      </w:tr>
      <w:tr>
        <w:trPr>
          <w:trHeight w:val="216"/>
        </w:trPr>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180"/>
              <w:spacing w:after="0"/>
              <w:rPr>
                <w:sz w:val="20"/>
                <w:szCs w:val="20"/>
                <w:color w:val="auto"/>
              </w:rPr>
            </w:pPr>
            <w:r>
              <w:rPr>
                <w:rFonts w:ascii="Arial" w:cs="Arial" w:eastAsia="Arial" w:hAnsi="Arial"/>
                <w:sz w:val="18"/>
                <w:szCs w:val="18"/>
                <w:color w:val="auto"/>
              </w:rPr>
              <w:t>BCBS-South Carolina</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1740" w:type="dxa"/>
            <w:vAlign w:val="bottom"/>
          </w:tcPr>
          <w:p>
            <w:pPr>
              <w:ind w:left="180"/>
              <w:spacing w:after="0"/>
              <w:rPr>
                <w:sz w:val="20"/>
                <w:szCs w:val="20"/>
                <w:color w:val="auto"/>
              </w:rPr>
            </w:pPr>
            <w:r>
              <w:rPr>
                <w:rFonts w:ascii="Arial" w:cs="Arial" w:eastAsia="Arial" w:hAnsi="Arial"/>
                <w:sz w:val="18"/>
                <w:szCs w:val="18"/>
                <w:color w:val="auto"/>
                <w:w w:val="91"/>
              </w:rPr>
              <w:t>BCBS-Capital Health</w:t>
            </w:r>
          </w:p>
        </w:tc>
      </w:tr>
      <w:tr>
        <w:trPr>
          <w:trHeight w:val="230"/>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1740" w:type="dxa"/>
            <w:vAlign w:val="bottom"/>
          </w:tcPr>
          <w:p>
            <w:pPr>
              <w:ind w:left="180"/>
              <w:spacing w:after="0"/>
              <w:rPr>
                <w:sz w:val="20"/>
                <w:szCs w:val="20"/>
                <w:color w:val="auto"/>
              </w:rPr>
            </w:pPr>
            <w:r>
              <w:rPr>
                <w:rFonts w:ascii="Arial" w:cs="Arial" w:eastAsia="Arial" w:hAnsi="Arial"/>
                <w:sz w:val="18"/>
                <w:szCs w:val="18"/>
                <w:color w:val="auto"/>
              </w:rPr>
              <w:t>Select Health</w:t>
            </w:r>
          </w:p>
        </w:tc>
      </w:tr>
    </w:tbl>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private payors covering iFuse and other sacroiliac joint fusion products are:</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BCBS-Highmark</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Kaiser California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BCBS-Michigan</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Kaiser Northwest</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BCBS-Nebraska</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Kern Health Systems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BCBS-Vermont</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Minuteman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Emblem Health</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Network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Geisinger Health Plan</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Priority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Harvard Pilgrim</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United Healthcare</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Health New England</w:t>
            </w:r>
          </w:p>
        </w:tc>
        <w:tc>
          <w:tcPr>
            <w:tcW w:w="2040" w:type="dxa"/>
            <w:vAlign w:val="bottom"/>
          </w:tcPr>
          <w:p>
            <w:pPr>
              <w:ind w:left="18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w w:val="90"/>
              </w:rPr>
              <w:t>Utah Public Employee Health Plan</w:t>
            </w:r>
          </w:p>
        </w:tc>
      </w:tr>
    </w:tbl>
    <w:p>
      <w:pPr>
        <w:spacing w:after="0" w:line="37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July 31, 2018, U.S. payors covering 250 million lives reimburse for iFuse, 115 million of which are covered by private payors. The chart below shows the overall coverage as of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186055</wp:posOffset>
            </wp:positionV>
            <wp:extent cx="5120005" cy="3344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2000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8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 In most cases,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46"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payors who are not covering are reevaluating coverage. Many payors will only review their coverage policies for a procedure on a scheduled basis, which can be every few months or as infrequently as once per year.</w:t>
      </w:r>
    </w:p>
    <w:p>
      <w:pPr>
        <w:spacing w:after="0" w:line="170"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 We believe it takes between 6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Outside the United States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April 2017, the UK’s National Institute for Health and Care Excellence, or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MIS SI joint fusion. Additionally, in June 2018, the public hospital system in France announced it will initiate coverage for iFuse exclusively beginning September 1,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board-certified fellowship trained orthopedic spine surgeon. As of June 30, 2018, our U.S. faculty consisted of 80 surgeons, 19 pain management physicians, 11 nurse practitioners/physician’s assistants, and 83 physical therapists. These third-party consultants educate surgeons, physician’s assistants, nurses, physical therapists, and other healthcare professionals regarding sacroiliac joint diagnosis and the iFuse procedure.</w:t>
      </w:r>
    </w:p>
    <w:p>
      <w:pPr>
        <w:spacing w:after="0" w:line="192"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approximately 1,600 surgeons have treated patients with iFuse. We also have a large number of educational programs for the broader medical community including primary care physicians and other healthcare practitioners that may manage a sacroiliac joint patient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non-surgically, such as physical therapists, pain management physicians, and chiropractors. As of June 30, 2018, our medical affairs team and physical therapist consultants have educated over 3,600 physical therapists on sacroiliac joint dysfunction, its diagnosis and iFuse as a potential treatment. We also work to educate case managers, facilities where the iFuse procedure is performed such as hospitals, as well as payors and health plans. For example, as of June 30, 2018, we have trained over 1,200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June 30, 2018, our physical therapy continuing education programs were approved in 43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3"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Since our initial launch of the iFuse system, we have introduced a number of new instrument enhancements, product enhancements and procedure enhancements. An example is the iFuse-3D implant, which we developed over several years and launched in 2017. The most notable instrument enhancement was the release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revamped instruments set which included a number of radiolucent instruments. We also design and manufacture, Class I instruments for our surgeon customers based on special request under our “Non-Standard Product” program.</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2017, we introduced an instrument set which is cleared for use with Medtronic’s surgical navigation system, allowing the surgeon to visualize the positioning of certain instruments intra-operatively. In March 2018, we introduced surgical pins cleared for use with the Mazor surgical robot, allowing the surgeon to robotically place the guide pin according to a computer-generated surgical plan. We expect to continue developing enhancements to iFuse to meet our customers’ changing needs and improve the surgery’s effectiveness. Our research and development expense for 2016 and 2017 and for the six months ended June 30, 2017 and June 30, 2018 was $6.4 million, $5.5 million, $2.8 million, and $2.5 million,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we were the first company to develop, manufacture, and market a minimally invasive implant cleared by the FDA expressly for sacroiliac joint fusion other than a modified screw. Over the past several years, 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78"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implantable medical devices made of metallic or other non-tissue based materials.</w:t>
      </w:r>
    </w:p>
    <w:p>
      <w:pPr>
        <w:spacing w:after="0" w:line="15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Based on our commercial experience and market research, we believe iFuse is currently used in the majority of minimally invasive surgical fusions of the sacroiliac joint in the United States.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55 published papers.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June 30, 2018, we had been issued 34 patents in the United States, five patents in Japan and one in China. Also, as of June 30, 2018, we have 11 pending patent applications in the United States and seven pending patent applications outside of United States. We have focused the majority of our foreign patent efforts in China, Europe, and Japan.</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March 2033, and our Japanese patents are expected to expire between August 2025 and October 2031.</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have 12 registered trademarks in the United States and have filed for one more. In other countries, we have focused on registering three primary trademarks: “iFuse Implant System,” “SI-BONE,” and the SI-BONE logo. As of June 30, 2018, we have sought protection for at least two of these trademarks in 60 countries including the 28 European member countries of the Madrid Protocol.</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66"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92"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numerous FDA regulatory requirements governing the clearance or approval and marketing of our products. These include:</w:t>
      </w:r>
    </w:p>
    <w:p>
      <w:pPr>
        <w:spacing w:after="0" w:line="142" w:lineRule="exact"/>
        <w:rPr>
          <w:sz w:val="20"/>
          <w:szCs w:val="20"/>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60" w:right="140" w:hanging="424"/>
        <w:spacing w:after="0" w:line="264"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60" w:right="82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 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60"/>
          </w:cols>
          <w:pgMar w:left="24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Unless an exemption applies, each medical device we wish to commercially distribute in the United States will require either premarket notification, or 510(k), clearance or approval of a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 All of our currently marketed products are Class II devices, subject to 510(k) clearance.</w:t>
      </w:r>
    </w:p>
    <w:p>
      <w:pPr>
        <w:spacing w:after="0" w:line="173"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5580" w:right="1960" w:hanging="4944"/>
        <w:spacing w:after="0" w:line="449" w:lineRule="auto"/>
        <w:tabs>
          <w:tab w:leader="none" w:pos="10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 116</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60" w:right="200" w:hanging="424"/>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60" w:right="88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92"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other countries. For example, in the EEA our devices are required to comply with the Essential Requirements concerning medical devices. Compliance with these requirements entitles us to affix the CE mark to our medical devices, without which they cannot be commercialized in the EEA.</w:t>
      </w:r>
    </w:p>
    <w:p>
      <w:pPr>
        <w:spacing w:after="0" w:line="14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November 2008, we received 510(k) clearance to market our first generation iFuse implant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 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November 2010, we obtained a CE Certificate of Conformity and affixed a CE mark to our iFuse Implant System to allow commercialization of iFuse in the EEA. In the EEA and Switzerland, iFuse is intended for sacroiliac joint fusion.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European.</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Singapore, and Saudi Arabia. Additional product applications are under review in Mexico, India, South Korea, and Taiwan. We are currently collecting information to determine our regulatory strategy in China and Japan.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 funded healthcare programs. Descriptions of some of the laws and regulations that may affect our ability to operate follows.</w:t>
      </w:r>
    </w:p>
    <w:p>
      <w:pPr>
        <w:spacing w:after="0" w:line="19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by any third-party payors, including commercial payors.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by a private individual in the name of the government.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are filed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$11,181 to $22,363 per claim (adjusted annually for inflation).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Moreover, to avoid the risk of exclusion from federal healthcare programs as a result of a False Claims Act settlement, companies may enter into corporate integrity agreements with the government, which may impose substantial costs on companies to ensure compliance.</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federal Physician Payment Sunshine Act, implemented by CMS as the Open Payments program, requires manufacturers of drugs, devices, biologics and medical supplies for which payment is available under Medicare, Medicaid, or the Children’s Health Insurance Program to report annually to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188"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Certain states also mandate implementation of corporate compliance programs, impose restrictions on device manufacturer marketing practices, and/or require tracking and reporting of gifts, compensation, and other remuneration to healthcare professionals and entities.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FCPA and similar anti-bribery laws in other countries, such as the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Violations of these federal and state fraud abuse laws can subject us to administrative, civil and criminal penalties, including imprisonment, substantial fines, penalties, damages, and exclusion from participation in federal healthcare programs, including Medicare and Medicaid.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Data Privacy and Security Laws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HITECH, in the United States.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could be required to report the improper use or disclosure to the U.S. Department of Health and Human Services, or HHS, which would post the violation on its website, and to the media.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 the European Union, we may be subject to laws relating to our collection, control, processing and other use of personal data (i.e. data relating to an identifiable living individual). We process personal data in relation to our operations. We process data of our employees, consultants and certain individuals who may be affiliated with our customers, including physician users of our products. The personal data may include sensitive personal data including health information. The data privacy regime in the EU includes the EU General Data Protection Regulation, or the GDPR, effective on</w:t>
      </w:r>
    </w:p>
    <w:p>
      <w:pPr>
        <w:spacing w:after="0" w:line="2"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May 25, 2018 and the E-Privacy Directive 2002/58/EC and national laws implementing each of them.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5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new EU-wide GDPR became applicable on May 25, 2018, replacing the data protection laws previously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w:t>
      </w:r>
    </w:p>
    <w:p>
      <w:pPr>
        <w:spacing w:after="0" w:line="16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 We depend on a number of third parties in relation to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In April 2016, we entered into a Quality and Manufacturing Agreement with Orchid MPS Holdings, LLC, or Orchid, which agreement was amended in March 2017, pursuant to which Orchid manufactures certain of our implants in accordance with our specifications. We purchase product under the agreement pursuant to purchase orders we are required to deliver against a blanket purchase order we provide based on our product forecast. However, while we are required to purchase the amounts forecast in the blanket purchase order, we are not required to purchase product in excess of a specified amount of inventory based on our original forecast. During the first year of the agreement, the prices we pay for products are fixed under the agreement; provided that on an annual basis thereafter we will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timelines shorter than agreed upon order timelines. The initial term of the agreement is three years; provided, however, the agreement may be terminated immediately by (a)(i) either party as the result of the other party’s bankruptcy or insolvency, (ii) in the case of Orchid, our failure to make payments for products purchased under the agreement if such failure continues for a specified period after notice from Orchid, or (iii) either party as the result of a material breach of the agreement and such breaching party fails to cure such breach within a specified period after notice from the non-breaching party, (b) us in the event Orchid fails to remedy any deficiencies we may identify pursuant to our right to inspect Orchid’s facilities under the agreement, and (c) either party with prior written notice as provided under the agreement. To mitigate supply risk, we carry a minimum of two months of reserve stock based on current sales estimates and typically place implant orders with Orchid prior to estimated demand.</w:t>
      </w:r>
    </w:p>
    <w:p>
      <w:pPr>
        <w:spacing w:after="0" w:line="175"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We have also added a second source supplier for machine parts. On February 1, 2017, we entered into a non-exclusive Manufacturing, Quality and Supply Agreement with rms Company, or RMS, pursuant to which RMS manufactures certain of our implants in accordance with our specifications, including both purchased and sterilized iFuse-3D implants, as well as uncoated machined implants which are subsequently coated to become our finished first generation iFuse implants. We amended this agreement on July 7, 2017 to provide for our purchase of product pursuant to purchase orders we must deliver against a blanket purchase order we provide based on our product forecast. While we are required to purchase the amounts forecast in the blanket purchase order, we are not required to purchase product in excess of a specified amount of inventory based on our original forecast. During the initial three-year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one-year periods; provided, however, the agreement may be terminated early by either party in the event of a material breach of the agreement by the other party or by the insolvency of the other party. We may terminate the agreement at any time in the event</w:t>
      </w:r>
    </w:p>
    <w:p>
      <w:pPr>
        <w:spacing w:after="0" w:line="6" w:lineRule="exact"/>
        <w:rPr>
          <w:sz w:val="20"/>
          <w:szCs w:val="20"/>
          <w:color w:val="auto"/>
        </w:rPr>
      </w:pPr>
    </w:p>
    <w:p>
      <w:pPr>
        <w:ind w:left="200" w:right="80" w:firstLine="4"/>
        <w:spacing w:after="0" w:line="254" w:lineRule="auto"/>
        <w:tabs>
          <w:tab w:leader="none" w:pos="4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RMS fails to ship conforming product and such failure results in delays as specified in the agreement, (ii) RMS changes its manufacturing site without our prior approval, (iii) of a change of control of RMS, or (iv) RMS breaches a non-solicit covenant with respect to our employees or consultants. With respect to our first generation iFuse implant, the parts manufactured by RMS need to be coated by Orchid to finish the goods. RMS is currently our only supplier of iFuse-3D implants.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Aside from quality agreements, we do not currently have manufacturing agreements with any of our other manufacturers and orders are controlled through purchase orders.</w:t>
      </w:r>
    </w:p>
    <w:p>
      <w:pPr>
        <w:spacing w:after="0" w:line="17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8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June 30, 2018, we had 168 employees, including sales and marketing, product development, general administrative and accounting, both domestically and internationally. As of June 30, 2018, we had a direct field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sales organization of 72 in the United States and 28 in Europe. In the United States, we sell primarily through our direct field organization, and we have a small number of third-party distributors. None of our employees is subject to a collective bargaining agreement, and we consider our relationship with our employees to be good.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Our leased headquarters in Santa Clara, California, is comprised of approximately 21,848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July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3"/>
          </w:tcPr>
          <w:p>
            <w:pPr>
              <w:jc w:val="center"/>
              <w:ind w:left="871"/>
              <w:spacing w:after="0"/>
              <w:rPr>
                <w:sz w:val="20"/>
                <w:szCs w:val="20"/>
                <w:color w:val="auto"/>
              </w:rPr>
            </w:pPr>
            <w:r>
              <w:rPr>
                <w:rFonts w:ascii="Arial" w:cs="Arial" w:eastAsia="Arial" w:hAnsi="Arial"/>
                <w:sz w:val="14"/>
                <w:szCs w:val="14"/>
                <w:b w:val="1"/>
                <w:bCs w:val="1"/>
                <w:color w:val="auto"/>
                <w:w w:val="83"/>
              </w:rPr>
              <w:t>Age</w:t>
            </w:r>
          </w:p>
        </w:tc>
        <w:tc>
          <w:tcPr>
            <w:tcW w:w="652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64</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President, Chief Executive Officer and Chairman</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51</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Pisetsky</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40</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Counsel and Chief Compliance Officer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W. Carlton Reckling, M.D.</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56</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Chief Medical Officer and Vice President, Medical Affairs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59</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Scott A. Yerby, Ph.D.</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Employees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Daniel J. Cher, M.D.</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Vice President, Clinical Affairs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Roxanne J. Dubois</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53</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Vice President, Regulatory</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Nikolas F. Kerr</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Vice President, Product Marketing</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Mercanti</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54</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Vice President, EMEA Operations</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Joseph W. Powers</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Vice President, Marketing</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(2)</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43</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(1)(2)</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48</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(3)</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64</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(1)</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71</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(2)</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(1)</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54</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Mark A. Reiley, M.D.</w:t>
            </w:r>
          </w:p>
        </w:tc>
        <w:tc>
          <w:tcPr>
            <w:tcW w:w="1320" w:type="dxa"/>
            <w:vAlign w:val="bottom"/>
            <w:gridSpan w:val="2"/>
          </w:tcPr>
          <w:p>
            <w:pPr>
              <w:jc w:val="center"/>
              <w:ind w:left="1051"/>
              <w:spacing w:after="0"/>
              <w:rPr>
                <w:sz w:val="20"/>
                <w:szCs w:val="20"/>
                <w:color w:val="auto"/>
              </w:rPr>
            </w:pPr>
            <w:r>
              <w:rPr>
                <w:rFonts w:ascii="Arial" w:cs="Arial" w:eastAsia="Arial" w:hAnsi="Arial"/>
                <w:sz w:val="18"/>
                <w:szCs w:val="18"/>
                <w:color w:val="auto"/>
                <w:w w:val="89"/>
              </w:rPr>
              <w:t>68</w:t>
            </w:r>
          </w:p>
        </w:tc>
        <w:tc>
          <w:tcPr>
            <w:tcW w:w="140" w:type="dxa"/>
            <w:vAlign w:val="bottom"/>
          </w:tcPr>
          <w:p>
            <w:pPr>
              <w:spacing w:after="0"/>
              <w:rPr>
                <w:sz w:val="24"/>
                <w:szCs w:val="24"/>
                <w:color w:val="auto"/>
              </w:rPr>
            </w:pPr>
          </w:p>
        </w:tc>
        <w:tc>
          <w:tcPr>
            <w:tcW w:w="6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(3)</w:t>
            </w:r>
          </w:p>
        </w:tc>
        <w:tc>
          <w:tcPr>
            <w:tcW w:w="132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the Chairman of our board of directors since our inception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2008.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58" w:lineRule="exact"/>
        <w:rPr>
          <w:sz w:val="20"/>
          <w:szCs w:val="20"/>
          <w:color w:val="auto"/>
        </w:rPr>
      </w:pPr>
    </w:p>
    <w:p>
      <w:pPr>
        <w:ind w:left="200" w:right="180" w:firstLine="441"/>
        <w:spacing w:after="0" w:line="270" w:lineRule="auto"/>
        <w:rPr>
          <w:sz w:val="20"/>
          <w:szCs w:val="20"/>
          <w:color w:val="auto"/>
        </w:rPr>
      </w:pPr>
      <w:r>
        <w:rPr>
          <w:rFonts w:ascii="Arial" w:cs="Arial" w:eastAsia="Arial" w:hAnsi="Arial"/>
          <w:sz w:val="17"/>
          <w:szCs w:val="17"/>
          <w:b w:val="1"/>
          <w:bCs w:val="1"/>
          <w:i w:val="1"/>
          <w:iCs w:val="1"/>
          <w:color w:val="auto"/>
        </w:rPr>
        <w:t xml:space="preserve">Laura A. Francis </w:t>
      </w:r>
      <w:r>
        <w:rPr>
          <w:rFonts w:ascii="Arial" w:cs="Arial" w:eastAsia="Arial" w:hAnsi="Arial"/>
          <w:sz w:val="17"/>
          <w:szCs w:val="17"/>
          <w:color w:val="auto"/>
        </w:rPr>
        <w:t>has served as our Chief Financial Officer since May 2015. Prior to joining us, Ms. Francis was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Michael A. Pisetsky </w:t>
      </w:r>
      <w:r>
        <w:rPr>
          <w:rFonts w:ascii="Arial" w:cs="Arial" w:eastAsia="Arial" w:hAnsi="Arial"/>
          <w:sz w:val="17"/>
          <w:szCs w:val="17"/>
          <w:color w:val="auto"/>
        </w:rPr>
        <w:t>has served as our General Counsel and Chief Compliance Officer since August 2016. Mr. Pisetsky joined us in March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Director of Legal. From August 2011 to March 2015, Mr. Pisetsky practiced law privately, serving as General Counsel to New Wave Surgical Corp. and Mark Properties, Inc. a large operator of shopping centers in the Southeast, among a number of other companies in the medical technology and healthcare services space. From August 2008 to July 2011, Mr. Pisetsky was an Associate in the Business Department at Cooley LLP in Palo Alto, representing a portfolio of medical technology, biotech, healthcare services and general technology clients, from inception to public offering and eventual sale. Mr. Pisetsky received his B.A. with Honors from Harvard College. Mr. Pisetsky received his J.D. (magna cum laude) and M.B.A., including a certificate in Health Sector Management, concurrently from Duke University.</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b w:val="1"/>
          <w:bCs w:val="1"/>
          <w:i w:val="1"/>
          <w:iCs w:val="1"/>
          <w:color w:val="auto"/>
        </w:rPr>
        <w:t xml:space="preserve">W. Carlton Reckling, M.D. </w:t>
      </w:r>
      <w:r>
        <w:rPr>
          <w:rFonts w:ascii="Arial" w:cs="Arial" w:eastAsia="Arial" w:hAnsi="Arial"/>
          <w:sz w:val="16"/>
          <w:szCs w:val="16"/>
          <w:color w:val="auto"/>
        </w:rPr>
        <w:t>has served as our Vice President, Medical Affairs since April 2012 and our Chief Medical Officer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From July 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Chief Commercial Officer since July 2016. Prior to joining us, Mr. Recupero was the President of Catalyst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management roles at United States Surgical Corporation and Sulzer Spine-Tech, Inc. Mr. Recupero received a B.A. in Communications from State University of New York at Albany.</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Scott A. Yerby, Ph.D. </w:t>
      </w:r>
      <w:r>
        <w:rPr>
          <w:rFonts w:ascii="Arial" w:cs="Arial" w:eastAsia="Arial" w:hAnsi="Arial"/>
          <w:sz w:val="17"/>
          <w:szCs w:val="17"/>
          <w:color w:val="auto"/>
        </w:rPr>
        <w:t>has served as our Chief Technology Officer since January 2011. Prior to joining us, Dr. Yerby served 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 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Daniel J. Cher, M.D. </w:t>
      </w:r>
      <w:r>
        <w:rPr>
          <w:rFonts w:ascii="Arial" w:cs="Arial" w:eastAsia="Arial" w:hAnsi="Arial"/>
          <w:sz w:val="17"/>
          <w:szCs w:val="17"/>
          <w:color w:val="auto"/>
        </w:rPr>
        <w:t>has served as our Vice President, Clinical Affairs since January 2012. From May 2008 to December 2011, Dr. Cher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Clinical and Regulatory Affairs at Chestnut Medical Technologies, Inc., a company developing new minimally invasive therapies for interventional neuroradiology.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w:t>
      </w:r>
    </w:p>
    <w:p>
      <w:pPr>
        <w:spacing w:after="0" w:line="18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Roxanne J. Dubois </w:t>
      </w:r>
      <w:r>
        <w:rPr>
          <w:rFonts w:ascii="Arial" w:cs="Arial" w:eastAsia="Arial" w:hAnsi="Arial"/>
          <w:sz w:val="18"/>
          <w:szCs w:val="18"/>
          <w:color w:val="auto"/>
        </w:rPr>
        <w:t>has served as our Vice President, Regulatory since February 2014. Previously, Ms. Dubois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8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b w:val="1"/>
          <w:bCs w:val="1"/>
          <w:i w:val="1"/>
          <w:iCs w:val="1"/>
          <w:color w:val="auto"/>
        </w:rPr>
        <w:t xml:space="preserve">Nikolas F. Kerr </w:t>
      </w:r>
      <w:r>
        <w:rPr>
          <w:rFonts w:ascii="Arial" w:cs="Arial" w:eastAsia="Arial" w:hAnsi="Arial"/>
          <w:sz w:val="18"/>
          <w:szCs w:val="18"/>
          <w:color w:val="auto"/>
        </w:rPr>
        <w:t>has served as our Vice President, Product Marketing since August 2016. Prior to joining us, Mr. Kerr was President of Kerr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Group where he advised leading medical device companies on product strategy. Previously, Mr. Kerr was Senior Director of Marketing for Benvenue Medical from December 2013 to June 2014. From August 2011 to December 2013, Mr. Kerr was Senior Director of Marketing for Baxano. From August 2006 to August 2011, Mr. Kerr served in various marketing roles at Medtronic’s Spinal &amp; Biologics Group including the Director of Global Marketing for the Kyphon division. And from August 1998 to August 2006, Mr. Kerr served in various sales, marketing, and business development roles for Milliken &amp; Company. Mr. Kerr started his career with Credit Suisse as an Analyst for Debt Capital Markets. Mr. Kerr received a B.S. in Finance and Economics and Master of International Business Economics from the Darla Moore School of Business, University of South Carolina.</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b w:val="1"/>
          <w:bCs w:val="1"/>
          <w:i w:val="1"/>
          <w:iCs w:val="1"/>
          <w:color w:val="auto"/>
        </w:rPr>
        <w:t xml:space="preserve">Andrea Mercanti </w:t>
      </w:r>
      <w:r>
        <w:rPr>
          <w:rFonts w:ascii="Arial" w:cs="Arial" w:eastAsia="Arial" w:hAnsi="Arial"/>
          <w:sz w:val="17"/>
          <w:szCs w:val="17"/>
          <w:color w:val="auto"/>
        </w:rPr>
        <w:t>has served as our Vice President, EMEA Operations since May 2013, and he previously served as our Vice President, European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Joseph W. Powers </w:t>
      </w:r>
      <w:r>
        <w:rPr>
          <w:rFonts w:ascii="Arial" w:cs="Arial" w:eastAsia="Arial" w:hAnsi="Arial"/>
          <w:sz w:val="18"/>
          <w:szCs w:val="18"/>
          <w:color w:val="auto"/>
        </w:rPr>
        <w:t>has served as our Vice President, Marketing since August 2012. Previously, Mr. Powers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Development from January 2012 to July 2012 and as our Western Area Sales Director from December 2009 to December 2011. Prior to joining us, 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David P. Bonita, M.D. </w:t>
      </w:r>
      <w:r>
        <w:rPr>
          <w:rFonts w:ascii="Arial" w:cs="Arial" w:eastAsia="Arial" w:hAnsi="Arial"/>
          <w:sz w:val="17"/>
          <w:szCs w:val="17"/>
          <w:color w:val="auto"/>
        </w:rPr>
        <w:t>has served as a member of our board of directors since April 2014. Since June 2013, Dr. Bonita has also served as a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Partner at OrbiMed Advisors LLC, an investment company focused on the healthcare industry. From June 2004 to June 2013, Dr. Bonita held various positions at OrbiMed. Prior to OrbiMed, 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Clementia Pharmaceuticals, Inc., a drug developer focusing on bone disorders and other diseases, from June 2013 to present; Tricida, Inc., a drug developer focusing on kidney disease, from January 2014 to present; Loxo Oncology, Inc., a developer of oncological drugs, from October 2013 to December 2017; ViewRay Inc., a designer and manufacturer of radiation therapy and imaging technologies, from January 2008 to June 2018; and Ambit Biosciences Corporation, a drug developer focusing on oncology, autoimmune, and inflammatory diseases from October 2012 to November 2014. Dr. Bonita received a B.A. in Biological Sciences from Harvard University and a joint M.D./M.B.A. from Columbia University. We believe Dr. Bonita’s extensive investment experience in the healthcare industry and his experience as a public company director enable him to make valuable contributions to our board of directors.</w:t>
      </w:r>
    </w:p>
    <w:p>
      <w:pPr>
        <w:spacing w:after="0" w:line="18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312" w:lineRule="auto"/>
        <w:rPr>
          <w:sz w:val="20"/>
          <w:szCs w:val="20"/>
          <w:color w:val="auto"/>
        </w:rPr>
      </w:pPr>
      <w:r>
        <w:rPr>
          <w:rFonts w:ascii="Arial" w:cs="Arial" w:eastAsia="Arial" w:hAnsi="Arial"/>
          <w:sz w:val="16"/>
          <w:szCs w:val="16"/>
          <w:color w:val="auto"/>
        </w:rPr>
        <w:t>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founded Skyline Ventures,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Proteon Therapeutics, Inc., a biotechnology company, since 2014. 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of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6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Gregory K. Hinckley </w:t>
      </w:r>
      <w:r>
        <w:rPr>
          <w:rFonts w:ascii="Arial" w:cs="Arial" w:eastAsia="Arial" w:hAnsi="Arial"/>
          <w:sz w:val="16"/>
          <w:szCs w:val="16"/>
          <w:color w:val="auto"/>
        </w:rPr>
        <w:t>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January 1999 until his retirement in July 2017, and served on the board of directors from January 1999 to June 2016. From January 1997 to January 1999,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Karen A. Licitra </w:t>
      </w:r>
      <w:r>
        <w:rPr>
          <w:rFonts w:ascii="Arial" w:cs="Arial" w:eastAsia="Arial" w:hAnsi="Arial"/>
          <w:sz w:val="18"/>
          <w:szCs w:val="18"/>
          <w:color w:val="auto"/>
        </w:rPr>
        <w:t>has served as a member of our board of directors since August 2015. From January 2014 through August 2015, Ms. Licitra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Corporate Vice President, Worldwide Government Affairs &amp; Policy at Johnson &amp; Johnson, a medical devices, pharmaceutical, and consumer packaged goods manufacturer. From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currently serves on the board of directors of Novadaq Technologies Inc., a provider of proven comprehensive fluorescence imaging solutions. Ms. Licitra received a B.S. in Commerce from Rider College. We believe Ms. Licitra’s experience working for medical device companies and her knowledge of our company enable her to make valuable contributions to our board of directors.</w:t>
      </w:r>
    </w:p>
    <w:p>
      <w:pPr>
        <w:spacing w:after="0" w:line="193"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Timothy B. Petersen </w:t>
      </w:r>
      <w:r>
        <w:rPr>
          <w:rFonts w:ascii="Arial" w:cs="Arial" w:eastAsia="Arial" w:hAnsi="Arial"/>
          <w:sz w:val="16"/>
          <w:szCs w:val="16"/>
          <w:color w:val="auto"/>
        </w:rPr>
        <w:t>has served as a member of our board of directors since June 2016. Since April 2002, Mr. Petersen has been employed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Arboretum Ventures, Inc. As a Managing Director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Inc. (acquired by Becton Dickinson), IntelliCyt Corporation (acquired by Sartorius AG) and Inogen.</w:t>
      </w:r>
    </w:p>
    <w:p>
      <w:pPr>
        <w:spacing w:after="0" w:line="2"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Mr. Petersen currently serves on the boards of several private companies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9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a member of our board of directors since our inception in April 2008 and as our Chief Medical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to September 2016. 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Technology, Inc. in April 2008. From October 1990 to May 2007, 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 Dr. Reiley’s experience in the industry, his role as our former Chief Medical Officer, and his knowledge of our company enable him to make valuable contributions to our board of directors.</w:t>
      </w:r>
    </w:p>
    <w:p>
      <w:pPr>
        <w:spacing w:after="0" w:line="18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b w:val="1"/>
          <w:bCs w:val="1"/>
          <w:i w:val="1"/>
          <w:iCs w:val="1"/>
          <w:color w:val="auto"/>
        </w:rPr>
        <w:t xml:space="preserve">Keith C. Valentine </w:t>
      </w:r>
      <w:r>
        <w:rPr>
          <w:rFonts w:ascii="Arial" w:cs="Arial" w:eastAsia="Arial" w:hAnsi="Arial"/>
          <w:sz w:val="16"/>
          <w:szCs w:val="16"/>
          <w:color w:val="auto"/>
        </w:rPr>
        <w:t>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intend to apply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none of our non-employee directors has a relationship that would interfere with the exercise of independent judgment in carrying out the responsibilities of a director and that each of these directors is “independent” as that term is defined under the rules of the Nasdaq Global Market. The independent members of our board of directors will hold separate regularly scheduled executive session meetings at which only independent directors are present.</w:t>
      </w:r>
    </w:p>
    <w:p>
      <w:pPr>
        <w:spacing w:after="0" w:line="193"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Davis, Hinckley and Petersen qualify as an independent director pursuant to Rule 10A-3. We also intend to satisfy the audit committee independence requirement of the Nasdaq Global Market.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board of directors currently consists of nine members, who were elected pursuant to the provision of a voting agreement and the related provisions of our amended and restated certificate of incorporation. Under the terms of this voting agreement, the stockholders who are party to the voting agreement have agreed to vote their respective shares to elect: (1) two directors designated by the holders of a majority of the then outstanding shares of Series 2 common, one of which will be our chief executive officer, currently Mr. Dunn and Dr. Reiley; (2) one director designated by Skyline Venture Partners Qualified Purchaser Fund V, L.P., currently Dr. Freund; (3) one director designated by Montreux Equity Partners IV, LP which is currently vacant; (4) four directors approved by a majority of the members of our board of directors and at least one of whom has relevant industry experience relating to our business, currently Mr. Hinckley, Mr. Davis, Ms. Licitra and Mr. Valentine; (5) one director designated by OrbiMed Advisors LLC or OrbiMed Private Investments V, LP, currently Dr. Bonita; and (6) one director designated by Arboretum IV, LP, currently Mr. Petersen.</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provisions of this voting agreement will terminate upon the closing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7" w:lineRule="exact"/>
        <w:rPr>
          <w:sz w:val="20"/>
          <w:szCs w:val="20"/>
          <w:color w:val="auto"/>
        </w:rPr>
      </w:pPr>
    </w:p>
    <w:p>
      <w:pPr>
        <w:ind w:left="1060" w:right="16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 directors will be Mr. Davis, Dr. Freund, and Dr. Reiley their term will expire at the annual meeting of stockholders to be held in 2019;</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 directors will be Dr. Bonita, Mr. Dunn, and Mr. Hinckley their terms will expire at the annual meeting of stockholders to be held in 2020;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III directors will be Mr. Petersen, Ms. Licitra, and Mr. Valentine their terms will expire at the annual meeting of stockholders to be held in 2021.</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closing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Stock—Anti-Takeover Provisions—Certificate of Incorporation and Bylaws Provisions.”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and oversight of healthcare, regulatory, and fraud and abuse compliance.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closing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audit committee consists of Messrs. Davis, Hinckley, and Petersen, each of whom satisfies the independence requirements under the Nasdaq Global Market listing standards and Rule 10A-3(b)(1)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Exchange Act. The chairman of our audit committee is Mr. Hinckley. Our board of directors has determined that each of Messrs. Davis, Hinckley, and Petersen is an “audit committee financial expert” within the meaning of SEC regulations. Our board of directors has also determined that each member of our audit committee has the requisite financial expertise required under the applicable requirements of the Nasdaq Global Market. In arriving at this determination, the board of directors has examined each audit committee member’s scope of experience and the nature of their employment in the corporate finance sector.</w:t>
      </w:r>
    </w:p>
    <w:p>
      <w:pPr>
        <w:spacing w:after="0" w:line="18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7" w:lineRule="exact"/>
        <w:rPr>
          <w:sz w:val="20"/>
          <w:szCs w:val="20"/>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Our compensation committee consists of Dr. Bonita, Mr. Davis, and Ms. Licitra, each of whom our board of directors has determined to be independent under the Nasdaq Global Market listing standards and the rules and regulations of the SEC, a “non-employee director” as defined in Rule 16b-3 promulgated under the Exchange Act. The chairman of our compensation committee is Mr. Davis.</w:t>
      </w:r>
    </w:p>
    <w:p>
      <w:pPr>
        <w:spacing w:after="0" w:line="166"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0" w:hanging="424"/>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nominating and corporate governance committee consists of Dr. Freund and Mr. Valentine, each of whom our board of directors has determined to be independent under the Nasdaq Global Market listing standards. The chairman of our nominating and corporate governance committee is Mr. Valentine.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board of directors has adopted a code of conduct. The code of conduct applies to all of our employees, officers, directors, contractors, consultants, suppliers, and agents. Upon the closing of this offering, the full text of our code of conduct will be posted on our website at www.si-bone.com under the Investor Relations section. We intend to disclose future amendments to, or waivers of, our code of conduct,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noted above, the compensation committee of our board of directors consists of Dr. Bonita, Mr. Davis, and Ms. Licitra. During 2017, our compensation committee consisted of Dr. Bonita, Mr. Davis, and Ms. Licitra. None of the members of the compensation committee is currently, or has been at any time, one of our officers or employees. None of our executive officers serves, or served during 2017 as a member of the board of directors or compensation committee of any other entity that has or has had one or more executive officers serving as a member of our board of directors or our compensation committee.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Currently, we pay our non-employee directors who are not representatives of our stockholders a fee of $2,000 per month as compensation for their service on our board of directors. We also have a policy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reimbursing all of our non-employee directors for their reasonable out-of-pocket expenses in connection with attending board of directors and committee meetings. From time to time we have granted stock options to certain of our non-employee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Non-Employee Director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the compensation paid to our non-employee directors during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gridSpan w:val="3"/>
          </w:tcPr>
          <w:p>
            <w:pPr>
              <w:ind w:left="2760"/>
              <w:spacing w:after="0"/>
              <w:rPr>
                <w:sz w:val="20"/>
                <w:szCs w:val="20"/>
                <w:color w:val="auto"/>
              </w:rPr>
            </w:pPr>
            <w:r>
              <w:rPr>
                <w:rFonts w:ascii="Arial" w:cs="Arial" w:eastAsia="Arial" w:hAnsi="Arial"/>
                <w:sz w:val="14"/>
                <w:szCs w:val="14"/>
                <w:b w:val="1"/>
                <w:bCs w:val="1"/>
                <w:color w:val="auto"/>
                <w:w w:val="90"/>
              </w:rPr>
              <w:t>Fees Earned or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60" w:type="dxa"/>
            <w:vAlign w:val="bottom"/>
            <w:gridSpan w:val="3"/>
            <w:vMerge w:val="continue"/>
          </w:tcPr>
          <w:p>
            <w:pPr>
              <w:spacing w:after="0"/>
              <w:rPr>
                <w:sz w:val="16"/>
                <w:szCs w:val="16"/>
                <w:color w:val="auto"/>
              </w:rPr>
            </w:pPr>
          </w:p>
        </w:tc>
        <w:tc>
          <w:tcPr>
            <w:tcW w:w="27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Paid in Cash</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73"/>
              </w:rPr>
              <w:t>David</w:t>
            </w:r>
          </w:p>
        </w:tc>
        <w:tc>
          <w:tcPr>
            <w:tcW w:w="400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P. Bonita, M.D.</w:t>
            </w:r>
          </w:p>
        </w:tc>
        <w:tc>
          <w:tcPr>
            <w:tcW w:w="27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 w:hanging="436"/>
        <w:spacing w:after="0" w:line="268" w:lineRule="auto"/>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March 2017, we granted options to purchase 400,000 shares to each of our non-employee directors, excluding Dr. Reiley, with an exercise price of $0.33 per share, vesting in equal monthly installments over three years commencing upon the closing of an initial public offering, subject to the non-employee director’s continued service with us through each relevant vesting date, and are early exercisable upon the closing of an initial public offering. The shares subject to the options will fully vest immediately prior to the effective time of a change in control, subject to the non-employee director’s continued service with us on the effective date of such change in control.</w:t>
      </w:r>
    </w:p>
    <w:p>
      <w:pPr>
        <w:spacing w:after="0" w:line="3" w:lineRule="exact"/>
        <w:rPr>
          <w:rFonts w:ascii="Arial" w:cs="Arial" w:eastAsia="Arial" w:hAnsi="Arial"/>
          <w:sz w:val="17"/>
          <w:szCs w:val="17"/>
          <w:color w:val="auto"/>
        </w:rPr>
      </w:pPr>
    </w:p>
    <w:p>
      <w:pPr>
        <w:ind w:left="640" w:right="200" w:hanging="436"/>
        <w:spacing w:after="0" w:line="270" w:lineRule="auto"/>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accordance with SEC rules, this column does not include the value of option awards granted to the directors in March 2017, as more fully described in footnote (1) above. These option awards are subject to certain liquidity events and time-based vesting components. As of the grant date and June 30, 2018, the liquidity events were considered not “probable” of occurring. As a result, the grant date fair value of each of these option awards, for purposes of this table, is $0. Assuming that all of the vesting conditions to the option awards were met, the estimated value of each of these option awards as of the grant date would be $69,154. The table below lists the aggregate number of shares subject to outstanding stock options held by each of our non-employee directors as of December 31, 2017.</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0" w:type="dxa"/>
            <w:vAlign w:val="bottom"/>
          </w:tcPr>
          <w:p>
            <w:pPr>
              <w:spacing w:after="0"/>
              <w:rPr>
                <w:sz w:val="1"/>
                <w:szCs w:val="1"/>
                <w:color w:val="auto"/>
              </w:rPr>
            </w:pPr>
          </w:p>
        </w:tc>
      </w:tr>
      <w:tr>
        <w:trPr>
          <w:trHeight w:val="171"/>
        </w:trPr>
        <w:tc>
          <w:tcPr>
            <w:tcW w:w="3280" w:type="dxa"/>
            <w:vAlign w:val="bottom"/>
            <w:gridSpan w:val="3"/>
            <w:vMerge w:val="continue"/>
          </w:tcPr>
          <w:p>
            <w:pPr>
              <w:spacing w:after="0"/>
              <w:rPr>
                <w:sz w:val="14"/>
                <w:szCs w:val="14"/>
                <w:color w:val="auto"/>
              </w:rPr>
            </w:pPr>
          </w:p>
        </w:tc>
        <w:tc>
          <w:tcPr>
            <w:tcW w:w="6860" w:type="dxa"/>
            <w:vAlign w:val="bottom"/>
            <w:gridSpan w:val="3"/>
          </w:tcPr>
          <w:p>
            <w:pPr>
              <w:jc w:val="center"/>
              <w:ind w:left="5492"/>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2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 Bonita, M.D.</w:t>
            </w:r>
          </w:p>
        </w:tc>
        <w:tc>
          <w:tcPr>
            <w:tcW w:w="5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997,163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785,349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785,349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40" w:type="dxa"/>
            <w:vAlign w:val="bottom"/>
          </w:tcPr>
          <w:p>
            <w:pPr>
              <w:jc w:val="right"/>
              <w:ind w:right="3632"/>
              <w:spacing w:after="0"/>
              <w:rPr>
                <w:sz w:val="20"/>
                <w:szCs w:val="20"/>
                <w:color w:val="auto"/>
              </w:rPr>
            </w:pPr>
            <w:r>
              <w:rPr>
                <w:rFonts w:ascii="Arial" w:cs="Arial" w:eastAsia="Arial" w:hAnsi="Arial"/>
                <w:sz w:val="18"/>
                <w:szCs w:val="18"/>
                <w:color w:val="auto"/>
              </w:rPr>
              <w:t>135</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information regarding the compensation of our chief executive officer and our two other most highly compensated executive officers during the year ended December 31, 2017. We refer to these individuals as our “named executive officers.”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Bonus</w:t>
            </w:r>
            <w:r>
              <w:rPr>
                <w:rFonts w:ascii="Arial" w:cs="Arial" w:eastAsia="Arial" w:hAnsi="Arial"/>
                <w:sz w:val="12"/>
                <w:szCs w:val="12"/>
                <w:b w:val="1"/>
                <w:bCs w:val="1"/>
                <w:color w:val="auto"/>
                <w:w w:val="99"/>
              </w:rPr>
              <w:t>(1)</w:t>
            </w:r>
          </w:p>
        </w:tc>
        <w:tc>
          <w:tcPr>
            <w:tcW w:w="13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3"/>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64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Jeffrey W. Dunn</w:t>
            </w:r>
          </w:p>
        </w:tc>
        <w:tc>
          <w:tcPr>
            <w:tcW w:w="2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2017</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$437,750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$249,518</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251,618</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239,889</w:t>
            </w:r>
          </w:p>
        </w:tc>
        <w:tc>
          <w:tcPr>
            <w:tcW w:w="34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87"/>
              </w:rPr>
              <w:t>(4)</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$1,178,775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8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302,315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120,624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77,073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18,458</w:t>
            </w: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518,470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60" w:hanging="436"/>
        <w:spacing w:after="0" w:line="291" w:lineRule="auto"/>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payments upon the achievement of 2017 corporate goals as well as individual objectives, which were paid in January 2018. Our corporate goals included revenue growth, cash flow, expense, profitability management, reimbursement progress and clinical milestones.</w:t>
      </w:r>
    </w:p>
    <w:p>
      <w:pPr>
        <w:ind w:left="640" w:right="340" w:hanging="436"/>
        <w:spacing w:after="0" w:line="281" w:lineRule="auto"/>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granted to the officer in 2017 and the incremental fair value of stock options repriced in December 2017, computed in accordance with FASB ASC Topic 718. For a discussion of the assumptions made in determining the grant date fair value of our equity awards, see Note 10 to our audited consolidated financial statements included elsewhere in this prospectus.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Amounts reported include medical and life insurance premiums paid by us on behalf of our named executive officers.</w:t>
      </w:r>
    </w:p>
    <w:p>
      <w:pPr>
        <w:spacing w:after="0" w:line="9" w:lineRule="exact"/>
        <w:rPr>
          <w:rFonts w:ascii="Arial" w:cs="Arial" w:eastAsia="Arial" w:hAnsi="Arial"/>
          <w:sz w:val="18"/>
          <w:szCs w:val="18"/>
          <w:color w:val="auto"/>
        </w:rPr>
      </w:pPr>
    </w:p>
    <w:p>
      <w:pPr>
        <w:ind w:left="640" w:right="300" w:hanging="436"/>
        <w:spacing w:after="0" w:line="255"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 includes $231,914 of principal and interest forgiven by us in March 2017, in connection with a loan we made to Mr. Dunn in February 2014. The remaining balance of the loan was forgiven by us in January 2018. For a more detailed description of this loan, see “Certain Relationships and Related Party Transactions—Loans.”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As an emerging growth company we will be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of 2010.</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2017. Unless otherwise indicated below, all of these awards were made pursuant to our 2008 Stock Plan.</w:t>
      </w:r>
    </w:p>
    <w:p>
      <w:pPr>
        <w:spacing w:after="0" w:line="12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All of the options granted to our named executive officers are immediately exercisable with respect to all of the option shares, subject to our repurchase right in the event the officer’s service terminates prior to vesting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shares. We refer to option shares that are subject to our right of repurchase as “unvested shares” and those that are no longer subject to our right of repurchase as “vested” shares.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Vesting</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Grant</w:t>
            </w:r>
          </w:p>
        </w:tc>
        <w:tc>
          <w:tcPr>
            <w:tcW w:w="128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Commencement</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Unvested</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Vested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gridSpan w:val="2"/>
            <w:vMerge w:val="restart"/>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07/21/14</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vMerge w:val="restart"/>
            <w:shd w:val="clear" w:color="auto" w:fill="CCEEFF"/>
          </w:tcPr>
          <w:p>
            <w:pPr>
              <w:ind w:left="360"/>
              <w:spacing w:after="0" w:line="195" w:lineRule="exact"/>
              <w:rPr>
                <w:sz w:val="20"/>
                <w:szCs w:val="20"/>
                <w:color w:val="auto"/>
              </w:rPr>
            </w:pPr>
            <w:r>
              <w:rPr>
                <w:rFonts w:ascii="Arial" w:cs="Arial" w:eastAsia="Arial" w:hAnsi="Arial"/>
                <w:sz w:val="18"/>
                <w:szCs w:val="18"/>
                <w:color w:val="auto"/>
                <w:w w:val="88"/>
              </w:rPr>
              <w:t>07/21/14</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vMerge w:val="restart"/>
            <w:shd w:val="clear" w:color="auto" w:fill="CCEEFF"/>
          </w:tcPr>
          <w:p>
            <w:pPr>
              <w:jc w:val="right"/>
              <w:spacing w:after="0" w:line="195" w:lineRule="exact"/>
              <w:rPr>
                <w:sz w:val="20"/>
                <w:szCs w:val="20"/>
                <w:color w:val="auto"/>
              </w:rPr>
            </w:pPr>
            <w:r>
              <w:rPr>
                <w:rFonts w:ascii="Arial" w:cs="Arial" w:eastAsia="Arial" w:hAnsi="Arial"/>
                <w:sz w:val="18"/>
                <w:szCs w:val="18"/>
                <w:color w:val="auto"/>
                <w:w w:val="94"/>
              </w:rPr>
              <w:t>4,193,586</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vMerge w:val="restart"/>
            <w:shd w:val="clear" w:color="auto" w:fill="CCEEFF"/>
          </w:tcPr>
          <w:p>
            <w:pPr>
              <w:jc w:val="right"/>
              <w:spacing w:after="0" w:line="195" w:lineRule="exact"/>
              <w:rPr>
                <w:sz w:val="20"/>
                <w:szCs w:val="20"/>
                <w:color w:val="auto"/>
              </w:rPr>
            </w:pPr>
            <w:r>
              <w:rPr>
                <w:rFonts w:ascii="Arial" w:cs="Arial" w:eastAsia="Arial" w:hAnsi="Arial"/>
                <w:sz w:val="18"/>
                <w:szCs w:val="18"/>
                <w:color w:val="auto"/>
              </w:rPr>
              <w:t>715,978</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vMerge w:val="restart"/>
            <w:shd w:val="clear" w:color="auto" w:fill="CCEEFF"/>
          </w:tcPr>
          <w:p>
            <w:pPr>
              <w:ind w:left="220"/>
              <w:spacing w:after="0" w:line="195" w:lineRule="exact"/>
              <w:rPr>
                <w:sz w:val="20"/>
                <w:szCs w:val="20"/>
                <w:color w:val="auto"/>
              </w:rPr>
            </w:pPr>
            <w:r>
              <w:rPr>
                <w:rFonts w:ascii="Arial" w:cs="Arial" w:eastAsia="Arial" w:hAnsi="Arial"/>
                <w:sz w:val="18"/>
                <w:szCs w:val="18"/>
                <w:color w:val="auto"/>
                <w:w w:val="85"/>
              </w:rPr>
              <w:t>0.19</w:t>
            </w: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vMerge w:val="restart"/>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07/20/24</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Jeffrey W. Dunn</w:t>
            </w:r>
          </w:p>
        </w:tc>
        <w:tc>
          <w:tcPr>
            <w:tcW w:w="2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05/26/15</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04/15/15</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1,217,287</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608,643</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05/25/25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07/26/16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8"/>
              </w:rPr>
              <w:t>06/02/16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775,588</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1,292,648</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85"/>
              </w:rPr>
              <w:t>0.24</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07/25/26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03/01/17</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09/06/17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142,044</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2,130,656</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03/01/27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2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05/26/15</w:t>
            </w:r>
          </w:p>
        </w:tc>
        <w:tc>
          <w:tcPr>
            <w:tcW w:w="28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8"/>
              </w:rPr>
              <w:t>05/26/15</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204,513</w:t>
            </w:r>
          </w:p>
        </w:tc>
        <w:tc>
          <w:tcPr>
            <w:tcW w:w="2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05/25/25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05/26/15</w:t>
            </w:r>
          </w:p>
        </w:tc>
        <w:tc>
          <w:tcPr>
            <w:tcW w:w="28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8"/>
              </w:rPr>
              <w:t>05/26/15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2,009,863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1,214,335</w:t>
            </w:r>
          </w:p>
        </w:tc>
        <w:tc>
          <w:tcPr>
            <w:tcW w:w="26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05/25/25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07/26/16</w:t>
            </w:r>
          </w:p>
        </w:tc>
        <w:tc>
          <w:tcPr>
            <w:tcW w:w="28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8"/>
              </w:rPr>
              <w:t>06/02/16</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147,715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246,192</w:t>
            </w:r>
          </w:p>
        </w:tc>
        <w:tc>
          <w:tcPr>
            <w:tcW w:w="26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w w:val="85"/>
              </w:rPr>
              <w:t>0.24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07/25/26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03/01/17</w:t>
            </w:r>
          </w:p>
        </w:tc>
        <w:tc>
          <w:tcPr>
            <w:tcW w:w="280" w:type="dxa"/>
            <w:vAlign w:val="bottom"/>
          </w:tcPr>
          <w:p>
            <w:pPr>
              <w:spacing w:after="0"/>
              <w:rPr>
                <w:sz w:val="20"/>
                <w:szCs w:val="20"/>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8"/>
              </w:rPr>
              <w:t>09/06/17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43,509</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652,641</w:t>
            </w:r>
          </w:p>
        </w:tc>
        <w:tc>
          <w:tcPr>
            <w:tcW w:w="26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03/01/27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Anthony J. Recupero.</w:t>
            </w:r>
          </w:p>
        </w:tc>
        <w:tc>
          <w:tcPr>
            <w:tcW w:w="9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07/26/16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8"/>
              </w:rPr>
              <w:t>07/05/16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800,639</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1,459,989</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85"/>
              </w:rPr>
              <w:t>0.24</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07/25/26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03/01/17</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09/06/17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60,688</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910,312</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03/01/27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as described in “Equity Acceleration” below.</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stock option was repriced in December 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have entered into employment agreements with each of our named executive officers setting forth the initial terms of the officer’s employment with us and providing that the officer’s employment will be “at will” and may be terminated at any time. The severance benefits for our named executive officers are described in “Severance and Change in Control Agreement”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Jeffrey W. Dunn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December 2009, we entered into an offer letter with Jeffrey W. Dunn, our President and Chief Executive Officer. Mr. Dunn’s annual base salary as of January 1, 2017 was $437,750 and Mr. Dunn was eligible for annual variable compensation up to 50% of his base salary. As of April 1, 2018, Mr. Dunn’s annual base salary was increased to $451,320. Upon the closing of this offering, Mr. Dunn’s annual base salary will be increased to $540,000 and Mr. Dunn will be eligible for annual variable compensation up to 75% of his base salary.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of directors, if applicable.</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March 2017, Mr. Dunn was granted an option to purchase 2,272,700 shares of common stock with an exercise price of $0.33 per share vesting in equal monthly installments over four years commencing upon the closing of an initial public offering, subject to Mr. Dunn’s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$0.26 per share and the vesting commencement date was set at September 6,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Laura A. Francis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2015, we entered into an offer letter with Laura A. Francis, our Chief Financial Officer. Ms. Francis’ annual base salary as of January 1,</w:t>
      </w:r>
    </w:p>
    <w:p>
      <w:pPr>
        <w:spacing w:after="0" w:line="46" w:lineRule="exact"/>
        <w:rPr>
          <w:sz w:val="20"/>
          <w:szCs w:val="20"/>
          <w:color w:val="auto"/>
        </w:rPr>
      </w:pPr>
    </w:p>
    <w:p>
      <w:pPr>
        <w:jc w:val="both"/>
        <w:ind w:left="200" w:right="400"/>
        <w:spacing w:after="0" w:line="255" w:lineRule="auto"/>
        <w:rPr>
          <w:sz w:val="20"/>
          <w:szCs w:val="20"/>
          <w:color w:val="auto"/>
        </w:rPr>
      </w:pPr>
      <w:r>
        <w:rPr>
          <w:rFonts w:ascii="Arial" w:cs="Arial" w:eastAsia="Arial" w:hAnsi="Arial"/>
          <w:sz w:val="18"/>
          <w:szCs w:val="18"/>
          <w:color w:val="auto"/>
        </w:rPr>
        <w:t>2017 was $302,315 and Ms. Francis was eligible for annual variable compensation up to 35% of her base salary. As of April 1, 2018, Ms. Francis’ annual base salary was increased to $314,106. Upon the closing of this offering, Ms. Francis’s annual base salary will be increased to $350,000 and Ms. Francis will be eligible for annual variable compensation up to 45% of her base salary.</w:t>
      </w:r>
    </w:p>
    <w:p>
      <w:pPr>
        <w:spacing w:after="0" w:line="19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Under the terms of her offer letter, Ms. Francis was granted an option to purchase a number of shares of common stock equal to 1.25% of the fully-diluted capitalization as of her first day of employment, or 3,328,711 shares, with an exercise price of $0.44 per share. The shares subject to this option vest as to 25% on the 12-month anniversary of May 26, 2015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 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66"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March 2017, Ms. Francis was granted an option to purchase 696,150 shares of common stock with an exercise price of $0.33 per share vesting in equal monthly installments over four years commencing upon the closing of an initial public offering, subject to Ms. Francis’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$0.26 per share and the vesting commencement date was set at September 6,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Anthony J. Recupero</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June 2016, we entered into an offer letter with Anthony J. Recupero, our Chief Commercial Officer. Mr. Recupero’s annual base salary as of January 1, 2017 was $315,000 and Mr. Recupero was eligible for annual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variable compensation up to 40% of his base salary. Upon the closing of this offering, Mr. Recupero’s annual base salary will be increased to $330,000 and Mr. Recupero will be eligible for annual variable compensation up to 45% of his base salary.</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of April 1, 2018, Mr. Recupero’s annual base salary was increased to $325,710. Under the terms of his offer letter, Mr. Recupero was granted an option to purchase a number of shares of common stock equal to 0.7% of the fully-diluted capitalization as of his first day of employment, or 2,260,628 shares, with an exercise price of $0.24 per share. The shares subject to this option vest as to 25% on the 12-month anniversary of July 5, 2016 and 1/36</w:t>
      </w:r>
      <w:r>
        <w:rPr>
          <w:rFonts w:ascii="Arial" w:cs="Arial" w:eastAsia="Arial" w:hAnsi="Arial"/>
          <w:sz w:val="14"/>
          <w:szCs w:val="14"/>
          <w:color w:val="auto"/>
        </w:rPr>
        <w:t>th</w:t>
      </w:r>
      <w:r>
        <w:rPr>
          <w:rFonts w:ascii="Arial" w:cs="Arial" w:eastAsia="Arial" w:hAnsi="Arial"/>
          <w:sz w:val="17"/>
          <w:szCs w:val="17"/>
          <w:color w:val="auto"/>
        </w:rPr>
        <w:t xml:space="preserve"> of the balance of the shares vest each month thereafter, subject to Mr. Recupero’s continued service with us through each relevant vesting date. Mr. Recupero’s offer letter provides that in the event we terminate him for any reason other than for cause (as defined in the letter agreement), we will provide him with the following benefits within 60 calendar days of his termination date:</w:t>
      </w:r>
    </w:p>
    <w:p>
      <w:pPr>
        <w:spacing w:after="0" w:line="84"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2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87" w:lineRule="exact"/>
        <w:rPr>
          <w:sz w:val="20"/>
          <w:szCs w:val="20"/>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his termination date;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of directors, if applicable, and execution and non-revocation of a release of claims.</w:t>
      </w:r>
    </w:p>
    <w:p>
      <w:pPr>
        <w:spacing w:after="0" w:line="181" w:lineRule="exact"/>
        <w:rPr>
          <w:sz w:val="20"/>
          <w:szCs w:val="20"/>
          <w:color w:val="auto"/>
        </w:rPr>
      </w:pPr>
    </w:p>
    <w:p>
      <w:pPr>
        <w:jc w:val="both"/>
        <w:ind w:left="200" w:right="260" w:firstLine="441"/>
        <w:spacing w:after="0" w:line="276" w:lineRule="auto"/>
        <w:rPr>
          <w:sz w:val="20"/>
          <w:szCs w:val="20"/>
          <w:color w:val="auto"/>
        </w:rPr>
      </w:pPr>
      <w:r>
        <w:rPr>
          <w:rFonts w:ascii="Arial" w:cs="Arial" w:eastAsia="Arial" w:hAnsi="Arial"/>
          <w:sz w:val="17"/>
          <w:szCs w:val="17"/>
          <w:color w:val="auto"/>
        </w:rPr>
        <w:t>In March 2017, Mr. Recupero was granted an option to purchase for 971,000 shares of common stock with an exercise price of $0.33 per share vesting in equal monthly installments over four years commencing upon the closing of an initial public offering, subject to Mr. Recupero’s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$0.26 per share and the vesting commencement date was set at September 6, 2017.</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87"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either three months prior to or 12</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months following the consummation of a change in control (as defined in the letter agreement), we will provide her the following benefits within 60 calendar days of her termination date:</w:t>
      </w:r>
    </w:p>
    <w:p>
      <w:pPr>
        <w:spacing w:after="0" w:line="76" w:lineRule="exact"/>
        <w:rPr>
          <w:sz w:val="20"/>
          <w:szCs w:val="20"/>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her termination date;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25"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These severance benefits are contingent on Ms. Francis returning all of our property, continued adherence to the terms and condition of the proprietary information and inventions agreement between us and Ms. Francis, resigning from our board of directors, if applicable, and executing and not revoking a release of claims. The severance letter agreement for Ms. Francis supersede the acceleration provisions set forth in her offer letter.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Mr. Dunn’s options to purchase 2,068,236 shares granted in July 2016 and 2,272,700 shares granted in March 2017 will fully vest if we are subject to a change in control before Mr. Dunn’s service terminates, provided he agrees to provide services to the acquiring company for a period not to exceed six months. Mr. Dunn’s option for 1,825,930 shares granted in May 2015, will vest as to 50% of the option shares if we are subject to a change in control.</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the case of all the options granted to Ms. Francis and Mr. Recupero, the accelerated vesting of any unvested option shares will occur as set forth above in “Employment Agreements” and “Severance and Change in Control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of directors adopted our 2018 Equity Incentive Plan, or the 2018 Plan, in July 2018, and our stockholders subsequently approved the</w:t>
      </w:r>
    </w:p>
    <w:p>
      <w:pPr>
        <w:spacing w:after="0" w:line="46"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color w:val="auto"/>
        </w:rPr>
        <w:t>2018 Plan in 2018. The 2018 Plan will become effective immediately upon the execution of the underwriting agreement related to this offering. Once the 2018 Plan becomes effective, no further grants will be made under our 2008 Stock Plan, which is described below.</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2018 Plan provides for the grant of incentive stock options, or ISOs, within the meaning of Section 422 of the Internal Revenue Code of 1986, or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2018 Plan provides for the grant of performance cash awards to our employees, directors and consultants.</w:t>
      </w:r>
    </w:p>
    <w:p>
      <w:pPr>
        <w:spacing w:after="0" w:line="18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that may be issued under our 2018 Plan is 46,377,691.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reserved for issuance under our 2018 Plan will automatically increase on January 1 of each year, beginning on January 1, 2019, and continuing through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including January 1, 2028, by 5% of the total number of shares of our capital stock outstanding on December 31 of the preceding calendar year, or a lesser number of shares determined by our board of directors. The maximum number of shares that may be issued upon the exercise of ISOs under our 2018 Plan is three times the share reserve.</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Shares issued under our 2018 Plan will be authorized but unissued or reacquired shares of our common stock. Shares subject to stock awards granted under our 2018 Plan that expire or terminate without being exercised in full, or that are paid out in cash rather than in shares, will not reduce the number of shares available for issuance under our 2018 Plan. Additionally, shares issued pursuant to stock awards under our 2018 Plan that we repurchase or that are forfeited, as well as shares used to pay the exercise price of a stock award or to satisfy the tax withholding obligations related to a stock award, will become available for future grant under our 2018 Plan.</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2018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(1) designate employees (other than officers) to receive specified stock awards, and (2) determine the number of shares subject to such stock awards. Subject to the terms of our 2018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2018 Plan.</w:t>
      </w:r>
    </w:p>
    <w:p>
      <w:pPr>
        <w:spacing w:after="0" w:line="18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board of directors has the power to modify outstanding awards under our 2018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2018 Plan, provided that the exercise price of a stock option generally cannot be less than 100% of the fair market value of our common stock on the date of grant. Options granted under the 2018 Plan vest at the rate specified in the stock option agreement as determined by the plan administrator.</w:t>
      </w:r>
    </w:p>
    <w:p>
      <w:pPr>
        <w:spacing w:after="0" w:line="17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Restricted stock unit awards are granted pursuant to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 repurchase right any or all of the shares of common stock held by the participant that have not vested as of the date the participant terminates service with us.</w:t>
      </w:r>
    </w:p>
    <w:p>
      <w:pPr>
        <w:spacing w:after="0" w:line="170"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plan administrator determines the purchase price or strike price for a stock appreciation right, which generally cannot be less than 100% of the fair market value of our common stock on the date of grant. A stock appreciation right granted under the 2018 Plan vests at the rate specified in the stock appreciation right agreement as determined by the plan administrator.</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2018 Plan permits the grant of performance-based stock and cash awards. Our compensation committee can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such awards so that the stock or cash will be issued or paid pursuant to such award only following the achievement of certain pre-established performance goals during a designated performance period.</w:t>
      </w:r>
    </w:p>
    <w:p>
      <w:pPr>
        <w:spacing w:after="0" w:line="181" w:lineRule="exact"/>
        <w:rPr>
          <w:sz w:val="20"/>
          <w:szCs w:val="20"/>
          <w:color w:val="auto"/>
        </w:rPr>
      </w:pPr>
    </w:p>
    <w:p>
      <w:pPr>
        <w:jc w:val="both"/>
        <w:ind w:left="200" w:right="120" w:firstLine="441"/>
        <w:spacing w:after="0" w:line="288"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w:t>
      </w:r>
    </w:p>
    <w:p>
      <w:pPr>
        <w:ind w:left="460" w:hanging="256"/>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stock price; (8) margin (including gross margin); (9) income (before or after taxes); (10) operating income; (11) operating income after taxes;</w:t>
      </w:r>
    </w:p>
    <w:p>
      <w:pPr>
        <w:spacing w:after="0" w:line="20" w:lineRule="exact"/>
        <w:rPr>
          <w:rFonts w:ascii="Arial" w:cs="Arial" w:eastAsia="Arial" w:hAnsi="Arial"/>
          <w:sz w:val="17"/>
          <w:szCs w:val="17"/>
          <w:color w:val="auto"/>
        </w:rPr>
      </w:pPr>
    </w:p>
    <w:p>
      <w:pPr>
        <w:ind w:left="200" w:right="200" w:firstLine="4"/>
        <w:spacing w:after="0" w:line="281" w:lineRule="auto"/>
        <w:tabs>
          <w:tab w:leader="none" w:pos="545" w:val="left"/>
        </w:tabs>
        <w:numPr>
          <w:ilvl w:val="0"/>
          <w:numId w:val="92"/>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w:t>
      </w:r>
    </w:p>
    <w:p>
      <w:pPr>
        <w:spacing w:after="0" w:line="1" w:lineRule="exact"/>
        <w:rPr>
          <w:rFonts w:ascii="Arial" w:cs="Arial" w:eastAsia="Arial" w:hAnsi="Arial"/>
          <w:sz w:val="16"/>
          <w:szCs w:val="16"/>
          <w:color w:val="auto"/>
        </w:rPr>
      </w:pPr>
    </w:p>
    <w:p>
      <w:pPr>
        <w:ind w:left="540" w:hanging="336"/>
        <w:spacing w:after="0"/>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cash flow; (21) cash flow per share; (22) share price performance; (23) debt reduction; (24) customer satisfaction; (25) stockholders’ equity;</w:t>
      </w:r>
    </w:p>
    <w:p>
      <w:pPr>
        <w:spacing w:after="0" w:line="20" w:lineRule="exact"/>
        <w:rPr>
          <w:rFonts w:ascii="Arial" w:cs="Arial" w:eastAsia="Arial" w:hAnsi="Arial"/>
          <w:sz w:val="17"/>
          <w:szCs w:val="17"/>
          <w:color w:val="auto"/>
        </w:rPr>
      </w:pPr>
    </w:p>
    <w:p>
      <w:pPr>
        <w:ind w:left="200" w:right="60" w:firstLine="4"/>
        <w:spacing w:after="0" w:line="281" w:lineRule="auto"/>
        <w:tabs>
          <w:tab w:leader="none" w:pos="545" w:val="left"/>
        </w:tabs>
        <w:numPr>
          <w:ilvl w:val="0"/>
          <w:numId w:val="94"/>
        </w:numPr>
        <w:rPr>
          <w:rFonts w:ascii="Arial" w:cs="Arial" w:eastAsia="Arial" w:hAnsi="Arial"/>
          <w:sz w:val="16"/>
          <w:szCs w:val="16"/>
          <w:color w:val="auto"/>
        </w:rPr>
      </w:pPr>
      <w:r>
        <w:rPr>
          <w:rFonts w:ascii="Arial" w:cs="Arial" w:eastAsia="Arial" w:hAnsi="Arial"/>
          <w:sz w:val="16"/>
          <w:szCs w:val="16"/>
          <w:color w:val="auto"/>
        </w:rPr>
        <w:t>capital expenditures; (27) 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 (36) corporate governance and compliance; (37) product commercialization; (38) intellectual property;</w:t>
      </w:r>
    </w:p>
    <w:p>
      <w:pPr>
        <w:spacing w:after="0" w:line="2" w:lineRule="exact"/>
        <w:rPr>
          <w:rFonts w:ascii="Arial" w:cs="Arial" w:eastAsia="Arial" w:hAnsi="Arial"/>
          <w:sz w:val="16"/>
          <w:szCs w:val="16"/>
          <w:color w:val="auto"/>
        </w:rPr>
      </w:pPr>
    </w:p>
    <w:p>
      <w:pPr>
        <w:ind w:left="540" w:hanging="336"/>
        <w:spacing w:after="0"/>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personnel matters; (40) progress of internal research or clinical programs; (41) progress of partnered programs; (42) partner satisfaction;</w:t>
      </w:r>
    </w:p>
    <w:p>
      <w:pPr>
        <w:spacing w:after="0" w:line="20" w:lineRule="exact"/>
        <w:rPr>
          <w:rFonts w:ascii="Arial" w:cs="Arial" w:eastAsia="Arial" w:hAnsi="Arial"/>
          <w:sz w:val="17"/>
          <w:szCs w:val="17"/>
          <w:color w:val="auto"/>
        </w:rPr>
      </w:pPr>
    </w:p>
    <w:p>
      <w:pPr>
        <w:ind w:left="200" w:right="160" w:firstLine="4"/>
        <w:spacing w:after="0" w:line="281" w:lineRule="auto"/>
        <w:tabs>
          <w:tab w:leader="none" w:pos="545" w:val="left"/>
        </w:tabs>
        <w:numPr>
          <w:ilvl w:val="0"/>
          <w:numId w:val="96"/>
        </w:numPr>
        <w:rPr>
          <w:rFonts w:ascii="Arial" w:cs="Arial" w:eastAsia="Arial" w:hAnsi="Arial"/>
          <w:sz w:val="16"/>
          <w:szCs w:val="16"/>
          <w:color w:val="auto"/>
        </w:rPr>
      </w:pPr>
      <w:r>
        <w:rPr>
          <w:rFonts w:ascii="Arial" w:cs="Arial" w:eastAsia="Arial" w:hAnsi="Arial"/>
          <w:sz w:val="16"/>
          <w:szCs w:val="16"/>
          <w:color w:val="auto"/>
        </w:rPr>
        <w:t>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w:t>
      </w:r>
    </w:p>
    <w:p>
      <w:pPr>
        <w:spacing w:after="0" w:line="6" w:lineRule="exact"/>
        <w:rPr>
          <w:rFonts w:ascii="Arial" w:cs="Arial" w:eastAsia="Arial" w:hAnsi="Arial"/>
          <w:sz w:val="16"/>
          <w:szCs w:val="16"/>
          <w:color w:val="auto"/>
        </w:rPr>
      </w:pPr>
    </w:p>
    <w:p>
      <w:pPr>
        <w:ind w:left="200" w:right="120" w:firstLine="4"/>
        <w:spacing w:after="0" w:line="261" w:lineRule="auto"/>
        <w:tabs>
          <w:tab w:leader="none" w:pos="5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co-development, co-marketing, profit sharing, joint venture or other similar arrangements; and (58) other measures of performance selected by our board.</w:t>
      </w:r>
    </w:p>
    <w:p>
      <w:pPr>
        <w:spacing w:after="0" w:line="18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will appropriately make adjustments in the method of calculating the attainment of the performance goals as follows: (a) to exclude restructuring and/or other nonrecurring charges; (b) to exclude exchange rate effects; (c) to exclude the effects of changes to generally accepted accounting principles; (d) to exclude the effects of any</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w:t>
      </w:r>
    </w:p>
    <w:p>
      <w:pPr>
        <w:spacing w:after="0" w:line="5" w:lineRule="exact"/>
        <w:rPr>
          <w:sz w:val="20"/>
          <w:szCs w:val="20"/>
          <w:color w:val="auto"/>
        </w:rPr>
      </w:pPr>
    </w:p>
    <w:p>
      <w:pPr>
        <w:ind w:left="200" w:right="360" w:firstLine="4"/>
        <w:spacing w:after="0" w:line="255" w:lineRule="auto"/>
        <w:tabs>
          <w:tab w:leader="none" w:pos="4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w:t>
      </w:r>
    </w:p>
    <w:p>
      <w:pPr>
        <w:spacing w:after="0" w:line="190"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88"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2018 Plan provides that in the event of certain specified significant corporate transactions including: (1) a sale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or 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will take one of the following actions with respect to such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w:t>
      </w:r>
    </w:p>
    <w:p>
      <w:pPr>
        <w:spacing w:after="0" w:line="1" w:lineRule="exact"/>
        <w:rPr>
          <w:sz w:val="20"/>
          <w:szCs w:val="20"/>
          <w:color w:val="auto"/>
        </w:rPr>
      </w:pPr>
    </w:p>
    <w:p>
      <w:pPr>
        <w:ind w:left="200" w:firstLine="4"/>
        <w:spacing w:after="0" w:line="287" w:lineRule="auto"/>
        <w:tabs>
          <w:tab w:leader="none" w:pos="4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arrange for the lapse, in whole or in part, of any reacquisition or repurchase rights held by us; or (6) cancel or arrange for the cancellation of the stock award in exchange for a payment, in the form determined by the board, equal to the excess, if any, of the per share amount (or value of property per share) payable to holders of our common stock in connection with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common stock. The plan administrator is not obligated to treat all stock awards or portions of stock awards, even those that are of the same type, in the same manner.</w:t>
      </w:r>
    </w:p>
    <w:p>
      <w:pPr>
        <w:spacing w:after="0" w:line="17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In the event of a change in control, awards granted under the 2018 Plan will not receive automatic acceleration of vesting and/or exercisability, although this treatment may be provided for in an award agreement. Under the 2018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(iv) a majority of our Board becomes comprised of individuals whose nomination, appointment, or election was not approved by a majority of the Board members or their approved successors.</w:t>
      </w:r>
    </w:p>
    <w:p>
      <w:pPr>
        <w:spacing w:after="0" w:line="192"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2018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2018 Plan.</w:t>
      </w:r>
    </w:p>
    <w:p>
      <w:pPr>
        <w:spacing w:after="0" w:line="170"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2018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2018 Plan. No stock awards may be granted under our 2018 Plan while it is suspended or after it is terminated.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of directors adopted our 2018 Employee Stock Purchase Plan, or the ESPP, in July 2018, and our stockholders subsequently approved</w:t>
      </w:r>
    </w:p>
    <w:p>
      <w:pPr>
        <w:spacing w:after="0" w:line="46"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the ESPP in 2018. The ESPP will become effective immediately upon the execution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maximum aggregate number of shares of our common stock that may be issued pursuant to the exercise of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ESPP that are granted to our employees or to employees of any of our designated affiliates is 9,275,538 shares. Additionally, the number of shares of our common stock reserved for issuance under our ESPP will increase automatically each year, beginning on January 1, 2019, and continuing through and including January 1, 2028, by the lesser of (1) 1% of the total number of shares of our common stock outstanding on December 31 of the preceding calendar year, (2) 10,000,000 shares or (3) a lesser number of shares as determined by our board of directors. Shares subject to purchase rights granted under our ESPP that terminate without having been exercised in full will not reduce the number of shares available for issuance under our ESPP.</w:t>
      </w:r>
    </w:p>
    <w:p>
      <w:pPr>
        <w:spacing w:after="0" w:line="165"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duly authorized committee thereof, will administer our ESPP. Our board of directors has delegated</w:t>
      </w:r>
      <w:r>
        <w:rPr>
          <w:rFonts w:ascii="Arial" w:cs="Arial" w:eastAsia="Arial" w:hAnsi="Arial"/>
          <w:sz w:val="16"/>
          <w:szCs w:val="16"/>
          <w:i w:val="1"/>
          <w:iCs w:val="1"/>
          <w:color w:val="auto"/>
        </w:rPr>
        <w:t xml:space="preserve"> </w:t>
      </w:r>
      <w:r>
        <w:rPr>
          <w:rFonts w:ascii="Arial" w:cs="Arial" w:eastAsia="Arial" w:hAnsi="Arial"/>
          <w:sz w:val="16"/>
          <w:szCs w:val="16"/>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6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will commence upon the execution and delivery of the underwriting agreement relating to this offering, the fair market value on the first day of the initial offering will be the price at which shares are first sold to the public.</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Our employees, including executive officers, or any of our designated affiliates may have to satisfy one or more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 (2) 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6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an offering.</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w:t>
      </w:r>
    </w:p>
    <w:p>
      <w:pPr>
        <w:spacing w:after="0" w:line="35" w:lineRule="exact"/>
        <w:rPr>
          <w:sz w:val="20"/>
          <w:szCs w:val="20"/>
          <w:color w:val="auto"/>
        </w:rPr>
      </w:pPr>
    </w:p>
    <w:p>
      <w:pPr>
        <w:ind w:left="200" w:right="80" w:firstLine="4"/>
        <w:spacing w:after="0" w:line="269" w:lineRule="auto"/>
        <w:tabs>
          <w:tab w:leader="none" w:pos="4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 after such purchase.</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board of directors adopted the 2008 Stock Plan in April 2008, and it was approved by our stockholders in February 2009.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amended the 2008 Stock Plan, with the most recent amendment occurring in March 2017, the purpose of which was to increase the number of shares available for issuance under the 2008 Stock Plan. No further awards will be made under the 2008 Stock Plan following this offering; however, awards outstanding under the 2008 Stock Plan will continue in full effect in accordance with their existing terms.</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June 30, 2018, we have reserved 96,701,158 shares of our common stock for issuance under the 2008 Stock Plan.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options to purchase 52,224,031 shares of common stock,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exercise prices ranging from $0.015 to $0.54 per share, or a weighted-average exercise price of $0.23 per share, were outstanding under the 2008 Stock Plan, and 867,474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until the expiration date of the 2008 Stock Plan, as described above.</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the 2008 Stock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the 2008 Stock Plan. The administrator has complete discretion to make all decisions relating to the 2008 Stock Plan and the outstanding awards, including the authority to accept the cancellation of outstanding options (whether granted by us or another issuer) in return for the grant of new options for the same or a different number of shares and at the same or a different exercise price</w:t>
      </w:r>
    </w:p>
    <w:p>
      <w:pPr>
        <w:spacing w:after="0" w:line="188"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non-employee members of our board of directors and consultants are eligible to participate in the 2008 Stock Plan.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only employees are eligible to receive incentive stock options.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Options expire at the time determined by the administrator, but in no event more than 10 years after they are granted, and generally expire earlier if the optionee’s service terminates.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shares acquired under the 2008 Stock Plan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of merger or consolidation, which agreement need not treat all options in an identical manner. Such agreement will provide for one or more of the following with respect to outstanding options:</w:t>
      </w:r>
    </w:p>
    <w:p>
      <w:pPr>
        <w:spacing w:after="0" w:line="87" w:lineRule="exact"/>
        <w:rPr>
          <w:sz w:val="20"/>
          <w:szCs w:val="20"/>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1060" w:right="2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 may be subject to vesting based on the optionee’s continuing service, generally in accordance with the original vesting schedule applicable to the option.</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Changes in Capitalization</w:t>
      </w:r>
      <w:r>
        <w:rPr>
          <w:rFonts w:ascii="Arial" w:cs="Arial" w:eastAsia="Arial" w:hAnsi="Arial"/>
          <w:sz w:val="16"/>
          <w:szCs w:val="16"/>
          <w:color w:val="auto"/>
        </w:rPr>
        <w:t>. In the event of certain specified changes in the capital structure of our common stock, such as a stock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administrator may at any time amend, suspend or terminate the 2008 Stock Plan, subject to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certain amendments. The 2008 Stock Plan will terminate upon the closing of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We maintain a 401(k) plan for employees. The 401(k) is intended to be qualified under Section 401(k) of the Code (as defined below), with the related trust intended to be tax exempt under Section 501(a) of the Code. As a tax-qualified retirement plan, contributions to the 401(k) plan by eligible U.S. employees or by us, and the investment earnings thereon, are not taxable to the employees until withdrawn, and so that contributions by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company contributions to the 401(k) plan to date.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All our named executive officers are eligible to participate in our employee benefit plans, including our medical, dental and vision insurance plan, in each case on the same basis as all of our other employees.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executive officers and directors for monetary damages to the fullest extent permitted by Delaware law. Delaware law provides that directors of a corporation will not be personally liable for monetary damages for any breach of fiduciary duties as directors, except liability:</w:t>
      </w:r>
    </w:p>
    <w:p>
      <w:pPr>
        <w:spacing w:after="0" w:line="71" w:lineRule="exact"/>
        <w:rPr>
          <w:sz w:val="20"/>
          <w:szCs w:val="20"/>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executive officers and directors to the fullest extent permitted by Delaware law. Our amended and restated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60"/>
          </w:cols>
          <w:pgMar w:left="24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description of transactions since January 1, 2015 to which we have been a party in which the amount involved exceeded</w:t>
      </w:r>
    </w:p>
    <w:p>
      <w:pPr>
        <w:spacing w:after="0" w:line="2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$120,000 and in which any of our executive officers, directors, promoters, or beneficial holders of more than 5% of our capital stock had or will have a direct or indirect material interest, other than compensation arrangements which are described in “Management—Non-Employee Director Compensation” and “Executive Compensation.”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April and June 2015, we issued and sold an aggregate of 23,685,652 shares of Series 6 preferred stock at a purchase price of $0.92 per share for an aggregate purchase price of $21,674,741.</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summarizes purchases of shares of Series 6 preferred stock by our executive officers, directors and holders of more than 5% of our capital stock.</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p>
        </w:tc>
        <w:tc>
          <w:tcPr>
            <w:tcW w:w="92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1"/>
        </w:trPr>
        <w:tc>
          <w:tcPr>
            <w:tcW w:w="8700" w:type="dxa"/>
            <w:vAlign w:val="bottom"/>
            <w:gridSpan w:val="4"/>
            <w:vMerge w:val="continue"/>
          </w:tcPr>
          <w:p>
            <w:pPr>
              <w:spacing w:after="0"/>
              <w:rPr>
                <w:sz w:val="16"/>
                <w:szCs w:val="16"/>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Redline</w:t>
            </w:r>
          </w:p>
        </w:tc>
        <w:tc>
          <w:tcPr>
            <w:tcW w:w="8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Capital Management S.A.</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14,206,097</w:t>
            </w:r>
          </w:p>
        </w:tc>
        <w:tc>
          <w:tcPr>
            <w:tcW w:w="3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$ 12,999,999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1,907,262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1,745,335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Montreux IV Associates,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466,882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427,244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16,902,817</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$ 15,467,768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Hinckley is a member of our board of directors.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7 Preferred Stock</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June and July 2016, we issued and sold an aggregate of 36,711,701 shares of Series 7 preferred stock at a purchase price of $0.56 per share for an aggregate purchase price of $20,463,102. In February and March 2017, we issued and sold an aggregate of 9,735,767 shares of Series 7 preferred stock at a purchase price of $0.56 per share for an aggregate purchase price of $5,426,717.</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by our executive officers, directors, and holders of more than 5% of our capital stock.</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Shares of Series 7 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4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620" w:type="dxa"/>
            <w:vAlign w:val="bottom"/>
            <w:gridSpan w:val="3"/>
          </w:tcPr>
          <w:p>
            <w:pPr>
              <w:ind w:left="580"/>
              <w:spacing w:after="0" w:line="119" w:lineRule="exact"/>
              <w:rPr>
                <w:sz w:val="20"/>
                <w:szCs w:val="20"/>
                <w:color w:val="auto"/>
              </w:rPr>
            </w:pPr>
            <w:r>
              <w:rPr>
                <w:rFonts w:ascii="Arial" w:cs="Arial" w:eastAsia="Arial" w:hAnsi="Arial"/>
                <w:sz w:val="13"/>
                <w:szCs w:val="13"/>
                <w:b w:val="1"/>
                <w:bCs w:val="1"/>
                <w:color w:val="auto"/>
                <w:w w:val="96"/>
              </w:rPr>
              <w:t>Aggregate 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gridSpan w:val="3"/>
            <w:vMerge w:val="continue"/>
          </w:tcPr>
          <w:p>
            <w:pPr>
              <w:spacing w:after="0"/>
              <w:rPr>
                <w:sz w:val="14"/>
                <w:szCs w:val="14"/>
                <w:color w:val="auto"/>
              </w:rPr>
            </w:pPr>
          </w:p>
        </w:tc>
        <w:tc>
          <w:tcPr>
            <w:tcW w:w="48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1"/>
              </w:rPr>
              <w:t>Arboretum</w:t>
            </w:r>
          </w:p>
        </w:tc>
        <w:tc>
          <w:tcPr>
            <w:tcW w:w="39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Ventures IV, LP</w:t>
            </w:r>
            <w:r>
              <w:rPr>
                <w:rFonts w:ascii="Arial" w:cs="Arial" w:eastAsia="Arial" w:hAnsi="Arial"/>
                <w:sz w:val="15"/>
                <w:szCs w:val="15"/>
                <w:color w:val="auto"/>
              </w:rPr>
              <w:t>(1)</w:t>
            </w:r>
          </w:p>
        </w:tc>
        <w:tc>
          <w:tcPr>
            <w:tcW w:w="3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7,176,175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(3)</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3,588,087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(4)</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3,229,278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1,973,448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807,319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(6)</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179,404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43,864,367</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700" w:type="dxa"/>
            <w:vAlign w:val="bottom"/>
            <w:vMerge w:val="restart"/>
          </w:tcPr>
          <w:p>
            <w:pPr>
              <w:jc w:val="right"/>
              <w:ind w:right="2512"/>
              <w:spacing w:after="0"/>
              <w:rPr>
                <w:sz w:val="20"/>
                <w:szCs w:val="20"/>
                <w:color w:val="auto"/>
              </w:rPr>
            </w:pPr>
            <w:r>
              <w:rPr>
                <w:rFonts w:ascii="Arial" w:cs="Arial" w:eastAsia="Arial" w:hAnsi="Arial"/>
                <w:sz w:val="18"/>
                <w:szCs w:val="18"/>
                <w:color w:val="auto"/>
              </w:rPr>
              <w:t>149</w:t>
            </w: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9"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(a) 493,362 shares of Series 7 preferred stock held by Montreux Equity Partners IV, L.P. and (b) 3,094,725 shares of Series 7 preferred stock held by Montreux IV Associates IV, L.L.C.</w:t>
      </w:r>
    </w:p>
    <w:p>
      <w:pPr>
        <w:ind w:left="640" w:hanging="43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640" w:hanging="43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In March 2013, we loaned Daniel P. Murray, our then current Chief Financial Officer, $200,000 in connection with the exercise of options to purchase 2,737,921 shares of our common stock, or the Murray Purchased Shares. The loan was evidenced by a full recourse promissory note, accrued interest on the outstanding principal amount at the rate of 1.09% per annum and was secured by a pledge of the Murray Purchased Shares and</w:t>
      </w:r>
    </w:p>
    <w:p>
      <w:pPr>
        <w:ind w:left="200" w:right="100"/>
        <w:spacing w:after="0" w:line="323" w:lineRule="auto"/>
        <w:rPr>
          <w:sz w:val="20"/>
          <w:szCs w:val="20"/>
          <w:color w:val="auto"/>
        </w:rPr>
      </w:pPr>
      <w:r>
        <w:rPr>
          <w:rFonts w:ascii="Arial" w:cs="Arial" w:eastAsia="Arial" w:hAnsi="Arial"/>
          <w:sz w:val="16"/>
          <w:szCs w:val="16"/>
          <w:color w:val="auto"/>
        </w:rPr>
        <w:t>Mr. Murray’s personal assets. In November 2016, the loan amount was partially repaid in the amount of $116,000 (including principal of $113,000 and interest of $3,000). The remainder of the principal balance of this loan, together with all interest accrued, was fully paid in December 2017.</w:t>
      </w:r>
    </w:p>
    <w:p>
      <w:pPr>
        <w:spacing w:after="0" w:line="13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February 2014, we loaned Jeffrey W. Dunn, $437,000 in connection with the exercise of options to purchase 3,133,983 shares of our common stock, or the 2014 Exercised Options, and Mr. Dunn’s personal assets. The loan was evidenced by a full recourse promissory note, accrued interest on the outstanding principal amount at the rate of 1.97% per annum and was secured by a pledge of the 2014 Exercised Options. On March 1, 2017, we forgave $231,914 (including principal of $218,500 and interest of $13,414) of this loan. As of December 31, 2017, the outstanding balance of this loan was $231,914, including principal of $219,500, which was forgiven on January 1, 2018.</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“Description of Capital Stock—Registration Rights.”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entered into offer letters and severance and change in control agreements with our executive officers. For more information regarding these arranges, see “Executive Compensation—Employment Arrangements.”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granted stock options to our executive officers and members of our board of directors. For a description of these stock options, see “Executive Compensation” and “Management—Non-Employee Director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60"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which will be effective upon the closing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closing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2018, and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6"/>
          <w:szCs w:val="16"/>
          <w:color w:val="auto"/>
        </w:rPr>
        <w:t>Applicable percentage ownership is based on 283,935,693 shares of common stock outstanding at June 30, 2018, after giving effect to the conversion of all outstanding shares of preferred stock as of that date into an aggregate of 217,201,525 shares of our common stock and the reclassification of all outstanding shares of series 1 common stock and series 2 common stock into an aggregate of 66,734,168 shares of our common stock, which will occur immediately prior to the closing of this offering. For purposes of computing percentage ownership after this offering, we have</w:t>
      </w:r>
    </w:p>
    <w:p>
      <w:pPr>
        <w:spacing w:after="0" w:line="2" w:lineRule="exact"/>
        <w:rPr>
          <w:sz w:val="20"/>
          <w:szCs w:val="20"/>
          <w:color w:val="auto"/>
        </w:rPr>
      </w:pPr>
    </w:p>
    <w:p>
      <w:pPr>
        <w:ind w:left="200" w:right="80"/>
        <w:spacing w:after="0" w:line="265" w:lineRule="auto"/>
        <w:rPr>
          <w:sz w:val="20"/>
          <w:szCs w:val="20"/>
          <w:color w:val="auto"/>
        </w:rPr>
      </w:pPr>
      <w:r>
        <w:rPr>
          <w:rFonts w:ascii="Arial" w:cs="Arial" w:eastAsia="Arial" w:hAnsi="Arial"/>
          <w:sz w:val="17"/>
          <w:szCs w:val="17"/>
          <w:color w:val="auto"/>
        </w:rPr>
        <w:t>assumed that (i) shares of common stock will be issued by us in this offering; (ii) shares of common stock will be issued upon the automatic net exercise of outstanding warrants, with an exercise price of $0.51 per share, immediately prior to the closing of this offering, assuming an</w:t>
      </w:r>
    </w:p>
    <w:p>
      <w:pPr>
        <w:ind w:left="200"/>
        <w:spacing w:after="0" w:line="265" w:lineRule="auto"/>
        <w:rPr>
          <w:sz w:val="20"/>
          <w:szCs w:val="20"/>
          <w:color w:val="auto"/>
        </w:rPr>
      </w:pPr>
      <w:r>
        <w:rPr>
          <w:rFonts w:ascii="Arial" w:cs="Arial" w:eastAsia="Arial" w:hAnsi="Arial"/>
          <w:sz w:val="17"/>
          <w:szCs w:val="17"/>
          <w:color w:val="auto"/>
        </w:rPr>
        <w:t>initial public offering price of $ per share, which is the midpoint of the price range set forth on the cover page of this prospectus; and (iii) that the underwriters will not exercise their right to purchase additional shares. In computing the number of shares of common stock beneficially</w:t>
      </w:r>
    </w:p>
    <w:p>
      <w:pPr>
        <w:ind w:left="200"/>
        <w:spacing w:after="0" w:line="295" w:lineRule="auto"/>
        <w:rPr>
          <w:sz w:val="20"/>
          <w:szCs w:val="20"/>
          <w:color w:val="auto"/>
        </w:rPr>
      </w:pPr>
      <w:r>
        <w:rPr>
          <w:rFonts w:ascii="Arial" w:cs="Arial" w:eastAsia="Arial" w:hAnsi="Arial"/>
          <w:sz w:val="16"/>
          <w:szCs w:val="16"/>
          <w:color w:val="auto"/>
        </w:rPr>
        <w:t>owned by a person and the percentage ownership of that person, we deemed to be outstanding all shares of common stock subject to stock options and warrants held by that person or entity that are currently exercisable or that will become exercisable within 60 days of June 30, 2018. We did not deem these shares outstanding; however, for the purpose of computing the percentage ownership of any other person or entity. Unless otherwise indicated, the address of each beneficial owner listed in the table below is c/o SI-BONE, Inc., 471 El Camino Real, Suite 101, Santa Clara, California 95050.</w:t>
      </w:r>
    </w:p>
    <w:p>
      <w:pPr>
        <w:spacing w:after="0" w:line="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60"/>
          </w:cols>
          <w:pgMar w:left="24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Shares Beneficially</w:t>
            </w:r>
          </w:p>
        </w:tc>
        <w:tc>
          <w:tcPr>
            <w:tcW w:w="14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8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0" w:type="dxa"/>
            <w:vAlign w:val="bottom"/>
          </w:tcPr>
          <w:p>
            <w:pPr>
              <w:spacing w:after="0"/>
              <w:rPr>
                <w:sz w:val="1"/>
                <w:szCs w:val="1"/>
                <w:color w:val="auto"/>
              </w:rPr>
            </w:pPr>
          </w:p>
        </w:tc>
      </w:tr>
      <w:tr>
        <w:trPr>
          <w:trHeight w:val="171"/>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tcBorders>
              <w:bottom w:val="single" w:sz="8" w:color="auto"/>
            </w:tcBorders>
            <w:gridSpan w:val="2"/>
          </w:tcPr>
          <w:p>
            <w:pPr>
              <w:jc w:val="center"/>
              <w:ind w:left="273"/>
              <w:spacing w:after="0"/>
              <w:rPr>
                <w:sz w:val="20"/>
                <w:szCs w:val="20"/>
                <w:color w:val="auto"/>
              </w:rPr>
            </w:pPr>
            <w:r>
              <w:rPr>
                <w:rFonts w:ascii="Arial" w:cs="Arial" w:eastAsia="Arial" w:hAnsi="Arial"/>
                <w:sz w:val="14"/>
                <w:szCs w:val="14"/>
                <w:b w:val="1"/>
                <w:bCs w:val="1"/>
                <w:color w:val="auto"/>
                <w:w w:val="93"/>
              </w:rPr>
              <w:t>this Offering</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3"/>
              </w:rPr>
              <w:t>this Offering</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gridSpan w:val="3"/>
            <w:vMerge w:val="continue"/>
          </w:tcPr>
          <w:p>
            <w:pPr>
              <w:spacing w:after="0"/>
              <w:rPr>
                <w:sz w:val="12"/>
                <w:szCs w:val="12"/>
                <w:color w:val="auto"/>
              </w:rPr>
            </w:pPr>
          </w:p>
        </w:tc>
        <w:tc>
          <w:tcPr>
            <w:tcW w:w="138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1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106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14,136,651</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712,862</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20,962,164</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Francis</w:t>
            </w:r>
            <w:r>
              <w:rPr>
                <w:rFonts w:ascii="Arial" w:cs="Arial" w:eastAsia="Arial" w:hAnsi="Arial"/>
                <w:sz w:val="15"/>
                <w:szCs w:val="15"/>
                <w:color w:val="auto"/>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4,518,768</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74,140,054</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26.0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2,095,146</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385,349</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Anthony J. Recupero</w:t>
            </w:r>
            <w:r>
              <w:rPr>
                <w:rFonts w:ascii="Arial" w:cs="Arial" w:eastAsia="Arial" w:hAnsi="Arial"/>
                <w:sz w:val="15"/>
                <w:szCs w:val="15"/>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3,231,628</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9,767,280</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564,753</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15"/>
                <w:szCs w:val="15"/>
                <w:color w:val="auto"/>
              </w:rPr>
              <w:t>(12)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165,197,039</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53.0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5% Stockholders: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74,140,054</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36,704,062</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17,014,520</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(17)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14,136,651</w:t>
            </w:r>
          </w:p>
        </w:tc>
        <w:tc>
          <w:tcPr>
            <w:tcW w:w="3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shares of common stock held by OrbiMed Private Investments V, LP. (“OPI V”). OrbiMed Capital GP V LLC (“GP V”) is the general</w:t>
      </w:r>
    </w:p>
    <w:p>
      <w:pPr>
        <w:spacing w:after="0" w:line="32" w:lineRule="exact"/>
        <w:rPr>
          <w:sz w:val="20"/>
          <w:szCs w:val="20"/>
          <w:color w:val="auto"/>
        </w:rPr>
      </w:pPr>
    </w:p>
    <w:p>
      <w:pPr>
        <w:ind w:left="640" w:right="60"/>
        <w:spacing w:after="0" w:line="281" w:lineRule="auto"/>
        <w:rPr>
          <w:sz w:val="20"/>
          <w:szCs w:val="20"/>
          <w:color w:val="auto"/>
        </w:rPr>
      </w:pPr>
      <w:r>
        <w:rPr>
          <w:rFonts w:ascii="Arial" w:cs="Arial" w:eastAsia="Arial" w:hAnsi="Arial"/>
          <w:sz w:val="16"/>
          <w:szCs w:val="16"/>
          <w:color w:val="auto"/>
        </w:rPr>
        <w:t>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 OrbiMed Advisors. Each of GP V, OrbiMed Advisors,</w:t>
      </w:r>
    </w:p>
    <w:p>
      <w:pPr>
        <w:spacing w:after="0" w:line="2" w:lineRule="exact"/>
        <w:rPr>
          <w:sz w:val="20"/>
          <w:szCs w:val="20"/>
          <w:color w:val="auto"/>
        </w:rPr>
      </w:pPr>
    </w:p>
    <w:p>
      <w:pPr>
        <w:ind w:left="640" w:right="160"/>
        <w:spacing w:after="0" w:line="250" w:lineRule="auto"/>
        <w:rPr>
          <w:sz w:val="20"/>
          <w:szCs w:val="20"/>
          <w:color w:val="auto"/>
        </w:rPr>
      </w:pPr>
      <w:r>
        <w:rPr>
          <w:rFonts w:ascii="Arial" w:cs="Arial" w:eastAsia="Arial" w:hAnsi="Arial"/>
          <w:sz w:val="18"/>
          <w:szCs w:val="18"/>
          <w:color w:val="auto"/>
        </w:rPr>
        <w:t>Mr. Gordon, Mr. Borho, Mr. Silverstein, and Dr. Bonita disclaims beneficial ownership of such shares, except to the extent of its or his pecuniary interest therein, if any.</w:t>
      </w:r>
    </w:p>
    <w:p>
      <w:pPr>
        <w:spacing w:after="0" w:line="1" w:lineRule="exact"/>
        <w:rPr>
          <w:sz w:val="20"/>
          <w:szCs w:val="20"/>
          <w:color w:val="auto"/>
        </w:rPr>
      </w:pPr>
    </w:p>
    <w:p>
      <w:pPr>
        <w:ind w:left="640" w:right="100" w:hanging="436"/>
        <w:spacing w:after="0" w:line="250"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597,163 shares of common stock issuable to Mr. Davis pursuant to options exercisable within 60 days of June 30, 2018, of which 99,533 of the shares would be unvested as of such date.</w:t>
      </w:r>
    </w:p>
    <w:p>
      <w:pPr>
        <w:ind w:left="640" w:right="280" w:hanging="436"/>
        <w:spacing w:after="0" w:line="250"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9,885,734 shares of common stock held by Jeffrey W. Dunn as Trustee of the Jeffrey W. Dunn Living Trust Dated May 17, 2012 and (ii) 11,076,430 shares of common stock issuable to Mr. Dunn pursuant to options exercisable within 60 days of June 30, 2018, of which 3,004,137 of the shares would be unvested as of such date.</w:t>
      </w:r>
    </w:p>
    <w:p>
      <w:pPr>
        <w:spacing w:after="0" w:line="1" w:lineRule="exact"/>
        <w:rPr>
          <w:rFonts w:ascii="Arial" w:cs="Arial" w:eastAsia="Arial" w:hAnsi="Arial"/>
          <w:sz w:val="18"/>
          <w:szCs w:val="18"/>
          <w:color w:val="auto"/>
        </w:rPr>
      </w:pPr>
    </w:p>
    <w:p>
      <w:pPr>
        <w:ind w:left="640" w:right="180" w:hanging="436"/>
        <w:spacing w:after="0" w:line="250"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4,518,768 shares of common stock issuable to Ms. Francis pursuant to options exercisable within 60 days of June 30, 2018, of which 1,360,040 of the shares would be unvested as of such date.</w:t>
      </w:r>
    </w:p>
    <w:p>
      <w:pPr>
        <w:ind w:left="640" w:right="20" w:hanging="436"/>
        <w:spacing w:after="0" w:line="265"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Consists of (i) 73,430,465 shares of common stock held by Skyline Venture Partners V, L.P. (“SVP V”) and (ii) 709,589 shares of common stock issuable to SVP V upon the deemed conversion of shares of our preferred stock, which are issuable upon the exercise of warrants, as reflected in footnote 13 below.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w:t>
      </w:r>
    </w:p>
    <w:p>
      <w:pPr>
        <w:spacing w:after="0" w:line="1" w:lineRule="exact"/>
        <w:rPr>
          <w:rFonts w:ascii="Arial" w:cs="Arial" w:eastAsia="Arial" w:hAnsi="Arial"/>
          <w:sz w:val="17"/>
          <w:szCs w:val="17"/>
          <w:color w:val="auto"/>
        </w:rPr>
      </w:pPr>
    </w:p>
    <w:p>
      <w:pPr>
        <w:ind w:left="640" w:right="300" w:hanging="436"/>
        <w:spacing w:after="0" w:line="261"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734,277 shares of common stock held by Mr. Hinckley and (ii) 1,360,869 shares of common stock held by Gregory K. Hinckley and Mary C. Hinckley as Community Property with the Right of Survivorship.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hanging="436"/>
        <w:spacing w:after="0" w:line="258"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385,349 shares of common stock issuable to Ms. Licitra pursuant to options exercisable within 60 days of June 30, 2018, of which 134,952 of the shares would be unvested as of such date.</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shares of common stock held by Arboretum Ventures IV, LP (“AV IV”). Arboretum Investment Manager IV, LLC (“AIM IV”) serves as the general partner of AV IV. Jan Garfinkle, Timothy B. Petersen, a member of our board of directors, and Paul McCreadie are managing directors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2"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3,231,628 shares of common stock issuable to Mr. Recupero pursuant to options exercisable within 60 days of June 30, 2018, of which 1,831,697 of the shares would be unvested as of such date.</w:t>
      </w:r>
    </w:p>
    <w:p>
      <w:pPr>
        <w:ind w:left="640" w:hanging="436"/>
        <w:spacing w:after="0" w:line="250"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6,752,176 shares of common stock held by Dr. Reiley, (ii) 350,000 shares of common stock held by The Mark and Muriel Reiley Charitable Remainder Unitrust and (iii) 2,665,104 shares of common stock issuable to Dr. Reiley pursuant to options exercisable within 60 days of June 30, 2018, of which 420,523 of the shares would be unvested as of such date.</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of 385,349 shares of common stock issuable to Mr. Valentine pursuant to options exercisable within 60 days of June 30, 2018, of which 134,952 of the shares would be unvested as of such date.</w:t>
      </w:r>
    </w:p>
    <w:p>
      <w:pPr>
        <w:ind w:left="640" w:right="200" w:hanging="436"/>
        <w:spacing w:after="0" w:line="265" w:lineRule="auto"/>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(i) 133,855,931 shares of common stock beneficially owned by the directors and named executive officers, (ii) 3,716,606 shares of common stock beneficially owned by other executive officers, (iii) 26,914,913 shares issuable pursuant to options exercisable within 60 days of June 30, 2018, of which 8,213,697 of the shares would be unvested as of such date and (iv) 709,589 shares of common stock issuable upon the deemed conversion of shares of our preferred stock, which are issuable upon the exercise of warrants.</w:t>
      </w:r>
    </w:p>
    <w:p>
      <w:pPr>
        <w:ind w:left="640" w:right="20" w:hanging="436"/>
        <w:spacing w:after="0" w:line="250"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73,430,465 shares of common stock held by Skyline Venture Partners V, L.P. (“SVP V”) and (ii) 709,589 shares of common stock issuable to SVP V upon the deemed conversion of shares of our preferred stock, which are issuable upon the exercise of warrants.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 The address of each of the entities and individual listed above is 525 University Avenue, Suite 1350, Palo Alto, California 94301.</w:t>
      </w:r>
    </w:p>
    <w:p>
      <w:pPr>
        <w:spacing w:after="0" w:line="3"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30,983,354 shares of common stock held by Montreux Equity Partners IV, L.P. (“MEP IV”), (ii) 278,933 shares of common stock issuable to MEP IV upon the deemed conversion of shares of our preferred stock, which are issuable upon the exercise of warrants, (iii) 3,094,725 shares of common stock held by Montreux IV Associates IV, L.L.C. (“Associates IV”), and (iv) 2,347,050 shares of common stock held by Montreux IV Associates, L.L.C. (“Associates”). Daniel K. Turner III is the Managing Director of Montreux Equity Management IV, L.L.C., the general partner of each of MEP IV, Associates IV and Associates, and may be deemed to have voting and investment power over the shares held by each of these entities. Mr. Turner disclaims beneficial ownership of such shares, except to the extent of his proportionate pecuniary interest, if any. The address of the principal place of business of each of the entities and individuals listed above is One Ferry Building, Suite 255, San Francisco, California 94111.</w:t>
      </w:r>
    </w:p>
    <w:p>
      <w:pPr>
        <w:spacing w:after="0" w:line="3" w:lineRule="exact"/>
        <w:rPr>
          <w:rFonts w:ascii="Arial" w:cs="Arial" w:eastAsia="Arial" w:hAnsi="Arial"/>
          <w:sz w:val="18"/>
          <w:szCs w:val="18"/>
          <w:color w:val="auto"/>
        </w:rPr>
      </w:pPr>
    </w:p>
    <w:p>
      <w:pPr>
        <w:ind w:left="640" w:right="80" w:hanging="436"/>
        <w:spacing w:after="0" w:line="252"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Arboretum Investment Manager IV, LLC (“AIM IV”) serves as the general partner of Arboretum Ventures IV, LP (“AV IV”). Jan Garfinkle, Timothy B. Petersen, a member of our board of directors, and Paul McCreadie are managing directors of AIM IV and share the power to vote or dispose of these shares and therefore each of the foregoing managing members may be deemed to have voting and investment power with respect to such shares. Each of these individuals disclaims beneficial ownership of such shares except to the extent of their respective proportionate pecuniary interest therein. The address of the principal place of business of each of the entities and individuals listed above is 303 Detroit Street, Suite 301, Ann Arbor, Michigan 48104.</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84"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Shares held by Redline Capital Management S.A. (“Redline”), acting for the account of Redline Capital Fund – Universal Investments, a sub-fund of Redline Capital Fund FCP-FIS. Tatiana Evtushenkova and Sabine Teske are managing directors of Redline. Ms. Evtushenkova, Robert Kocharyan, Robert Kenedi and Stefan Justinger are members of the Board of Directors of Redline and may be deemed to have voting and investment power over the shares held by Redline. Ms. Evtushenkova, Ms. Teske, Mr. Kocharyan, Mr. Kenedy and Mr. Justinger disclaim beneficial ownership of these shares except to the extent of their respective proportionate pecuniary interest therein, if any. The address of the principal place of business of each of Redline and individuals listed above is 26 Avenue Monterey, L-2163 Luxemborg, G.D. Luxemborg.</w:t>
      </w:r>
    </w:p>
    <w:p>
      <w:pPr>
        <w:spacing w:after="0" w:line="4" w:lineRule="exact"/>
        <w:rPr>
          <w:rFonts w:ascii="Arial" w:cs="Arial" w:eastAsia="Arial" w:hAnsi="Arial"/>
          <w:sz w:val="16"/>
          <w:szCs w:val="16"/>
          <w:color w:val="auto"/>
        </w:rPr>
      </w:pPr>
    </w:p>
    <w:p>
      <w:pPr>
        <w:ind w:left="640" w:right="20" w:hanging="436"/>
        <w:spacing w:after="0" w:line="270" w:lineRule="auto"/>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OrbiMed Capital GP V LLC (“GP V”) is the general 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 OrbiMed Advisors. Each of GP V, OrbiMed Advisors, Mr. Gordon, Mr. Borho, Mr. Silverstein, and Dr. Bonita disclaims beneficial ownership of such shares, except to the extent of its or his pecuniary interest therein, if any. The address of the principal place of business of each of the entities and individuals listed above is 601 Lexington Avenue, 54</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closing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Upon the closing of this offering, our authorized capital stock will consist of 105,000,000 shares, all with a par value of $0.0001 per share, of which:</w:t>
      </w:r>
    </w:p>
    <w:p>
      <w:pPr>
        <w:spacing w:after="0" w:line="76" w:lineRule="exact"/>
        <w:rPr>
          <w:sz w:val="20"/>
          <w:szCs w:val="20"/>
          <w:color w:val="auto"/>
        </w:rPr>
      </w:pPr>
    </w:p>
    <w:p>
      <w:pPr>
        <w:ind w:left="1060" w:hanging="424"/>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100,000,000 shares are designated common stock;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5,000,000 shares are designated preferred stock.</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As of June 30, 2018, and after giving effect to the conversion of all of our outstanding preferred stock into 217,201,525 shares of common stock immediately prior to the closing of this offering, there were outstanding:</w:t>
      </w:r>
    </w:p>
    <w:p>
      <w:pPr>
        <w:spacing w:after="0" w:line="76" w:lineRule="exact"/>
        <w:rPr>
          <w:sz w:val="20"/>
          <w:szCs w:val="20"/>
          <w:color w:val="auto"/>
        </w:rPr>
      </w:pPr>
    </w:p>
    <w:p>
      <w:pPr>
        <w:ind w:left="1060" w:hanging="424"/>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283,935,693 shares of common stock held of record by 422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52,224,031 shares of common stock issuable upon exercise of outstanding stock options;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5,129,891 shares of common stock, as converted, issuable upon exercise of outstanding warrants.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closing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Upon the closing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June 30, 2018, we had options to purchase 52,224,031 shares of common stock outstanding, with a weighted-average exercise price of $0.23 per share, under the 2008 Stock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regarding the terms of the 2008 Stock Plan, see “Executive Compensation—Equity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 of June 30, 2018, we had outstanding warrants to purchase up to an aggregate of 5,055,906 shares of common stock and preferred stock with a weighted-average exercise price of $0.48 per share. Immediately prior to the closing of this offering, warrants to purchase up to an aggregate of 988,522 shares will be deemed to be net exercised. Upon the closing of this offering, the balance of the warrants will become exercisable for up to an aggregate of 4,141,369 shares of our common stock with a weighted-average exercise price of $0.48 per share.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As of June 30, 2018, we had outstanding warrants to purchase up to an aggregate of 2,237,918 shares of our common stock with a weighted-average exercise price of $0.22. Unless earlier exercised, these warrants will expire between July 2023 and March 2027.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1,384,326 shares of our Series 5 preferred stock with an exercise price of $0.51. Immediately prior to the closing of this offering, outstanding warrants to purchase 988,522 shares will be deemed to be net exercised. Upon the closing of this offering, the remaining warrant will become exercisable for 395,804 shares of our common stock with an exercise price of $0.51 per share and, unless exercised earlier, will expire in July 2023.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1,258,818 shares of our Series 6 preferred stock with an exercise price of $0.92 per share. Upon the closing of this offering, these warrants will become exercisable for up to an aggregate of 1,332,803 shares of our common stock with an exercise price of $0.92 per share. Unless earlier exercised, these warrants will expire between November 2024 and November 2025.</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As of June 30, 2018, we had outstanding warrants to purchase up to an aggregate of 174,844 shares of our Series 7 preferred stock with an exercise price of $0.56 per share. Upon the closing of this offering, these warrants will become exercisable for up to an aggregate of 174,844 shares of our common stock with an exercise price of $0.56 per share. Unless earlier exercised, these warrants will expire in November 2026.</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warrants contain provisions for the adjustment of the exercise price and the number of shares issuable upon the exercise of the applicable warrant in the event of certain stock dividends, stock splits, reorganizations, reclassifications, and consolidations.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After this offering, the holders of 217,201,525 shares of common stock issued upon the conversion of our preferred stock will be entitled to contractual rights to require us to register those shares under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closing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June 2021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At any time after we are qualified to file a registration statement on Form S-3, and subject to limitations and conditions specified in the amended and restated investors’ rights agreement, the holders of at least 5,000,000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92" w:lineRule="exact"/>
        <w:rPr>
          <w:sz w:val="20"/>
          <w:szCs w:val="20"/>
          <w:color w:val="auto"/>
        </w:rPr>
      </w:pPr>
    </w:p>
    <w:p>
      <w:pPr>
        <w:jc w:val="center"/>
        <w:ind w:right="88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Upon the closing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4"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 or</w:t>
      </w:r>
    </w:p>
    <w:p>
      <w:pPr>
        <w:spacing w:after="0" w:line="153" w:lineRule="exact"/>
        <w:rPr>
          <w:rFonts w:ascii="Arial" w:cs="Arial" w:eastAsia="Arial" w:hAnsi="Arial"/>
          <w:sz w:val="16"/>
          <w:szCs w:val="16"/>
          <w:color w:val="auto"/>
        </w:rPr>
      </w:pPr>
    </w:p>
    <w:p>
      <w:pPr>
        <w:ind w:left="1060" w:right="220" w:hanging="424"/>
        <w:spacing w:after="0" w:line="264"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Upon the closing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7" w:lineRule="exact"/>
        <w:rPr>
          <w:sz w:val="20"/>
          <w:szCs w:val="20"/>
          <w:color w:val="auto"/>
        </w:rPr>
      </w:pPr>
    </w:p>
    <w:p>
      <w:pPr>
        <w:ind w:left="1060" w:right="100" w:hanging="424"/>
        <w:spacing w:after="0" w:line="25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amended and restated certificate of incorporation and amended and restated bylaws will provide that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be classified into three classes of directors, each of whom will hold office for a three-year term. In addition, directors may only</w:t>
      </w:r>
    </w:p>
    <w:p>
      <w:pPr>
        <w:ind w:left="1060" w:right="80"/>
        <w:spacing w:after="0" w:line="255" w:lineRule="auto"/>
        <w:rPr>
          <w:sz w:val="20"/>
          <w:szCs w:val="20"/>
          <w:color w:val="auto"/>
        </w:rPr>
      </w:pPr>
      <w:r>
        <w:rPr>
          <w:rFonts w:ascii="Arial" w:cs="Arial" w:eastAsia="Arial" w:hAnsi="Arial"/>
          <w:sz w:val="18"/>
          <w:szCs w:val="18"/>
          <w:color w:val="auto"/>
        </w:rPr>
        <w:t>be removed from the board of directors for cause and only by the approval of %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96" w:lineRule="exact"/>
        <w:rPr>
          <w:sz w:val="20"/>
          <w:szCs w:val="20"/>
          <w:color w:val="auto"/>
        </w:rPr>
      </w:pPr>
    </w:p>
    <w:p>
      <w:pPr>
        <w:ind w:left="1060" w:right="220" w:hanging="424"/>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able to take action by written consent, and will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71" w:lineRule="exact"/>
        <w:rPr>
          <w:sz w:val="20"/>
          <w:szCs w:val="20"/>
          <w:color w:val="auto"/>
        </w:rPr>
      </w:pPr>
    </w:p>
    <w:p>
      <w:pPr>
        <w:ind w:left="1060" w:right="40" w:hanging="424"/>
        <w:spacing w:after="0" w:line="276" w:lineRule="auto"/>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77" w:lineRule="exact"/>
        <w:rPr>
          <w:rFonts w:ascii="Arial" w:cs="Arial" w:eastAsia="Arial" w:hAnsi="Arial"/>
          <w:sz w:val="17"/>
          <w:szCs w:val="17"/>
          <w:color w:val="auto"/>
        </w:rPr>
      </w:pPr>
    </w:p>
    <w:p>
      <w:pPr>
        <w:ind w:left="1060" w:right="20" w:hanging="424"/>
        <w:spacing w:after="0" w:line="30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the closing of this offering, our amended and restated certificate of incorporation will provide that the Court of Chancery of the State of Delaware will be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closing of this offering the transfer agent and registrar for our common stock will be American Stock Transfer &amp; Trust Company, LLC.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agent’s address is 6201 15th Avenue, Brooklyn, New York 11219, and the telephone number is (800) 937-5449.</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Before this offering, there has not been a public market for shares of common stock. Future sales of substantial amounts of shares of our common stock, including shares issuable upon the exercise of outstanding options and warrants, in the public market following this offering or the possibility of these sales occurring, could cause the prevailing market price for our common stock to fall or impair our ability to raise equity capital in the future.</w:t>
      </w:r>
    </w:p>
    <w:p>
      <w:pPr>
        <w:spacing w:after="0" w:line="147" w:lineRule="exact"/>
        <w:rPr>
          <w:sz w:val="20"/>
          <w:szCs w:val="20"/>
          <w:color w:val="auto"/>
        </w:rPr>
      </w:pPr>
    </w:p>
    <w:p>
      <w:pPr>
        <w:ind w:left="200" w:right="60" w:firstLine="441"/>
        <w:spacing w:after="0" w:line="274" w:lineRule="auto"/>
        <w:rPr>
          <w:sz w:val="20"/>
          <w:szCs w:val="20"/>
          <w:color w:val="auto"/>
        </w:rPr>
      </w:pPr>
      <w:r>
        <w:rPr>
          <w:rFonts w:ascii="Arial" w:cs="Arial" w:eastAsia="Arial" w:hAnsi="Arial"/>
          <w:sz w:val="17"/>
          <w:szCs w:val="17"/>
          <w:color w:val="auto"/>
        </w:rPr>
        <w:t>Following this offering, we will have outstanding shares of our common stock, based on the number of shares outstanding as of June 30, 2018. This includes shares of common stock that we are selling in this offering, which shares may be resold in the public market immediately</w:t>
      </w:r>
    </w:p>
    <w:p>
      <w:pPr>
        <w:ind w:left="200" w:right="460"/>
        <w:spacing w:after="0" w:line="261" w:lineRule="auto"/>
        <w:rPr>
          <w:sz w:val="20"/>
          <w:szCs w:val="20"/>
          <w:color w:val="auto"/>
        </w:rPr>
      </w:pPr>
      <w:r>
        <w:rPr>
          <w:rFonts w:ascii="Arial" w:cs="Arial" w:eastAsia="Arial" w:hAnsi="Arial"/>
          <w:sz w:val="18"/>
          <w:szCs w:val="18"/>
          <w:color w:val="auto"/>
        </w:rPr>
        <w:t>unless purchased by our affiliates, and assumes no additional exercise of outstanding options or warrants, other than as described elsewhere in this prospectus.</w:t>
      </w:r>
    </w:p>
    <w:p>
      <w:pPr>
        <w:spacing w:after="0" w:line="184"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remaining shares of common stock that are not sold in this offering will be “restricted securities,” as that term is defined in Rule 144 under the Securities Act of 1933.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the shares will generally become available for sale in the public market as follows:</w:t>
      </w:r>
    </w:p>
    <w:p>
      <w:pPr>
        <w:sectPr>
          <w:pgSz w:w="11900" w:h="16838" w:orient="portrait"/>
          <w:cols w:equalWidth="0" w:num="1">
            <w:col w:w="11200"/>
          </w:cols>
          <w:pgMar w:left="240" w:top="459" w:right="459" w:bottom="1440" w:gutter="0" w:footer="0" w:header="0"/>
        </w:sectPr>
      </w:pPr>
    </w:p>
    <w:p>
      <w:pPr>
        <w:spacing w:after="0" w:line="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beginning on the date of this prospectus, the unless purchased by our affiliates; and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shares sold in this offering will be immediately available for sale in the public market,</w:t>
      </w:r>
    </w:p>
    <w:p>
      <w:pPr>
        <w:spacing w:after="0" w:line="369" w:lineRule="exact"/>
        <w:rPr>
          <w:sz w:val="20"/>
          <w:szCs w:val="20"/>
          <w:color w:val="auto"/>
        </w:rPr>
      </w:pPr>
    </w:p>
    <w:p>
      <w:pPr>
        <w:sectPr>
          <w:pgSz w:w="11900" w:h="16838" w:orient="portrait"/>
          <w:cols w:equalWidth="0" w:num="3">
            <w:col w:w="700" w:space="360"/>
            <w:col w:w="3180" w:space="720"/>
            <w:col w:w="6240"/>
          </w:cols>
          <w:pgMar w:left="240" w:top="459" w:right="45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beginning 181 days after the date of this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additional shares will become eligible for sale in the public market.</w:t>
      </w:r>
    </w:p>
    <w:p>
      <w:pPr>
        <w:spacing w:after="0" w:line="211" w:lineRule="exact"/>
        <w:rPr>
          <w:sz w:val="20"/>
          <w:szCs w:val="20"/>
          <w:color w:val="auto"/>
        </w:rPr>
      </w:pPr>
    </w:p>
    <w:p>
      <w:pPr>
        <w:sectPr>
          <w:pgSz w:w="11900" w:h="16838" w:orient="portrait"/>
          <w:cols w:equalWidth="0" w:num="3">
            <w:col w:w="700" w:space="360"/>
            <w:col w:w="3760" w:space="720"/>
            <w:col w:w="5660"/>
          </w:cols>
          <w:pgMar w:left="240" w:top="459" w:right="459" w:bottom="1440" w:gutter="0" w:footer="0" w:header="0"/>
          <w:type w:val="continuous"/>
        </w:sectPr>
      </w:pP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7" w:lineRule="exact"/>
        <w:rPr>
          <w:sz w:val="20"/>
          <w:szCs w:val="20"/>
          <w:color w:val="auto"/>
        </w:rPr>
      </w:pPr>
    </w:p>
    <w:p>
      <w:pPr>
        <w:ind w:left="1060" w:right="260" w:hanging="419"/>
        <w:spacing w:after="0" w:line="264" w:lineRule="auto"/>
        <w:tabs>
          <w:tab w:leader="none" w:pos="1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shares immediately after this offering assuming no exercise of the underwriters’ option to purchase additional shares, based on the number of common shares outstanding as of June 30, 2018; or</w:t>
      </w:r>
    </w:p>
    <w:p>
      <w:pPr>
        <w:spacing w:after="0" w:line="87" w:lineRule="exact"/>
        <w:rPr>
          <w:sz w:val="20"/>
          <w:szCs w:val="20"/>
          <w:color w:val="auto"/>
        </w:rPr>
      </w:pPr>
    </w:p>
    <w:p>
      <w:pPr>
        <w:ind w:left="1060" w:right="8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59" w:right="45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w:t>
      </w:r>
    </w:p>
    <w:p>
      <w:pPr>
        <w:spacing w:after="0" w:line="2" w:lineRule="exact"/>
        <w:rPr>
          <w:sz w:val="20"/>
          <w:szCs w:val="20"/>
          <w:color w:val="auto"/>
        </w:rPr>
      </w:pPr>
    </w:p>
    <w:p>
      <w:pPr>
        <w:ind w:left="200" w:right="580" w:firstLine="4"/>
        <w:spacing w:after="0" w:line="261" w:lineRule="auto"/>
        <w:tabs>
          <w:tab w:leader="none" w:pos="5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Rule 701 shares are, however, subject to lock-up agreements and will only become eligible for sale upon the expiration of these lock-up agreements.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connection with this offering, we and all directors and officers and the holders of substantially all of our outstanding capital stock, warrants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6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Upon the closing of this offering, the holders of 217,201,525 shares of common stock will be entitled to rights with respect to the registration of the sale of such shares of common stock under the Securities Act. See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closing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ind w:left="200" w:right="500" w:firstLine="441"/>
        <w:spacing w:after="0" w:line="282"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258" w:lineRule="auto"/>
        <w:rPr>
          <w:sz w:val="20"/>
          <w:szCs w:val="20"/>
          <w:color w:val="auto"/>
        </w:rPr>
      </w:pPr>
      <w:r>
        <w:rPr>
          <w:rFonts w:ascii="Arial" w:cs="Arial" w:eastAsia="Arial" w:hAnsi="Arial"/>
          <w:sz w:val="18"/>
          <w:szCs w:val="18"/>
          <w:b w:val="1"/>
          <w:bCs w:val="1"/>
          <w:color w:val="auto"/>
        </w:rPr>
        <w:t>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60" w:right="100" w:hanging="424"/>
        <w:spacing w:after="0" w:line="264"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business (and are attributable to such holder’s permanent establishment in the United States if required by an applicable tax treaty),</w:t>
      </w:r>
    </w:p>
    <w:p>
      <w:pPr>
        <w:spacing w:after="0" w:line="23"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the non-U.S. holder will be exempt from U.S. federal withholding tax. To claim the exemption, the non-U.S. holder must generally furnish a valid IRS Form W-8ECI (or applicable successor form) to the applicable withholding agent.</w:t>
      </w:r>
    </w:p>
    <w:p>
      <w:pPr>
        <w:spacing w:after="0" w:line="18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60" w:right="640" w:hanging="424"/>
        <w:spacing w:after="0" w:line="342" w:lineRule="auto"/>
        <w:tabs>
          <w:tab w:leader="none" w:pos="10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180" w:hanging="424"/>
        <w:spacing w:after="0" w:line="259"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w:t>
      </w:r>
    </w:p>
    <w:p>
      <w:pPr>
        <w:ind w:left="200" w:right="180"/>
        <w:spacing w:after="0" w:line="254" w:lineRule="auto"/>
        <w:rPr>
          <w:sz w:val="20"/>
          <w:szCs w:val="20"/>
          <w:color w:val="auto"/>
        </w:rPr>
      </w:pPr>
      <w:r>
        <w:rPr>
          <w:rFonts w:ascii="Arial" w:cs="Arial" w:eastAsia="Arial" w:hAnsi="Arial"/>
          <w:sz w:val="18"/>
          <w:szCs w:val="18"/>
          <w:color w:val="auto"/>
        </w:rPr>
        <w:t>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182"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87"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2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2260" w:type="dxa"/>
            <w:vAlign w:val="bottom"/>
            <w:vMerge w:val="continue"/>
          </w:tcPr>
          <w:p>
            <w:pPr>
              <w:spacing w:after="0"/>
              <w:rPr>
                <w:sz w:val="15"/>
                <w:szCs w:val="15"/>
                <w:color w:val="auto"/>
              </w:rPr>
            </w:pPr>
          </w:p>
        </w:tc>
        <w:tc>
          <w:tcPr>
            <w:tcW w:w="2560" w:type="dxa"/>
            <w:vAlign w:val="bottom"/>
          </w:tcPr>
          <w:p>
            <w:pPr>
              <w:jc w:val="center"/>
              <w:ind w:left="1828"/>
              <w:spacing w:after="0"/>
              <w:rPr>
                <w:sz w:val="20"/>
                <w:szCs w:val="20"/>
                <w:color w:val="auto"/>
              </w:rPr>
            </w:pPr>
            <w:r>
              <w:rPr>
                <w:rFonts w:ascii="Arial" w:cs="Arial" w:eastAsia="Arial" w:hAnsi="Arial"/>
                <w:sz w:val="14"/>
                <w:szCs w:val="14"/>
                <w:b w:val="1"/>
                <w:bCs w:val="1"/>
                <w:u w:val="single" w:color="auto"/>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5715</wp:posOffset>
            </wp:positionV>
            <wp:extent cx="4286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48275" cy="163195"/>
                    </a:xfrm>
                    <a:prstGeom prst="rect">
                      <a:avLst/>
                    </a:prstGeom>
                    <a:noFill/>
                  </pic:spPr>
                </pic:pic>
              </a:graphicData>
            </a:graphic>
          </wp:anchor>
        </w:drawing>
      </w:r>
    </w:p>
    <w:p>
      <w:pPr>
        <w:spacing w:after="0" w:line="25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 a share under the public offering price. After the initial public offering of the shares of common stock, the offering price and other selling terms may from time to time be varied by the representatives.</w:t>
      </w:r>
    </w:p>
    <w:p>
      <w:pPr>
        <w:spacing w:after="0" w:line="19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128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46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246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80" w:type="dxa"/>
            <w:vAlign w:val="bottom"/>
            <w:gridSpan w:val="5"/>
          </w:tcPr>
          <w:p>
            <w:pPr>
              <w:ind w:left="42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340" w:type="dxa"/>
            <w:vAlign w:val="bottom"/>
            <w:gridSpan w:val="3"/>
          </w:tcPr>
          <w:p>
            <w:pPr>
              <w:ind w:left="400"/>
              <w:spacing w:after="0"/>
              <w:rPr>
                <w:sz w:val="20"/>
                <w:szCs w:val="20"/>
                <w:color w:val="auto"/>
              </w:rPr>
            </w:pPr>
            <w:r>
              <w:rPr>
                <w:rFonts w:ascii="Arial" w:cs="Arial" w:eastAsia="Arial" w:hAnsi="Arial"/>
                <w:sz w:val="18"/>
                <w:szCs w:val="18"/>
                <w:color w:val="auto"/>
              </w:rPr>
              <w:t>million. We</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7"/>
          <w:szCs w:val="17"/>
          <w:color w:val="auto"/>
        </w:rPr>
        <w:t>have agreed to reimburse the underwriters for expense relating to clearance of this offering with the Financial Industry Regulatory Authority up to</w:t>
      </w:r>
    </w:p>
    <w:p>
      <w:pPr>
        <w:spacing w:after="0" w:line="21" w:lineRule="exact"/>
        <w:rPr>
          <w:sz w:val="20"/>
          <w:szCs w:val="20"/>
          <w:color w:val="auto"/>
        </w:rPr>
      </w:pPr>
    </w:p>
    <w:p>
      <w:pPr>
        <w:ind w:left="840" w:hanging="636"/>
        <w:spacing w:after="0"/>
        <w:tabs>
          <w:tab w:leader="none" w:pos="8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capital stock, warrants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20" w:hanging="424"/>
        <w:spacing w:after="0" w:line="264"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200" w:hanging="424"/>
        <w:spacing w:after="0" w:line="302" w:lineRule="auto"/>
        <w:tabs>
          <w:tab w:leader="none" w:pos="10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 (i) and (ii), no filing under Section 16(a) of the Exchange Act is required or voluntarily made during the restricted period in connection with subsequent sales of common stock or other securities acquired in such open market transactions or in this offering;</w:t>
      </w:r>
    </w:p>
    <w:p>
      <w:pPr>
        <w:spacing w:after="0" w:line="59" w:lineRule="exact"/>
        <w:rPr>
          <w:rFonts w:ascii="Arial" w:cs="Arial" w:eastAsia="Arial" w:hAnsi="Arial"/>
          <w:sz w:val="16"/>
          <w:szCs w:val="16"/>
          <w:color w:val="auto"/>
        </w:rPr>
      </w:pPr>
    </w:p>
    <w:p>
      <w:pPr>
        <w:ind w:left="1060" w:right="20" w:hanging="424"/>
        <w:spacing w:after="0" w:line="254"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97" w:lineRule="exact"/>
        <w:rPr>
          <w:rFonts w:ascii="Arial" w:cs="Arial" w:eastAsia="Arial" w:hAnsi="Arial"/>
          <w:sz w:val="18"/>
          <w:szCs w:val="18"/>
          <w:color w:val="auto"/>
        </w:rPr>
      </w:pPr>
    </w:p>
    <w:p>
      <w:pPr>
        <w:ind w:left="1060" w:hanging="424"/>
        <w:spacing w:after="0" w:line="279" w:lineRule="auto"/>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5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3" w:lineRule="exact"/>
        <w:rPr>
          <w:rFonts w:ascii="Arial" w:cs="Arial" w:eastAsia="Arial" w:hAnsi="Arial"/>
          <w:sz w:val="18"/>
          <w:szCs w:val="18"/>
          <w:color w:val="auto"/>
        </w:rPr>
      </w:pPr>
    </w:p>
    <w:p>
      <w:pPr>
        <w:ind w:left="1060" w:right="20" w:hanging="424"/>
        <w:spacing w:after="0" w:line="276" w:lineRule="auto"/>
        <w:tabs>
          <w:tab w:leader="none" w:pos="10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77" w:lineRule="exact"/>
        <w:rPr>
          <w:rFonts w:ascii="Arial" w:cs="Arial" w:eastAsia="Arial" w:hAnsi="Arial"/>
          <w:sz w:val="17"/>
          <w:szCs w:val="17"/>
          <w:color w:val="auto"/>
        </w:rPr>
      </w:pPr>
    </w:p>
    <w:p>
      <w:pPr>
        <w:ind w:left="1060" w:right="40" w:hanging="424"/>
        <w:spacing w:after="0" w:line="268" w:lineRule="auto"/>
        <w:tabs>
          <w:tab w:leader="none" w:pos="10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90" w:lineRule="exact"/>
        <w:rPr>
          <w:rFonts w:ascii="Arial" w:cs="Arial" w:eastAsia="Arial" w:hAnsi="Arial"/>
          <w:sz w:val="17"/>
          <w:szCs w:val="17"/>
          <w:color w:val="auto"/>
        </w:rPr>
      </w:pPr>
    </w:p>
    <w:p>
      <w:pPr>
        <w:ind w:left="1060" w:right="100" w:hanging="424"/>
        <w:spacing w:after="0" w:line="255"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98" w:lineRule="exact"/>
        <w:rPr>
          <w:rFonts w:ascii="Arial" w:cs="Arial" w:eastAsia="Arial" w:hAnsi="Arial"/>
          <w:sz w:val="18"/>
          <w:szCs w:val="18"/>
          <w:color w:val="auto"/>
        </w:rPr>
      </w:pPr>
    </w:p>
    <w:p>
      <w:pPr>
        <w:ind w:left="1060" w:right="240" w:hanging="424"/>
        <w:spacing w:after="0" w:line="286" w:lineRule="auto"/>
        <w:tabs>
          <w:tab w:leader="none" w:pos="10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w:t>
      </w:r>
    </w:p>
    <w:p>
      <w:pPr>
        <w:spacing w:after="0" w:line="1"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(iii) the transferor does not otherwise voluntarily effect any other public filing or report regarding such transfers during the restricted period;</w:t>
      </w:r>
    </w:p>
    <w:p>
      <w:pPr>
        <w:spacing w:after="0" w:line="139" w:lineRule="exact"/>
        <w:rPr>
          <w:rFonts w:ascii="Arial" w:cs="Arial" w:eastAsia="Arial" w:hAnsi="Arial"/>
          <w:sz w:val="16"/>
          <w:szCs w:val="16"/>
          <w:color w:val="auto"/>
        </w:rPr>
      </w:pPr>
    </w:p>
    <w:p>
      <w:pPr>
        <w:ind w:left="1060" w:right="44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results from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7" w:lineRule="exact"/>
        <w:rPr>
          <w:sz w:val="20"/>
          <w:szCs w:val="20"/>
          <w:color w:val="auto"/>
        </w:rPr>
      </w:pPr>
    </w:p>
    <w:p>
      <w:pPr>
        <w:ind w:left="1060" w:hanging="42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299"/>
        <w:spacing w:after="0" w:line="259"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80" w:hanging="310"/>
        <w:spacing w:after="0" w:line="277"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jc w:val="both"/>
        <w:ind w:left="200" w:right="320" w:firstLine="44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36"/>
        <w:spacing w:after="0"/>
        <w:tabs>
          <w:tab w:leader="none" w:pos="4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200" w:firstLine="4"/>
        <w:spacing w:after="0" w:line="252" w:lineRule="auto"/>
        <w:tabs>
          <w:tab w:leader="none" w:pos="4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1060" w:right="140" w:hanging="299"/>
        <w:spacing w:after="0" w:line="308" w:lineRule="auto"/>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120" w:hanging="310"/>
        <w:spacing w:after="0" w:line="277" w:lineRule="auto"/>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7" w:lineRule="exact"/>
        <w:rPr>
          <w:sz w:val="20"/>
          <w:szCs w:val="20"/>
          <w:color w:val="auto"/>
        </w:rPr>
      </w:pPr>
    </w:p>
    <w:p>
      <w:pPr>
        <w:ind w:left="1060" w:right="60" w:hanging="299"/>
        <w:spacing w:after="0" w:line="277" w:lineRule="auto"/>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299"/>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80" w:hanging="4819"/>
        <w:spacing w:after="0" w:line="449" w:lineRule="auto"/>
        <w:tabs>
          <w:tab w:leader="none" w:pos="10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174</w:t>
      </w:r>
    </w:p>
    <w:p>
      <w:pPr>
        <w:sectPr>
          <w:pgSz w:w="11900" w:h="16838" w:orient="portrait"/>
          <w:cols w:equalWidth="0" w:num="1">
            <w:col w:w="11140"/>
          </w:cols>
          <w:pgMar w:left="240" w:top="460"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Cooley LLP, Palo Alto, California. Latham &amp; Watkins LLP, New York, New York is representing the underwriters in this offering.</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consolidated financial statements as of December 31, 2016 and December 31, 2017 and for each of the years then ended included in this prospectus have been so included in reliance on the report (which contains an explanatory paragraph relating to our ability to continue as a going concern as described in Note 2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have submitted with the Securities and Exchange Commission, or SEC,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Upon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7"/>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44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Consolidated Balance Sheets</w:t>
              </w:r>
            </w:hyperlink>
          </w:p>
        </w:tc>
        <w:tc>
          <w:tcPr>
            <w:tcW w:w="8560" w:type="dxa"/>
            <w:vAlign w:val="bottom"/>
            <w:gridSpan w:val="6"/>
          </w:tcPr>
          <w:p>
            <w:pPr>
              <w:spacing w:after="0"/>
              <w:rPr>
                <w:sz w:val="16"/>
                <w:szCs w:val="16"/>
                <w:color w:val="auto"/>
              </w:rPr>
            </w:pPr>
          </w:p>
        </w:tc>
        <w:tc>
          <w:tcPr>
            <w:tcW w:w="320" w:type="dxa"/>
            <w:vAlign w:val="bottom"/>
          </w:tcPr>
          <w:p>
            <w:pPr>
              <w:ind w:left="60"/>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Changes in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Cash Flows</w:t>
              </w:r>
            </w:hyperlink>
          </w:p>
        </w:tc>
        <w:tc>
          <w:tcPr>
            <w:tcW w:w="4840" w:type="dxa"/>
            <w:vAlign w:val="bottom"/>
            <w:tcBorders>
              <w:top w:val="single" w:sz="8" w:color="0000EE"/>
            </w:tcBorders>
            <w:gridSpan w:val="4"/>
          </w:tcPr>
          <w:p>
            <w:pPr>
              <w:spacing w:after="0"/>
              <w:rPr>
                <w:sz w:val="17"/>
                <w:szCs w:val="17"/>
                <w:color w:val="auto"/>
              </w:rPr>
            </w:pPr>
          </w:p>
        </w:tc>
        <w:tc>
          <w:tcPr>
            <w:tcW w:w="29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SI-BONE,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SI-BONE, Inc. and its subsidiaries as of December 31, 2017 and 2016, and the related consolidated statements of operations and comprehensive loss,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determined there is risk of future non-compliance with its debt covenants that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31,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6"/>
                <w:szCs w:val="6"/>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0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27,900</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22,408</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ind w:left="280"/>
              <w:spacing w:after="0" w:line="130" w:lineRule="exact"/>
              <w:rPr>
                <w:sz w:val="20"/>
                <w:szCs w:val="20"/>
                <w:color w:val="auto"/>
              </w:rPr>
            </w:pPr>
            <w:r>
              <w:rPr>
                <w:rFonts w:ascii="Arial" w:cs="Arial" w:eastAsia="Arial" w:hAnsi="Arial"/>
                <w:sz w:val="14"/>
                <w:szCs w:val="14"/>
                <w:color w:val="auto"/>
              </w:rPr>
              <w:t>Accounts receivable, net of allowance for doubtful accounts of $316, $268 and $263 (unaudited) at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420"/>
              <w:spacing w:after="0"/>
              <w:rPr>
                <w:sz w:val="20"/>
                <w:szCs w:val="20"/>
                <w:color w:val="auto"/>
              </w:rPr>
            </w:pPr>
            <w:r>
              <w:rPr>
                <w:rFonts w:ascii="Arial" w:cs="Arial" w:eastAsia="Arial" w:hAnsi="Arial"/>
                <w:sz w:val="14"/>
                <w:szCs w:val="14"/>
                <w:color w:val="auto"/>
              </w:rPr>
              <w:t>December 31, 2016 and 2017 and June 30, 2018, respectively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5,951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7,416</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7,254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1,252</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33,629</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27,322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2,211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39,436</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35,834</w:t>
            </w:r>
          </w:p>
        </w:tc>
        <w:tc>
          <w:tcPr>
            <w:tcW w:w="3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color w:val="auto"/>
              </w:rPr>
              <w:t>LIABILITIES, REDEEMABLE CONVERTIBLE PREFERRED STOCK AND STOCKHOLDERS’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120"/>
              <w:spacing w:after="0"/>
              <w:rPr>
                <w:sz w:val="20"/>
                <w:szCs w:val="20"/>
                <w:color w:val="auto"/>
              </w:rPr>
            </w:pPr>
            <w:r>
              <w:rPr>
                <w:rFonts w:ascii="Arial" w:cs="Arial" w:eastAsia="Arial" w:hAnsi="Arial"/>
                <w:sz w:val="14"/>
                <w:szCs w:val="14"/>
                <w:color w:val="auto"/>
              </w:rPr>
              <w:t>DEFICIT (EQUITY)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30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1,814</w:t>
            </w:r>
          </w:p>
        </w:tc>
        <w:tc>
          <w:tcPr>
            <w:tcW w:w="300" w:type="dxa"/>
            <w:vAlign w:val="bottom"/>
          </w:tcPr>
          <w:p>
            <w:pPr>
              <w:spacing w:after="0"/>
              <w:rPr>
                <w:sz w:val="12"/>
                <w:szCs w:val="12"/>
                <w:color w:val="auto"/>
              </w:rPr>
            </w:pP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 and other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Short term borrowings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8,236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13,386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7,538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Redeemable convertible preferred stock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 term borrowings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38,704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ind w:left="280"/>
              <w:spacing w:after="0" w:line="149" w:lineRule="exact"/>
              <w:rPr>
                <w:sz w:val="20"/>
                <w:szCs w:val="20"/>
                <w:color w:val="auto"/>
              </w:rPr>
            </w:pPr>
            <w:r>
              <w:rPr>
                <w:rFonts w:ascii="Arial" w:cs="Arial" w:eastAsia="Arial" w:hAnsi="Arial"/>
                <w:sz w:val="14"/>
                <w:szCs w:val="14"/>
                <w:color w:val="auto"/>
              </w:rPr>
              <w:t>Other long-term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35,048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46,664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47,068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4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$0.0001 par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ind w:left="280"/>
              <w:spacing w:after="0" w:line="130" w:lineRule="exact"/>
              <w:rPr>
                <w:sz w:val="20"/>
                <w:szCs w:val="20"/>
                <w:color w:val="auto"/>
              </w:rPr>
            </w:pPr>
            <w:r>
              <w:rPr>
                <w:rFonts w:ascii="Arial" w:cs="Arial" w:eastAsia="Arial" w:hAnsi="Arial"/>
                <w:sz w:val="14"/>
                <w:szCs w:val="14"/>
                <w:color w:val="auto"/>
                <w:w w:val="99"/>
              </w:rPr>
              <w:t>Authorized: 207,953,835, 217,885,520 and 217,885,520 (unaudited) shares at December 31, 2016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2017 and June 30, 2018, respectively; issued and outstanding: 203,954,077, 213,689,844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213,689,844 (unaudited) shares at December 31, 2016 and 2017 and June 30, 2018, respectively;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(Liquidation preference of $113,767, $119,194 and $119,194 (unaudited) at December 31,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ind w:left="420"/>
              <w:spacing w:after="0"/>
              <w:rPr>
                <w:sz w:val="20"/>
                <w:szCs w:val="20"/>
                <w:color w:val="auto"/>
              </w:rPr>
            </w:pPr>
            <w:r>
              <w:rPr>
                <w:rFonts w:ascii="Arial" w:cs="Arial" w:eastAsia="Arial" w:hAnsi="Arial"/>
                <w:sz w:val="14"/>
                <w:szCs w:val="14"/>
                <w:color w:val="auto"/>
              </w:rPr>
              <w:t>and 2017 and June 30, 2018, respectively</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113,121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118,548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118,548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ind w:left="280"/>
              <w:spacing w:after="0" w:line="130" w:lineRule="exact"/>
              <w:rPr>
                <w:sz w:val="20"/>
                <w:szCs w:val="20"/>
                <w:color w:val="auto"/>
              </w:rPr>
            </w:pPr>
            <w:r>
              <w:rPr>
                <w:rFonts w:ascii="Arial" w:cs="Arial" w:eastAsia="Arial" w:hAnsi="Arial"/>
                <w:sz w:val="14"/>
                <w:szCs w:val="14"/>
                <w:color w:val="auto"/>
              </w:rPr>
              <w:t>Common stock, $0.0001 par value; Authorized: 338,000,000, 348,000,000 and 348,000,000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rPr>
              <w:t>(unaudited) shares at December 31, 2016 and 2017 and June 30, 2018, respectively; issued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4"/>
                <w:szCs w:val="14"/>
                <w:color w:val="auto"/>
                <w:w w:val="99"/>
              </w:rPr>
              <w:t>outstanding: 62,032,796, 64,859,561 and 66,734,168 (unaudited) shares, at December 31, 2016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420"/>
              <w:spacing w:after="0"/>
              <w:rPr>
                <w:sz w:val="20"/>
                <w:szCs w:val="20"/>
                <w:color w:val="auto"/>
              </w:rPr>
            </w:pPr>
            <w:r>
              <w:rPr>
                <w:rFonts w:ascii="Arial" w:cs="Arial" w:eastAsia="Arial" w:hAnsi="Arial"/>
                <w:sz w:val="14"/>
                <w:szCs w:val="14"/>
                <w:color w:val="auto"/>
              </w:rPr>
              <w:t>2017 and June 30, 2018, respectively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(116,685)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(139,724)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(147,072)</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STOCKHOLDERS’ DEFICIT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(108,733)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(129,378)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(135,703)</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20" w:type="dxa"/>
            <w:vAlign w:val="bottom"/>
          </w:tcPr>
          <w:p>
            <w:pPr>
              <w:ind w:left="560"/>
              <w:spacing w:after="0" w:line="137" w:lineRule="exact"/>
              <w:rPr>
                <w:sz w:val="20"/>
                <w:szCs w:val="20"/>
                <w:color w:val="auto"/>
              </w:rPr>
            </w:pPr>
            <w:r>
              <w:rPr>
                <w:rFonts w:ascii="Arial" w:cs="Arial" w:eastAsia="Arial" w:hAnsi="Arial"/>
                <w:sz w:val="14"/>
                <w:szCs w:val="14"/>
                <w:color w:val="auto"/>
              </w:rPr>
              <w:t>TOTAL LIABILITIES, REDEEMABLE CONVERTIBLE PREFERRED STOCK AND</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ind w:left="700"/>
              <w:spacing w:after="0"/>
              <w:rPr>
                <w:sz w:val="20"/>
                <w:szCs w:val="20"/>
                <w:color w:val="auto"/>
              </w:rPr>
            </w:pPr>
            <w:r>
              <w:rPr>
                <w:rFonts w:ascii="Arial" w:cs="Arial" w:eastAsia="Arial" w:hAnsi="Arial"/>
                <w:sz w:val="14"/>
                <w:szCs w:val="14"/>
                <w:color w:val="auto"/>
              </w:rPr>
              <w:t>STOCKHOLDERS’ DEFICIT (EQUITY)</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39,436</w:t>
            </w:r>
          </w:p>
        </w:tc>
        <w:tc>
          <w:tcPr>
            <w:tcW w:w="3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35,834</w:t>
            </w:r>
          </w:p>
        </w:tc>
        <w:tc>
          <w:tcPr>
            <w:tcW w:w="30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29,913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85"/>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center"/>
              <w:ind w:left="653"/>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42,101</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(6,204)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 foreign currency translation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 (Note 14)</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Weighted-average number of common shares used to compute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share (Note 14)</w:t>
            </w: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59,659,307</w:t>
            </w: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62,411,906</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62,024,861</w:t>
            </w: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64,862,952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(unaudited) (Note 14)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color w:val="auto"/>
        </w:rPr>
        <w:t>Pro forma weighted-average number of common shares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411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compute basic and diluted net loss per share (unaudited) (Note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5715</wp:posOffset>
            </wp:positionV>
            <wp:extent cx="5746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22860</wp:posOffset>
            </wp:positionV>
            <wp:extent cx="5746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5715</wp:posOffset>
            </wp:positionV>
            <wp:extent cx="5746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22860</wp:posOffset>
            </wp:positionV>
            <wp:extent cx="5746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Stockholders’</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Notes</w:t>
            </w: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4"/>
            <w:vMerge w:val="continue"/>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2015</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167,242,376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92,796</w:t>
            </w:r>
          </w:p>
        </w:tc>
        <w:tc>
          <w:tcPr>
            <w:tcW w:w="8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59,998,663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(96,096)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(90,197)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1,998,583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unvested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194,542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redeemable convertible</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net of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36,711,701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20,325</w:t>
            </w:r>
          </w:p>
        </w:tc>
        <w:tc>
          <w:tcPr>
            <w:tcW w:w="8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Repurchase of unvested early exercised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(153,992)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w w:val="98"/>
              </w:rPr>
              <w:t>Repayment of stockholders’ note receivable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(20,589)</w:t>
            </w:r>
          </w:p>
        </w:tc>
        <w:tc>
          <w:tcPr>
            <w:tcW w:w="0" w:type="dxa"/>
            <w:vAlign w:val="bottom"/>
          </w:tcPr>
          <w:p>
            <w:pPr>
              <w:spacing w:after="0"/>
              <w:rPr>
                <w:sz w:val="1"/>
                <w:szCs w:val="1"/>
                <w:color w:val="auto"/>
              </w:rPr>
            </w:pPr>
          </w:p>
        </w:tc>
      </w:tr>
      <w:tr>
        <w:trPr>
          <w:trHeight w:val="156"/>
        </w:trPr>
        <w:tc>
          <w:tcPr>
            <w:tcW w:w="2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203,954,077</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113,121</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62,032,796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7,994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(116,685)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2,749,136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unvested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77,629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Issuance of redeemable convertible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preferred stock, net of issuance costs</w:t>
            </w:r>
          </w:p>
        </w:tc>
        <w:tc>
          <w:tcPr>
            <w:tcW w:w="780" w:type="dxa"/>
            <w:vAlign w:val="bottom"/>
          </w:tcPr>
          <w:p>
            <w:pPr>
              <w:jc w:val="right"/>
              <w:spacing w:after="0"/>
              <w:rPr>
                <w:sz w:val="20"/>
                <w:szCs w:val="20"/>
                <w:color w:val="auto"/>
              </w:rPr>
            </w:pPr>
            <w:r>
              <w:rPr>
                <w:rFonts w:ascii="Arial" w:cs="Arial" w:eastAsia="Arial" w:hAnsi="Arial"/>
                <w:sz w:val="14"/>
                <w:szCs w:val="14"/>
                <w:color w:val="auto"/>
              </w:rPr>
              <w:t>9,735,767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5,427</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Repayment of stockholders’ notes receivable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w w:val="97"/>
              </w:rPr>
              <w:t>Forgiveness of stockholders’ note receivable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(23,039)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(23,039)</w:t>
            </w:r>
          </w:p>
        </w:tc>
        <w:tc>
          <w:tcPr>
            <w:tcW w:w="0" w:type="dxa"/>
            <w:vAlign w:val="bottom"/>
          </w:tcPr>
          <w:p>
            <w:pPr>
              <w:spacing w:after="0"/>
              <w:rPr>
                <w:sz w:val="1"/>
                <w:szCs w:val="1"/>
                <w:color w:val="auto"/>
              </w:rPr>
            </w:pPr>
          </w:p>
        </w:tc>
      </w:tr>
      <w:tr>
        <w:trPr>
          <w:trHeight w:val="156"/>
        </w:trPr>
        <w:tc>
          <w:tcPr>
            <w:tcW w:w="2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2017</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213,689,844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118,548</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64,859,561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(139,724)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871,622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exercise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unvested stock options (unaudited)</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1,002,985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00" w:type="dxa"/>
            <w:vAlign w:val="bottom"/>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4"/>
                <w:szCs w:val="14"/>
                <w:color w:val="auto"/>
              </w:rPr>
              <w:t>(unaudited)</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June 30, 2018 (unaudited)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213,689,844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118,548</w:t>
            </w:r>
          </w:p>
        </w:tc>
        <w:tc>
          <w:tcPr>
            <w:tcW w:w="80" w:type="dxa"/>
            <w:vAlign w:val="bottom"/>
            <w:tcBorders>
              <w:right w:val="single" w:sz="8" w:color="auto"/>
            </w:tcBorders>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66,734,168</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10,927</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(147,072)</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279"/>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(20,589)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(23,039)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(12,451)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(7,348)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allowance for doubtful accounts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fair value of redeemable convertible preferred stock warrants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Loss on write-off of property and equipment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debt discount</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Amortization of debt discount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public offering costs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Forgiveness of notes receivable</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0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Accrued liabilities and other</w:t>
            </w:r>
          </w:p>
        </w:tc>
        <w:tc>
          <w:tcPr>
            <w:tcW w:w="10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(16,753)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(17,530)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(5,673)</w:t>
            </w:r>
          </w:p>
        </w:tc>
        <w:tc>
          <w:tcPr>
            <w:tcW w:w="0" w:type="dxa"/>
            <w:vAlign w:val="bottom"/>
          </w:tcPr>
          <w:p>
            <w:pPr>
              <w:spacing w:after="0"/>
              <w:rPr>
                <w:sz w:val="1"/>
                <w:szCs w:val="1"/>
                <w:color w:val="auto"/>
              </w:rPr>
            </w:pPr>
          </w:p>
        </w:tc>
      </w:tr>
      <w:tr>
        <w:trPr>
          <w:trHeight w:val="204"/>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0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64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Proceeds from the exercise of common stock options, net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Repayment of stockholders’ notes receivable</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Repayment of debt financing</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Extinguishment of debt financing</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(29,081)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 financing</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20,325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Payments of public offering costs</w:t>
            </w:r>
          </w:p>
        </w:tc>
        <w:tc>
          <w:tcPr>
            <w:tcW w:w="10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24,755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12,862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(6,175)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b w:val="1"/>
                <w:bCs w:val="1"/>
                <w:color w:val="auto"/>
              </w:rPr>
              <w:t>Cash and cash equivalents at</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20,272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22,408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Arial" w:cs="Arial" w:eastAsia="Arial" w:hAnsi="Arial"/>
                <w:sz w:val="16"/>
                <w:szCs w:val="16"/>
                <w:color w:val="auto"/>
              </w:rPr>
              <w:t>End of year</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22,408</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23,351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16,233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2,994</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1,750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Issuance of redeemable convertible preferred stock warrants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costs included in accounts payable and accrued liabilities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three wholly-owned international subsidiaries. All inter-company accounts and transactions have been eliminated.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accompanying interim consolidated financial statements as of June 30, 2018 and for the six months ended June 30, 2017 and 2018, and the related interim information contained within the notes to the consolidated financial statements, are unaudited. The unaudited interim consolidated financial statements have been prepared in accordance with generally accepted accounting principles for interim financial information and on the same basis as the audited consolidated financial statements. In the opinion of management, the accompanying unaudited interim consolidated financial statements contain all adjustments consisting of only normal recurring adjustments necessary for a fair statement of the Company’s financial position as of June 30, 2018, and the results of its operations and cash flows for the six months ended June 30, 2017 and 2018. Such adjustments are of a normal and recurring nature. The results for the six months ended June 30, 2018 are not necessarily indicative of the results to be expected for the year ending December 31, 2018, or for any future period.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Balance Sheet and Pro Forma Net Loss Per Share</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June 30, 2018 unaudited pro forma balance sheet has been prepared assuming immediately prior to the completion of the Company’s initial public offering, (“IPO”): (i) the automatic conversion of all outstanding shares of redeemable convertible preferred stock into shares of common stock;</w:t>
      </w:r>
    </w:p>
    <w:p>
      <w:pPr>
        <w:ind w:left="200" w:right="200"/>
        <w:spacing w:after="0" w:line="255" w:lineRule="auto"/>
        <w:rPr>
          <w:sz w:val="20"/>
          <w:szCs w:val="20"/>
          <w:color w:val="auto"/>
        </w:rPr>
      </w:pPr>
      <w:r>
        <w:rPr>
          <w:rFonts w:ascii="Arial" w:cs="Arial" w:eastAsia="Arial" w:hAnsi="Arial"/>
          <w:sz w:val="18"/>
          <w:szCs w:val="18"/>
          <w:color w:val="auto"/>
        </w:rPr>
        <w:t>(ii) the automatic net exercise of certain redeemable convertible preferred stock warrants, assuming an IPO price of $ per share and the related reclassification of the warrant liability to common stock and additional paid-in-capital; and (iii) the automatic conversion of certain other redeemable convertible preferred stock warrants into common stock warrants.</w:t>
      </w:r>
    </w:p>
    <w:p>
      <w:pPr>
        <w:spacing w:after="0" w:line="19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unaudited pro forma basic and diluted net loss per share has been computed to give effect to the automatic conversion of the shares of redeemable convertible preferred stock into common stock immediately prior to the closing of a qualifying IPO, as if such conversion had occurred at the earlier of the beginning of the period or the date of issuance, if later. In addition, the numerator in the pro forma basic and diluted net loss per share calculation has been adjusted to remove the change in the fair value resulting from the remeasurement of the redeemable convertible preferred stock warrant liability as the redeemable convertible preferred stock warrants will be converted into warrants to purchase common stock or net exercised into common stock, and the related redeemable convertible preferred stock warrant liability will be reclassified to stockholders’ deficit immediately prior to the</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240" w:top="459"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closing of an IPO. The denominator in the pro forma basic and diluted net loss per share calculation has been adjusted to include the number of shares into which certain redeemable convertible preferred stock warrants would be converted upon their net exercise immediately prior to the closing of an IPO.</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net loss per share does not include the shares to be sold and related proceeds to be received from an IPO.</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73"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International</w:t>
            </w:r>
          </w:p>
        </w:tc>
        <w:tc>
          <w:tcPr>
            <w:tcW w:w="3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As of and for the year ended December 31, 2017, the Company had an accumulated deficit of $139.7 million and used $17.5 million of cash in operations. As of and for the six months ended June 30, 2018, the Company had an accumulated deficit of $147.1 million (unaudited) and used</w:t>
      </w:r>
    </w:p>
    <w:p>
      <w:pPr>
        <w:ind w:left="200" w:right="120"/>
        <w:spacing w:after="0" w:line="261" w:lineRule="auto"/>
        <w:rPr>
          <w:sz w:val="20"/>
          <w:szCs w:val="20"/>
          <w:color w:val="auto"/>
        </w:rPr>
      </w:pPr>
      <w:r>
        <w:rPr>
          <w:rFonts w:ascii="Arial" w:cs="Arial" w:eastAsia="Arial" w:hAnsi="Arial"/>
          <w:sz w:val="18"/>
          <w:szCs w:val="18"/>
          <w:color w:val="auto"/>
        </w:rPr>
        <w:t>$5.7 million (unaudited) of cash in operations. The Company has not achieved positive cash flow from operations to date. The Company held cash and cash equivalents of $22.4 million and $16.2 million (unaudited) as of December 31, 2017 and June 30, 2018, respectively.</w:t>
      </w:r>
    </w:p>
    <w:p>
      <w:pPr>
        <w:spacing w:after="0" w:line="184"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Company’s primary cash needs are for the ongoing commercialization of its iFuse products. The Company also has certain debt covenants associated with its current debt agreement. These covenants include a $5.0 million minimum cash balance and revenue targets, which if not met would result in the debt becoming immediately due. The revenue target is assessed quarterly based on the rolling twelve months of revenue, and increases by approximately 2%-4% each quarter. Beginning with the three months ended March 31, 2019, the Company is required to meet either revenue or earnings targets. The Company has met the minimum liquidity and revenue targets as of June 30, 2018, however there can be no assurances that the Company will continue to meet these targets in the future.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Management has the responsibility to evaluate whether conditions and/or events raise substantial doubt about the Company’s ability to continue as a going concern within one year after the date that the financial statements are issued. In performing this assessment, management considered the risk associated with its ongoing ability to meet the financial covenants. The Company continues to face challenges and uncertainties and, as a result, its available capital resources may be consumed more rapidly than currently expected due to (a) decreases in sales of products and the uncertainty of future revenues from new products; (b) changes made to the business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that affect ongoing operating expenses; (c) changes made in its business strategy; (d) regulatory developments affecting existing products; (e) changes made in research and development spending plans; and (f) other items affecting forecasted levels of expenditures and use of cash resources. Considering all of these factors, primarily the risk of non-compliance with debt covenants, Management has determined there is substantial doubt about the Company’s ability to continue as a going concern within one year from the financial statement issuance date.</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is seeking to complete an IPO of its common stock. In the event the Company does not complete an IPO, the Company expects to seek additional funding through private equity financings, debt financings, or other capital sources. The Company may not be able to obtain funding on acceptable terms, or at all. If the Company does raise additional capital through public or private equity offerings, the ownership interest of its existing stockholders will be diluted, and the terms of these securities may include liquidation or other preferences that adversely affect its stockholders’ rights. If the Company is unable to obtain adequate financing when needed, it may have to delay, reduce the scope of or suspend one or more of its sales and marketing efforts, research and development activities, or other operations. If the Company raises additional capital through debt financing, it may be subject to covenants limiting or restricting its ability to take specific actions, such as incurring additional debt, making capital expenditures, or declaring dividends. If the Company is unable to raise capital, it will need to delay, reduce, or terminate planned activities to reduce costs. Doing so will likely harm the Company’s ability to execute its business plans. Although management continues to pursue these plans, there is no assurance that the Company will be successful in obtaining sufficient funding on terms acceptable to the Company to fund operations.</w:t>
      </w:r>
    </w:p>
    <w:p>
      <w:pPr>
        <w:spacing w:after="0" w:line="169" w:lineRule="exact"/>
        <w:rPr>
          <w:sz w:val="20"/>
          <w:szCs w:val="20"/>
          <w:color w:val="auto"/>
        </w:rPr>
      </w:pPr>
    </w:p>
    <w:p>
      <w:pPr>
        <w:ind w:left="200" w:right="580" w:firstLine="441"/>
        <w:spacing w:after="0" w:line="286"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and therefore, the consolidated financial statements do not include any adjustments to reflect the possible future effects on the recoverability and classification of assets or the amount and classifications of liabilities that may result from the outcome of this uncertainty.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redeemable convertible preferred stock warrants has been marked to fair value such that the carrying amount represents its estimated fair value.</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6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did not have any cash equivalents as of December 31, 2016. The Company’s cash equivalents consist of money market funds as of December 31, 2017 and June 30, 2018 (unaudited). The money market funds are classified as Level 1 of the fair value hierarchy. The Company’s redeemable convertible preferred stock warrants are classified within Level 3 of the fair value hierarchy. The redeemable convertible preferred stock warrants have been valued using a Black-Scholes valuation model and are subsequently marked to fair value each reporting period. The related input assumptions are discussed in Note 9.</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2016 and 2017 and June 30, 2018 (unaudited), inventory consisted entirely of finished goods.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71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1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14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365"/>
        </w:trPr>
        <w:tc>
          <w:tcPr>
            <w:tcW w:w="3820" w:type="dxa"/>
            <w:vAlign w:val="bottom"/>
          </w:tcPr>
          <w:p>
            <w:pPr>
              <w:spacing w:after="0"/>
              <w:rPr>
                <w:sz w:val="24"/>
                <w:szCs w:val="24"/>
                <w:color w:val="auto"/>
              </w:rPr>
            </w:pPr>
          </w:p>
        </w:tc>
        <w:tc>
          <w:tcPr>
            <w:tcW w:w="7140" w:type="dxa"/>
            <w:vAlign w:val="bottom"/>
          </w:tcPr>
          <w:p>
            <w:pPr>
              <w:jc w:val="right"/>
              <w:ind w:right="5190"/>
              <w:spacing w:after="0"/>
              <w:rPr>
                <w:sz w:val="20"/>
                <w:szCs w:val="20"/>
                <w:color w:val="auto"/>
              </w:rPr>
            </w:pPr>
            <w:r>
              <w:rPr>
                <w:rFonts w:ascii="Arial" w:cs="Arial" w:eastAsia="Arial" w:hAnsi="Arial"/>
                <w:sz w:val="18"/>
                <w:szCs w:val="18"/>
                <w:color w:val="auto"/>
              </w:rPr>
              <w:t>F-11</w:t>
            </w:r>
          </w:p>
        </w:tc>
      </w:tr>
    </w:tbl>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Intangible assets consist of intellectual property related to the sacroiliac-joint developed technologies acquired by the Company in March 2008.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Intangible assets are amortized over the period of estimated benefit using the straight-line method and estimated useful lives of approximately 15 years.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residual value is estimated for intangible assets.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2017 and June 30, 2018 (unaudited), the Company has not experienced impairment losses on its long-lived assets.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$1.5 million, $0, and $0 (unaudited) of offering costs capitalized as of December 31, 2016 and 2017 and June 30, 2018, respectively, in other non-current assets on the consolidated balance sheets. The $1.5 million of offering costs incurred in 2015 were expensed to General and Administrative expenses in 2016 when IPO plans were delayed. Offering costs of $1.3 million were also incurred and expensed in 2017 as a result of further delays in the IPO process.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The Company determined that the warrants for shares of common stock issued in connection with the debt arrangement are required to be classified in equity. Warrants classified as equity are recorded as additional paid-in capital on the consolidated balance sheet and no further adjustments to their valuation are made.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Warrants and other similar instruments related to shares that are contingently redeemable are classified as liabilities on the consolidated balance sheet at their estimated fair value because the shares underlying the warrants may obligate the Company to transfer assets to the holders at a future date under certain circumstances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such as a deemed liquidation event. The warrants are exercisable into the Company’s redeemable convertible preferred stock and are classified as liabilities on the consolidated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 (i) exercise of the warrants, (ii) conversion into equity classified warrants to purchase common stock, or (iii) expiration of the warrants. The remaining value of the redeemable convertible preferred stock warrants will be reclassified to common stock with no further remeasurement required upon exercise of the warrants or conversion into equity classified warrants to purchase common stock.</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accordance with ASC Topic 605, Revenue Recognition (“ASC 605”), 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the Company recognizes revenue based upon shipping or delivery terms, which represents the point in time when the customer has taken ownership and assumed risk of loss and the required revenue recognition criteria are met. Such customers are obligated to pay within specified terms regardless of when or if they ever sell or use the products, and the Company has no post-delivery obligations.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Warranty Program</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January 2017, the Company implemented a warranty program which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These one-time credits are accounted for as sales reserves. Sales and warranty reserves from the warranty program were $0, $0.1 million and $0.2 million (unaudited) as of December 31, 2016, December 31, 2017, and June 30, 2018, respectively.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tax on medical devices through 2017. In January 2018, the suspension on the tax on medical devices was further extended through 2019.</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cost of advertising is expensed as incurred. Advertising costs totaled $1.0 million and $0.8 million for the years ended December 31, 2016 and 2017, respectively, and $0.4 million (unaudited) and $0.3 million (unaudited) for the six months ended June 30, 2017 and 2018,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7"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adopted the accounting guidance for uncertainties in income taxes, which prescribes a recognition threshold and measurement process for recording uncertain tax positions taken, or expected to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93"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 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remaining performance obligations, as well as other amendments to guidance on collectability, non-cash consideration and the presentation of sales and other similar taxes collected from customers. These standards have the same effective date and transition date as ASU 2014-09. Management is undergoing its assessment of the new standard, which includes the review of contracts and revenue channels, and will adopt the standard for the fiscal year ending December 31, 2019.</w:t>
      </w:r>
    </w:p>
    <w:p>
      <w:pPr>
        <w:spacing w:after="0" w:line="187" w:lineRule="exact"/>
        <w:rPr>
          <w:sz w:val="20"/>
          <w:szCs w:val="20"/>
          <w:color w:val="auto"/>
        </w:rPr>
      </w:pPr>
    </w:p>
    <w:p>
      <w:pPr>
        <w:ind w:left="200" w:right="260" w:firstLine="441"/>
        <w:spacing w:after="0" w:line="272"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The Company has adopted this standard for the fiscal year ended December 31, 2017, which did not have a material impact on the Company’s consolidated financial statements.</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The Company has early adopted this standard for the fiscal year ended December 31, 2017, which did not have a material impact on the Company’s consolidated financial statements.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8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The Company early adopted this standard in the first quarter of 2017 by recording the cumulative impact of applying this guidance to retained earnings, which was not material. The Company elected to continue to estimate the number of awards that are expected to vest.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is currently evaluating the impact of adopting ASU 2016-15 on its consolidated financial statements, and anticipates adopting the standard for the fiscal year ending December 31, 2019.</w:t>
      </w:r>
    </w:p>
    <w:p>
      <w:pPr>
        <w:spacing w:after="0" w:line="18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The Company has adopted this standard for the fiscal year ending December 31, 2018, which did not have a material impact on the Company’s consolidated financial statements.</w:t>
      </w:r>
    </w:p>
    <w:p>
      <w:pPr>
        <w:spacing w:after="0" w:line="17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this standard will have on its consolidated financial statements, and anticipates adopting the standard for the fiscal year ending December 31, 2020.</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is currently evaluating the impact that the adoption of this standard will have on its consolidated financial statements, and anticipates adopting the standard for the fiscal year ending December 31, 2019.</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 606. The Company is evaluating the impact that the adoption of this standard will have on the consolidated financial statements, and anticipates adopting the standard for the fiscal year ending December 31, 2020.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$ 588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$ 422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$ 646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5540" w:right="5360" w:hanging="5336"/>
        <w:spacing w:after="0" w:line="536" w:lineRule="auto"/>
        <w:tabs>
          <w:tab w:leader="none" w:pos="6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Included in cash and cash equivalents on the consolidated balance sheet F-18</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warrants, the Company’s Level 3 financial liability, which is measured on a recurring basis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Fair value of redeemable convertible preferred stock warrants issued</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 (unaudited)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Property and Equipment, net (in thousands):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$ 2,942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(2,037)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Depreciation expense for the years ended December 31, 2016 and 2017 and for the six months ended June 30, 2017 and 2018 was $1.0 million, $1.0 million, $0.6 million (unaudited), and $0.3 million (unaudited),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and Other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tax payable</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Liability for early exercise of unvested stock options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and warranty reserves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4,125</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5,724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20" w:type="dxa"/>
            <w:vAlign w:val="bottom"/>
            <w:gridSpan w:val="2"/>
          </w:tcPr>
          <w:p>
            <w:pPr>
              <w:jc w:val="right"/>
              <w:ind w:right="3042"/>
              <w:spacing w:after="0"/>
              <w:rPr>
                <w:sz w:val="20"/>
                <w:szCs w:val="20"/>
                <w:color w:val="auto"/>
              </w:rPr>
            </w:pPr>
            <w:r>
              <w:rPr>
                <w:rFonts w:ascii="Arial" w:cs="Arial" w:eastAsia="Arial" w:hAnsi="Arial"/>
                <w:sz w:val="18"/>
                <w:szCs w:val="18"/>
                <w:color w:val="auto"/>
              </w:rPr>
              <w:t>F-19</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August 2012, the Company entered into a new four-year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Effective May 2018, the Company entered into an early termination agreement on an operating lease for its San Jose office. No early termination fees were incurred and all previously agreed-to rent payments were released, with no further obligations. In February 2018, the Company entered into a new seven-year non-cancelable operating lease for an office building space in Santa Clara, California which commenced in April 2018.</w:t>
      </w:r>
    </w:p>
    <w:p>
      <w:pPr>
        <w:spacing w:after="0" w:line="16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March 2011, the Company entered into a six-year non-cancelable operating lease for its office building space in Milan, Italy. In February 2017, the terms of the lease were extended for another six years under the same agreement. In September 2015, the Company entered into a six-year non-cancelable operating lease for additional floor space in its office building in Milan, Italy.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November 2014, the Company entered into a five-year non-cancelable operating lease for its office building space in Mannheim, Germany.</w:t>
      </w:r>
    </w:p>
    <w:p>
      <w:pPr>
        <w:spacing w:after="0" w:line="24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December 2015, the Company entered into a three-year non-cancelable operating lease for its office building space in Knaresborough, United Kingdom.</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2021.</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$1.0 million for each of the years ended December 31, 2016 and 2017 and $0.5 million (unaudited) and $0.6 million (unaudited) for the six-month periods ended June 30, 2017 and 2018,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future minimum lease payments under all leases as of December 31, 2017 are as follows (in thousands):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6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2017</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2019</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340" w:type="dxa"/>
            <w:vAlign w:val="bottom"/>
            <w:gridSpan w:val="3"/>
          </w:tcPr>
          <w:p>
            <w:pPr>
              <w:ind w:left="164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w w:val="99"/>
              </w:rPr>
              <w:t>SI-BONE,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w w:val="99"/>
              </w:rPr>
              <w:t>The aggregate future minimum lease payments under all leases as of June 30, 2018 (unaudited) are as follows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9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2018 (six months remaining)</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2020</w:t>
            </w: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2022</w:t>
            </w: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totaled $0.1 million at December 31, 2017 and $0.3 million (unaudited) at June 30, 2018. The amounts paid under these arrangements may be less in the event that the arrangement is renegotiated or cancelled.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46"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 has the following outstanding debt, net of debt discounts, as of December 31, 2016 and 2017 and June 30, 2018 (unaudited)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29,310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38,704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Total Borrowings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w:t>
            </w:r>
          </w:p>
        </w:tc>
        <w:tc>
          <w:tcPr>
            <w:tcW w:w="4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38,704</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Borrowings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21,074</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38,704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October 2015, the Company entered into a Term Loan facility and a revolving line of credit with Silicon Valley Bank, or SVB and Oxford Finance LLC, or Oxford for $35.2 million. The first tranche of the Term Loan closed in October 2015 for $16.2 million, of which $15.5 million (including $0.3 million of interest) of the proceeds were used to pay off the existing loans with SVB. The additional $0.7 million related to the payment of final fees due on previous loans. Prepayment fees on the then existing debt facilities were waived. The loan includes an interest-only period through March 31, 2017 and then to be repaid over thirty-three (33) months of equal principal payments plus interest. In November 2015, the Company drew the second tranche of $10.0 million, which was coterminous with the first tranche. Under the Term Loan, the Company also had available a third tranche of $4.0 million through September 30, 2016 and a fourth tranche of $5.0 million through December 31, 2016. Both tranches were contingent upon the achievement of certain goals.</w:t>
      </w:r>
    </w:p>
    <w:p>
      <w:pPr>
        <w:spacing w:after="0" w:line="19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accounted for SVB’s portion of the term loan facility as a modification of its existing debt facility as the change in cash flows was less than 10%. As such, a new effective interest rate was established based on the carrying value of the debt and the revised cash flows. Based on the guidance for loan modification, no gains or losses were recorded on the old debt and new fees paid to or received from existing lenders were capitalized and amortized as part of the effective yield. As a result, the Company accounted for the portion of the $0.7 million of final fees related to the previous loans, not yet recognized in interest expense, as a debt discount. This amount will be amortized over the remaining period of the Term Loan as part of the new effective interest rate.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August 2016, the Company amended the agreement to remove the revenue requirement for the third tranche and extended the draw period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fourth tranche for additional three months. In December 2016, the Company withdrew the third tranche of the Term Loan of $4.0 million.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agreement also provided for the fourth tranche of $5.0 million to be available through March 2017 contingent upon the Company achieving at least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$24.0 million in trailing six-month revenues. In February 2017, the Company amended the Term Loan to extend the interest only period by six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October 1, 2017 and was then to be repaid over 27 months of equal principal payments plus interest. In addition, the amendment extended the draw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period through January 2018 for the fourth tranche of $5.0 million under the Term Loan upon achieving certain revenue milestones. The maturity date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term loan was December 1, 2019, and it carried an interest rate equal to the greater of 11% or the WSJ Prime rate plus 7.75%. As of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the total loan balance was $30.2 million with an effective interest rate of 12.45%. The Term Loan borrowings were senior unsecured obligations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the Company, ranking equally and ratably among themselves and with the Company’s existing and future unsecured and unsubordinated debt.</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conjunction with the above Term Loan agreements, the Company issued redeemable convertible preferred stock warrants (refer to Note 9 for details).</w:t>
      </w:r>
    </w:p>
    <w:p>
      <w:pPr>
        <w:spacing w:after="0" w:line="170"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In October 2017, the Company extinguished the Term Loan with SVB and Oxford. Concurrently, the Company entered into a New Term Loan with Pharmakon Advisors, or Pharmakon. As a result of the extinguished debt, the Company paid $29.1 million in principal payments to SVB and Oxford. The Company also paid $1.5 million in early termination fees and recorded $0.7 million of unamortized debt discounts. This loss on extinguishment of $2.2 million is reflected as interest expense in the consolidated statement of operations.</w:t>
      </w:r>
    </w:p>
    <w:p>
      <w:pPr>
        <w:spacing w:after="0" w:line="17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Company entered into the New Term Loan with Pharmakon for $40.0 million in October 2017. Debt issuance costs of $1.3 million were recorded as a direct deduction from the carrying amount of the New Term Loan on the consolidated balance sheet, and are being amortized over the period of the New Term Loan using the effective interest method to interest expense in the consolidated statement of operations. The New Term Loan includes an interest-only period for 35 months through September 2020 and is then repaid in equal quarterly principal payments plus interest through December 2022, and is classified as long-term borrowings on the consolidated balance sheet. The New Term Loan carries a fixed interest rate of 11.5% and a closing fee of 1.5% of the funded amount, or $0.6 million. The New Term Loan includes a pre-payment fee equal to the interest due for the first 30 months of the agreement if it is prepaid within the first 30 months, a 2% prepayment penalty for months 31-48, and a 1% penalty for months 49-60. The New Term Loan requires the Company to maintain a minimum cash balance of $5.0 million and revenue targets. Beginning with the three months ended March 31, 2019, the Company is required to meet either revenue or earnings targets. Under the New Term Loan, the Company also has a second tranche of $10.0 million available through January 2019, contingent upon the achievement of certain revenue milestones. The New Term Loan is a senior obligation secured with a blanket first lien on the assets of the Company. As of December 31, 2017 and June 30, 2018, the total loan balance, net of debt discount, was $38.7 million and $38.8 million (unaudited), respectively, with an effective interest rate of 12.0% and 12.2% (unaudited) and the Company was in compliance with all debt covenants.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2017 are as follows (in thousands):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2018</w:t>
            </w:r>
          </w:p>
        </w:tc>
        <w:tc>
          <w:tcPr>
            <w:tcW w:w="8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2020</w:t>
            </w: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17,778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2022</w:t>
            </w:r>
          </w:p>
        </w:tc>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 representing debt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(1,296)</w:t>
            </w:r>
          </w:p>
        </w:tc>
      </w:tr>
      <w:tr>
        <w:trPr>
          <w:trHeight w:val="223"/>
        </w:trPr>
        <w:tc>
          <w:tcPr>
            <w:tcW w:w="20" w:type="dxa"/>
            <w:vAlign w:val="bottom"/>
          </w:tcPr>
          <w:p>
            <w:pPr>
              <w:spacing w:after="0"/>
              <w:rPr>
                <w:sz w:val="19"/>
                <w:szCs w:val="19"/>
                <w:color w:val="auto"/>
              </w:rPr>
            </w:pPr>
          </w:p>
        </w:tc>
        <w:tc>
          <w:tcPr>
            <w:tcW w:w="10300" w:type="dxa"/>
            <w:vAlign w:val="bottom"/>
            <w:gridSpan w:val="2"/>
          </w:tcPr>
          <w:p>
            <w:pPr>
              <w:ind w:left="3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38,704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is $4.0 million (or 80% of the amount of certain customer accounts receivable). It carried an interest rate equal to the WSJ Prime rate plus 3% with a maturity of December 1, 2019. In October 2017, this line of credit was cancelled in conjunction with the SVB and Oxford debt extinguishment discussed above. No draws were made on this facility through its termination. Cancellation fees of $0.2 million were included in the loss on extinguishment of the Term Loan of $1.5 million discussed above.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March 2017, the Board of Directors approved an increase of 10,000,000 Series 2 common stock. As a result, the Company’s restated certificate of incorporation, as amended, authorizes the Company to issue 348,000,000 shares of $0.0001 par value common stock, of which 108,000,000 has been designated as Series 1 common stock and 240,000,000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Issued and</w:t>
            </w:r>
          </w:p>
        </w:tc>
        <w:tc>
          <w:tcPr>
            <w:tcW w:w="380" w:type="dxa"/>
            <w:vAlign w:val="bottom"/>
          </w:tcPr>
          <w:p>
            <w:pPr>
              <w:spacing w:after="0"/>
              <w:rPr>
                <w:sz w:val="10"/>
                <w:szCs w:val="10"/>
                <w:color w:val="auto"/>
              </w:rPr>
            </w:pPr>
          </w:p>
        </w:tc>
        <w:tc>
          <w:tcPr>
            <w:tcW w:w="11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7"/>
              </w:rPr>
              <w:t>Common Stock</w:t>
            </w:r>
          </w:p>
        </w:tc>
        <w:tc>
          <w:tcPr>
            <w:tcW w:w="3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Issued and</w:t>
            </w:r>
          </w:p>
        </w:tc>
        <w:tc>
          <w:tcPr>
            <w:tcW w:w="38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0"/>
              </w:rPr>
              <w:t>Equivalent Shares</w:t>
            </w: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Equivalent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500" w:type="dxa"/>
            <w:vAlign w:val="bottom"/>
            <w:tcBorders>
              <w:top w:val="single" w:sz="8" w:color="auto"/>
            </w:tcBorders>
            <w:gridSpan w:val="3"/>
          </w:tcPr>
          <w:p>
            <w:pPr>
              <w:jc w:val="right"/>
              <w:ind w:right="822"/>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Series 1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56,036,100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56,036,100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57,910,707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57,910,707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Series 2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8,823,461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8,823,461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8,823,461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8,823,461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213,689,844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217,201,525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213,689,844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217,201,525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54,043,973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54,043,973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52,224,031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52,224,031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available for grant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922,139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922,139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867,474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Common stock 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2,237,918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2,237,918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2,237,918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2,237,918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2,817,988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2,891,973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2,817,988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338,571,423</w:t>
            </w:r>
          </w:p>
        </w:tc>
        <w:tc>
          <w:tcPr>
            <w:tcW w:w="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342,157,088</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338,571,423</w:t>
            </w:r>
          </w:p>
        </w:tc>
        <w:tc>
          <w:tcPr>
            <w:tcW w:w="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342,157,088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Redeemable convertible preferred stock (“preferred stock”) at December 31, 2016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25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5"/>
              </w:rPr>
              <w:t>Carrying Value</w:t>
            </w: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Liquidation Value</w:t>
            </w:r>
          </w:p>
        </w:tc>
        <w:tc>
          <w:tcPr>
            <w:tcW w:w="0" w:type="dxa"/>
            <w:vAlign w:val="bottom"/>
          </w:tcPr>
          <w:p>
            <w:pPr>
              <w:spacing w:after="0"/>
              <w:rPr>
                <w:sz w:val="1"/>
                <w:szCs w:val="1"/>
                <w:color w:val="auto"/>
              </w:rPr>
            </w:pPr>
          </w:p>
        </w:tc>
      </w:tr>
      <w:tr>
        <w:trPr>
          <w:trHeight w:val="162"/>
        </w:trPr>
        <w:tc>
          <w:tcPr>
            <w:tcW w:w="3040" w:type="dxa"/>
            <w:vAlign w:val="bottom"/>
            <w:gridSpan w:val="3"/>
            <w:vMerge w:val="continue"/>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Authorized</w:t>
            </w:r>
          </w:p>
        </w:tc>
        <w:tc>
          <w:tcPr>
            <w:tcW w:w="480" w:type="dxa"/>
            <w:vAlign w:val="bottom"/>
          </w:tcPr>
          <w:p>
            <w:pPr>
              <w:spacing w:after="0"/>
              <w:rPr>
                <w:sz w:val="14"/>
                <w:szCs w:val="14"/>
                <w:color w:val="auto"/>
              </w:rPr>
            </w:pPr>
          </w:p>
        </w:tc>
        <w:tc>
          <w:tcPr>
            <w:tcW w:w="96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Outstanding</w:t>
            </w:r>
          </w:p>
        </w:tc>
        <w:tc>
          <w:tcPr>
            <w:tcW w:w="1420" w:type="dxa"/>
            <w:vAlign w:val="bottom"/>
            <w:gridSpan w:val="3"/>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right"/>
              <w:ind w:right="45"/>
              <w:spacing w:after="0" w:line="12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12,773,107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12,773,107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45,162,853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45,162,853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37,550,484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36,166,158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61,006,095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59,747,277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38,068,315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36,711,701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207,953,835</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203,954,077</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2"/>
          </w:tcPr>
          <w:p>
            <w:pPr>
              <w:jc w:val="right"/>
              <w:ind w:right="759"/>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Preferred stock at December 31, 2017 and June 30, 2018 (unaudited)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5"/>
              </w:rPr>
              <w:t>Carrying Value</w:t>
            </w: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Liquidation Value</w:t>
            </w:r>
          </w:p>
        </w:tc>
        <w:tc>
          <w:tcPr>
            <w:tcW w:w="0" w:type="dxa"/>
            <w:vAlign w:val="bottom"/>
          </w:tcPr>
          <w:p>
            <w:pPr>
              <w:spacing w:after="0"/>
              <w:rPr>
                <w:sz w:val="1"/>
                <w:szCs w:val="1"/>
                <w:color w:val="auto"/>
              </w:rPr>
            </w:pPr>
          </w:p>
        </w:tc>
      </w:tr>
      <w:tr>
        <w:trPr>
          <w:trHeight w:val="162"/>
        </w:trPr>
        <w:tc>
          <w:tcPr>
            <w:tcW w:w="5560" w:type="dxa"/>
            <w:vAlign w:val="bottom"/>
            <w:gridSpan w:val="3"/>
            <w:vMerge w:val="continue"/>
          </w:tcPr>
          <w:p>
            <w:pPr>
              <w:spacing w:after="0"/>
              <w:rPr>
                <w:sz w:val="14"/>
                <w:szCs w:val="14"/>
                <w:color w:val="auto"/>
              </w:rPr>
            </w:pPr>
          </w:p>
        </w:tc>
        <w:tc>
          <w:tcPr>
            <w:tcW w:w="9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Authorized</w:t>
            </w:r>
          </w:p>
        </w:tc>
        <w:tc>
          <w:tcPr>
            <w:tcW w:w="480" w:type="dxa"/>
            <w:vAlign w:val="bottom"/>
          </w:tcPr>
          <w:p>
            <w:pPr>
              <w:spacing w:after="0"/>
              <w:rPr>
                <w:sz w:val="14"/>
                <w:szCs w:val="14"/>
                <w:color w:val="auto"/>
              </w:rPr>
            </w:pPr>
          </w:p>
        </w:tc>
        <w:tc>
          <w:tcPr>
            <w:tcW w:w="96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Outstanding</w:t>
            </w:r>
          </w:p>
        </w:tc>
        <w:tc>
          <w:tcPr>
            <w:tcW w:w="1420" w:type="dxa"/>
            <w:vAlign w:val="bottom"/>
            <w:gridSpan w:val="3"/>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1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right"/>
              <w:ind w:right="45"/>
              <w:spacing w:after="0" w:line="12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960" w:type="dxa"/>
            <w:vAlign w:val="bottom"/>
          </w:tcPr>
          <w:p>
            <w:pPr>
              <w:jc w:val="right"/>
              <w:spacing w:after="0"/>
              <w:rPr>
                <w:sz w:val="20"/>
                <w:szCs w:val="20"/>
                <w:color w:val="auto"/>
              </w:rPr>
            </w:pPr>
            <w:r>
              <w:rPr>
                <w:rFonts w:ascii="Arial" w:cs="Arial" w:eastAsia="Arial" w:hAnsi="Arial"/>
                <w:sz w:val="18"/>
                <w:szCs w:val="18"/>
                <w:color w:val="auto"/>
              </w:rPr>
              <w:t>12,773,107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12,773,107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960" w:type="dxa"/>
            <w:vAlign w:val="bottom"/>
          </w:tcPr>
          <w:p>
            <w:pPr>
              <w:jc w:val="right"/>
              <w:spacing w:after="0"/>
              <w:rPr>
                <w:sz w:val="20"/>
                <w:szCs w:val="20"/>
                <w:color w:val="auto"/>
              </w:rPr>
            </w:pPr>
            <w:r>
              <w:rPr>
                <w:rFonts w:ascii="Arial" w:cs="Arial" w:eastAsia="Arial" w:hAnsi="Arial"/>
                <w:sz w:val="18"/>
                <w:szCs w:val="18"/>
                <w:color w:val="auto"/>
              </w:rPr>
              <w:t>45,162,853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45,162,853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37,550,484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36,166,158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960" w:type="dxa"/>
            <w:vAlign w:val="bottom"/>
          </w:tcPr>
          <w:p>
            <w:pPr>
              <w:jc w:val="right"/>
              <w:spacing w:after="0"/>
              <w:rPr>
                <w:sz w:val="20"/>
                <w:szCs w:val="20"/>
                <w:color w:val="auto"/>
              </w:rPr>
            </w:pPr>
            <w:r>
              <w:rPr>
                <w:rFonts w:ascii="Arial" w:cs="Arial" w:eastAsia="Arial" w:hAnsi="Arial"/>
                <w:sz w:val="18"/>
                <w:szCs w:val="18"/>
                <w:color w:val="auto"/>
              </w:rPr>
              <w:t>61,006,095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59,747,277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46,447,468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217,885,520</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213,689,844</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118,548</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holders of Series 1, Series 2, Series 3, Series 4, Series 5, Series 6, and Series 7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and Series 7 shares are outstanding, the holders of such Series 4, Series 5, Series 6 and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66"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long as at least 5,000,000 preferred stock shares remain outstanding, the Company must obtain approval from a majority of the holders of the then outstanding shares of preferred stockholders and a majority of the voting power of all outstanding shares of Series 5 preferred stock in order to</w:t>
      </w:r>
    </w:p>
    <w:p>
      <w:pPr>
        <w:ind w:left="200" w:right="120" w:firstLine="4"/>
        <w:spacing w:after="0" w:line="267" w:lineRule="auto"/>
        <w:tabs>
          <w:tab w:leader="none" w:pos="41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first refusal in favor of the Company, in each case, provided that such agreement has been approved by the Company’s board of directors; or (vi) pay or declare any dividend on any shares of capital stock of the Company.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stocks are $0.002784, $0.00952, $0.0256, $0.028, $0.04043, $0.073208, and $0.044592, respectively, (adjusted to reflect subsequent stock dividends, stock splits or recapitalization).</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2017 and June 30, 2018 (unaudited).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w:t>
      </w:r>
    </w:p>
    <w:p>
      <w:pPr>
        <w:spacing w:after="0" w:line="5" w:lineRule="exact"/>
        <w:rPr>
          <w:sz w:val="20"/>
          <w:szCs w:val="20"/>
          <w:color w:val="auto"/>
        </w:rPr>
      </w:pPr>
    </w:p>
    <w:p>
      <w:pPr>
        <w:ind w:left="200" w:right="60" w:firstLine="4"/>
        <w:spacing w:after="0" w:line="281" w:lineRule="auto"/>
        <w:tabs>
          <w:tab w:leader="none" w:pos="4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w:t>
      </w:r>
    </w:p>
    <w:p>
      <w:pPr>
        <w:spacing w:after="0" w:line="4" w:lineRule="exact"/>
        <w:rPr>
          <w:rFonts w:ascii="Arial" w:cs="Arial" w:eastAsia="Arial" w:hAnsi="Arial"/>
          <w:sz w:val="16"/>
          <w:szCs w:val="16"/>
          <w:color w:val="auto"/>
        </w:rPr>
      </w:pPr>
    </w:p>
    <w:p>
      <w:pPr>
        <w:ind w:left="200"/>
        <w:spacing w:after="0" w:line="268" w:lineRule="auto"/>
        <w:rPr>
          <w:rFonts w:ascii="Arial" w:cs="Arial" w:eastAsia="Arial" w:hAnsi="Arial"/>
          <w:sz w:val="16"/>
          <w:szCs w:val="16"/>
          <w:color w:val="auto"/>
        </w:rPr>
      </w:pPr>
      <w:r>
        <w:rPr>
          <w:rFonts w:ascii="Arial" w:cs="Arial" w:eastAsia="Arial" w:hAnsi="Arial"/>
          <w:sz w:val="17"/>
          <w:szCs w:val="17"/>
          <w:color w:val="auto"/>
        </w:rPr>
        <w:t>(C)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stocks are $0.0348, $0.1190, $0.32, $0.35, $0.5053, $0.9151, and $0.5574, respectively), plus any declared but unpaid dividends on such shares. Should the Company’s legally available assets be insufficient to satisfy the full liquidation preference, the funds will be distributed ratably among the holders of the preferred stock in proportion to the preferential amount each holder is otherwise entitled to receive.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Upon the closing of the distribution as above, the remaining proceeds shall be distributed among the holders of Series 4, Series 5, Series 6, Series 7 preferred stock and common stock pro rata based on the number of shares of common stock held by each until the holders of the preferred stock have received the “participation cap.” Thereafter, if proceeds remain, the holders of Series 7 preferred stock and common stock of this corporation shall receive all of the remaining proceeds pro rata based on the number of shares of common stock held by each (assuming full conversion of all such series 7 preferred stock). The Company has a per share “Participation Cap” of $1.8302 for the Series 6 preferred stock, $1.0106 for the Series 5 preferred stock, and $0.70 for the Series 4 preferred stock (each as adjusted for any stock splits, stock dividends, combinations, subdivisions, recapitalizations or the like with respect to such series of preferred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is subject to adjustment from time to time. In March 2017, the conversion price per share for the Series 6 preferred stock was amended from $0.8730 per share to $0.8643 per share which resulted in the conversion ratio increasing from 1.05 to 1.06 per share.</w:t>
      </w:r>
    </w:p>
    <w:p>
      <w:pPr>
        <w:spacing w:after="0" w:line="15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$1.6722, or (ii) the Company’s receipt of a written request for such conversion from the holders of at least the voting majority of all outstanding preferred stock (voting as a single class and on an as-converted basis).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Company has classified the preferred stock as temporary equity on the consolidated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issued and outstanding at December 31, 2016 are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540" w:type="dxa"/>
            <w:vAlign w:val="bottom"/>
          </w:tcPr>
          <w:p>
            <w:pPr>
              <w:spacing w:after="0"/>
              <w:rPr>
                <w:sz w:val="10"/>
                <w:szCs w:val="10"/>
                <w:color w:val="auto"/>
              </w:rPr>
            </w:pPr>
          </w:p>
        </w:tc>
        <w:tc>
          <w:tcPr>
            <w:tcW w:w="820" w:type="dxa"/>
            <w:vAlign w:val="bottom"/>
            <w:gridSpan w:val="2"/>
          </w:tcPr>
          <w:p>
            <w:pPr>
              <w:jc w:val="center"/>
              <w:ind w:left="41"/>
              <w:spacing w:after="0" w:line="119"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Price per</w:t>
            </w:r>
          </w:p>
        </w:tc>
        <w:tc>
          <w:tcPr>
            <w:tcW w:w="22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91"/>
        </w:trPr>
        <w:tc>
          <w:tcPr>
            <w:tcW w:w="538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Share</w:t>
            </w:r>
          </w:p>
        </w:tc>
        <w:tc>
          <w:tcPr>
            <w:tcW w:w="960" w:type="dxa"/>
            <w:vAlign w:val="bottom"/>
            <w:gridSpan w:val="4"/>
          </w:tcPr>
          <w:p>
            <w:pPr>
              <w:ind w:left="220"/>
              <w:spacing w:after="0"/>
              <w:rPr>
                <w:sz w:val="20"/>
                <w:szCs w:val="20"/>
                <w:color w:val="auto"/>
              </w:rPr>
            </w:pPr>
            <w:r>
              <w:rPr>
                <w:rFonts w:ascii="Arial" w:cs="Arial" w:eastAsia="Arial" w:hAnsi="Arial"/>
                <w:sz w:val="14"/>
                <w:szCs w:val="14"/>
                <w:b w:val="1"/>
                <w:bCs w:val="1"/>
                <w:color w:val="auto"/>
                <w:w w:val="93"/>
              </w:rPr>
              <w:t>of Issuance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Common stock</w:t>
            </w:r>
          </w:p>
        </w:tc>
        <w:tc>
          <w:tcPr>
            <w:tcW w:w="40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7/19/2013</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7/22/2023</w:t>
            </w:r>
          </w:p>
        </w:tc>
        <w:tc>
          <w:tcPr>
            <w:tcW w:w="540" w:type="dxa"/>
            <w:vAlign w:val="bottom"/>
            <w:tcBorders>
              <w:top w:val="single" w:sz="8" w:color="CCEEFF"/>
            </w:tcBorders>
            <w:shd w:val="clear" w:color="auto" w:fill="CCEEFF"/>
          </w:tcPr>
          <w:p>
            <w:pPr>
              <w:jc w:val="right"/>
              <w:ind w:right="19"/>
              <w:spacing w:after="0" w:line="170" w:lineRule="exact"/>
              <w:rPr>
                <w:sz w:val="20"/>
                <w:szCs w:val="20"/>
                <w:color w:val="auto"/>
              </w:rPr>
            </w:pPr>
            <w:r>
              <w:rPr>
                <w:rFonts w:ascii="Arial" w:cs="Arial" w:eastAsia="Arial" w:hAnsi="Arial"/>
                <w:sz w:val="16"/>
                <w:szCs w:val="16"/>
                <w:color w:val="auto"/>
              </w:rPr>
              <w:t>[a]</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95"/>
              </w:rPr>
              <w:t>1,818,182</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0.22</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common stock warrants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2,212,918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80" w:type="dxa"/>
            <w:vAlign w:val="bottom"/>
            <w:gridSpan w:val="3"/>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tcPr>
          <w:p>
            <w:pPr>
              <w:jc w:val="right"/>
              <w:spacing w:after="0"/>
              <w:rPr>
                <w:sz w:val="20"/>
                <w:szCs w:val="20"/>
                <w:color w:val="auto"/>
              </w:rPr>
            </w:pPr>
            <w:r>
              <w:rPr>
                <w:rFonts w:ascii="Arial" w:cs="Arial" w:eastAsia="Arial" w:hAnsi="Arial"/>
                <w:sz w:val="16"/>
                <w:szCs w:val="16"/>
                <w:color w:val="auto"/>
              </w:rPr>
              <w:t>7/1/2012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7/25/2019</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[b]</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988,522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113,587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10/20/2015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10/20/2025</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708,120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rPr>
              <w:t>11/9/2015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11/9/2025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437,111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12/22/2016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12/22/2026</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2,817,988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outstanding common and redeemable convertible preferred stock</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warrants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5,030,906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20" w:right="60" w:hanging="316"/>
        <w:spacing w:after="0" w:line="221" w:lineRule="auto"/>
        <w:tabs>
          <w:tab w:leader="none" w:pos="5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20" w:right="40" w:hanging="316"/>
        <w:spacing w:after="0" w:line="232" w:lineRule="auto"/>
        <w:tabs>
          <w:tab w:leader="none" w:pos="5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 The warrants will be exercisable for 10 years from the date of issuance.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issued and outstanding at December 31, 2017 are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540" w:type="dxa"/>
            <w:vAlign w:val="bottom"/>
          </w:tcPr>
          <w:p>
            <w:pPr>
              <w:spacing w:after="0"/>
              <w:rPr>
                <w:sz w:val="10"/>
                <w:szCs w:val="10"/>
                <w:color w:val="auto"/>
              </w:rPr>
            </w:pPr>
          </w:p>
        </w:tc>
        <w:tc>
          <w:tcPr>
            <w:tcW w:w="820" w:type="dxa"/>
            <w:vAlign w:val="bottom"/>
            <w:gridSpan w:val="2"/>
          </w:tcPr>
          <w:p>
            <w:pPr>
              <w:jc w:val="center"/>
              <w:ind w:left="41"/>
              <w:spacing w:after="0" w:line="119"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Price per</w:t>
            </w:r>
          </w:p>
        </w:tc>
        <w:tc>
          <w:tcPr>
            <w:tcW w:w="22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91"/>
        </w:trPr>
        <w:tc>
          <w:tcPr>
            <w:tcW w:w="538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Share</w:t>
            </w:r>
          </w:p>
        </w:tc>
        <w:tc>
          <w:tcPr>
            <w:tcW w:w="960" w:type="dxa"/>
            <w:vAlign w:val="bottom"/>
            <w:gridSpan w:val="4"/>
          </w:tcPr>
          <w:p>
            <w:pPr>
              <w:ind w:left="220"/>
              <w:spacing w:after="0"/>
              <w:rPr>
                <w:sz w:val="20"/>
                <w:szCs w:val="20"/>
                <w:color w:val="auto"/>
              </w:rPr>
            </w:pPr>
            <w:r>
              <w:rPr>
                <w:rFonts w:ascii="Arial" w:cs="Arial" w:eastAsia="Arial" w:hAnsi="Arial"/>
                <w:sz w:val="14"/>
                <w:szCs w:val="14"/>
                <w:b w:val="1"/>
                <w:bCs w:val="1"/>
                <w:color w:val="auto"/>
                <w:w w:val="93"/>
              </w:rPr>
              <w:t>of Issuance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Common stock</w:t>
            </w:r>
          </w:p>
        </w:tc>
        <w:tc>
          <w:tcPr>
            <w:tcW w:w="40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7/19/2013</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7/22/2023</w:t>
            </w:r>
          </w:p>
        </w:tc>
        <w:tc>
          <w:tcPr>
            <w:tcW w:w="540" w:type="dxa"/>
            <w:vAlign w:val="bottom"/>
            <w:tcBorders>
              <w:top w:val="single" w:sz="8" w:color="CCEEFF"/>
            </w:tcBorders>
            <w:shd w:val="clear" w:color="auto" w:fill="CCEEFF"/>
          </w:tcPr>
          <w:p>
            <w:pPr>
              <w:jc w:val="right"/>
              <w:ind w:right="19"/>
              <w:spacing w:after="0" w:line="170" w:lineRule="exact"/>
              <w:rPr>
                <w:sz w:val="20"/>
                <w:szCs w:val="20"/>
                <w:color w:val="auto"/>
              </w:rPr>
            </w:pPr>
            <w:r>
              <w:rPr>
                <w:rFonts w:ascii="Arial" w:cs="Arial" w:eastAsia="Arial" w:hAnsi="Arial"/>
                <w:sz w:val="16"/>
                <w:szCs w:val="16"/>
                <w:color w:val="auto"/>
              </w:rPr>
              <w:t>[a]</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95"/>
              </w:rPr>
              <w:t>1,818,182</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0.22</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[a]</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394,736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03/01/2017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03/01/2017</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common stock 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2,237,918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7/25/2019</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[b]</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988,522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395,804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0.51</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113,587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10/20/2015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10/20/2025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708,120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11/9/2025</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437,111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7</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12/22/2016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12/22/2026</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174,844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0.56</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2,817,988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outstanding common and redeemable convertible preferred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2"/>
          </w:tcPr>
          <w:p>
            <w:pPr>
              <w:ind w:left="480"/>
              <w:spacing w:after="0"/>
              <w:rPr>
                <w:sz w:val="20"/>
                <w:szCs w:val="20"/>
                <w:color w:val="auto"/>
              </w:rPr>
            </w:pPr>
            <w:r>
              <w:rPr>
                <w:rFonts w:ascii="Arial" w:cs="Arial" w:eastAsia="Arial" w:hAnsi="Arial"/>
                <w:sz w:val="16"/>
                <w:szCs w:val="16"/>
                <w:color w:val="auto"/>
              </w:rPr>
              <w:t>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5,055,906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20" w:right="60" w:hanging="316"/>
        <w:spacing w:after="0" w:line="221" w:lineRule="auto"/>
        <w:tabs>
          <w:tab w:leader="none" w:pos="5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20" w:right="80" w:hanging="316"/>
        <w:spacing w:after="0" w:line="237" w:lineRule="auto"/>
        <w:tabs>
          <w:tab w:leader="none" w:pos="5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The warrants will be exercisable for 10 years from the date of issuance.</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connection with previously issued debt, the Company issued 1,818,182 warrants to purchase common shares of the Company at an exercise price of $0.22 cents per share in July 2013. Additionally, the Company issued warrants to purchase an additional 394,736 shares of common stock at an exercise price of $0.19 cents per share in November 2014. The Company determined that its warrants to purchase shares of common stock meet the requirements for equity classification.</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to purchase an aggregate of 988,522 shares of Series 5 preferred stock of the Company at an exercise price of $0.51 per share.</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conjunction with debt issued in 2013 and 2014, the Company issued 395,804 warrants to purchase Series 5 redeemable convertible preferred stock of the Company at an exercise price of $0.51 cents per share. Subsequently, the Company issued additional warrants to purchase 113,587 shares of Series 6 redeemable convertible preferred stock at an exercise price of $0.92 per share.</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conjunction with the debt agreement with SVB and Oxford, or Term Loan agreement, (refer to Note 6), the Company issued warrants to purchase 708,120 shares of Series 6 redeemable convertible preferred stock at an exercise price of $0.92 cents per price in October 2015 and additional 437,111 shares of Series 6 redeemable convertible preferred stock at an exercise price of $0.92 per share in November 2015.</w:t>
      </w:r>
    </w:p>
    <w:p>
      <w:pPr>
        <w:spacing w:after="0" w:line="166"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conjunction with the Term Loan agreement and its modification (refer to Note 6), the Company issued additional warrants for the purchase of 174,844 shares of Series 7 redeemable convertible preferred stock at an exercise price of $0.56 per share in December 2016.</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fair value of warrants to purchase preferred stock were recorded at the date of issuance as a discount to debt and amortized to interest expense over the term of the note. The changes in the fair value of the redeemable convertible preferred stock warrants are recorded in other income and expense.</w:t>
      </w:r>
    </w:p>
    <w:p>
      <w:pPr>
        <w:spacing w:after="0" w:line="124"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March 2017, the Company issued a warrant to purchase 25,000 shares of common stock at an exercise price of $0.33 to a non-employee. The Company determined that such warrant meets the requirements for equity classification.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2017, the Company extinguished its debt with SVB and Oxford. All related debt discounts were written off upon repayment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Weighted-average assumptions used in computation of the fair value of the redeemable convertible preferred stock warrants are summarized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12"/>
                <w:szCs w:val="12"/>
                <w:color w:val="auto"/>
              </w:rPr>
            </w:pPr>
          </w:p>
        </w:tc>
        <w:tc>
          <w:tcPr>
            <w:tcW w:w="1260" w:type="dxa"/>
            <w:vAlign w:val="bottom"/>
            <w:tcBorders>
              <w:bottom w:val="single" w:sz="8" w:color="auto"/>
            </w:tcBorders>
          </w:tcPr>
          <w:p>
            <w:pPr>
              <w:jc w:val="right"/>
              <w:ind w:right="738"/>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44.77%</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59.06%</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49.70%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53.83%</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126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2017, a total of 96,301,442 shares of common stock have been reserved for issuance under the Plan. 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under the Plan for the years ended December 31, 2016 and 2017 and June 30, 2018 (unaudited):</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Options Outstanding</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1"/>
              <w:spacing w:after="0"/>
              <w:rPr>
                <w:sz w:val="20"/>
                <w:szCs w:val="20"/>
                <w:color w:val="auto"/>
              </w:rPr>
            </w:pPr>
            <w:r>
              <w:rPr>
                <w:rFonts w:ascii="Arial" w:cs="Arial" w:eastAsia="Arial" w:hAnsi="Arial"/>
                <w:sz w:val="14"/>
                <w:szCs w:val="14"/>
                <w:b w:val="1"/>
                <w:bCs w:val="1"/>
                <w:color w:val="auto"/>
                <w:w w:val="90"/>
              </w:rPr>
              <w:t>share</w:t>
            </w:r>
          </w:p>
        </w:tc>
        <w:tc>
          <w:tcPr>
            <w:tcW w:w="4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44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5,708,252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36,635,349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Additions to the Plan</w:t>
            </w:r>
          </w:p>
        </w:tc>
        <w:tc>
          <w:tcPr>
            <w:tcW w:w="920" w:type="dxa"/>
            <w:vAlign w:val="bottom"/>
          </w:tcPr>
          <w:p>
            <w:pPr>
              <w:jc w:val="right"/>
              <w:spacing w:after="0"/>
              <w:rPr>
                <w:sz w:val="20"/>
                <w:szCs w:val="20"/>
                <w:color w:val="auto"/>
              </w:rPr>
            </w:pPr>
            <w:r>
              <w:rPr>
                <w:rFonts w:ascii="Arial" w:cs="Arial" w:eastAsia="Arial" w:hAnsi="Arial"/>
                <w:sz w:val="18"/>
                <w:szCs w:val="18"/>
                <w:color w:val="auto"/>
              </w:rPr>
              <w:t>9,688,409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(11,967,085)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11,967,085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(2,193,125)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2,087,127</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(2,087,127)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repurchased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5,670,695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44,322,182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Additions to the Plan</w:t>
            </w:r>
          </w:p>
        </w:tc>
        <w:tc>
          <w:tcPr>
            <w:tcW w:w="920" w:type="dxa"/>
            <w:vAlign w:val="bottom"/>
          </w:tcPr>
          <w:p>
            <w:pPr>
              <w:jc w:val="right"/>
              <w:spacing w:after="0"/>
              <w:rPr>
                <w:sz w:val="20"/>
                <w:szCs w:val="20"/>
                <w:color w:val="auto"/>
              </w:rPr>
            </w:pPr>
            <w:r>
              <w:rPr>
                <w:rFonts w:ascii="Arial" w:cs="Arial" w:eastAsia="Arial" w:hAnsi="Arial"/>
                <w:sz w:val="18"/>
                <w:szCs w:val="18"/>
                <w:color w:val="auto"/>
              </w:rPr>
              <w:t>7,800,000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(15,769,846)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15,769,846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(2,826,765)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3,221,290</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(3,221,290)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922,139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54,043,973</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968,500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(1,874,607)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913,835</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(913,835)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52,224,031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exercisable-December 31, 2017</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27,642,470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vest-December 31, 2017</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49,896,115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 vested and exercisable—June 30, 2018 (unaudited)</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31,872,331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w w:val="97"/>
              </w:rPr>
              <w:t>Options vested and expected to vest— June 30, 2018 (unaudited)</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48,147,600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aggregate intrinsic values of options outstanding, options exercisable, options vested and exercisable, and options vested and expected to vest were calculated as the difference between the exercise price of the options and the estimated fair value of the Company’s common stock, as determined by the board of directors, as of December 31, 2016, December 31, 2017 and June 30, 2018 (unaudited). The total grant date fair value of options that vested during each of the years ended December 31, 2016 and 2017 was $0.9 million, and $0.3 million (unaudited) and $0.6 million (unaudited) for the six months ended June 30, 2017 and 2018, respectively.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2017:</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7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3"/>
          </w:tcPr>
          <w:p>
            <w:pPr>
              <w:ind w:left="1140"/>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jc w:val="center"/>
              <w:ind w:left="634"/>
              <w:spacing w:after="0"/>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19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5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40" w:type="dxa"/>
            <w:vAlign w:val="bottom"/>
            <w:gridSpan w:val="3"/>
          </w:tcPr>
          <w:p>
            <w:pPr>
              <w:jc w:val="right"/>
              <w:ind w:right="1160"/>
              <w:spacing w:after="0" w:line="145" w:lineRule="exact"/>
              <w:rPr>
                <w:sz w:val="20"/>
                <w:szCs w:val="20"/>
                <w:color w:val="auto"/>
              </w:rPr>
            </w:pPr>
            <w:r>
              <w:rPr>
                <w:rFonts w:ascii="Arial" w:cs="Arial" w:eastAsia="Arial" w:hAnsi="Arial"/>
                <w:sz w:val="14"/>
                <w:szCs w:val="14"/>
                <w:b w:val="1"/>
                <w:bCs w:val="1"/>
                <w:color w:val="auto"/>
              </w:rPr>
              <w:t>Contractual</w:t>
            </w:r>
          </w:p>
        </w:tc>
        <w:tc>
          <w:tcPr>
            <w:tcW w:w="8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6"/>
        </w:trPr>
        <w:tc>
          <w:tcPr>
            <w:tcW w:w="2560" w:type="dxa"/>
            <w:vAlign w:val="bottom"/>
          </w:tcPr>
          <w:p>
            <w:pPr>
              <w:jc w:val="center"/>
              <w:ind w:left="634"/>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1140" w:type="dxa"/>
            <w:vAlign w:val="bottom"/>
          </w:tcPr>
          <w:p>
            <w:pPr>
              <w:spacing w:after="0"/>
              <w:rPr>
                <w:sz w:val="15"/>
                <w:szCs w:val="15"/>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Vested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9"/>
              </w:rPr>
              <w:t>$0.015 – $0.18</w:t>
            </w:r>
          </w:p>
        </w:tc>
        <w:tc>
          <w:tcPr>
            <w:tcW w:w="7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5,529,514</w:t>
            </w: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5,341,480</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$0.19 – $0.21</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10,917,766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9,198,695</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$0.22 – $0.23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3,029,079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2,879,079</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$0.24 – $0.24</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19,220,707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9,462,322</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$0.25 – $0.26</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10,459,300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583,200</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$0.27 – $0.54</w:t>
            </w:r>
          </w:p>
        </w:tc>
        <w:tc>
          <w:tcPr>
            <w:tcW w:w="1840" w:type="dxa"/>
            <w:vAlign w:val="bottom"/>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4,887,607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177,694</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54,043,973</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27,642,470</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under the Plan at June 30, 2018 (unaudited):</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70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5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3"/>
          </w:tcPr>
          <w:p>
            <w:pPr>
              <w:ind w:left="1140"/>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jc w:val="center"/>
              <w:ind w:left="634"/>
              <w:spacing w:after="0"/>
              <w:rPr>
                <w:sz w:val="20"/>
                <w:szCs w:val="20"/>
                <w:color w:val="auto"/>
              </w:rPr>
            </w:pPr>
            <w:r>
              <w:rPr>
                <w:rFonts w:ascii="Arial" w:cs="Arial" w:eastAsia="Arial" w:hAnsi="Arial"/>
                <w:sz w:val="14"/>
                <w:szCs w:val="14"/>
                <w:b w:val="1"/>
                <w:bCs w:val="1"/>
                <w:color w:val="auto"/>
                <w:w w:val="90"/>
              </w:rPr>
              <w:t>Exercise</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19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5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40" w:type="dxa"/>
            <w:vAlign w:val="bottom"/>
            <w:gridSpan w:val="3"/>
          </w:tcPr>
          <w:p>
            <w:pPr>
              <w:jc w:val="right"/>
              <w:ind w:right="1160"/>
              <w:spacing w:after="0" w:line="145" w:lineRule="exact"/>
              <w:rPr>
                <w:sz w:val="20"/>
                <w:szCs w:val="20"/>
                <w:color w:val="auto"/>
              </w:rPr>
            </w:pPr>
            <w:r>
              <w:rPr>
                <w:rFonts w:ascii="Arial" w:cs="Arial" w:eastAsia="Arial" w:hAnsi="Arial"/>
                <w:sz w:val="14"/>
                <w:szCs w:val="14"/>
                <w:b w:val="1"/>
                <w:bCs w:val="1"/>
                <w:color w:val="auto"/>
              </w:rPr>
              <w:t>Contractual</w:t>
            </w:r>
          </w:p>
        </w:tc>
        <w:tc>
          <w:tcPr>
            <w:tcW w:w="8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6"/>
        </w:trPr>
        <w:tc>
          <w:tcPr>
            <w:tcW w:w="2560" w:type="dxa"/>
            <w:vAlign w:val="bottom"/>
          </w:tcPr>
          <w:p>
            <w:pPr>
              <w:jc w:val="center"/>
              <w:ind w:left="634"/>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1140" w:type="dxa"/>
            <w:vAlign w:val="bottom"/>
          </w:tcPr>
          <w:p>
            <w:pPr>
              <w:spacing w:after="0"/>
              <w:rPr>
                <w:sz w:val="15"/>
                <w:szCs w:val="15"/>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Vested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89"/>
              </w:rPr>
              <w:t>$0.015 – $0.18</w:t>
            </w:r>
          </w:p>
        </w:tc>
        <w:tc>
          <w:tcPr>
            <w:tcW w:w="7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5,522,014</w:t>
            </w: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5,375,138</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$0.19 – $0.21</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10,724,461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10,365,422</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$0.22 – $0.23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2,877,204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2,727,204</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$0.24 – $0.24</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18,252,606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11,069,978</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0"/>
              </w:rPr>
              <w:t>$0.25 – $0.26</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10,186,017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1,723,975</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jc w:val="center"/>
              <w:ind w:left="634"/>
              <w:spacing w:after="0"/>
              <w:rPr>
                <w:sz w:val="20"/>
                <w:szCs w:val="20"/>
                <w:color w:val="auto"/>
              </w:rPr>
            </w:pPr>
            <w:r>
              <w:rPr>
                <w:rFonts w:ascii="Arial" w:cs="Arial" w:eastAsia="Arial" w:hAnsi="Arial"/>
                <w:sz w:val="18"/>
                <w:szCs w:val="18"/>
                <w:color w:val="auto"/>
                <w:w w:val="90"/>
              </w:rPr>
              <w:t>$0.27 – $0.54</w:t>
            </w:r>
          </w:p>
        </w:tc>
        <w:tc>
          <w:tcPr>
            <w:tcW w:w="1840" w:type="dxa"/>
            <w:vAlign w:val="bottom"/>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4,661,729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610,614</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52,224,031</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31,872,331</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December 31, 2016 and 2017, and June 30, 2018, the Company had a total of 854,104, 290,180 and 1,153,991 (unaudited) shares of common stock, respectively, subject to repurchase under the Plan and $0.2 million, $0.1 million and $0.3 million (unaudited), respectively, of associated liabilities for the repurchase.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stock-based compensation expense related to options granted for the periods presented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vMerge w:val="restart"/>
          </w:tcPr>
          <w:p>
            <w:pPr>
              <w:jc w:val="right"/>
              <w:ind w:right="113"/>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360" w:firstLine="441"/>
        <w:spacing w:after="0" w:line="277" w:lineRule="auto"/>
        <w:rPr>
          <w:sz w:val="20"/>
          <w:szCs w:val="20"/>
          <w:color w:val="auto"/>
        </w:rPr>
      </w:pPr>
      <w:r>
        <w:rPr>
          <w:rFonts w:ascii="Arial" w:cs="Arial" w:eastAsia="Arial" w:hAnsi="Arial"/>
          <w:sz w:val="18"/>
          <w:szCs w:val="18"/>
          <w:color w:val="auto"/>
        </w:rPr>
        <w:t>Amounts above do not include $0.4 million of stock-based compensation expense related to forgiveness of notes receivable for the year ended December 31, 2017 and the six months ended June 30, 2018. Refer to Note 13 for details.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During the years ended December 31, 2016 and 2017 and the six months ended June 30, 2017 and 2018, the Company granted stock options to employees to purchase 11,917,085, 15,769,846, 11,511,051 (unaudited) and 961,000 (unaudited) shares of common stock, respectively, with a weighted-average grant date fair value of $0.20, $0.10, $0.17 (unaudited) and $0.11 (unaudited), respectively. As of December 31, 2017, there was a total unrecognized compensation cost of $2.9 million. These costs are expected to be recognized over a period of approximately 2.5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Stock Options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March 2017, the Company granted 10,153,900 performance stock options at a grant price of $0.33, of which 7,353,900 performance options will vest monthly over four years and 2,800,000 performance options will vest monthly over three years. The vesting period will begin on the date of the closing of an IPO, the performance condition, subject to the optionee’s continuous service. Stock-based compensation expense for performance stock options is based on the probability of achieving certain performance criteria, as defined in the individual option grant agreement. Periodically, the Company estimates the number of performance options ultimately expected to vest and recognizes stock-based compensation expense for those options when it becomes probable that the performance criteria will be met. As of December 31, 2017 and June 30, 2018, an IPO was not deemed probable and thus no expense was recognized. In December 2017, a portion of these option grants were modified as described in the options modification/repricing section below.</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fair value of the shares of the Company’s common stock underlying the stock options has historically been determined by the Company’s Board of Directors. Because there has been no public market for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color w:val="auto"/>
        </w:rPr>
        <w:t>Company’s common stock, its Board of Directors has determined the fair value of the Company’s common stock at the time of grant of the option by considering a number of objective and subjective factors, including independent third-party valuations, the Company’s stage of development, sales of the Company’s redeemable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2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26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91"/>
              </w:rPr>
              <w:t>6.25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44%-54%</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42%-55%</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43%-55%</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42%-45%</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gridSpan w:val="2"/>
            <w:shd w:val="clear" w:color="auto" w:fill="CCEEFF"/>
          </w:tcPr>
          <w:p>
            <w:pPr>
              <w:jc w:val="center"/>
              <w:ind w:left="1830"/>
              <w:spacing w:after="0"/>
              <w:rPr>
                <w:sz w:val="20"/>
                <w:szCs w:val="20"/>
                <w:color w:val="auto"/>
              </w:rPr>
            </w:pPr>
            <w:r>
              <w:rPr>
                <w:rFonts w:ascii="Arial" w:cs="Arial" w:eastAsia="Arial" w:hAnsi="Arial"/>
                <w:sz w:val="18"/>
                <w:szCs w:val="18"/>
                <w:color w:val="auto"/>
                <w:w w:val="90"/>
              </w:rPr>
              <w:t>1.14%-2.19%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1.73%-2.31%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1.76%-2.28%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2.35%-2.93%</w:t>
            </w: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Dividend yield</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35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80" w:type="dxa"/>
            <w:vAlign w:val="bottom"/>
            <w:gridSpan w:val="3"/>
          </w:tcPr>
          <w:p>
            <w:pPr>
              <w:ind w:left="1880"/>
              <w:spacing w:after="0"/>
              <w:rPr>
                <w:sz w:val="20"/>
                <w:szCs w:val="20"/>
                <w:color w:val="auto"/>
              </w:rPr>
            </w:pPr>
            <w:r>
              <w:rPr>
                <w:rFonts w:ascii="Arial" w:cs="Arial" w:eastAsia="Arial" w:hAnsi="Arial"/>
                <w:sz w:val="18"/>
                <w:szCs w:val="18"/>
                <w:color w:val="auto"/>
              </w:rPr>
              <w:t>F-34</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Non-Employee Stock-Based Compensation</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During the years ended December 31, 2016 and 2017 and the six months ended June 30, 2017 and 2018, the Company granted 50,000, 12,000, 12,000 (unaudited) and 12,500 (unaudited) stock options, respectively, to nonemployees, at an average exercise price of $0.54, $0.33, $0.33 (unaudited) and $0.26 (unaudited) per share, respectively. The stock-based compensation expense was insignificant for the all periods presented.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Option Modification/Repricing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July 2016, the Company modified the terms of 10,365,515 vested and unvested stock option awards by reducing their exercise price from $0.44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$0.54 to $0.24 per share. There was no change in any of the other terms of the option awards. The modification resulted in an incremental value of</w:t>
      </w:r>
    </w:p>
    <w:p>
      <w:pPr>
        <w:spacing w:after="0" w:line="32"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$0.4 million being allocated to the options, of which $0.1 million was recognized to expense immediately based on options that were vested at the time of the modification. The remaining incremental value of $0.3 million attributable to unvested shares at December 31, 2016 will be recognized over a weighted-average remaining term of 2.55 years.</w:t>
      </w:r>
    </w:p>
    <w:p>
      <w:pPr>
        <w:spacing w:after="0" w:line="19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December 2017, the Company modified the terms of 7,103,900 unvested stock option awards granted in March 2017, by reducing their exercise price from $0.33 to $0.26 per share. In addition, the vesting performance conditions for these options were removed and the vesting commencement date changed from the IPO date to September 2017. There were no other changes in any of the other terms of the option awards. Due to these options previously subject to performance conditions that were not deemed probable of occurring, the Company had not recognized any expense related to these grants. The modification resulted in total expense of $0.8 million that is recognized over the amended vesting period of forty-eight months.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Company’s loss before income taxes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(20,589)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(23,028)</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40" w:type="dxa"/>
            <w:vAlign w:val="bottom"/>
            <w:gridSpan w:val="2"/>
          </w:tcPr>
          <w:p>
            <w:pPr>
              <w:jc w:val="right"/>
              <w:ind w:right="3265"/>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tax expense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6,810</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deferred tax expense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7,751</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(7,751)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Net deferred tax expense</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60" w:type="dxa"/>
            <w:vAlign w:val="bottom"/>
            <w:gridSpan w:val="5"/>
          </w:tcPr>
          <w:p>
            <w:pPr>
              <w:ind w:left="420"/>
              <w:spacing w:after="0"/>
              <w:rPr>
                <w:sz w:val="20"/>
                <w:szCs w:val="20"/>
                <w:color w:val="auto"/>
              </w:rPr>
            </w:pPr>
            <w:r>
              <w:rPr>
                <w:rFonts w:ascii="Arial" w:cs="Arial" w:eastAsia="Arial" w:hAnsi="Arial"/>
                <w:sz w:val="18"/>
                <w:szCs w:val="18"/>
                <w:color w:val="auto"/>
                <w:w w:val="98"/>
              </w:rPr>
              <w:t>Income tax expense differs from the amount computed by applying the statutory federal income tax rate due to the following:</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20" w:type="dxa"/>
            <w:vAlign w:val="bottom"/>
          </w:tcPr>
          <w:p>
            <w:pPr>
              <w:spacing w:after="0"/>
              <w:rPr>
                <w:sz w:val="18"/>
                <w:szCs w:val="18"/>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Measurement of deferred taxes as a result of tax reform</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18"/>
                <w:szCs w:val="18"/>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0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presented below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Accruals and reserves</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(43,347)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(35,835)</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Company has established a full valuation allowance against its deferred tax assets due to the uncertainty surrounding realization of such assets. The valuation allowance decreased by $7.5 million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December 31, 2017, due to an increase in total deferred tax assets and a decrease in the deferred tax assets related to the reduction of the U.S. corporate income tax rate from the Tax Cuts and Jobs Act (“2017 Tax Act”).</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As of December 31, 2017, the Company had net operating loss (“NOL”) carryforwards of approximately $124.9 million and $101.7 million available to reduce future taxable income, if any, for federal and state income tax purposes, respectively. If not utilized, the Company’s federal NOL carryforward begins to expire in 2029, and the state NOL carryforward begins to expire in 2019.</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of December 31, 2017, the Company had research credit carryforwards of approximately $1.6 million and $1.7 million available to reduce future taxable income, if any, for both federal and state income tax purposes, respectively. The federal research credits begin to expire in 2030, and the state research credits have no expiration date.</w:t>
      </w:r>
    </w:p>
    <w:p>
      <w:pPr>
        <w:spacing w:after="0" w:line="181" w:lineRule="exact"/>
        <w:rPr>
          <w:sz w:val="20"/>
          <w:szCs w:val="20"/>
          <w:color w:val="auto"/>
        </w:rPr>
      </w:pPr>
    </w:p>
    <w:p>
      <w:pPr>
        <w:ind w:left="200" w:right="380" w:firstLine="441"/>
        <w:spacing w:after="0" w:line="288" w:lineRule="auto"/>
        <w:rPr>
          <w:sz w:val="20"/>
          <w:szCs w:val="20"/>
          <w:color w:val="auto"/>
        </w:rPr>
      </w:pPr>
      <w:r>
        <w:rPr>
          <w:rFonts w:ascii="Arial" w:cs="Arial" w:eastAsia="Arial" w:hAnsi="Arial"/>
          <w:sz w:val="16"/>
          <w:szCs w:val="16"/>
          <w:color w:val="auto"/>
        </w:rPr>
        <w:t>Utilization of the Company’s NOL and tax credit carryforwards may be subject to a substantial annual limitation due to the ownership change limitations included in the Internal Revenue Code of 1986 (“Section 382”) and similar state provisions. The annual limitation may result in the expiration of NOL and credits before utilization. The Company has determined that it experienced Section 382 ownership changes in 2010 and</w:t>
      </w:r>
    </w:p>
    <w:p>
      <w:pPr>
        <w:ind w:left="200" w:right="160"/>
        <w:spacing w:after="0" w:line="261" w:lineRule="auto"/>
        <w:rPr>
          <w:sz w:val="20"/>
          <w:szCs w:val="20"/>
          <w:color w:val="auto"/>
        </w:rPr>
      </w:pPr>
      <w:r>
        <w:rPr>
          <w:rFonts w:ascii="Arial" w:cs="Arial" w:eastAsia="Arial" w:hAnsi="Arial"/>
          <w:sz w:val="18"/>
          <w:szCs w:val="18"/>
          <w:color w:val="auto"/>
        </w:rPr>
        <w:t>$1.4 million of its NOLs are limited. The Company does not expect any additional NOL carryforwards or its credits as of December 31, 2017 to expire as a result of Section 382.</w:t>
      </w:r>
    </w:p>
    <w:p>
      <w:pPr>
        <w:spacing w:after="0" w:line="184"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2016 and 2017 consisted of the following (in thousands):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as of January 1, 2016</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2016</w:t>
            </w:r>
          </w:p>
        </w:tc>
        <w:tc>
          <w:tcPr>
            <w:tcW w:w="30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2016</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2017</w:t>
            </w:r>
          </w:p>
        </w:tc>
        <w:tc>
          <w:tcPr>
            <w:tcW w:w="30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2017</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40" w:firstLine="441"/>
        <w:spacing w:after="0" w:line="286"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accrued zero at December 31, 2016 and 2017 for payment of interest related to unrecognized tax benefits. None of the Company’s unrecognized tax benefits that, if recognized, would affect its effective tax rate at December 31, 2017.</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Company currently has no federal or state tax examinations in progress nor has it had any federal or state examinations since inception. As a result of the Company’s NOL carryforwards, all of its tax years are subject to federal and state tax examinations.</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 is subject to the provisions of the ASC 740-10, Income Taxes, which requires that the effect on deferred tax assets and liabilities of a change in tax rates be recognized in the period the tax rate change was enacted. The carrying value of U.S. deferred taxes is determined by the enacted U.S. corporate income tax rate. Consequently, the reduction in the U.S. corporate income tax rate as a result of the United States enacted law commonly known as the 2017 Tax Act, which makes widespread changes to the Internal Revenue Code, impacts the carrying value of deferred tax assets. Under the new corporate income tax rate of 21% of the U.S. net deferred tax asset position decreased by approximately $15.8 million. Uncertainty regarding the impact of tax reform remains, as a result of factors including future regulatory and rulemaking processes, the prospects of additional corrective or supplemental legislation, potential trade or other litigation, and other factors.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for the tax effect of the 2017 Tax Act. SAB 118 provides a measurement period that should not extend beyond one year from the 2017 Tax Act’s enactment date for companies to complete the accounting under Accounting Standards Codification Topic 740, Income Taxes (“ASC 740”). In accordance with SAB 118, the Company must reflect the income tax effects of those aspects of the 2017 Tax Act for which the accounting under ASC 740 is complete. To the extent that its accounting for certain income tax effects of the 2017 Tax Act is incomplete, but the Company is able to determine a reasonable estimate, the Company must record a provisional estimate in its consolidated financial statements. If the Company cannot determine a provisional estimate to be included in its consolidated financial statements, the Company should continue to apply ASC 740 on the basis of the provisions of the tax laws that were in effect immediately before the enactment of the 2017 Tax Act. It is expected that the U.S. Treasury will issue regulations and other guidance on the application of certain provisions of the 2017 Tax Act. The Company will analyze that guidance and other necessary information to refine its estimates and complete its accounting for the tax effects of the 2017 Tax Act, as necessary. The Company considers the accounting of the deferred tax re-measurements to be complete. However, ongoing guidance and accounting interpretation are expected in the near term and the Company expects to complete its analysis within the measurement period in accordance with SAB 118.</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March 2013, the Company granted a loan to its then current Chief Financial Officer to assist with the exercise of his stock option grants in the form of a full recourse promissory note with an aggregate principal amount of $0.2 million. The note is collateralized by the common stock issued upon the exercise of the stock options, as well as personal assets of the borrower. Interest under this note will accrue at the rate of 1.09% per annum. In November 2016, the loan amount was partially repaid in the amount of $0.1 million (including principal and interest). The remainder of the principal balance of this note, together with all accrued and unpaid interest to date, was fully paid in December 2017.</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February 2014, the Company granted a loan to its Chief Executive Officer to assist with the exercise of his stock option grants in the form of a full recourse promissory note with an aggregate principal amount of $0.4 million.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Interest under this note will accrue at the rate of 1.97% per annum. The principal balance of this note, together with all accrued and unpaid interest to date, is due in February 2019.</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March 2017, the Company forgave $0.2 million of principal and interest due on a promissory note from its Chief Executive Officer. In addition, the Board of Directors approved the forgiveness of the remaining 50% of the principal balance of the note upon the earlier of an IPO, change of control, or January 1, 2018. At the time of the forgiveness, all of the related stock options were fully vested. As a result, the Company has expensed the principal note balance of $0.4 million to stock-based compensation expense and accrued interest of $0.1 million to general and administrative expenses in the consolidated statement of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jc w:val="right"/>
        <w:ind w:left="640" w:right="7860" w:hanging="436"/>
        <w:spacing w:after="0" w:line="425" w:lineRule="auto"/>
        <w:tabs>
          <w:tab w:leader="none" w:pos="469"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ind w:left="64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computation of basic and diluted net loss per share (in thousands, except share and per share data):</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left="619"/>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(23,039)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w w:val="96"/>
              </w:rPr>
              <w:t>Weighted-average shares used to compute basic and diluted net</w:t>
            </w: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59,659,307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62,411,906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62,024,861</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64,862,952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Unvested shares for the years ended December 31, 2016 and 2017 and the six months ended June 30, 2017 (unaudited) and 2018 (unaudited) were excluded from the weighted average shares used to compute basic and diluted net loss per share.</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2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717"/>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2"/>
          </w:tcPr>
          <w:p>
            <w:pPr>
              <w:jc w:val="right"/>
              <w:ind w:right="753"/>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44,322,182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54,043,973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55,366,615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52,224,031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subject to repurchase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854,104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290,180</w:t>
            </w:r>
          </w:p>
        </w:tc>
        <w:tc>
          <w:tcPr>
            <w:tcW w:w="280" w:type="dxa"/>
            <w:vAlign w:val="bottom"/>
          </w:tcPr>
          <w:p>
            <w:pPr>
              <w:spacing w:after="0"/>
              <w:rPr>
                <w:sz w:val="18"/>
                <w:szCs w:val="18"/>
                <w:color w:val="auto"/>
              </w:rPr>
            </w:pPr>
          </w:p>
        </w:tc>
        <w:tc>
          <w:tcPr>
            <w:tcW w:w="1460" w:type="dxa"/>
            <w:vAlign w:val="bottom"/>
          </w:tcPr>
          <w:p>
            <w:pPr>
              <w:jc w:val="right"/>
              <w:ind w:right="337"/>
              <w:spacing w:after="0"/>
              <w:rPr>
                <w:sz w:val="20"/>
                <w:szCs w:val="20"/>
                <w:color w:val="auto"/>
              </w:rPr>
            </w:pPr>
            <w:r>
              <w:rPr>
                <w:rFonts w:ascii="Arial" w:cs="Arial" w:eastAsia="Arial" w:hAnsi="Arial"/>
                <w:sz w:val="18"/>
                <w:szCs w:val="18"/>
                <w:color w:val="auto"/>
              </w:rPr>
              <w:t>615,251</w:t>
            </w:r>
          </w:p>
        </w:tc>
        <w:tc>
          <w:tcPr>
            <w:tcW w:w="920" w:type="dxa"/>
            <w:vAlign w:val="bottom"/>
          </w:tcPr>
          <w:p>
            <w:pPr>
              <w:jc w:val="right"/>
              <w:spacing w:after="0"/>
              <w:rPr>
                <w:sz w:val="20"/>
                <w:szCs w:val="20"/>
                <w:color w:val="auto"/>
              </w:rPr>
            </w:pPr>
            <w:r>
              <w:rPr>
                <w:rFonts w:ascii="Arial" w:cs="Arial" w:eastAsia="Arial" w:hAnsi="Arial"/>
                <w:sz w:val="18"/>
                <w:szCs w:val="18"/>
                <w:color w:val="auto"/>
              </w:rPr>
              <w:t>1,153,991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206,835,359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217,201,525</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217,201,525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217,201,525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2,878,694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2,891,973</w:t>
            </w:r>
          </w:p>
        </w:tc>
        <w:tc>
          <w:tcPr>
            <w:tcW w:w="280" w:type="dxa"/>
            <w:vAlign w:val="bottom"/>
          </w:tcPr>
          <w:p>
            <w:pPr>
              <w:spacing w:after="0"/>
              <w:rPr>
                <w:sz w:val="18"/>
                <w:szCs w:val="18"/>
                <w:color w:val="auto"/>
              </w:rPr>
            </w:pPr>
          </w:p>
        </w:tc>
        <w:tc>
          <w:tcPr>
            <w:tcW w:w="1460" w:type="dxa"/>
            <w:vAlign w:val="bottom"/>
          </w:tcPr>
          <w:p>
            <w:pPr>
              <w:jc w:val="right"/>
              <w:ind w:right="337"/>
              <w:spacing w:after="0"/>
              <w:rPr>
                <w:sz w:val="20"/>
                <w:szCs w:val="20"/>
                <w:color w:val="auto"/>
              </w:rPr>
            </w:pPr>
            <w:r>
              <w:rPr>
                <w:rFonts w:ascii="Arial" w:cs="Arial" w:eastAsia="Arial" w:hAnsi="Arial"/>
                <w:sz w:val="18"/>
                <w:szCs w:val="18"/>
                <w:color w:val="auto"/>
              </w:rPr>
              <w:t>2,891,973</w:t>
            </w:r>
          </w:p>
        </w:tc>
        <w:tc>
          <w:tcPr>
            <w:tcW w:w="920" w:type="dxa"/>
            <w:vAlign w:val="bottom"/>
          </w:tcPr>
          <w:p>
            <w:pPr>
              <w:jc w:val="right"/>
              <w:spacing w:after="0"/>
              <w:rPr>
                <w:sz w:val="20"/>
                <w:szCs w:val="20"/>
                <w:color w:val="auto"/>
              </w:rPr>
            </w:pPr>
            <w:r>
              <w:rPr>
                <w:rFonts w:ascii="Arial" w:cs="Arial" w:eastAsia="Arial" w:hAnsi="Arial"/>
                <w:sz w:val="18"/>
                <w:szCs w:val="18"/>
                <w:color w:val="auto"/>
              </w:rPr>
              <w:t>2,891,973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2,212,918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2,237,918</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2,237,918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2,237,918</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20" w:type="dxa"/>
            <w:vAlign w:val="bottom"/>
            <w:gridSpan w:val="3"/>
          </w:tcPr>
          <w:p>
            <w:pPr>
              <w:ind w:left="900"/>
              <w:spacing w:after="0"/>
              <w:rPr>
                <w:sz w:val="20"/>
                <w:szCs w:val="20"/>
                <w:color w:val="auto"/>
              </w:rPr>
            </w:pPr>
            <w:r>
              <w:rPr>
                <w:rFonts w:ascii="Arial" w:cs="Arial" w:eastAsia="Arial" w:hAnsi="Arial"/>
                <w:sz w:val="18"/>
                <w:szCs w:val="18"/>
                <w:color w:val="auto"/>
              </w:rPr>
              <w:t>F-39</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2120" w:type="dxa"/>
            <w:vAlign w:val="bottom"/>
            <w:gridSpan w:val="4"/>
          </w:tcPr>
          <w:p>
            <w:pPr>
              <w:jc w:val="center"/>
              <w:ind w:left="66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(23,039)</w:t>
            </w:r>
          </w:p>
        </w:tc>
        <w:tc>
          <w:tcPr>
            <w:tcW w:w="10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0" w:type="dxa"/>
            <w:vAlign w:val="bottom"/>
            <w:gridSpan w:val="2"/>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reflect the assumed conversion of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217,201,525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217,201,525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rPr>
              <w:t>Adjustment to reflect automatic net exercise of redeemable convertible preferred stock warrants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into common stock</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weighted average common shares used to compute net loss per share, basic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preferred stock outstanding</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consolidated financial statements reflect management’s evaluation of subsequent events through July 31, 2018, the date the consolidated financial statements were available to be issued.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right"/>
        <w:ind w:right="45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847725</wp:posOffset>
            </wp:positionV>
            <wp:extent cx="2573020" cy="10033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30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ectPr>
          <w:pgSz w:w="11900" w:h="16838" w:orient="portrait"/>
          <w:cols w:equalWidth="0" w:num="1">
            <w:col w:w="11220"/>
          </w:cols>
          <w:pgMar w:left="240" w:top="46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40" w:space="720"/>
            <w:col w:w="2760"/>
          </w:cols>
          <w:pgMar w:left="240" w:top="460" w:right="439" w:bottom="1440" w:gutter="0" w:footer="0" w:header="0"/>
          <w:type w:val="continuous"/>
        </w:sectPr>
      </w:pPr>
    </w:p>
    <w:p>
      <w:pPr>
        <w:spacing w:after="0" w:line="6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880" w:space="720"/>
            <w:col w:w="1620"/>
          </w:cols>
          <w:pgMar w:left="240" w:top="46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2018</w:t>
      </w:r>
    </w:p>
    <w:p>
      <w:pPr>
        <w:sectPr>
          <w:pgSz w:w="11900" w:h="16838" w:orient="portrait"/>
          <w:cols w:equalWidth="0" w:num="1">
            <w:col w:w="11220"/>
          </w:cols>
          <w:pgMar w:left="240" w:top="460" w:right="43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Payable by us</w:t>
            </w:r>
          </w:p>
        </w:tc>
      </w:tr>
      <w:tr>
        <w:trPr>
          <w:trHeight w:val="210"/>
        </w:trPr>
        <w:tc>
          <w:tcPr>
            <w:tcW w:w="20" w:type="dxa"/>
            <w:vAlign w:val="bottom"/>
          </w:tcPr>
          <w:p>
            <w:pPr>
              <w:spacing w:after="0"/>
              <w:rPr>
                <w:sz w:val="18"/>
                <w:szCs w:val="18"/>
                <w:color w:val="auto"/>
              </w:rPr>
            </w:pPr>
          </w:p>
        </w:tc>
        <w:tc>
          <w:tcPr>
            <w:tcW w:w="10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Registrar and transfer agent fees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2" w:lineRule="exact"/>
        <w:rPr>
          <w:sz w:val="20"/>
          <w:szCs w:val="20"/>
          <w:color w:val="auto"/>
        </w:rPr>
      </w:pPr>
    </w:p>
    <w:p>
      <w:pPr>
        <w:ind w:left="1060" w:hanging="424"/>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3"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5"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10.19 to this registration statement provides for indemnification of certain of our stockholders against liabilities described in our IRA.</w:t>
      </w:r>
    </w:p>
    <w:p>
      <w:pPr>
        <w:spacing w:after="0" w:line="16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2013 through July 31, 2018:</w:t>
      </w:r>
    </w:p>
    <w:p>
      <w:pPr>
        <w:spacing w:after="0" w:line="131" w:lineRule="exact"/>
        <w:rPr>
          <w:sz w:val="20"/>
          <w:szCs w:val="20"/>
          <w:color w:val="auto"/>
        </w:rPr>
      </w:pPr>
    </w:p>
    <w:p>
      <w:pPr>
        <w:ind w:left="1060" w:right="240" w:hanging="310"/>
        <w:spacing w:after="0" w:line="312" w:lineRule="auto"/>
        <w:tabs>
          <w:tab w:leader="none" w:pos="10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April 2014, we issued and sold an aggregate of 4,501,808 shares of our Series 5 preferred stock at $0.51 per share and warrants to purchase up to 988,522 shares of our Series 5 preferred stock with an exercise price of $0.51 per share to two accredited investor in connection with the conversion of outstanding convertible promissory notes plus accrued interest in the aggregate amount of $2,274,764.</w:t>
      </w:r>
    </w:p>
    <w:p>
      <w:pPr>
        <w:spacing w:after="0" w:line="52" w:lineRule="exact"/>
        <w:rPr>
          <w:rFonts w:ascii="Arial" w:cs="Arial" w:eastAsia="Arial" w:hAnsi="Arial"/>
          <w:sz w:val="16"/>
          <w:szCs w:val="16"/>
          <w:color w:val="auto"/>
        </w:rPr>
      </w:pPr>
    </w:p>
    <w:p>
      <w:pPr>
        <w:ind w:left="1060" w:right="20" w:hanging="310"/>
        <w:spacing w:after="0" w:line="277"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From April 2014 to June 2015, we issued and sold an aggregate of 59,747,277 shares of our Series 6 preferred stock at $0.92 per share to 31 accredited investors for an aggregate consideration of approximately $54,674,733.</w:t>
      </w:r>
    </w:p>
    <w:p>
      <w:pPr>
        <w:spacing w:after="0" w:line="75" w:lineRule="exact"/>
        <w:rPr>
          <w:rFonts w:ascii="Arial" w:cs="Arial" w:eastAsia="Arial" w:hAnsi="Arial"/>
          <w:sz w:val="18"/>
          <w:szCs w:val="18"/>
          <w:color w:val="auto"/>
        </w:rPr>
      </w:pPr>
    </w:p>
    <w:p>
      <w:pPr>
        <w:ind w:left="1060" w:hanging="310"/>
        <w:spacing w:after="0" w:line="255"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connection with the Loan and Security Agreement we entered into with Silicon Valley Bank, or SVB, on July 22, 2013, we issued to each of SVB and Westriver Mezzanine Loans, LLC, or Westriver, a warrant to purchase, in the aggregate, 1,818,182 shares of our common stock with an exercise price of $0.22 per share. As of June 30, 2018, the warrants were exercisable for an aggregate of 1,818,182 shares of common stock with an exercise price of $0.22 per share until their expiration on July 22, 2023. In addition, we issued to SVB a warrant to purchase 395,804 shares of our Series 5 preferred stock with an exercise price of $0.51 per share. As of June 30, 2018, the warrant was exercisable for an aggregate of 395,804 shares of Series 5 preferred stock at an exercise price of $0.51 per share until their expiration on July 22, 2023.</w:t>
      </w:r>
    </w:p>
    <w:p>
      <w:pPr>
        <w:spacing w:after="0" w:line="94" w:lineRule="exact"/>
        <w:rPr>
          <w:rFonts w:ascii="Arial" w:cs="Arial" w:eastAsia="Arial" w:hAnsi="Arial"/>
          <w:sz w:val="18"/>
          <w:szCs w:val="18"/>
          <w:color w:val="auto"/>
        </w:rPr>
      </w:pPr>
    </w:p>
    <w:p>
      <w:pPr>
        <w:jc w:val="both"/>
        <w:ind w:left="1060" w:right="80" w:hanging="310"/>
        <w:spacing w:after="0" w:line="264" w:lineRule="auto"/>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connection with the Amended and Restated Loan and Security Agreement we entered into with SVB, on November 26, 2014, we issued to each of SVB and Westriver, a warrant to purchase, in the aggregate, 394,736 shares of our common stock with an exercise price of $0.19 per share. As 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79" w:lineRule="auto"/>
        <w:rPr>
          <w:sz w:val="20"/>
          <w:szCs w:val="20"/>
          <w:color w:val="auto"/>
        </w:rPr>
      </w:pPr>
      <w:r>
        <w:rPr>
          <w:rFonts w:ascii="Arial" w:cs="Arial" w:eastAsia="Arial" w:hAnsi="Arial"/>
          <w:sz w:val="17"/>
          <w:szCs w:val="17"/>
          <w:color w:val="auto"/>
        </w:rPr>
        <w:t>June 30, 2018, the warrants were exercisable for an aggregate of 394,736 shares of common stock with an exercise price of $0.19 per share until their expiration on November 26, 2024. In addition, we issued to SVB, a warrant to purchase 113,587 shares of our Series 6 preferred stock with an exercise price of $0.92 per share. As of June 30, 2018, the warrant was exercisable for an aggregate of 113,587 shares of Series 6 preferred stock with an exercise price of $0.92 per share until their expiration on November 26, 2024.</w:t>
      </w:r>
    </w:p>
    <w:p>
      <w:pPr>
        <w:spacing w:after="0" w:line="77" w:lineRule="exact"/>
        <w:rPr>
          <w:sz w:val="20"/>
          <w:szCs w:val="20"/>
          <w:color w:val="auto"/>
        </w:rPr>
      </w:pPr>
    </w:p>
    <w:p>
      <w:pPr>
        <w:ind w:left="1060" w:hanging="310"/>
        <w:spacing w:after="0" w:line="271" w:lineRule="auto"/>
        <w:tabs>
          <w:tab w:leader="none" w:pos="10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connection with the Loan and Security Agreement, dated October 20, 2015, we entered into with Oxford Finance LLC, or Oxford, and SVB, we issued to each of Oxford and SVB a warrant to purchase, in aggregate (i) 708,120 shares of Series 6 preferred stock with an exercise price of $0.92 per share in October 2015, (ii) 437,111 shares of Series 6 preferred stock with an exercise price of $0.92 per shares in November 2015 and (iii) 174,844 shares of Series 7 preferred stock with an exercise price of $0.56 per share in December 2016. As of June 30, 2018, the above warrants were exercisable for an aggregate of (i) 749,739 shares of our common stock with an exercise price of $0.92 per share until their expiration on October 20, 2025, (ii) 462,801 shares of our common stock with an exercise price of $0.92 per share until their expiration on November 9, 2025 and (iii) 174,844 shares of our common stock with an exercise price of $0.56 per share until their expiration on December 22, 2026, respectively.</w:t>
      </w:r>
    </w:p>
    <w:p>
      <w:pPr>
        <w:spacing w:after="0" w:line="84" w:lineRule="exact"/>
        <w:rPr>
          <w:rFonts w:ascii="Arial" w:cs="Arial" w:eastAsia="Arial" w:hAnsi="Arial"/>
          <w:sz w:val="17"/>
          <w:szCs w:val="17"/>
          <w:color w:val="auto"/>
        </w:rPr>
      </w:pPr>
    </w:p>
    <w:p>
      <w:pPr>
        <w:ind w:left="1060" w:right="220" w:hanging="310"/>
        <w:spacing w:after="0" w:line="277" w:lineRule="auto"/>
        <w:tabs>
          <w:tab w:leader="none" w:pos="1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From June 2016 to March 2017, we issued and sold an aggregate of 46,447,468 shares of Series 7 preferred stock at $0.56 per share to 21 accredited investors for an aggregate consideration of approximately $25,889,819.</w:t>
      </w:r>
    </w:p>
    <w:p>
      <w:pPr>
        <w:spacing w:after="0" w:line="75" w:lineRule="exact"/>
        <w:rPr>
          <w:rFonts w:ascii="Arial" w:cs="Arial" w:eastAsia="Arial" w:hAnsi="Arial"/>
          <w:sz w:val="18"/>
          <w:szCs w:val="18"/>
          <w:color w:val="auto"/>
        </w:rPr>
      </w:pPr>
    </w:p>
    <w:p>
      <w:pPr>
        <w:ind w:left="1060" w:hanging="310"/>
        <w:spacing w:after="0" w:line="277" w:lineRule="auto"/>
        <w:tabs>
          <w:tab w:leader="none" w:pos="1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March 1, 2017, we issued a warrant to purchase 25,000 shares of our common stock with an exercise price of $0.33 per share to a former consultant.</w:t>
      </w:r>
    </w:p>
    <w:p>
      <w:pPr>
        <w:spacing w:after="0" w:line="75"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Under our 2008 Stock Plan, we granted options to purchase an aggregate of 134,794,616 shares of our common stock with per share exercise prices ranging from $0.015 to $0.54. Of these, options to purchase (i) 44,008,293 shares have been exercised, (ii) 38,762,773 shares have been cancelled or expired without being exercised and (iii) 52,023,550 shares remain outstanding.</w:t>
      </w:r>
    </w:p>
    <w:p>
      <w:pPr>
        <w:spacing w:after="0" w:line="181"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1060" w:right="20" w:hanging="310"/>
        <w:spacing w:after="0" w:line="255"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transactions set forth in paragraphs (1) through (7)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94" w:lineRule="exact"/>
        <w:rPr>
          <w:rFonts w:ascii="Arial" w:cs="Arial" w:eastAsia="Arial" w:hAnsi="Arial"/>
          <w:sz w:val="18"/>
          <w:szCs w:val="18"/>
          <w:color w:val="auto"/>
        </w:rPr>
      </w:pPr>
    </w:p>
    <w:p>
      <w:pPr>
        <w:ind w:left="1060" w:right="60" w:hanging="310"/>
        <w:spacing w:after="0" w:line="255" w:lineRule="auto"/>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transactions set forth in paragraph (9)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 Exhibits.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10180" w:type="dxa"/>
            <w:vAlign w:val="bottom"/>
            <w:gridSpan w:val="3"/>
          </w:tcPr>
          <w:p>
            <w:pPr>
              <w:ind w:left="5180"/>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c>
          <w:tcPr>
            <w:tcW w:w="5180" w:type="dxa"/>
            <w:vAlign w:val="bottom"/>
          </w:tcPr>
          <w:p>
            <w:pPr>
              <w:ind w:left="76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3.1</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Restated Certificate of Incorporation of Registrant, as amended.</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3.2*</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Form of Amended and Restated Certificate of Incorporation of Registrant, to be effective upon closing of this offering.</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3.3</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Second Amended and Restated Bylaws of Registrant.</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3.4*</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Form of Amended and Restated Bylaws of Registrant, to be effective upon closing of this offering.</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4.1*</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Form of Registrant’s Common Stock Certificate.</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5.1*</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Opinion of Cooley LLP.</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10.1</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Form of Indemnity Agreement between the Registrant and each of its directors and executive officers.</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90"/>
              </w:rPr>
              <w:t>10.2*</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2008 Stock Plan and forms of agreements thereunder.</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90"/>
              </w:rPr>
              <w:t>10.3*</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2018 Equity Incentive Plan and form of agreements thereunder.</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90"/>
              </w:rPr>
              <w:t>10.4*</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2018 Employee Stock Purchase Plan.</w:t>
            </w:r>
          </w:p>
        </w:tc>
      </w:tr>
      <w:tr>
        <w:trPr>
          <w:trHeight w:val="310"/>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10.5#</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w w:val="97"/>
              </w:rPr>
              <w:t>Quality and Manufacturing Agreement, dated April 18, 2016, between the Registrant and Orchid MPS Holdings, LLC and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Addendum No. 1 dated March 1, 2017.</w:t>
            </w:r>
          </w:p>
        </w:tc>
      </w:tr>
      <w:tr>
        <w:trPr>
          <w:trHeight w:val="310"/>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10.6#</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w w:val="90"/>
              </w:rPr>
              <w:t>Manufacturing, Quality and Supply Agreement, dated January 31, 2017, between the Registrant and rms Company and Addendum</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No. 1 dated July 7, 2017.</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10.7</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Offer Letter Agreement, dated December 15, 2009, between the Registrant and Jeffrey W. Dunn.</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10.8</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Offer Letter Agreement, dated February 19, 2015, between the Registrant and Michael A. Pisetsky</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10.9</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w w:val="98"/>
              </w:rPr>
              <w:t>Letter Regarding Change to Employment Terms, dated June 20, 2016, between the Registrant and Michael A. Pisetsky.</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10.10</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Offer Letter Agreement, dated April 27, 2015, between the Registrant and Laura Francis.</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10.11</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Severance and Change in Control Agreement dated March 15, 2016, between the Registrant and Laura Francis.</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10.12</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Amended and Restated Letter Agreement, dated March 1, 2017, between the Registrant and Laura Francis.</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10.13</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Offer Letter Agreement, dated February 7, 2012, between the Registrant and W. Carlton Reckling.</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10.14</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w w:val="99"/>
              </w:rPr>
              <w:t>Severance and Change in Control Agreement, dated March 15, 2016, between the Registrant and W. Carlton Reckling.</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10.15</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Letter Agreement, dated January 18, 2017, between the Registrant and W. Carlton Reckling.</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10.16</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Offer Letter Agreement, dated December 16, 2010, between the Registrant and Scott A. Yerby.</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10.17</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Severance and Change in Control Agreement dated March 15, 2016, between the Registrant and Scott A. Yerby.</w:t>
            </w:r>
          </w:p>
        </w:tc>
      </w:tr>
      <w:tr>
        <w:trPr>
          <w:trHeight w:val="324"/>
        </w:trPr>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w w:val="84"/>
              </w:rPr>
              <w:t>10.18</w:t>
            </w:r>
          </w:p>
        </w:tc>
        <w:tc>
          <w:tcPr>
            <w:tcW w:w="10180" w:type="dxa"/>
            <w:vAlign w:val="bottom"/>
            <w:gridSpan w:val="3"/>
          </w:tcPr>
          <w:p>
            <w:pPr>
              <w:ind w:left="760"/>
              <w:spacing w:after="0"/>
              <w:rPr>
                <w:sz w:val="20"/>
                <w:szCs w:val="20"/>
                <w:color w:val="auto"/>
              </w:rPr>
            </w:pPr>
            <w:r>
              <w:rPr>
                <w:rFonts w:ascii="Arial" w:cs="Arial" w:eastAsia="Arial" w:hAnsi="Arial"/>
                <w:sz w:val="18"/>
                <w:szCs w:val="18"/>
                <w:color w:val="auto"/>
              </w:rPr>
              <w:t>Offer Letter Agreement, dated June 19, 2016, between the Registrant and Anthony J. Recupero.</w:t>
            </w: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180" w:type="dxa"/>
            <w:vAlign w:val="bottom"/>
            <w:gridSpan w:val="3"/>
          </w:tcPr>
          <w:p>
            <w:pPr>
              <w:ind w:left="46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100"/>
          </w:cols>
          <w:pgMar w:left="240" w:top="460" w:right="5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2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160" w:type="dxa"/>
            <w:vAlign w:val="bottom"/>
          </w:tcPr>
          <w:p>
            <w:pPr>
              <w:spacing w:after="0"/>
              <w:rPr>
                <w:sz w:val="14"/>
                <w:szCs w:val="1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0"/>
              </w:rPr>
              <w:t>Amended and Restated Investors’ Rights Agreement, dated June 2, 2016, by and among the Registrant and the parties thereto.</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89"/>
              </w:rPr>
              <w:t>Loan Agreement, dated October 13, 2017, between the Registrant and Biopharma Credit Investments IV Sub LP, as amended on</w:t>
            </w:r>
          </w:p>
        </w:tc>
      </w:tr>
      <w:tr>
        <w:trPr>
          <w:trHeight w:val="230"/>
        </w:trPr>
        <w:tc>
          <w:tcPr>
            <w:tcW w:w="720" w:type="dxa"/>
            <w:vAlign w:val="bottom"/>
          </w:tcPr>
          <w:p>
            <w:pPr>
              <w:spacing w:after="0"/>
              <w:rPr>
                <w:sz w:val="20"/>
                <w:szCs w:val="20"/>
                <w:color w:val="auto"/>
              </w:rPr>
            </w:pP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June 15, 2018.</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3"/>
              </w:rPr>
              <w:t>Office Lease Agreement, dated February 2, 2018, between the Registrant and Bixby SPE Finance 11, LLC, as amended on</w:t>
            </w:r>
          </w:p>
        </w:tc>
      </w:tr>
      <w:tr>
        <w:trPr>
          <w:trHeight w:val="230"/>
        </w:trPr>
        <w:tc>
          <w:tcPr>
            <w:tcW w:w="720" w:type="dxa"/>
            <w:vAlign w:val="bottom"/>
          </w:tcPr>
          <w:p>
            <w:pPr>
              <w:spacing w:after="0"/>
              <w:rPr>
                <w:sz w:val="20"/>
                <w:szCs w:val="20"/>
                <w:color w:val="auto"/>
              </w:rPr>
            </w:pP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April 16, 2018.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 dated July 19, 2013.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5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 dated November 26,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6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7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List of Subsidiaries of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Consent of Cooley LLP (contained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Power of Attorney (contained in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76"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02" w:lineRule="exact"/>
        <w:rPr>
          <w:rFonts w:ascii="Arial" w:cs="Arial" w:eastAsia="Arial" w:hAnsi="Arial"/>
          <w:sz w:val="18"/>
          <w:szCs w:val="18"/>
          <w:color w:val="auto"/>
        </w:rPr>
      </w:pPr>
    </w:p>
    <w:p>
      <w:pPr>
        <w:ind w:left="640" w:right="560" w:firstLine="428"/>
        <w:spacing w:after="0" w:line="277" w:lineRule="auto"/>
        <w:tabs>
          <w:tab w:leader="none" w:pos="1318" w:val="left"/>
        </w:tabs>
        <w:numPr>
          <w:ilvl w:val="1"/>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 which is incorporated herein by reference.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640" w:right="20" w:firstLine="428"/>
        <w:spacing w:after="0" w:line="291" w:lineRule="auto"/>
        <w:tabs>
          <w:tab w:leader="none" w:pos="131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w:t>
      </w:r>
    </w:p>
    <w:p>
      <w:pPr>
        <w:ind w:left="900" w:hanging="256"/>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240" w:top="460"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firstLine="428"/>
        <w:spacing w:after="0" w:line="264" w:lineRule="auto"/>
        <w:tabs>
          <w:tab w:leader="none" w:pos="131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240" w:top="459"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w:t>
      </w:r>
    </w:p>
    <w:p>
      <w:pPr>
        <w:spacing w:after="0" w:line="46" w:lineRule="exact"/>
        <w:rPr>
          <w:sz w:val="20"/>
          <w:szCs w:val="20"/>
          <w:color w:val="auto"/>
        </w:rPr>
      </w:pPr>
    </w:p>
    <w:p>
      <w:pPr>
        <w:ind w:left="200"/>
        <w:spacing w:after="0"/>
        <w:tabs>
          <w:tab w:leader="none" w:pos="8360" w:val="left"/>
          <w:tab w:leader="none" w:pos="9520" w:val="left"/>
        </w:tabs>
        <w:rPr>
          <w:sz w:val="20"/>
          <w:szCs w:val="20"/>
          <w:color w:val="auto"/>
        </w:rPr>
      </w:pPr>
      <w:r>
        <w:rPr>
          <w:rFonts w:ascii="Arial" w:cs="Arial" w:eastAsia="Arial" w:hAnsi="Arial"/>
          <w:sz w:val="17"/>
          <w:szCs w:val="17"/>
          <w:color w:val="auto"/>
        </w:rPr>
        <w:t>its behalf by the undersigned, thereunto duly authorized, in the City of Santa Clara, State of California,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2018.</w:t>
      </w:r>
    </w:p>
    <w:p>
      <w:pPr>
        <w:spacing w:after="0" w:line="23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Jeffrey W. Dunn, Laura A. Francis, and Michael A. Pisetsky,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2"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Name</w:t>
            </w:r>
          </w:p>
        </w:tc>
        <w:tc>
          <w:tcPr>
            <w:tcW w:w="494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w:t>
            </w:r>
            <w:r>
              <w:rPr>
                <w:rFonts w:ascii="Arial" w:cs="Arial" w:eastAsia="Arial" w:hAnsi="Arial"/>
                <w:sz w:val="18"/>
                <w:szCs w:val="18"/>
                <w:i w:val="1"/>
                <w:iCs w:val="1"/>
                <w:color w:val="auto"/>
              </w:rPr>
              <w:t>Principal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color w:val="auto"/>
                <w:w w:val="91"/>
              </w:rPr>
              <w:t>Jeffrey W. Dunn</w:t>
            </w:r>
          </w:p>
        </w:tc>
        <w:tc>
          <w:tcPr>
            <w:tcW w:w="4940" w:type="dxa"/>
            <w:vAlign w:val="bottom"/>
            <w:gridSpan w:val="3"/>
          </w:tcPr>
          <w:p>
            <w:pPr>
              <w:ind w:left="100"/>
              <w:spacing w:after="0" w:line="182" w:lineRule="exact"/>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and</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30"/>
        </w:trPr>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Chairman</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Laura A. Francis</w:t>
            </w:r>
          </w:p>
        </w:tc>
        <w:tc>
          <w:tcPr>
            <w:tcW w:w="4940" w:type="dxa"/>
            <w:vAlign w:val="bottom"/>
            <w:gridSpan w:val="3"/>
          </w:tcPr>
          <w:p>
            <w:pPr>
              <w:ind w:left="100"/>
              <w:spacing w:after="0"/>
              <w:rPr>
                <w:sz w:val="20"/>
                <w:szCs w:val="20"/>
                <w:color w:val="auto"/>
              </w:rPr>
            </w:pPr>
            <w:r>
              <w:rPr>
                <w:rFonts w:ascii="Arial" w:cs="Arial" w:eastAsia="Arial" w:hAnsi="Arial"/>
                <w:sz w:val="18"/>
                <w:szCs w:val="18"/>
                <w:i w:val="1"/>
                <w:iCs w:val="1"/>
                <w:color w:val="auto"/>
              </w:rPr>
              <w:t>Financial and Accounting Officer</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David P. Bonita, M.D.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Timothy E. Davis,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John G. Freund, M.D.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Gregory K. Hinckley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80"/>
          </w:cols>
          <w:pgMar w:left="24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Name</w:t>
            </w:r>
          </w:p>
        </w:tc>
        <w:tc>
          <w:tcPr>
            <w:tcW w:w="2140" w:type="dxa"/>
            <w:vAlign w:val="bottom"/>
            <w:gridSpan w:val="2"/>
          </w:tcPr>
          <w:p>
            <w:pPr>
              <w:ind w:left="184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spacing w:after="0"/>
              <w:rPr>
                <w:sz w:val="14"/>
                <w:szCs w:val="14"/>
                <w:color w:val="auto"/>
              </w:rPr>
            </w:pPr>
          </w:p>
        </w:tc>
        <w:tc>
          <w:tcPr>
            <w:tcW w:w="8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26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Karen A. Licitra</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Mark A. Reiley, M.D.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Timothy B. Petersen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Keith C. Valentine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3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00"/>
          </w:cols>
          <w:pgMar w:left="240" w:top="460" w:right="75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7" w:lineRule="exact"/>
        <w:rPr>
          <w:sz w:val="20"/>
          <w:szCs w:val="20"/>
          <w:color w:val="auto"/>
        </w:rPr>
      </w:pPr>
    </w:p>
    <w:p>
      <w:pPr>
        <w:ind w:right="100" w:firstLine="881"/>
        <w:spacing w:after="0" w:line="282" w:lineRule="auto"/>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 a corporation organized and existing under and by virtue of the provisions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“General Corporation Law”),</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225" w:lineRule="exact"/>
        <w:rPr>
          <w:sz w:val="20"/>
          <w:szCs w:val="20"/>
          <w:color w:val="auto"/>
        </w:rPr>
      </w:pPr>
    </w:p>
    <w:p>
      <w:pPr>
        <w:ind w:right="140" w:firstLine="881"/>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w:t>
      </w:r>
      <w:r>
        <w:rPr>
          <w:rFonts w:ascii="Arial" w:cs="Arial" w:eastAsia="Arial" w:hAnsi="Arial"/>
          <w:sz w:val="18"/>
          <w:szCs w:val="18"/>
          <w:b w:val="1"/>
          <w:bCs w:val="1"/>
          <w:color w:val="auto"/>
        </w:rPr>
        <w:t xml:space="preserve"> SI-BONE, INC. </w:t>
      </w:r>
      <w:r>
        <w:rPr>
          <w:rFonts w:ascii="Arial" w:cs="Arial" w:eastAsia="Arial" w:hAnsi="Arial"/>
          <w:sz w:val="18"/>
          <w:szCs w:val="18"/>
          <w:color w:val="auto"/>
        </w:rPr>
        <w:t>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March 18, 2008 under the name SI-BONE Inc.</w:t>
      </w:r>
    </w:p>
    <w:p>
      <w:pPr>
        <w:spacing w:after="0" w:line="162" w:lineRule="exact"/>
        <w:rPr>
          <w:sz w:val="20"/>
          <w:szCs w:val="20"/>
          <w:color w:val="auto"/>
        </w:rPr>
      </w:pPr>
    </w:p>
    <w:p>
      <w:pPr>
        <w:ind w:right="40" w:firstLine="881"/>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duly adopted resolutions proposing to amend and restate the Restated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this corporation is SI-BONE,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w:t>
      </w:r>
    </w:p>
    <w:p>
      <w:pPr>
        <w:sectPr>
          <w:pgSz w:w="11900" w:h="16838" w:orient="portrait"/>
          <w:cols w:equalWidth="0" w:num="1">
            <w:col w:w="11020"/>
          </w:cols>
          <w:pgMar w:left="440" w:top="121" w:right="4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u w:val="single" w:color="auto"/>
          <w:color w:val="auto"/>
        </w:rPr>
        <w:t>Authorization of Stock</w:t>
      </w:r>
      <w:r>
        <w:rPr>
          <w:rFonts w:ascii="Arial" w:cs="Arial" w:eastAsia="Arial" w:hAnsi="Arial"/>
          <w:sz w:val="16"/>
          <w:szCs w:val="16"/>
          <w:color w:val="auto"/>
        </w:rPr>
        <w:t>. This corporation is authorized to issue two classes of stock to be designated, respectively, common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The total number of shares that this corporation is authorized to issue is Five Hundred Forty Five Million Nine Hundred Fifty Three Thousand Eight Hundred Thirty Five (545,953,835). The total number of shares of common stock authorized to be issued is Three Hundred Thirty Eight Million (338,000,000), par value $0.0001 per share (the “Common Stock”), of which One Hundred Eight Million (108,000,000) shares are designated as “Series 1 Common Stock” and Two Hundred Thirty Million (230,000,000) shares are designated as “Series 2 Common Stock”. The total number of shares of preferred stock authorized to be issued is Two Hundred Seven Million Nine Hundred Fifty Three Thousand Eight Hundred Thirty Five (207,953,835),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Seven Million Five Hundred Fifty Thousand Four Hundred Eighty Four (37,550,484) shares are designated as “Series 5 Preferred Stock”, Sixty One Million Six Thousand Ninety Five (61,006,095) are designated as “Series 6 Preferred Stock” and Thirty Eight Million Sixty Eight Thousand Three Hundred Fifteen (38,068,315) are designated as “Series 7 Preferred Stock”.</w:t>
      </w:r>
    </w:p>
    <w:p>
      <w:pPr>
        <w:spacing w:after="0" w:line="165" w:lineRule="exact"/>
        <w:rPr>
          <w:sz w:val="20"/>
          <w:szCs w:val="20"/>
          <w:color w:val="auto"/>
        </w:rPr>
      </w:pPr>
    </w:p>
    <w:p>
      <w:pPr>
        <w:ind w:right="40" w:firstLine="881"/>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u w:val="single" w:color="auto"/>
          <w:color w:val="auto"/>
        </w:rPr>
        <w:t>Rights, Preferences and Restrictions of Preferred Stock</w:t>
      </w:r>
      <w:r>
        <w:rPr>
          <w:rFonts w:ascii="Arial" w:cs="Arial" w:eastAsia="Arial" w:hAnsi="Arial"/>
          <w:sz w:val="18"/>
          <w:szCs w:val="18"/>
          <w:color w:val="auto"/>
        </w:rPr>
        <w:t>. The rights, preferences, privileges and restrictions granted to and imposed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are as set forth below in this Article IV(B).</w:t>
      </w:r>
    </w:p>
    <w:p>
      <w:pPr>
        <w:spacing w:after="0" w:line="166" w:lineRule="exact"/>
        <w:rPr>
          <w:sz w:val="20"/>
          <w:szCs w:val="20"/>
          <w:color w:val="auto"/>
        </w:rPr>
      </w:pPr>
    </w:p>
    <w:p>
      <w:pPr>
        <w:ind w:left="1060" w:hanging="175"/>
        <w:spacing w:after="0"/>
        <w:tabs>
          <w:tab w:leader="none" w:pos="1060" w:val="left"/>
        </w:tabs>
        <w:numPr>
          <w:ilvl w:val="0"/>
          <w:numId w:val="146"/>
        </w:numPr>
        <w:rPr>
          <w:rFonts w:ascii="Arial" w:cs="Arial" w:eastAsia="Arial" w:hAnsi="Arial"/>
          <w:sz w:val="18"/>
          <w:szCs w:val="18"/>
          <w:b w:val="1"/>
          <w:bCs w:val="1"/>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877"/>
        <w:spacing w:after="0" w:line="287" w:lineRule="auto"/>
        <w:tabs>
          <w:tab w:leader="none" w:pos="2128" w:val="left"/>
        </w:tabs>
        <w:numPr>
          <w:ilvl w:val="2"/>
          <w:numId w:val="146"/>
        </w:numPr>
        <w:rPr>
          <w:rFonts w:ascii="Arial" w:cs="Arial" w:eastAsia="Arial" w:hAnsi="Arial"/>
          <w:sz w:val="16"/>
          <w:szCs w:val="16"/>
          <w:b w:val="1"/>
          <w:bCs w:val="1"/>
          <w:color w:val="auto"/>
        </w:rPr>
      </w:pPr>
      <w:r>
        <w:rPr>
          <w:rFonts w:ascii="Arial" w:cs="Arial" w:eastAsia="Arial" w:hAnsi="Arial"/>
          <w:sz w:val="16"/>
          <w:szCs w:val="16"/>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the Board of Directors. Such dividends shall not be cumulative. The holders of the outstanding Preferred Stock can waive any dividend preference that such holders shall be entitled to receive under this Section 1 upon the affirmative vote or written consent of the holders of a majority of the shares of Preferred Stock then outstanding (voting together as a single class and not as separate series, and on an as-converted basis). For purposes of this subsection 1(a), “Dividend Rate” shall mean $0.002784 per annum for each share of Series 1 Preferred Stock, $0.00952 per annum for each share of Series 2 Preferred Stock, $0.0256 per annum for each share of Series 3 Preferred Stock, $0.028 per annum for each share of Series 4 Preferred Stock, $0.04043 per annum for each share of Series 5 Preferred Stock, $0.073208 per annum for each share of Series 6 Preferred Stock and $0.044592 per annum for each share of Series 7 Preferred Stock (each as adjusted for any stock splits, stock dividends, combinations, subdivisions, recapitalizations or the like).</w:t>
      </w:r>
    </w:p>
    <w:p>
      <w:pPr>
        <w:spacing w:after="0" w:line="172" w:lineRule="exact"/>
        <w:rPr>
          <w:rFonts w:ascii="Arial" w:cs="Arial" w:eastAsia="Arial" w:hAnsi="Arial"/>
          <w:sz w:val="16"/>
          <w:szCs w:val="16"/>
          <w:b w:val="1"/>
          <w:bCs w:val="1"/>
          <w:color w:val="auto"/>
        </w:rPr>
      </w:pPr>
    </w:p>
    <w:p>
      <w:pPr>
        <w:ind w:right="300" w:firstLine="1436"/>
        <w:spacing w:after="0" w:line="264" w:lineRule="auto"/>
        <w:tabs>
          <w:tab w:leader="none" w:pos="1698"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30" w:name="page231"/>
    <w:bookmarkEnd w:id="230"/>
    <w:p>
      <w:pPr>
        <w:ind w:left="1600" w:hanging="184"/>
        <w:spacing w:after="0"/>
        <w:tabs>
          <w:tab w:leader="none" w:pos="1600" w:val="left"/>
        </w:tabs>
        <w:numPr>
          <w:ilvl w:val="0"/>
          <w:numId w:val="14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right="20" w:firstLine="1877"/>
        <w:spacing w:after="0" w:line="287" w:lineRule="auto"/>
        <w:tabs>
          <w:tab w:leader="none" w:pos="2108" w:val="left"/>
        </w:tabs>
        <w:numPr>
          <w:ilvl w:val="1"/>
          <w:numId w:val="147"/>
        </w:numPr>
        <w:rPr>
          <w:rFonts w:ascii="Arial" w:cs="Arial" w:eastAsia="Arial" w:hAnsi="Arial"/>
          <w:sz w:val="16"/>
          <w:szCs w:val="16"/>
          <w:b w:val="1"/>
          <w:bCs w:val="1"/>
          <w:color w:val="auto"/>
        </w:rPr>
      </w:pPr>
      <w:r>
        <w:rPr>
          <w:rFonts w:ascii="Arial" w:cs="Arial" w:eastAsia="Arial" w:hAnsi="Arial"/>
          <w:sz w:val="16"/>
          <w:szCs w:val="16"/>
          <w:color w:val="auto"/>
        </w:rPr>
        <w:t>In the event of any Liquidation Event (as defined below), either voluntary or involuntary, the holders of each series of Preferred Stock shall be entitled to receive, prior and in preference to any distribution of the proceeds of such Liquidation Event (the “Proceeds”) to the holders of Common Stock by reason of their ownership thereof, an amount per share equal to the sum of the applicable Original Issue Price (as defined below) for such series of Preferred Stock, plus declared but unpaid dividends on such share. If, upon the occurrence of any Liquidation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on a pari passu, equal priority basis. For purposes of this Restated Certificate of Incorporation, “Original Issue Price” shall mean $0.0348 per share for each share of the Series 1 Preferred Stock, $0.119 per share for each share of the Series 2 Preferred Stock, $0.32 per share for each share of the Series 3 Preferred Stock, $0.35 per share for each share of the Series 4 Preferred Stock, $0.5053 per share for each share of the Series 5 Preferred Stock, $0.9151 per share for each share of the Series 6 Preferred Stock and $0.5574 per share for each share of the Series 7 Preferred Stock (in each case, as adjusted for any stock splits, stock dividends, combinations, subdivisions, recapitalizations or the like with respect to such series of Preferred Stock).</w:t>
      </w:r>
    </w:p>
    <w:p>
      <w:pPr>
        <w:spacing w:after="0" w:line="168" w:lineRule="exact"/>
        <w:rPr>
          <w:rFonts w:ascii="Arial" w:cs="Arial" w:eastAsia="Arial" w:hAnsi="Arial"/>
          <w:sz w:val="16"/>
          <w:szCs w:val="16"/>
          <w:b w:val="1"/>
          <w:bCs w:val="1"/>
          <w:color w:val="auto"/>
        </w:rPr>
      </w:pPr>
    </w:p>
    <w:p>
      <w:pPr>
        <w:ind w:left="-20" w:firstLine="1877"/>
        <w:spacing w:after="0" w:line="270" w:lineRule="auto"/>
        <w:tabs>
          <w:tab w:leader="none" w:pos="2118"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Upon the completion of the distribution required by subsection (a) of this Section 2, the remaining Proceeds available for distribution to stockholders shall be distributed among the holders of Series 7 Preferred Stock, Series 6 Preferred Stock, Series 5 Preferred Stock, Series 4 Preferred Stock and Common Stock pro rata based on the number of shares of Common Stock held by each (assuming full conversion of all such Preferred Stock) until, with respect to the Series 6 Preferred Stock, Series 5 Preferred Stock and Series 4 Preferred Stock, such holders shall have received the Participation Cap (as defined below); thereafter, if Proceeds remain, the holders of the Series 7 Preferred Stock and Common Stock of this corporation shall receive all of the remaining Proceeds pro rata based on the number of shares of Common Stock held by each (assuming full conversion of all such Series 7 Preferred Stock). For purposes of this Restated Certificate of Incorporation, “Participation Cap” shall mean $1.8302 for the Series 6 Preferred Stock, shall mean $1.0106 for the Series 5 Preferred Stock and shall mean $0.70 for the Series 4 Preferred Stock (each as adjusted for any stock splits, stock dividends, combinations, subdivisions, recapitalizations or the like with respect to such series of Preferred Stock), which includes amounts paid pursuant to subsection (a) of this Section 2.</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31" w:name="page232"/>
    <w:bookmarkEnd w:id="231"/>
    <w:p>
      <w:pPr>
        <w:ind w:right="80" w:firstLine="1877"/>
        <w:spacing w:after="0" w:line="291" w:lineRule="auto"/>
        <w:tabs>
          <w:tab w:leader="none" w:pos="2118"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167" w:lineRule="exact"/>
        <w:rPr>
          <w:rFonts w:ascii="Arial" w:cs="Arial" w:eastAsia="Arial" w:hAnsi="Arial"/>
          <w:sz w:val="16"/>
          <w:szCs w:val="16"/>
          <w:b w:val="1"/>
          <w:bCs w:val="1"/>
          <w:color w:val="auto"/>
        </w:rPr>
      </w:pPr>
    </w:p>
    <w:p>
      <w:pPr>
        <w:ind w:right="20" w:firstLine="1877"/>
        <w:spacing w:after="0" w:line="286" w:lineRule="auto"/>
        <w:tabs>
          <w:tab w:leader="none" w:pos="2138"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In the event of a Liquidation Event, if any portion of the consideration payable to the stockholders of the Corporation is placed into escrow and/or is payable to the stockholders of this corporation subject to contingencies (such consideration collectively referred to herein as “Contingent Consideration”), the definitive agreement with respect to Liquidation Event shall provide that (i) the portion of such consideration that is not placed in escrow and not subject to any contingencies (the “Initial Consideration”) shall be allocated among the holders of capital stock of the Corporation in accordance with Sections 2(a) and 2(b) as if the Initial Consideration were the only consideration payable in connection with such Liquidation Event, after taking into account the application of Section 2(c), and (ii) any Contingent Consideration which becomes payable to the stockholders of the Corporation shall be allocated among the holders of capital stock of the Corporation in accordance with Sections 2(a) and 2(b) after taking into account (x) the previous payment of (1) the Initial Consideration and (2) any other Contingent Consideration as part of the same transaction and (y) the application of Section 2(c). For the avoidance of doubt, holders of the Preferred Stock shall not be deemed to have converted such Preferred Stock into Common Stock pursuant to Section 2(c) until such time such holders of Preferred Stock actually receive as a result of such deemed conversion an amount greater than the amount to which such holders of Preferred Stock would otherwise be entitled pursuant to Sections 2(a) and 2(b) above had the Preferred Stock had not been converted to Common Stock; provided that for the purposes of the application of Section 2(c), the value of the Initial Consideration and any Contingent Consideration shall be determined at the time such Initial Consideration or Contingent Consideration, as applicable, are to be legally distributed to this corporation’s stockholders as a result of such Liquidation Event.</w:t>
      </w:r>
    </w:p>
    <w:p>
      <w:pPr>
        <w:spacing w:after="0" w:line="171" w:lineRule="exact"/>
        <w:rPr>
          <w:rFonts w:ascii="Arial" w:cs="Arial" w:eastAsia="Arial" w:hAnsi="Arial"/>
          <w:sz w:val="16"/>
          <w:szCs w:val="16"/>
          <w:b w:val="1"/>
          <w:bCs w:val="1"/>
          <w:color w:val="auto"/>
        </w:rPr>
      </w:pPr>
    </w:p>
    <w:p>
      <w:pPr>
        <w:ind w:firstLine="1877"/>
        <w:spacing w:after="0" w:line="291" w:lineRule="auto"/>
        <w:tabs>
          <w:tab w:leader="none" w:pos="2118"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(i) For purposes of this Section 2, a “Liquidation Event” shall include (A) the closing of the sale, lease, transfer, exclusive license or other disposition of all or substantially all of this corporation’s assets, in a single transaction or series of related transactions, by this corporation or any subsidiary or subsidiaries of this corporation, of all or substantially all the assets of this corporation and its subsidiaries taken as a whole (or, if substantially all of the assets of this corporation and its subsidiaries taken as a whole are held by one or more subsidiaries, the sale or disposition (whether by consolidation, merger, conversion or otherwise) of such subsidiaries of this corporation or all or substantially all of the assets of such subsidiaries), except where such sale, lease, transfer, exclusive license or other disposition is made to this corporation or one or more wholly owned subsidiaries of this corporation, (B) the consummation of a merger, consolidation or acquisition in which (x) this corporation is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32" w:name="page233"/>
    <w:bookmarkEnd w:id="2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constituent party or (y) a subsidiary of this corporation is a constituent party and this corporation issues shares of its capital stock pursuant to such merger, consolidation or acquisition (except a merger, consolidation or acquisition involving this corporation or a subsidiary in which the capital stock of this corporation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this corporation is a party in which in excess of fifty percent (50%) of this corporation’s voting power is transferred; provided that a Liquidation Event shall not include any transaction or series of related transactions principally for bona fide equity financing purposes in which cash is received by this corporation or any successor or indebtedness of this corporation is cancelled or converted or a combination thereof occurs,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the holders of at least a majority of the voting power (as determined in accordance with subsection (5)(a) below) of all then outstanding Preferred Stock (voting together as a single class and not as separate series, and on an as-converted basis).</w:t>
      </w:r>
    </w:p>
    <w:p>
      <w:pPr>
        <w:spacing w:after="0" w:line="169" w:lineRule="exact"/>
        <w:rPr>
          <w:sz w:val="20"/>
          <w:szCs w:val="20"/>
          <w:color w:val="auto"/>
        </w:rPr>
      </w:pPr>
    </w:p>
    <w:p>
      <w:pPr>
        <w:ind w:right="260" w:firstLine="2318"/>
        <w:spacing w:after="0" w:line="277" w:lineRule="auto"/>
        <w:tabs>
          <w:tab w:leader="none" w:pos="257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any Liquidation Event, if Proceeds received by this corporation or its stockholders is other than cash, its value will be deemed its fair market value. Any securities shall be valued as follows:</w:t>
      </w:r>
    </w:p>
    <w:p>
      <w:pPr>
        <w:spacing w:after="0" w:line="170" w:lineRule="exact"/>
        <w:rPr>
          <w:rFonts w:ascii="Arial" w:cs="Arial" w:eastAsia="Arial" w:hAnsi="Arial"/>
          <w:sz w:val="18"/>
          <w:szCs w:val="18"/>
          <w:color w:val="auto"/>
        </w:rPr>
      </w:pPr>
    </w:p>
    <w:p>
      <w:pPr>
        <w:ind w:left="3160" w:hanging="291"/>
        <w:spacing w:after="0"/>
        <w:tabs>
          <w:tab w:leader="none" w:pos="3160" w:val="left"/>
        </w:tabs>
        <w:numPr>
          <w:ilvl w:val="1"/>
          <w:numId w:val="149"/>
        </w:numPr>
        <w:rPr>
          <w:rFonts w:ascii="Arial" w:cs="Arial" w:eastAsia="Arial" w:hAnsi="Arial"/>
          <w:sz w:val="17"/>
          <w:szCs w:val="17"/>
          <w:b w:val="1"/>
          <w:bCs w:val="1"/>
          <w:color w:val="auto"/>
        </w:rPr>
      </w:pPr>
      <w:r>
        <w:rPr>
          <w:rFonts w:ascii="Arial" w:cs="Arial" w:eastAsia="Arial" w:hAnsi="Arial"/>
          <w:sz w:val="17"/>
          <w:szCs w:val="17"/>
          <w:color w:val="auto"/>
        </w:rPr>
        <w:t>Securities not subject to investment letter or other similar restrictions on free marketability which are not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covered by clause (B) below:</w:t>
      </w:r>
    </w:p>
    <w:p>
      <w:pPr>
        <w:spacing w:after="0" w:line="210" w:lineRule="exact"/>
        <w:rPr>
          <w:rFonts w:ascii="Arial" w:cs="Arial" w:eastAsia="Arial" w:hAnsi="Arial"/>
          <w:sz w:val="17"/>
          <w:szCs w:val="17"/>
          <w:b w:val="1"/>
          <w:bCs w:val="1"/>
          <w:color w:val="auto"/>
        </w:rPr>
      </w:pPr>
    </w:p>
    <w:p>
      <w:pPr>
        <w:ind w:right="60" w:firstLine="3310"/>
        <w:spacing w:after="0" w:line="264" w:lineRule="auto"/>
        <w:tabs>
          <w:tab w:leader="none" w:pos="3561" w:val="left"/>
        </w:tabs>
        <w:numPr>
          <w:ilvl w:val="2"/>
          <w:numId w:val="149"/>
        </w:numPr>
        <w:rPr>
          <w:rFonts w:ascii="Arial" w:cs="Arial" w:eastAsia="Arial" w:hAnsi="Arial"/>
          <w:sz w:val="18"/>
          <w:szCs w:val="18"/>
          <w:b w:val="1"/>
          <w:bCs w:val="1"/>
          <w:color w:val="auto"/>
        </w:rPr>
      </w:pPr>
      <w:r>
        <w:rPr>
          <w:rFonts w:ascii="Arial" w:cs="Arial" w:eastAsia="Arial" w:hAnsi="Arial"/>
          <w:sz w:val="18"/>
          <w:szCs w:val="18"/>
          <w:color w:val="auto"/>
        </w:rPr>
        <w:t>If traded on a securities exchange, the value shall be deemed to be the average of the closing prices of the securities on such exchange or system over the twenty (20) trading-day period ending three (3) trading days prior to the closing of the Liquidation Event;</w:t>
      </w:r>
    </w:p>
    <w:p>
      <w:pPr>
        <w:spacing w:after="0" w:line="181" w:lineRule="exact"/>
        <w:rPr>
          <w:rFonts w:ascii="Arial" w:cs="Arial" w:eastAsia="Arial" w:hAnsi="Arial"/>
          <w:sz w:val="18"/>
          <w:szCs w:val="18"/>
          <w:b w:val="1"/>
          <w:bCs w:val="1"/>
          <w:color w:val="auto"/>
        </w:rPr>
      </w:pPr>
    </w:p>
    <w:p>
      <w:pPr>
        <w:ind w:right="60" w:firstLine="3310"/>
        <w:spacing w:after="0" w:line="264" w:lineRule="auto"/>
        <w:tabs>
          <w:tab w:leader="none" w:pos="3561" w:val="left"/>
        </w:tabs>
        <w:numPr>
          <w:ilvl w:val="2"/>
          <w:numId w:val="149"/>
        </w:numPr>
        <w:rPr>
          <w:rFonts w:ascii="Arial" w:cs="Arial" w:eastAsia="Arial" w:hAnsi="Arial"/>
          <w:sz w:val="18"/>
          <w:szCs w:val="18"/>
          <w:b w:val="1"/>
          <w:bCs w:val="1"/>
          <w:color w:val="auto"/>
        </w:rPr>
      </w:pPr>
      <w:r>
        <w:rPr>
          <w:rFonts w:ascii="Arial" w:cs="Arial" w:eastAsia="Arial" w:hAnsi="Arial"/>
          <w:sz w:val="18"/>
          <w:szCs w:val="18"/>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81" w:lineRule="exact"/>
        <w:rPr>
          <w:rFonts w:ascii="Arial" w:cs="Arial" w:eastAsia="Arial" w:hAnsi="Arial"/>
          <w:sz w:val="18"/>
          <w:szCs w:val="18"/>
          <w:b w:val="1"/>
          <w:bCs w:val="1"/>
          <w:color w:val="auto"/>
        </w:rPr>
      </w:pPr>
    </w:p>
    <w:p>
      <w:pPr>
        <w:ind w:right="100" w:firstLine="3310"/>
        <w:spacing w:after="0" w:line="312" w:lineRule="auto"/>
        <w:tabs>
          <w:tab w:leader="none" w:pos="3561" w:val="left"/>
        </w:tabs>
        <w:numPr>
          <w:ilvl w:val="2"/>
          <w:numId w:val="149"/>
        </w:numPr>
        <w:rPr>
          <w:rFonts w:ascii="Arial" w:cs="Arial" w:eastAsia="Arial" w:hAnsi="Arial"/>
          <w:sz w:val="16"/>
          <w:szCs w:val="16"/>
          <w:b w:val="1"/>
          <w:bCs w:val="1"/>
          <w:color w:val="auto"/>
        </w:rPr>
      </w:pPr>
      <w:r>
        <w:rPr>
          <w:rFonts w:ascii="Arial" w:cs="Arial" w:eastAsia="Arial" w:hAnsi="Arial"/>
          <w:sz w:val="16"/>
          <w:szCs w:val="16"/>
          <w:color w:val="auto"/>
        </w:rPr>
        <w:t>If there is no active public market, the value shall be the fair market value thereof, as mutually determined by this corporation and the holders of at least a majority of the voting power (as determined in accordance with subsection (5)(a) below) of all then outstanding shares of Preferred Stock (voting together as a single class and not as separate series, and on an as-converted basis).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33" w:name="page234"/>
    <w:bookmarkEnd w:id="233"/>
    <w:p>
      <w:pPr>
        <w:ind w:right="60" w:firstLine="2869"/>
        <w:spacing w:after="0" w:line="297" w:lineRule="auto"/>
        <w:tabs>
          <w:tab w:leader="none" w:pos="3150" w:val="left"/>
        </w:tabs>
        <w:numPr>
          <w:ilvl w:val="1"/>
          <w:numId w:val="15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method of valuation of securities subject to investment letter or other restrictions on free marketability (other than restrictions arising solely by virtue of a stockholder’s status as an affiliate or former affiliate) shall be to take an appropriate discount from the market value determined as above in (A) (1), (2) or (3) to reflect the approximate fair market value thereof, as mutually determined by this corporation and the holders of at least a majority of the voting power (as determined in accordance with subsection (5)(a) below) of all then outstanding shares of such Preferred Stock (voting together as a single class and not as separate series, and on an as-converted basis).</w:t>
      </w:r>
    </w:p>
    <w:p>
      <w:pPr>
        <w:spacing w:after="0" w:line="158" w:lineRule="exact"/>
        <w:rPr>
          <w:rFonts w:ascii="Arial" w:cs="Arial" w:eastAsia="Arial" w:hAnsi="Arial"/>
          <w:sz w:val="16"/>
          <w:szCs w:val="16"/>
          <w:b w:val="1"/>
          <w:bCs w:val="1"/>
          <w:color w:val="auto"/>
        </w:rPr>
      </w:pPr>
    </w:p>
    <w:p>
      <w:pPr>
        <w:ind w:firstLine="2869"/>
        <w:spacing w:after="0" w:line="279" w:lineRule="auto"/>
        <w:tabs>
          <w:tab w:leader="none" w:pos="3160" w:val="left"/>
        </w:tabs>
        <w:numPr>
          <w:ilvl w:val="1"/>
          <w:numId w:val="150"/>
        </w:numPr>
        <w:rPr>
          <w:rFonts w:ascii="Arial" w:cs="Arial" w:eastAsia="Arial" w:hAnsi="Arial"/>
          <w:sz w:val="17"/>
          <w:szCs w:val="17"/>
          <w:b w:val="1"/>
          <w:bCs w:val="1"/>
          <w:color w:val="auto"/>
        </w:rPr>
      </w:pPr>
      <w:r>
        <w:rPr>
          <w:rFonts w:ascii="Arial" w:cs="Arial" w:eastAsia="Arial" w:hAnsi="Arial"/>
          <w:sz w:val="17"/>
          <w:szCs w:val="17"/>
          <w:color w:val="auto"/>
        </w:rPr>
        <w:t>The foregoing methods for valuing non-cash consideration to be distributed in connection with a Liquidation Event shall, upon approval by the holders of at least a majority of the voting power (as determined in accordance with subsection (5)(a) below) of all then outstanding shares of Preferred Stock (voting together as a single class and not as separate series, and on an as-converted basis), be superseded by any determination of such value set forth in the definitive agreements governing such Liquidation Event.</w:t>
      </w:r>
    </w:p>
    <w:p>
      <w:pPr>
        <w:spacing w:after="0" w:line="171" w:lineRule="exact"/>
        <w:rPr>
          <w:rFonts w:ascii="Arial" w:cs="Arial" w:eastAsia="Arial" w:hAnsi="Arial"/>
          <w:sz w:val="17"/>
          <w:szCs w:val="17"/>
          <w:b w:val="1"/>
          <w:bCs w:val="1"/>
          <w:color w:val="auto"/>
        </w:rPr>
      </w:pPr>
    </w:p>
    <w:p>
      <w:pPr>
        <w:ind w:left="2640" w:hanging="322"/>
        <w:spacing w:after="0"/>
        <w:tabs>
          <w:tab w:leader="none" w:pos="2640"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In the event the requirements of this Section 2 are not complied with, this corporation shall forthwith either:</w:t>
      </w:r>
    </w:p>
    <w:p>
      <w:pPr>
        <w:spacing w:after="0" w:line="236" w:lineRule="exact"/>
        <w:rPr>
          <w:rFonts w:ascii="Arial" w:cs="Arial" w:eastAsia="Arial" w:hAnsi="Arial"/>
          <w:sz w:val="17"/>
          <w:szCs w:val="17"/>
          <w:b w:val="1"/>
          <w:bCs w:val="1"/>
          <w:color w:val="auto"/>
        </w:rPr>
      </w:pPr>
    </w:p>
    <w:p>
      <w:pPr>
        <w:ind w:left="3160" w:hanging="291"/>
        <w:spacing w:after="0"/>
        <w:tabs>
          <w:tab w:leader="none" w:pos="3160" w:val="left"/>
        </w:tabs>
        <w:numPr>
          <w:ilvl w:val="1"/>
          <w:numId w:val="151"/>
        </w:numPr>
        <w:rPr>
          <w:rFonts w:ascii="Arial" w:cs="Arial" w:eastAsia="Arial" w:hAnsi="Arial"/>
          <w:sz w:val="17"/>
          <w:szCs w:val="17"/>
          <w:b w:val="1"/>
          <w:bCs w:val="1"/>
          <w:color w:val="auto"/>
        </w:rPr>
      </w:pPr>
      <w:r>
        <w:rPr>
          <w:rFonts w:ascii="Arial" w:cs="Arial" w:eastAsia="Arial" w:hAnsi="Arial"/>
          <w:sz w:val="17"/>
          <w:szCs w:val="17"/>
          <w:color w:val="auto"/>
        </w:rPr>
        <w:t>cause the closing of such Liquidation Event to be postponed until such time as the requirements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2 have been complied with; or</w:t>
      </w:r>
    </w:p>
    <w:p>
      <w:pPr>
        <w:spacing w:after="0" w:line="210" w:lineRule="exact"/>
        <w:rPr>
          <w:rFonts w:ascii="Arial" w:cs="Arial" w:eastAsia="Arial" w:hAnsi="Arial"/>
          <w:sz w:val="17"/>
          <w:szCs w:val="17"/>
          <w:b w:val="1"/>
          <w:bCs w:val="1"/>
          <w:color w:val="auto"/>
        </w:rPr>
      </w:pPr>
    </w:p>
    <w:p>
      <w:pPr>
        <w:ind w:right="120" w:firstLine="2869"/>
        <w:spacing w:after="0" w:line="264" w:lineRule="auto"/>
        <w:tabs>
          <w:tab w:leader="none" w:pos="3150"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81" w:lineRule="exact"/>
        <w:rPr>
          <w:rFonts w:ascii="Arial" w:cs="Arial" w:eastAsia="Arial" w:hAnsi="Arial"/>
          <w:sz w:val="18"/>
          <w:szCs w:val="18"/>
          <w:b w:val="1"/>
          <w:bCs w:val="1"/>
          <w:color w:val="auto"/>
        </w:rPr>
      </w:pPr>
    </w:p>
    <w:p>
      <w:pPr>
        <w:ind w:right="40" w:firstLine="2318"/>
        <w:spacing w:after="0" w:line="289" w:lineRule="auto"/>
        <w:tabs>
          <w:tab w:leader="none" w:pos="2619"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at least a majority of the voting power (as determined in accordance with subsection (5)(a) below) of all then outstanding shares of such Preferred Stock (voting together as a single class, and on an as-converted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4" w:name="page235"/>
    <w:bookmarkEnd w:id="234"/>
    <w:p>
      <w:pPr>
        <w:ind w:left="1600" w:hanging="184"/>
        <w:spacing w:after="0"/>
        <w:tabs>
          <w:tab w:leader="none" w:pos="1600"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w:t>
      </w:r>
      <w:r>
        <w:rPr>
          <w:rFonts w:ascii="Arial" w:cs="Arial" w:eastAsia="Arial" w:hAnsi="Arial"/>
          <w:sz w:val="18"/>
          <w:szCs w:val="18"/>
          <w:color w:val="auto"/>
        </w:rPr>
        <w:t>. The Preferred Stock is not redeemable at the option of the holder.</w:t>
      </w:r>
    </w:p>
    <w:p>
      <w:pPr>
        <w:spacing w:after="0" w:line="225" w:lineRule="exact"/>
        <w:rPr>
          <w:rFonts w:ascii="Arial" w:cs="Arial" w:eastAsia="Arial" w:hAnsi="Arial"/>
          <w:sz w:val="18"/>
          <w:szCs w:val="18"/>
          <w:b w:val="1"/>
          <w:bCs w:val="1"/>
          <w:color w:val="auto"/>
        </w:rPr>
      </w:pPr>
    </w:p>
    <w:p>
      <w:pPr>
        <w:ind w:left="1600" w:hanging="184"/>
        <w:spacing w:after="0"/>
        <w:tabs>
          <w:tab w:leader="none" w:pos="1600"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“Conversion Rights”):</w:t>
      </w:r>
    </w:p>
    <w:p>
      <w:pPr>
        <w:spacing w:after="0" w:line="225" w:lineRule="exact"/>
        <w:rPr>
          <w:rFonts w:ascii="Arial" w:cs="Arial" w:eastAsia="Arial" w:hAnsi="Arial"/>
          <w:sz w:val="18"/>
          <w:szCs w:val="18"/>
          <w:b w:val="1"/>
          <w:bCs w:val="1"/>
          <w:color w:val="auto"/>
        </w:rPr>
      </w:pPr>
    </w:p>
    <w:p>
      <w:pPr>
        <w:ind w:left="-20" w:right="40" w:firstLine="1877"/>
        <w:spacing w:after="0" w:line="290" w:lineRule="auto"/>
        <w:tabs>
          <w:tab w:leader="none" w:pos="2108" w:val="left"/>
        </w:tabs>
        <w:numPr>
          <w:ilvl w:val="1"/>
          <w:numId w:val="152"/>
        </w:numPr>
        <w:rPr>
          <w:rFonts w:ascii="Arial" w:cs="Arial" w:eastAsia="Arial" w:hAnsi="Arial"/>
          <w:sz w:val="16"/>
          <w:szCs w:val="16"/>
          <w:b w:val="1"/>
          <w:bCs w:val="1"/>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Series 2 Common Stock as is determined by dividing the applicable Original Issue Price for such series by the applicable Conversion Price for such series (the conversion rate for a series of Preferred Stock into Series 2 Common Stock is referred to herein as the “Conversion Rate” for such series), determined as hereafter provided, in effect on the date the certificate is surrendered for conversion. The initial Conversion Price per share for the Series 6 Preferred Stock shall be $0.8730,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66" w:lineRule="exact"/>
        <w:rPr>
          <w:rFonts w:ascii="Arial" w:cs="Arial" w:eastAsia="Arial" w:hAnsi="Arial"/>
          <w:sz w:val="16"/>
          <w:szCs w:val="16"/>
          <w:b w:val="1"/>
          <w:bCs w:val="1"/>
          <w:color w:val="auto"/>
        </w:rPr>
      </w:pPr>
    </w:p>
    <w:p>
      <w:pPr>
        <w:ind w:left="-20" w:firstLine="1877"/>
        <w:spacing w:after="0" w:line="287" w:lineRule="auto"/>
        <w:tabs>
          <w:tab w:leader="none" w:pos="2118" w:val="left"/>
        </w:tabs>
        <w:numPr>
          <w:ilvl w:val="1"/>
          <w:numId w:val="152"/>
        </w:numPr>
        <w:rPr>
          <w:rFonts w:ascii="Arial" w:cs="Arial" w:eastAsia="Arial" w:hAnsi="Arial"/>
          <w:sz w:val="16"/>
          <w:szCs w:val="16"/>
          <w:b w:val="1"/>
          <w:bCs w:val="1"/>
          <w:color w:val="auto"/>
        </w:rPr>
      </w:pPr>
      <w:r>
        <w:rPr>
          <w:rFonts w:ascii="Arial" w:cs="Arial" w:eastAsia="Arial" w:hAnsi="Arial"/>
          <w:sz w:val="16"/>
          <w:szCs w:val="16"/>
          <w:u w:val="single" w:color="auto"/>
          <w:color w:val="auto"/>
        </w:rPr>
        <w:t>Automatic Conversion</w:t>
      </w:r>
      <w:r>
        <w:rPr>
          <w:rFonts w:ascii="Arial" w:cs="Arial" w:eastAsia="Arial" w:hAnsi="Arial"/>
          <w:sz w:val="16"/>
          <w:szCs w:val="16"/>
          <w:color w:val="auto"/>
        </w:rPr>
        <w:t>. Each share of Preferred Stock shall automatically be converted into shares of Series 2 Common Stock at the Conversion Rate at the time in effect for such series of Preferred Stock immediately upon this corporation’s sale of its Common Stock in a firm commitment underwritten public offering pursuant to a registration statement on Form S-1 or Form SB-2 under the Securities Act of 1933, as amended, resulting in aggregate gross proceeds to this corporation of not less than $50,000,000 and a per share public offering of not be less than $1.6722 (as adjusted for any stock splits, stock dividends, combinations, subdivisions, recapitalizations or the like) (a “Qualified Public Offering”). Each share of Series 1 Preferred Stock, Series 2 Preferred Stock, Series 3 Preferred Stock, Series 4 Preferred Stock, Series 5 Preferred Stock, Series 6 Preferred Stock and Series 7 Preferred Stock shall automatically be converted into shares of Series 2 Common Stock at the Conversion Rate at the time in effect for such shares of Preferred Stock immediately upon the date specified by written consent or agreement of the holders of at least a majority of the voting power (as determined in accordance with subsection (5)(a) below)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72" w:lineRule="exact"/>
        <w:rPr>
          <w:rFonts w:ascii="Arial" w:cs="Arial" w:eastAsia="Arial" w:hAnsi="Arial"/>
          <w:sz w:val="16"/>
          <w:szCs w:val="16"/>
          <w:b w:val="1"/>
          <w:bCs w:val="1"/>
          <w:color w:val="auto"/>
        </w:rPr>
      </w:pPr>
    </w:p>
    <w:p>
      <w:pPr>
        <w:ind w:left="-20" w:firstLine="1877"/>
        <w:spacing w:after="0" w:line="273" w:lineRule="auto"/>
        <w:tabs>
          <w:tab w:leader="none" w:pos="2098" w:val="left"/>
        </w:tabs>
        <w:numPr>
          <w:ilvl w:val="1"/>
          <w:numId w:val="152"/>
        </w:numPr>
        <w:rPr>
          <w:rFonts w:ascii="Arial" w:cs="Arial" w:eastAsia="Arial" w:hAnsi="Arial"/>
          <w:sz w:val="17"/>
          <w:szCs w:val="17"/>
          <w:b w:val="1"/>
          <w:bCs w:val="1"/>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Preferred Stock shall be entitled to voluntarily convert the same into shares of Series 2 Common Stock, he or she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Series 2 Common Stock are to be issued. This corporation shall, as soon as practicable thereafter, issue and deliver at such office to such holder of Preferred Stock, or to the nominee or nominees of such holder, a certificate or certificates for the number of shares of Series 2 Common Stock to which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235" w:name="page236"/>
    <w:bookmarkEnd w:id="23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shall be entitled as aforesaid. Such conversion shall be deemed to have been made immediately prior to the close of business on the date of such surrender of the shares of Preferred Stock to be converted, and the person or persons entitled to receive the shares of Series 2 Common Stock issuable upon such conversion shall be treated for all purposes as the record holder or holders of such shares of Series 2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Series 2 Common Stock upon conversion of the Preferred Stock shall not be deemed to have converted such Preferred Stock until immediately prior to the closing of such sale of securities. If the conversion is in connection with the last sentence of the automatic conversion provision of subsection 4(b) above, such conversion shall be deemed to have been made on the conversion date described in the stockholder consent approving such conversion, and the persons entitled to receive shares of Series 2 Common Stock issuable upon such conversion shall be treated for all purposes as the record holders of such shares of Series 2 Common Stock as of such date.</w:t>
      </w:r>
    </w:p>
    <w:p>
      <w:pPr>
        <w:spacing w:after="0" w:line="169" w:lineRule="exact"/>
        <w:rPr>
          <w:sz w:val="20"/>
          <w:szCs w:val="20"/>
          <w:color w:val="auto"/>
        </w:rPr>
      </w:pPr>
    </w:p>
    <w:p>
      <w:pPr>
        <w:ind w:firstLine="1877"/>
        <w:spacing w:after="0" w:line="277" w:lineRule="auto"/>
        <w:tabs>
          <w:tab w:leader="none" w:pos="2138" w:val="left"/>
        </w:tabs>
        <w:numPr>
          <w:ilvl w:val="0"/>
          <w:numId w:val="153"/>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Price Adjustments of Preferred Stock for Certain Dilutive Issuances, Splits and Combinations</w:t>
      </w:r>
      <w:r>
        <w:rPr>
          <w:rFonts w:ascii="Arial" w:cs="Arial" w:eastAsia="Arial" w:hAnsi="Arial"/>
          <w:sz w:val="18"/>
          <w:szCs w:val="18"/>
          <w:color w:val="auto"/>
        </w:rPr>
        <w:t>. The Conversion Price of the Preferred Stock shall be subject to adjustment from time to time as follows:</w:t>
      </w:r>
    </w:p>
    <w:p>
      <w:pPr>
        <w:spacing w:after="0" w:line="170" w:lineRule="exact"/>
        <w:rPr>
          <w:sz w:val="20"/>
          <w:szCs w:val="20"/>
          <w:color w:val="auto"/>
        </w:rPr>
      </w:pPr>
    </w:p>
    <w:p>
      <w:pPr>
        <w:ind w:right="20" w:firstLine="1877"/>
        <w:spacing w:after="0" w:line="286" w:lineRule="auto"/>
        <w:tabs>
          <w:tab w:leader="none" w:pos="2088"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(A) If this corporation shall issue, on or after the date upon which this Restated Certificate of Incorporation is accepted for filing by the Secretary of State of the State of Delaware (the “Filing Date”),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“Common Stock Outstanding”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74" w:lineRule="exact"/>
        <w:rPr>
          <w:rFonts w:ascii="Arial" w:cs="Arial" w:eastAsia="Arial" w:hAnsi="Arial"/>
          <w:sz w:val="16"/>
          <w:szCs w:val="16"/>
          <w:b w:val="1"/>
          <w:bCs w:val="1"/>
          <w:color w:val="auto"/>
        </w:rPr>
      </w:pPr>
    </w:p>
    <w:p>
      <w:pPr>
        <w:ind w:firstLine="2318"/>
        <w:spacing w:after="0" w:line="312" w:lineRule="auto"/>
        <w:tabs>
          <w:tab w:leader="none" w:pos="2599"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36" w:name="page237"/>
    <w:bookmarkEnd w:id="236"/>
    <w:p>
      <w:pPr>
        <w:ind w:left="-20" w:right="80" w:firstLine="2318"/>
        <w:spacing w:after="0" w:line="264" w:lineRule="auto"/>
        <w:tabs>
          <w:tab w:leader="none" w:pos="2589"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81" w:lineRule="exact"/>
        <w:rPr>
          <w:rFonts w:ascii="Arial" w:cs="Arial" w:eastAsia="Arial" w:hAnsi="Arial"/>
          <w:sz w:val="18"/>
          <w:szCs w:val="18"/>
          <w:b w:val="1"/>
          <w:bCs w:val="1"/>
          <w:color w:val="auto"/>
        </w:rPr>
      </w:pPr>
    </w:p>
    <w:p>
      <w:pPr>
        <w:ind w:left="-20" w:right="40" w:firstLine="2318"/>
        <w:spacing w:after="0" w:line="264" w:lineRule="auto"/>
        <w:tabs>
          <w:tab w:leader="none" w:pos="2589"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81" w:lineRule="exact"/>
        <w:rPr>
          <w:rFonts w:ascii="Arial" w:cs="Arial" w:eastAsia="Arial" w:hAnsi="Arial"/>
          <w:sz w:val="18"/>
          <w:szCs w:val="18"/>
          <w:b w:val="1"/>
          <w:bCs w:val="1"/>
          <w:color w:val="auto"/>
        </w:rPr>
      </w:pPr>
    </w:p>
    <w:p>
      <w:pPr>
        <w:ind w:left="-20" w:right="80" w:firstLine="2318"/>
        <w:spacing w:after="0" w:line="312" w:lineRule="auto"/>
        <w:tabs>
          <w:tab w:leader="none" w:pos="2579"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146" w:lineRule="exact"/>
        <w:rPr>
          <w:rFonts w:ascii="Arial" w:cs="Arial" w:eastAsia="Arial" w:hAnsi="Arial"/>
          <w:sz w:val="16"/>
          <w:szCs w:val="16"/>
          <w:b w:val="1"/>
          <w:bCs w:val="1"/>
          <w:color w:val="auto"/>
        </w:rPr>
      </w:pPr>
    </w:p>
    <w:p>
      <w:pPr>
        <w:ind w:left="-20" w:right="20" w:firstLine="2869"/>
        <w:spacing w:after="0" w:line="273" w:lineRule="auto"/>
        <w:tabs>
          <w:tab w:leader="none" w:pos="3100" w:val="left"/>
        </w:tabs>
        <w:numPr>
          <w:ilvl w:val="1"/>
          <w:numId w:val="155"/>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w:t>
      </w:r>
    </w:p>
    <w:p>
      <w:pPr>
        <w:spacing w:after="0" w:line="178" w:lineRule="exact"/>
        <w:rPr>
          <w:rFonts w:ascii="Arial" w:cs="Arial" w:eastAsia="Arial" w:hAnsi="Arial"/>
          <w:sz w:val="17"/>
          <w:szCs w:val="17"/>
          <w:b w:val="1"/>
          <w:bCs w:val="1"/>
          <w:color w:val="auto"/>
        </w:rPr>
      </w:pPr>
    </w:p>
    <w:p>
      <w:pPr>
        <w:ind w:left="-20" w:firstLine="2869"/>
        <w:spacing w:after="0" w:line="270" w:lineRule="auto"/>
        <w:tabs>
          <w:tab w:leader="none" w:pos="3100" w:val="left"/>
        </w:tabs>
        <w:numPr>
          <w:ilvl w:val="1"/>
          <w:numId w:val="155"/>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w:t>
      </w:r>
    </w:p>
    <w:p>
      <w:pPr>
        <w:spacing w:after="0" w:line="181" w:lineRule="exact"/>
        <w:rPr>
          <w:rFonts w:ascii="Arial" w:cs="Arial" w:eastAsia="Arial" w:hAnsi="Arial"/>
          <w:sz w:val="17"/>
          <w:szCs w:val="17"/>
          <w:b w:val="1"/>
          <w:bCs w:val="1"/>
          <w:color w:val="auto"/>
        </w:rPr>
      </w:pPr>
    </w:p>
    <w:p>
      <w:pPr>
        <w:ind w:left="-20" w:right="20" w:firstLine="2869"/>
        <w:spacing w:after="0" w:line="264" w:lineRule="auto"/>
        <w:tabs>
          <w:tab w:leader="none" w:pos="3100"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37" w:name="page238"/>
    <w:bookmarkEnd w:id="237"/>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81" w:lineRule="exact"/>
        <w:rPr>
          <w:sz w:val="20"/>
          <w:szCs w:val="20"/>
          <w:color w:val="auto"/>
        </w:rPr>
      </w:pPr>
    </w:p>
    <w:p>
      <w:pPr>
        <w:ind w:firstLine="2869"/>
        <w:spacing w:after="0" w:line="255" w:lineRule="auto"/>
        <w:tabs>
          <w:tab w:leader="none" w:pos="3120" w:val="left"/>
        </w:tabs>
        <w:numPr>
          <w:ilvl w:val="2"/>
          <w:numId w:val="156"/>
        </w:numPr>
        <w:rPr>
          <w:rFonts w:ascii="Arial" w:cs="Arial" w:eastAsia="Arial" w:hAnsi="Arial"/>
          <w:sz w:val="18"/>
          <w:szCs w:val="18"/>
          <w:b w:val="1"/>
          <w:bCs w:val="1"/>
          <w:color w:val="auto"/>
        </w:rPr>
      </w:pPr>
      <w:r>
        <w:rPr>
          <w:rFonts w:ascii="Arial" w:cs="Arial" w:eastAsia="Arial" w:hAnsi="Arial"/>
          <w:sz w:val="18"/>
          <w:szCs w:val="18"/>
          <w:color w:val="auto"/>
        </w:rPr>
        <w:t>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93" w:lineRule="exact"/>
        <w:rPr>
          <w:rFonts w:ascii="Arial" w:cs="Arial" w:eastAsia="Arial" w:hAnsi="Arial"/>
          <w:sz w:val="18"/>
          <w:szCs w:val="18"/>
          <w:b w:val="1"/>
          <w:bCs w:val="1"/>
          <w:color w:val="auto"/>
        </w:rPr>
      </w:pPr>
    </w:p>
    <w:p>
      <w:pPr>
        <w:ind w:right="400" w:firstLine="2869"/>
        <w:spacing w:after="0" w:line="264" w:lineRule="auto"/>
        <w:tabs>
          <w:tab w:leader="none" w:pos="3120" w:val="left"/>
        </w:tabs>
        <w:numPr>
          <w:ilvl w:val="2"/>
          <w:numId w:val="156"/>
        </w:numPr>
        <w:rPr>
          <w:rFonts w:ascii="Arial" w:cs="Arial" w:eastAsia="Arial" w:hAnsi="Arial"/>
          <w:sz w:val="18"/>
          <w:szCs w:val="18"/>
          <w:b w:val="1"/>
          <w:bCs w:val="1"/>
          <w:color w:val="auto"/>
        </w:rPr>
      </w:pPr>
      <w:r>
        <w:rPr>
          <w:rFonts w:ascii="Arial" w:cs="Arial" w:eastAsia="Arial" w:hAnsi="Arial"/>
          <w:sz w:val="18"/>
          <w:szCs w:val="18"/>
          <w:color w:val="auto"/>
        </w:rPr>
        <w:t>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81" w:lineRule="exact"/>
        <w:rPr>
          <w:rFonts w:ascii="Arial" w:cs="Arial" w:eastAsia="Arial" w:hAnsi="Arial"/>
          <w:sz w:val="18"/>
          <w:szCs w:val="18"/>
          <w:b w:val="1"/>
          <w:bCs w:val="1"/>
          <w:color w:val="auto"/>
        </w:rPr>
      </w:pPr>
    </w:p>
    <w:p>
      <w:pPr>
        <w:ind w:left="2140" w:hanging="263"/>
        <w:spacing w:after="0"/>
        <w:tabs>
          <w:tab w:leader="none" w:pos="2140"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“Additional Stock” shall mean any shares of Common Stock issued (or deemed to have been issued pursuant to subsection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4(d)(i)(E)) by this corporation on or after the Filing Date other than:</w:t>
      </w:r>
    </w:p>
    <w:p>
      <w:pPr>
        <w:spacing w:after="0" w:line="210" w:lineRule="exact"/>
        <w:rPr>
          <w:rFonts w:ascii="Arial" w:cs="Arial" w:eastAsia="Arial" w:hAnsi="Arial"/>
          <w:sz w:val="16"/>
          <w:szCs w:val="16"/>
          <w:b w:val="1"/>
          <w:bCs w:val="1"/>
          <w:color w:val="auto"/>
        </w:rPr>
      </w:pPr>
    </w:p>
    <w:p>
      <w:pPr>
        <w:ind w:left="2620" w:hanging="302"/>
        <w:spacing w:after="0"/>
        <w:tabs>
          <w:tab w:leader="none" w:pos="2620"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 transaction described in subsection 4(d)(iii) hereof;</w:t>
      </w:r>
    </w:p>
    <w:p>
      <w:pPr>
        <w:spacing w:after="0" w:line="225" w:lineRule="exact"/>
        <w:rPr>
          <w:rFonts w:ascii="Arial" w:cs="Arial" w:eastAsia="Arial" w:hAnsi="Arial"/>
          <w:sz w:val="18"/>
          <w:szCs w:val="18"/>
          <w:b w:val="1"/>
          <w:bCs w:val="1"/>
          <w:color w:val="auto"/>
        </w:rPr>
      </w:pPr>
    </w:p>
    <w:p>
      <w:pPr>
        <w:ind w:right="300" w:firstLine="2318"/>
        <w:spacing w:after="0" w:line="259" w:lineRule="auto"/>
        <w:tabs>
          <w:tab w:leader="none" w:pos="2599"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to employees, officers, directors, consultants and other service providers for the primary purpose of soliciting or retaining their services pursuant to plans or agreements approved by this corporation’s Board of Directors (which approval shall include the affirmative vote of one of the Series 4 Director, the Series 5 Director, the Series 6 Director or Series 7 Director, each as defined below (collectively, the “Preferred Directors”));</w:t>
      </w:r>
    </w:p>
    <w:p>
      <w:pPr>
        <w:spacing w:after="0" w:line="186" w:lineRule="exact"/>
        <w:rPr>
          <w:rFonts w:ascii="Arial" w:cs="Arial" w:eastAsia="Arial" w:hAnsi="Arial"/>
          <w:sz w:val="18"/>
          <w:szCs w:val="18"/>
          <w:b w:val="1"/>
          <w:bCs w:val="1"/>
          <w:color w:val="auto"/>
        </w:rPr>
      </w:pPr>
    </w:p>
    <w:p>
      <w:pPr>
        <w:ind w:left="2620" w:hanging="302"/>
        <w:spacing w:after="0"/>
        <w:tabs>
          <w:tab w:leader="none" w:pos="2620"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an underwritten public offering;</w:t>
      </w:r>
    </w:p>
    <w:p>
      <w:pPr>
        <w:spacing w:after="0" w:line="225" w:lineRule="exact"/>
        <w:rPr>
          <w:rFonts w:ascii="Arial" w:cs="Arial" w:eastAsia="Arial" w:hAnsi="Arial"/>
          <w:sz w:val="18"/>
          <w:szCs w:val="18"/>
          <w:b w:val="1"/>
          <w:bCs w:val="1"/>
          <w:color w:val="auto"/>
        </w:rPr>
      </w:pPr>
    </w:p>
    <w:p>
      <w:pPr>
        <w:ind w:left="2620" w:hanging="302"/>
        <w:spacing w:after="0"/>
        <w:tabs>
          <w:tab w:leader="none" w:pos="2620" w:val="left"/>
        </w:tabs>
        <w:numPr>
          <w:ilvl w:val="1"/>
          <w:numId w:val="157"/>
        </w:numPr>
        <w:rPr>
          <w:rFonts w:ascii="Arial" w:cs="Arial" w:eastAsia="Arial" w:hAnsi="Arial"/>
          <w:sz w:val="16"/>
          <w:szCs w:val="16"/>
          <w:b w:val="1"/>
          <w:bCs w:val="1"/>
          <w:color w:val="auto"/>
        </w:rPr>
      </w:pPr>
      <w:r>
        <w:rPr>
          <w:rFonts w:ascii="Arial" w:cs="Arial" w:eastAsia="Arial" w:hAnsi="Arial"/>
          <w:sz w:val="16"/>
          <w:szCs w:val="16"/>
          <w:color w:val="auto"/>
        </w:rPr>
        <w:t>Common Stock issued pursuant to the conversion or exercise of convertible or exercisable securities outstanding 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Filing Date;</w:t>
      </w:r>
    </w:p>
    <w:p>
      <w:pPr>
        <w:spacing w:after="0" w:line="210" w:lineRule="exact"/>
        <w:rPr>
          <w:rFonts w:ascii="Arial" w:cs="Arial" w:eastAsia="Arial" w:hAnsi="Arial"/>
          <w:sz w:val="16"/>
          <w:szCs w:val="16"/>
          <w:b w:val="1"/>
          <w:bCs w:val="1"/>
          <w:color w:val="auto"/>
        </w:rPr>
      </w:pPr>
    </w:p>
    <w:p>
      <w:pPr>
        <w:ind w:right="140" w:firstLine="2318"/>
        <w:spacing w:after="0" w:line="264" w:lineRule="auto"/>
        <w:tabs>
          <w:tab w:leader="none" w:pos="2599"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Common Stock issued in connection with a bona fide business acquisition of or by this corporation, whether by merger, consolidation, sale of assets, sale or exchange of stock or otherwise, approved by the Board of Directors (which approval shall include the vote of a Preferred Director) and entered into primarily for a purpose other than for financing purposes;</w:t>
      </w:r>
    </w:p>
    <w:p>
      <w:pPr>
        <w:spacing w:after="0" w:line="181" w:lineRule="exact"/>
        <w:rPr>
          <w:rFonts w:ascii="Arial" w:cs="Arial" w:eastAsia="Arial" w:hAnsi="Arial"/>
          <w:sz w:val="18"/>
          <w:szCs w:val="18"/>
          <w:b w:val="1"/>
          <w:bCs w:val="1"/>
          <w:color w:val="auto"/>
        </w:rPr>
      </w:pPr>
    </w:p>
    <w:p>
      <w:pPr>
        <w:ind w:right="40" w:firstLine="2318"/>
        <w:spacing w:after="0" w:line="277" w:lineRule="auto"/>
        <w:tabs>
          <w:tab w:leader="none" w:pos="2589"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Common Stock issued or deemed issued pursuant to subsection 4(d)(i)(E) as a result of a decrease in the Conversion Price of any series of Preferred Stock resulting from the operation of Section 4(d);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38" w:name="page239"/>
    <w:bookmarkEnd w:id="238"/>
    <w:p>
      <w:pPr>
        <w:ind w:left="-60" w:firstLine="2869"/>
        <w:spacing w:after="0" w:line="264" w:lineRule="auto"/>
        <w:tabs>
          <w:tab w:leader="none" w:pos="3110"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issued upon conversion of (1) the Preferred Stock outstanding on the Filing Date and (2) the Preferred Stock issued pursuant to that certain Series 7 Preferred Stock Purchase Agreement, dated on or about the Filing Date, by and among this corporation and the Investors set forth on Schedule A thereto;</w:t>
      </w:r>
    </w:p>
    <w:p>
      <w:pPr>
        <w:spacing w:after="0" w:line="181" w:lineRule="exact"/>
        <w:rPr>
          <w:rFonts w:ascii="Arial" w:cs="Arial" w:eastAsia="Arial" w:hAnsi="Arial"/>
          <w:sz w:val="18"/>
          <w:szCs w:val="18"/>
          <w:b w:val="1"/>
          <w:bCs w:val="1"/>
          <w:color w:val="auto"/>
        </w:rPr>
      </w:pPr>
    </w:p>
    <w:p>
      <w:pPr>
        <w:ind w:left="-60" w:firstLine="2318"/>
        <w:spacing w:after="0" w:line="264" w:lineRule="auto"/>
        <w:tabs>
          <w:tab w:leader="none" w:pos="2559"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pursuant to any equipment leasing arrangement or debt financing arrangement, which arrangement is approved by the Board of Directors (which approval shall include the affirmative vote of a Preferred Director) and is primarily for non-equity financing purposes; or</w:t>
      </w:r>
    </w:p>
    <w:p>
      <w:pPr>
        <w:spacing w:after="0" w:line="181" w:lineRule="exact"/>
        <w:rPr>
          <w:rFonts w:ascii="Arial" w:cs="Arial" w:eastAsia="Arial" w:hAnsi="Arial"/>
          <w:sz w:val="18"/>
          <w:szCs w:val="18"/>
          <w:b w:val="1"/>
          <w:bCs w:val="1"/>
          <w:color w:val="auto"/>
        </w:rPr>
      </w:pPr>
    </w:p>
    <w:p>
      <w:pPr>
        <w:ind w:left="-60" w:right="220" w:firstLine="2318"/>
        <w:spacing w:after="0" w:line="264" w:lineRule="auto"/>
        <w:tabs>
          <w:tab w:leader="none" w:pos="2489"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Common Stock issued to persons or entities with which this corporation has business relationships, provided such issuances are approved by the Board of Directors (which approval shall include the affirmative vote of a Preferred Director) and are primarily for non-equity financing purposes.</w:t>
      </w:r>
    </w:p>
    <w:p>
      <w:pPr>
        <w:spacing w:after="0" w:line="181" w:lineRule="exact"/>
        <w:rPr>
          <w:sz w:val="20"/>
          <w:szCs w:val="20"/>
          <w:color w:val="auto"/>
        </w:rPr>
      </w:pPr>
    </w:p>
    <w:p>
      <w:pPr>
        <w:ind w:left="-60" w:right="20" w:firstLine="2318"/>
        <w:spacing w:after="0" w:line="288" w:lineRule="auto"/>
        <w:tabs>
          <w:tab w:leader="none" w:pos="2569" w:val="left"/>
        </w:tabs>
        <w:numPr>
          <w:ilvl w:val="1"/>
          <w:numId w:val="160"/>
        </w:numPr>
        <w:rPr>
          <w:rFonts w:ascii="Arial" w:cs="Arial" w:eastAsia="Arial" w:hAnsi="Arial"/>
          <w:sz w:val="16"/>
          <w:szCs w:val="16"/>
          <w:b w:val="1"/>
          <w:bCs w:val="1"/>
          <w:color w:val="auto"/>
        </w:rPr>
      </w:pPr>
      <w:r>
        <w:rPr>
          <w:rFonts w:ascii="Arial" w:cs="Arial" w:eastAsia="Arial" w:hAnsi="Arial"/>
          <w:sz w:val="16"/>
          <w:szCs w:val="16"/>
          <w:color w:val="auto"/>
        </w:rPr>
        <w:t>In the event this corporation should at any time or from time to time after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Series 2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169" w:lineRule="exact"/>
        <w:rPr>
          <w:rFonts w:ascii="Arial" w:cs="Arial" w:eastAsia="Arial" w:hAnsi="Arial"/>
          <w:sz w:val="16"/>
          <w:szCs w:val="16"/>
          <w:b w:val="1"/>
          <w:bCs w:val="1"/>
          <w:color w:val="auto"/>
        </w:rPr>
      </w:pPr>
    </w:p>
    <w:p>
      <w:pPr>
        <w:ind w:left="-60" w:right="100" w:firstLine="2318"/>
        <w:spacing w:after="0" w:line="259" w:lineRule="auto"/>
        <w:tabs>
          <w:tab w:leader="none" w:pos="2559"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Series 2 Common Stock issuable on conversion of each share of such series shall be decreased in proportion to such decrease in outstanding shares.</w:t>
      </w:r>
    </w:p>
    <w:p>
      <w:pPr>
        <w:spacing w:after="0" w:line="186" w:lineRule="exact"/>
        <w:rPr>
          <w:rFonts w:ascii="Arial" w:cs="Arial" w:eastAsia="Arial" w:hAnsi="Arial"/>
          <w:sz w:val="18"/>
          <w:szCs w:val="18"/>
          <w:b w:val="1"/>
          <w:bCs w:val="1"/>
          <w:color w:val="auto"/>
        </w:rPr>
      </w:pPr>
    </w:p>
    <w:p>
      <w:pPr>
        <w:ind w:left="-60" w:right="20" w:firstLine="1877"/>
        <w:spacing w:after="0" w:line="279" w:lineRule="auto"/>
        <w:tabs>
          <w:tab w:leader="none" w:pos="2058" w:val="left"/>
        </w:tabs>
        <w:numPr>
          <w:ilvl w:val="0"/>
          <w:numId w:val="161"/>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Distributions</w:t>
      </w:r>
      <w:r>
        <w:rPr>
          <w:rFonts w:ascii="Arial" w:cs="Arial" w:eastAsia="Arial" w:hAnsi="Arial"/>
          <w:sz w:val="17"/>
          <w:szCs w:val="17"/>
          <w:color w:val="auto"/>
        </w:rPr>
        <w:t>. In the event this corporation shall declare a distribution payable in securities of other persons, evidences of indebtedness issued by this corporation or other persons, assets (excluding cash dividends) or options or rights not referred to in subsection 4(d), then, in each such case for the purpose of this subsection 4(e), the holders of the Preferred Stock shall be entitled to a proportionate share of any such distribution as though they were the holders of the number of shares of Common Stock of this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500" w:top="274" w:right="479" w:bottom="1440" w:gutter="0" w:footer="0" w:header="0"/>
        </w:sectPr>
      </w:pPr>
    </w:p>
    <w:bookmarkStart w:id="239" w:name="page240"/>
    <w:bookmarkEnd w:id="239"/>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into which their shares of Preferred Stock are convertible as of the record date fixed for the determination of the holders of Common Stock of this corporation entitled to receive such distribution.</w:t>
      </w:r>
    </w:p>
    <w:p>
      <w:pPr>
        <w:spacing w:after="0" w:line="170" w:lineRule="exact"/>
        <w:rPr>
          <w:sz w:val="20"/>
          <w:szCs w:val="20"/>
          <w:color w:val="auto"/>
        </w:rPr>
      </w:pPr>
    </w:p>
    <w:p>
      <w:pPr>
        <w:ind w:right="60" w:firstLine="1877"/>
        <w:spacing w:after="0" w:line="271" w:lineRule="auto"/>
        <w:tabs>
          <w:tab w:leader="none" w:pos="2098" w:val="left"/>
        </w:tabs>
        <w:numPr>
          <w:ilvl w:val="0"/>
          <w:numId w:val="162"/>
        </w:numPr>
        <w:rPr>
          <w:rFonts w:ascii="Arial" w:cs="Arial" w:eastAsia="Arial" w:hAnsi="Arial"/>
          <w:sz w:val="17"/>
          <w:szCs w:val="17"/>
          <w:b w:val="1"/>
          <w:bCs w:val="1"/>
          <w:color w:val="auto"/>
        </w:rPr>
      </w:pPr>
      <w:r>
        <w:rPr>
          <w:rFonts w:ascii="Arial" w:cs="Arial" w:eastAsia="Arial" w:hAnsi="Arial"/>
          <w:sz w:val="17"/>
          <w:szCs w:val="17"/>
          <w:u w:val="single" w:color="auto"/>
          <w:color w:val="auto"/>
        </w:rPr>
        <w:t>Recapitalizations</w:t>
      </w:r>
      <w:r>
        <w:rPr>
          <w:rFonts w:ascii="Arial" w:cs="Arial" w:eastAsia="Arial" w:hAnsi="Arial"/>
          <w:sz w:val="17"/>
          <w:szCs w:val="17"/>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Series 2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178" w:lineRule="exact"/>
        <w:rPr>
          <w:rFonts w:ascii="Arial" w:cs="Arial" w:eastAsia="Arial" w:hAnsi="Arial"/>
          <w:sz w:val="17"/>
          <w:szCs w:val="17"/>
          <w:b w:val="1"/>
          <w:bCs w:val="1"/>
          <w:color w:val="auto"/>
        </w:rPr>
      </w:pPr>
    </w:p>
    <w:p>
      <w:pPr>
        <w:ind w:firstLine="1877"/>
        <w:spacing w:after="0" w:line="270" w:lineRule="auto"/>
        <w:tabs>
          <w:tab w:leader="none" w:pos="2128"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In the event of Financing Acquisition Transaction, pursuant to which this corporation’s stockholders are to receive securities of another corporation (the “Issuing Corporation”) and the Effective Consideration Per Share is less than the Conversion Price applicable to a series of Preferred Stock in effect immediately prior to the consummation of the Financing Acquisition Transaction (the “Closing”), the Conversion Price for such series in effect immediately prior to the Closing shall be adjusted in a manner consistent with subsection (4)(d)(i)(A); provided that (i) the number of shares of “Additional Stock” issued shall be deemed to be equal to the number of the Issuing Corporation’s Merger Shares, (ii) the aggregate consideration per share received by this corporation shall be deemed to be equal to the Effective Consideration Per Share and (iii) the number of shares of “Common Stock Outstanding” shall be deemed to be equal to the number of Consideration Merger Shares, with appropriate corresponding adjustments to the Original Issue Price and Conversion Price of the applicable series of Preferred Stock (including, without limitation, for purposes of determining (x) if the Effective Consideration Per Share is less than the Conversion Price of the applicable series of Preferred Stock and (y) the resulting Conversion Rate of the applicable series of Preferred Stock). For purposes of this subsection 4(g):</w:t>
      </w:r>
    </w:p>
    <w:p>
      <w:pPr>
        <w:spacing w:after="0" w:line="177" w:lineRule="exact"/>
        <w:rPr>
          <w:rFonts w:ascii="Arial" w:cs="Arial" w:eastAsia="Arial" w:hAnsi="Arial"/>
          <w:sz w:val="17"/>
          <w:szCs w:val="17"/>
          <w:b w:val="1"/>
          <w:bCs w:val="1"/>
          <w:color w:val="auto"/>
        </w:rPr>
      </w:pPr>
    </w:p>
    <w:p>
      <w:pPr>
        <w:ind w:right="700" w:firstLine="2318"/>
        <w:spacing w:after="0" w:line="308" w:lineRule="auto"/>
        <w:tabs>
          <w:tab w:leader="none" w:pos="2529" w:val="left"/>
        </w:tabs>
        <w:numPr>
          <w:ilvl w:val="1"/>
          <w:numId w:val="162"/>
        </w:numPr>
        <w:rPr>
          <w:rFonts w:ascii="Arial" w:cs="Arial" w:eastAsia="Arial" w:hAnsi="Arial"/>
          <w:sz w:val="17"/>
          <w:szCs w:val="17"/>
          <w:b w:val="1"/>
          <w:bCs w:val="1"/>
          <w:color w:val="auto"/>
        </w:rPr>
      </w:pPr>
      <w:r>
        <w:rPr>
          <w:rFonts w:ascii="Arial" w:cs="Arial" w:eastAsia="Arial" w:hAnsi="Arial"/>
          <w:sz w:val="17"/>
          <w:szCs w:val="17"/>
          <w:color w:val="auto"/>
        </w:rPr>
        <w:t>“Combined Entity” shall mean the corporation issuing shares to the former stakeholders (including, without limitation, stockholders and other equityholders) of this corporation pursuant to the Financing Acquisition Transaction.</w:t>
      </w:r>
    </w:p>
    <w:p>
      <w:pPr>
        <w:spacing w:after="0" w:line="146" w:lineRule="exact"/>
        <w:rPr>
          <w:rFonts w:ascii="Arial" w:cs="Arial" w:eastAsia="Arial" w:hAnsi="Arial"/>
          <w:sz w:val="17"/>
          <w:szCs w:val="17"/>
          <w:b w:val="1"/>
          <w:bCs w:val="1"/>
          <w:color w:val="auto"/>
        </w:rPr>
      </w:pPr>
    </w:p>
    <w:p>
      <w:pPr>
        <w:jc w:val="both"/>
        <w:ind w:right="140" w:firstLine="2318"/>
        <w:spacing w:after="0" w:line="264" w:lineRule="auto"/>
        <w:tabs>
          <w:tab w:leader="none" w:pos="2579"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“Consideration Merger Shares” shall mean all Outstanding Stock of the Combined Entity to be issued to all former stakeholders (including, without limitation, stockholders and other equityholders) of this corporation, as of immediately prior to the Closing, upon the Closing as a result of their holdings in this corporation immediately prior to the Closing.</w:t>
      </w:r>
    </w:p>
    <w:p>
      <w:pPr>
        <w:spacing w:after="0" w:line="181" w:lineRule="exact"/>
        <w:rPr>
          <w:rFonts w:ascii="Arial" w:cs="Arial" w:eastAsia="Arial" w:hAnsi="Arial"/>
          <w:sz w:val="18"/>
          <w:szCs w:val="18"/>
          <w:b w:val="1"/>
          <w:bCs w:val="1"/>
          <w:color w:val="auto"/>
        </w:rPr>
      </w:pPr>
    </w:p>
    <w:p>
      <w:pPr>
        <w:ind w:right="100" w:firstLine="2318"/>
        <w:spacing w:after="0" w:line="264" w:lineRule="auto"/>
        <w:tabs>
          <w:tab w:leader="none" w:pos="2629"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“Effective Consideration Per Share” shall mean the fair market value of all Outstanding Stock of the Issuing Corporation (calculated immediately prior to the Financing Acquisition Transaction), which shall be determined in a manner consistent with subsection 2(e)(ii), divided by the number of Issuing Corporation’s Merger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0" w:name="page241"/>
    <w:bookmarkEnd w:id="240"/>
    <w:p>
      <w:pPr>
        <w:ind w:left="-20" w:right="100" w:firstLine="2318"/>
        <w:spacing w:after="0" w:line="259" w:lineRule="auto"/>
        <w:tabs>
          <w:tab w:leader="none" w:pos="2599"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Acquisition Transaction” means a bona fide business acquisition of or by this corporation, whether by merger, consolidation, sale of assets, sale or exchange of stock or otherwise, which does not constitute a Liquidation Event and is entered into primarily for the purpose of financing this corporation, which financing purposes include without limitation, providing this corporation with access to the Issuing Corporation’s cash or financing opportunities.</w:t>
      </w:r>
    </w:p>
    <w:p>
      <w:pPr>
        <w:spacing w:after="0" w:line="186" w:lineRule="exact"/>
        <w:rPr>
          <w:rFonts w:ascii="Arial" w:cs="Arial" w:eastAsia="Arial" w:hAnsi="Arial"/>
          <w:sz w:val="18"/>
          <w:szCs w:val="18"/>
          <w:b w:val="1"/>
          <w:bCs w:val="1"/>
          <w:color w:val="auto"/>
        </w:rPr>
      </w:pPr>
    </w:p>
    <w:p>
      <w:pPr>
        <w:ind w:left="-20" w:right="260" w:firstLine="2318"/>
        <w:spacing w:after="0" w:line="286" w:lineRule="auto"/>
        <w:tabs>
          <w:tab w:leader="none" w:pos="2549" w:val="left"/>
        </w:tabs>
        <w:numPr>
          <w:ilvl w:val="1"/>
          <w:numId w:val="163"/>
        </w:numPr>
        <w:rPr>
          <w:rFonts w:ascii="Arial" w:cs="Arial" w:eastAsia="Arial" w:hAnsi="Arial"/>
          <w:sz w:val="17"/>
          <w:szCs w:val="17"/>
          <w:b w:val="1"/>
          <w:bCs w:val="1"/>
          <w:color w:val="auto"/>
        </w:rPr>
      </w:pPr>
      <w:r>
        <w:rPr>
          <w:rFonts w:ascii="Arial" w:cs="Arial" w:eastAsia="Arial" w:hAnsi="Arial"/>
          <w:sz w:val="17"/>
          <w:szCs w:val="17"/>
          <w:color w:val="auto"/>
        </w:rPr>
        <w:t>“Issuing Corporation’s Merger Shares” shall mean all Outstanding Stock of the Combined Entity to be held by all former stakeholders (including, without limitation, stockholders and other equityholders) of the Issuing Corporation, as of immediately prior to the Closing, upon the Closing as a result of their holdings in the Issuing Corporation immediately prior to the Closing.</w:t>
      </w:r>
    </w:p>
    <w:p>
      <w:pPr>
        <w:spacing w:after="0" w:line="165" w:lineRule="exact"/>
        <w:rPr>
          <w:rFonts w:ascii="Arial" w:cs="Arial" w:eastAsia="Arial" w:hAnsi="Arial"/>
          <w:sz w:val="17"/>
          <w:szCs w:val="17"/>
          <w:b w:val="1"/>
          <w:bCs w:val="1"/>
          <w:color w:val="auto"/>
        </w:rPr>
      </w:pPr>
    </w:p>
    <w:p>
      <w:pPr>
        <w:ind w:left="-20" w:right="40" w:firstLine="2318"/>
        <w:spacing w:after="0" w:line="257" w:lineRule="auto"/>
        <w:tabs>
          <w:tab w:leader="none" w:pos="2599"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“Outstanding Stock”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88" w:lineRule="exact"/>
        <w:rPr>
          <w:rFonts w:ascii="Arial" w:cs="Arial" w:eastAsia="Arial" w:hAnsi="Arial"/>
          <w:sz w:val="18"/>
          <w:szCs w:val="18"/>
          <w:b w:val="1"/>
          <w:bCs w:val="1"/>
          <w:color w:val="auto"/>
        </w:rPr>
      </w:pPr>
    </w:p>
    <w:p>
      <w:pPr>
        <w:ind w:left="2120" w:hanging="263"/>
        <w:spacing w:after="0"/>
        <w:tabs>
          <w:tab w:leader="none" w:pos="2120" w:val="left"/>
        </w:tabs>
        <w:numPr>
          <w:ilvl w:val="0"/>
          <w:numId w:val="164"/>
        </w:numPr>
        <w:rPr>
          <w:rFonts w:ascii="Arial" w:cs="Arial" w:eastAsia="Arial" w:hAnsi="Arial"/>
          <w:sz w:val="18"/>
          <w:szCs w:val="18"/>
          <w:b w:val="1"/>
          <w:bCs w:val="1"/>
          <w:color w:val="auto"/>
        </w:rPr>
      </w:pPr>
      <w:r>
        <w:rPr>
          <w:rFonts w:ascii="Arial" w:cs="Arial" w:eastAsia="Arial" w:hAnsi="Arial"/>
          <w:sz w:val="18"/>
          <w:szCs w:val="18"/>
          <w:u w:val="single" w:color="auto"/>
          <w:color w:val="auto"/>
        </w:rPr>
        <w:t>No Fractional Shares and Certificate as to Adjustments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right="60" w:firstLine="2318"/>
        <w:spacing w:after="0" w:line="255" w:lineRule="auto"/>
        <w:tabs>
          <w:tab w:leader="none" w:pos="2509"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No fractional shares shall be issued upon the conversion of any share or shares of the Preferred Stock and the aggregate number of shares of Series 2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Series 2 Common Stock and the number of shares of Series 2 Common Stock issuable upon such conversion.</w:t>
      </w:r>
    </w:p>
    <w:p>
      <w:pPr>
        <w:spacing w:after="0" w:line="193" w:lineRule="exact"/>
        <w:rPr>
          <w:rFonts w:ascii="Arial" w:cs="Arial" w:eastAsia="Arial" w:hAnsi="Arial"/>
          <w:sz w:val="18"/>
          <w:szCs w:val="18"/>
          <w:b w:val="1"/>
          <w:bCs w:val="1"/>
          <w:color w:val="auto"/>
        </w:rPr>
      </w:pPr>
    </w:p>
    <w:p>
      <w:pPr>
        <w:ind w:left="-20" w:firstLine="2318"/>
        <w:spacing w:after="0" w:line="272" w:lineRule="auto"/>
        <w:tabs>
          <w:tab w:leader="none" w:pos="2559" w:val="left"/>
        </w:tabs>
        <w:numPr>
          <w:ilvl w:val="1"/>
          <w:numId w:val="164"/>
        </w:numPr>
        <w:rPr>
          <w:rFonts w:ascii="Arial" w:cs="Arial" w:eastAsia="Arial" w:hAnsi="Arial"/>
          <w:sz w:val="17"/>
          <w:szCs w:val="17"/>
          <w:b w:val="1"/>
          <w:bCs w:val="1"/>
          <w:color w:val="auto"/>
        </w:rPr>
      </w:pPr>
      <w:r>
        <w:rPr>
          <w:rFonts w:ascii="Arial" w:cs="Arial" w:eastAsia="Arial" w:hAnsi="Arial"/>
          <w:sz w:val="17"/>
          <w:szCs w:val="17"/>
          <w:color w:val="auto"/>
        </w:rPr>
        <w:t>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Series 2 Common Stock and the amount, if any, of other property that at the time would be received upon the conversion of a share of Preferred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60" w:top="274" w:right="439" w:bottom="1440" w:gutter="0" w:footer="0" w:header="0"/>
        </w:sectPr>
      </w:pPr>
    </w:p>
    <w:bookmarkStart w:id="241" w:name="page242"/>
    <w:bookmarkEnd w:id="241"/>
    <w:p>
      <w:pPr>
        <w:ind w:left="-40" w:right="180" w:firstLine="1877"/>
        <w:spacing w:after="0" w:line="302" w:lineRule="auto"/>
        <w:tabs>
          <w:tab w:leader="none" w:pos="2048" w:val="left"/>
        </w:tabs>
        <w:numPr>
          <w:ilvl w:val="1"/>
          <w:numId w:val="165"/>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of Record Date</w:t>
      </w:r>
      <w:r>
        <w:rPr>
          <w:rFonts w:ascii="Arial" w:cs="Arial" w:eastAsia="Arial" w:hAnsi="Arial"/>
          <w:sz w:val="16"/>
          <w:szCs w:val="16"/>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twenty (20) days prior to the date specified therein, a notice specifying the date on which any such record is to be taken for the purpose of such dividend or distribution, and the amount and character of such dividend or distribution.</w:t>
      </w:r>
    </w:p>
    <w:p>
      <w:pPr>
        <w:spacing w:after="0" w:line="154" w:lineRule="exact"/>
        <w:rPr>
          <w:rFonts w:ascii="Arial" w:cs="Arial" w:eastAsia="Arial" w:hAnsi="Arial"/>
          <w:sz w:val="16"/>
          <w:szCs w:val="16"/>
          <w:b w:val="1"/>
          <w:bCs w:val="1"/>
          <w:color w:val="auto"/>
        </w:rPr>
      </w:pPr>
    </w:p>
    <w:p>
      <w:pPr>
        <w:ind w:left="-40" w:firstLine="1877"/>
        <w:spacing w:after="0" w:line="271" w:lineRule="auto"/>
        <w:tabs>
          <w:tab w:leader="none" w:pos="2058" w:val="left"/>
        </w:tabs>
        <w:numPr>
          <w:ilvl w:val="1"/>
          <w:numId w:val="165"/>
        </w:numPr>
        <w:rPr>
          <w:rFonts w:ascii="Arial" w:cs="Arial" w:eastAsia="Arial" w:hAnsi="Arial"/>
          <w:sz w:val="17"/>
          <w:szCs w:val="17"/>
          <w:b w:val="1"/>
          <w:bCs w:val="1"/>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This corporation shall at all times reserve and keep available out of its authorized but unissued shares of Series 2 Common Stock, solely for the purpose of effecting the conversion of the shares of the Preferred Stock, such number of its shares of Series 2 Common Stock as shall from time to time be sufficient to effect the conversion of all outstanding shares of the Preferred Stock; and if at any time the number of authorized but unissued shares of Series 2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Series 2 Common Stock to such number of shares as shall be sufficient for such purposes, including, without limitation, engaging in best efforts to obtain the requisite stockholder approval of any necessary amendment to this Certificate of Incorporation.</w:t>
      </w:r>
    </w:p>
    <w:p>
      <w:pPr>
        <w:spacing w:after="0" w:line="178" w:lineRule="exact"/>
        <w:rPr>
          <w:rFonts w:ascii="Arial" w:cs="Arial" w:eastAsia="Arial" w:hAnsi="Arial"/>
          <w:sz w:val="17"/>
          <w:szCs w:val="17"/>
          <w:b w:val="1"/>
          <w:bCs w:val="1"/>
          <w:color w:val="auto"/>
        </w:rPr>
      </w:pPr>
    </w:p>
    <w:p>
      <w:pPr>
        <w:ind w:left="-40" w:right="100" w:firstLine="1877"/>
        <w:spacing w:after="0" w:line="264" w:lineRule="auto"/>
        <w:tabs>
          <w:tab w:leader="none" w:pos="2098" w:val="left"/>
        </w:tabs>
        <w:numPr>
          <w:ilvl w:val="1"/>
          <w:numId w:val="165"/>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4 to be given to the holders of shares of Preferred Stock shall be deemed given four (4) business days after being deposited in the United States mail, postage prepaid, and addressed to each holder of record at his address appearing on the books of this corporation.</w:t>
      </w:r>
    </w:p>
    <w:p>
      <w:pPr>
        <w:spacing w:after="0" w:line="181" w:lineRule="exact"/>
        <w:rPr>
          <w:rFonts w:ascii="Arial" w:cs="Arial" w:eastAsia="Arial" w:hAnsi="Arial"/>
          <w:sz w:val="18"/>
          <w:szCs w:val="18"/>
          <w:b w:val="1"/>
          <w:bCs w:val="1"/>
          <w:color w:val="auto"/>
        </w:rPr>
      </w:pPr>
    </w:p>
    <w:p>
      <w:pPr>
        <w:ind w:left="-40" w:right="100" w:firstLine="1877"/>
        <w:spacing w:after="0" w:line="297" w:lineRule="auto"/>
        <w:tabs>
          <w:tab w:leader="none" w:pos="2048" w:val="left"/>
        </w:tabs>
        <w:numPr>
          <w:ilvl w:val="1"/>
          <w:numId w:val="165"/>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 of Adjustment to Conversion Price</w:t>
      </w:r>
      <w:r>
        <w:rPr>
          <w:rFonts w:ascii="Arial" w:cs="Arial" w:eastAsia="Arial" w:hAnsi="Arial"/>
          <w:sz w:val="16"/>
          <w:szCs w:val="16"/>
          <w:color w:val="auto"/>
        </w:rPr>
        <w:t>. Notwithstanding anything herein to the contrary, any downward adjustment of the Conversion Price of any series of Preferred Stock may be waived, either prospectively or retroactively and either generally or in a particular instance, by the written consent or vote of the holders of at least a majority of the voting power (as determined in accordance with subsection (5)(a) below) of the then outstanding shares of Preferred Stock (voting together as a single class and on an as-converted basis); provided, that, such waiver applies to all series of Preferred Stock. Any such waiver shall bind all future holders of shares of such series of Preferred Stock.</w:t>
      </w:r>
    </w:p>
    <w:p>
      <w:pPr>
        <w:spacing w:after="0" w:line="158" w:lineRule="exact"/>
        <w:rPr>
          <w:rFonts w:ascii="Arial" w:cs="Arial" w:eastAsia="Arial" w:hAnsi="Arial"/>
          <w:sz w:val="16"/>
          <w:szCs w:val="16"/>
          <w:b w:val="1"/>
          <w:bCs w:val="1"/>
          <w:color w:val="auto"/>
        </w:rPr>
      </w:pPr>
    </w:p>
    <w:p>
      <w:pPr>
        <w:ind w:left="1580" w:hanging="184"/>
        <w:spacing w:after="0"/>
        <w:tabs>
          <w:tab w:leader="none" w:pos="1580" w:val="left"/>
        </w:tabs>
        <w:numPr>
          <w:ilvl w:val="0"/>
          <w:numId w:val="166"/>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0" w:right="60" w:firstLine="1877"/>
        <w:spacing w:after="0" w:line="273" w:lineRule="auto"/>
        <w:tabs>
          <w:tab w:leader="none" w:pos="2088" w:val="left"/>
        </w:tabs>
        <w:numPr>
          <w:ilvl w:val="1"/>
          <w:numId w:val="166"/>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 Voting Rights</w:t>
      </w:r>
      <w:r>
        <w:rPr>
          <w:rFonts w:ascii="Arial" w:cs="Arial" w:eastAsia="Arial" w:hAnsi="Arial"/>
          <w:sz w:val="17"/>
          <w:szCs w:val="17"/>
          <w:color w:val="auto"/>
        </w:rPr>
        <w:t>. The holder of (i) each share of Series 1 Preferred Stock, Series 2 Preferred Stock and Series 3 Preferred Stock shall have the right to 0.352941 votes for each share of Series 2 Common Stock into which such Preferred Stock could then be converted and (ii) each share of Series 4 Preferred Stock, Series 5 Preferred Stock, Series 6 Preferred Stock and Series 7 Preferred Stock, shall have the right to one vote for each share of Series 2 Common Stock into which such Preferred Stock could then be converted, and with respect to such votes, such holder shall have full voting rights and powers equal to the voting rights and powers of the holders of Common Stock, and shall be entitled, notwithstanding any provision hereof, to notice of any stockholders’ meeting in accordance with the Bylaws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80" w:top="274" w:right="479" w:bottom="1440" w:gutter="0" w:footer="0" w:header="0"/>
        </w:sectPr>
      </w:pPr>
    </w:p>
    <w:bookmarkStart w:id="242" w:name="page243"/>
    <w:bookmarkEnd w:id="24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corporation, shall be entitled to vote, together with holders of Common Stock (except as otherwise provided below),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87" w:lineRule="exact"/>
        <w:rPr>
          <w:sz w:val="20"/>
          <w:szCs w:val="20"/>
          <w:color w:val="auto"/>
        </w:rPr>
      </w:pPr>
    </w:p>
    <w:p>
      <w:pPr>
        <w:ind w:firstLine="1877"/>
        <w:spacing w:after="0" w:line="284" w:lineRule="auto"/>
        <w:tabs>
          <w:tab w:leader="none" w:pos="2138" w:val="left"/>
        </w:tabs>
        <w:numPr>
          <w:ilvl w:val="1"/>
          <w:numId w:val="167"/>
        </w:numPr>
        <w:rPr>
          <w:rFonts w:ascii="Arial" w:cs="Arial" w:eastAsia="Arial" w:hAnsi="Arial"/>
          <w:sz w:val="16"/>
          <w:szCs w:val="16"/>
          <w:b w:val="1"/>
          <w:bCs w:val="1"/>
          <w:color w:val="auto"/>
        </w:rPr>
      </w:pPr>
      <w:r>
        <w:rPr>
          <w:rFonts w:ascii="Arial" w:cs="Arial" w:eastAsia="Arial" w:hAnsi="Arial"/>
          <w:sz w:val="16"/>
          <w:szCs w:val="16"/>
          <w:u w:val="single" w:color="auto"/>
          <w:color w:val="auto"/>
        </w:rPr>
        <w:t>Voting for the Election of Directors</w:t>
      </w:r>
      <w:r>
        <w:rPr>
          <w:rFonts w:ascii="Arial" w:cs="Arial" w:eastAsia="Arial" w:hAnsi="Arial"/>
          <w:sz w:val="16"/>
          <w:szCs w:val="16"/>
          <w:color w:val="auto"/>
        </w:rPr>
        <w:t>. As long as any shares of Series 2 Common Stock remain outstanding, the holders of outstanding Series 2 Common Stock shall be entitled to elect two (2) directors of this corporation at any election of directors. As long as any shares of Series 4 Preferred Stock remain outstanding, the holders of outstanding Series 4 Preferred Stock shall be entitled to elect one (1) director of this corporation at any election of directors (the “</w:t>
      </w:r>
      <w:r>
        <w:rPr>
          <w:rFonts w:ascii="Arial" w:cs="Arial" w:eastAsia="Arial" w:hAnsi="Arial"/>
          <w:sz w:val="16"/>
          <w:szCs w:val="16"/>
          <w:u w:val="single" w:color="auto"/>
          <w:color w:val="auto"/>
        </w:rPr>
        <w:t>Series 4 Director</w:t>
      </w:r>
      <w:r>
        <w:rPr>
          <w:rFonts w:ascii="Arial" w:cs="Arial" w:eastAsia="Arial" w:hAnsi="Arial"/>
          <w:sz w:val="16"/>
          <w:szCs w:val="16"/>
          <w:color w:val="auto"/>
        </w:rPr>
        <w:t>”). As long as any shares of Series 5 Preferred Stock remain outstanding, the holders of outstanding Series 5 Preferred Stock shall be entitled to elect one (1) director of this corporation at any election of directors (the “</w:t>
      </w:r>
      <w:r>
        <w:rPr>
          <w:rFonts w:ascii="Arial" w:cs="Arial" w:eastAsia="Arial" w:hAnsi="Arial"/>
          <w:sz w:val="16"/>
          <w:szCs w:val="16"/>
          <w:u w:val="single" w:color="auto"/>
          <w:color w:val="auto"/>
        </w:rPr>
        <w:t>Series 5 Director</w:t>
      </w:r>
      <w:r>
        <w:rPr>
          <w:rFonts w:ascii="Arial" w:cs="Arial" w:eastAsia="Arial" w:hAnsi="Arial"/>
          <w:sz w:val="16"/>
          <w:szCs w:val="16"/>
          <w:color w:val="auto"/>
        </w:rPr>
        <w:t>”). As long as any shares of Series 6 Preferred Stock remain outstanding, the holders of outstanding Series 6 Preferred Stock shall be entitled to elect one</w:t>
      </w:r>
    </w:p>
    <w:p>
      <w:pPr>
        <w:spacing w:after="0" w:line="4" w:lineRule="exact"/>
        <w:rPr>
          <w:rFonts w:ascii="Arial" w:cs="Arial" w:eastAsia="Arial" w:hAnsi="Arial"/>
          <w:sz w:val="16"/>
          <w:szCs w:val="16"/>
          <w:b w:val="1"/>
          <w:bCs w:val="1"/>
          <w:color w:val="auto"/>
        </w:rPr>
      </w:pPr>
    </w:p>
    <w:p>
      <w:pPr>
        <w:ind w:firstLine="4"/>
        <w:spacing w:after="0" w:line="270" w:lineRule="auto"/>
        <w:tabs>
          <w:tab w:leader="none" w:pos="2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director of this corporation at any election of directors (the “</w:t>
      </w:r>
      <w:r>
        <w:rPr>
          <w:rFonts w:ascii="Arial" w:cs="Arial" w:eastAsia="Arial" w:hAnsi="Arial"/>
          <w:sz w:val="17"/>
          <w:szCs w:val="17"/>
          <w:u w:val="single" w:color="auto"/>
          <w:color w:val="auto"/>
        </w:rPr>
        <w:t>Series 6 Director</w:t>
      </w:r>
      <w:r>
        <w:rPr>
          <w:rFonts w:ascii="Arial" w:cs="Arial" w:eastAsia="Arial" w:hAnsi="Arial"/>
          <w:sz w:val="17"/>
          <w:szCs w:val="17"/>
          <w:color w:val="auto"/>
        </w:rPr>
        <w:t>”). As long as any shares of Series 7 Preferred Stock remain outstanding, the holders of outstanding Series 7 Preferred Stock shall be entitled to elect one (1) director of this corporation at any election of directors (the “</w:t>
      </w:r>
      <w:r>
        <w:rPr>
          <w:rFonts w:ascii="Arial" w:cs="Arial" w:eastAsia="Arial" w:hAnsi="Arial"/>
          <w:sz w:val="17"/>
          <w:szCs w:val="17"/>
          <w:u w:val="single" w:color="auto"/>
          <w:color w:val="auto"/>
        </w:rPr>
        <w:t>Series 7 Director</w:t>
      </w:r>
      <w:r>
        <w:rPr>
          <w:rFonts w:ascii="Arial" w:cs="Arial" w:eastAsia="Arial" w:hAnsi="Arial"/>
          <w:sz w:val="17"/>
          <w:szCs w:val="17"/>
          <w:color w:val="auto"/>
        </w:rPr>
        <w:t>”). The holders of Preferred Stock and Series 2 Common Stock (voting together as a single class and not as separate series, and on an as-converted basis, with voting power determined in accordance with subsection (5)(a) below) shall be entitled to elect any remaining directors of this corporation. Each committee of the this corporation’s Board of Directors shall include the directors elected by the holders of Series 4 Preferred Stock, Series 5 Preferred Stock, Series 6 Preferred Stock and Series 7 Preferred Stock.</w:t>
      </w:r>
    </w:p>
    <w:p>
      <w:pPr>
        <w:spacing w:after="0" w:line="17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3" w:name="page244"/>
    <w:bookmarkEnd w:id="243"/>
    <w:p>
      <w:pPr>
        <w:ind w:left="1000" w:hanging="175"/>
        <w:spacing w:after="0"/>
        <w:tabs>
          <w:tab w:leader="none" w:pos="1000" w:val="left"/>
        </w:tabs>
        <w:numPr>
          <w:ilvl w:val="0"/>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Protective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60" w:right="140" w:firstLine="1436"/>
        <w:spacing w:after="0" w:line="276" w:lineRule="auto"/>
        <w:tabs>
          <w:tab w:leader="none" w:pos="1627" w:val="left"/>
        </w:tabs>
        <w:numPr>
          <w:ilvl w:val="1"/>
          <w:numId w:val="169"/>
        </w:numPr>
        <w:rPr>
          <w:rFonts w:ascii="Arial" w:cs="Arial" w:eastAsia="Arial" w:hAnsi="Arial"/>
          <w:sz w:val="17"/>
          <w:szCs w:val="17"/>
          <w:b w:val="1"/>
          <w:bCs w:val="1"/>
          <w:color w:val="auto"/>
        </w:rPr>
      </w:pPr>
      <w:r>
        <w:rPr>
          <w:rFonts w:ascii="Arial" w:cs="Arial" w:eastAsia="Arial" w:hAnsi="Arial"/>
          <w:sz w:val="17"/>
          <w:szCs w:val="17"/>
          <w:color w:val="auto"/>
        </w:rPr>
        <w:t>So long as 5,000,000 shares of Preferred Stock remain outstanding, this corporation shall not (by amendment, merger, consolidation or otherwise) without first obtaining the approval (by vote or written consent, as provided by law) of the holders of at least a majority of the voting power (as determined in accordance with subsection (5)(a))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72" w:lineRule="exact"/>
        <w:rPr>
          <w:rFonts w:ascii="Arial" w:cs="Arial" w:eastAsia="Arial" w:hAnsi="Arial"/>
          <w:sz w:val="17"/>
          <w:szCs w:val="17"/>
          <w:b w:val="1"/>
          <w:bCs w:val="1"/>
          <w:color w:val="auto"/>
        </w:rPr>
      </w:pPr>
    </w:p>
    <w:p>
      <w:pPr>
        <w:ind w:left="-60" w:right="280" w:firstLine="2318"/>
        <w:spacing w:after="0" w:line="277" w:lineRule="auto"/>
        <w:tabs>
          <w:tab w:leader="none" w:pos="2469"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amend, restate, alter or repeal any provision of this corporation’s Restated Certificate of Incorporation or bylaws, whether by merger, consolidation or otherwise;</w:t>
      </w:r>
    </w:p>
    <w:p>
      <w:pPr>
        <w:spacing w:after="0" w:line="170" w:lineRule="exact"/>
        <w:rPr>
          <w:rFonts w:ascii="Arial" w:cs="Arial" w:eastAsia="Arial" w:hAnsi="Arial"/>
          <w:sz w:val="18"/>
          <w:szCs w:val="18"/>
          <w:b w:val="1"/>
          <w:bCs w:val="1"/>
          <w:color w:val="auto"/>
        </w:rPr>
      </w:pPr>
    </w:p>
    <w:p>
      <w:pPr>
        <w:ind w:left="2520" w:hanging="262"/>
        <w:spacing w:after="0"/>
        <w:tabs>
          <w:tab w:leader="none" w:pos="2520"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increase or decrease the total number of authorized shares of Preferred Stock;</w:t>
      </w:r>
    </w:p>
    <w:p>
      <w:pPr>
        <w:spacing w:after="0" w:line="225" w:lineRule="exact"/>
        <w:rPr>
          <w:rFonts w:ascii="Arial" w:cs="Arial" w:eastAsia="Arial" w:hAnsi="Arial"/>
          <w:sz w:val="18"/>
          <w:szCs w:val="18"/>
          <w:b w:val="1"/>
          <w:bCs w:val="1"/>
          <w:color w:val="auto"/>
        </w:rPr>
      </w:pPr>
    </w:p>
    <w:p>
      <w:pPr>
        <w:jc w:val="both"/>
        <w:ind w:left="-60" w:right="100" w:firstLine="2318"/>
        <w:spacing w:after="0" w:line="259" w:lineRule="auto"/>
        <w:tabs>
          <w:tab w:leader="none" w:pos="2569"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create or authorize the creation (by reclassification, merger or otherwise) of or issue any other security convertible into or exercisable for any equity security, having rights, preferences or privileges senior to or pari passu with any series of Preferred Stock, other than the issuance of any authorized but unissued shares of Series 7 Preferred Stock designated in this Restated Certificate of Incorporation (including any security convertible into or exercisable for such shares of Preferred Stock);</w:t>
      </w:r>
    </w:p>
    <w:p>
      <w:pPr>
        <w:spacing w:after="0" w:line="186" w:lineRule="exact"/>
        <w:rPr>
          <w:rFonts w:ascii="Arial" w:cs="Arial" w:eastAsia="Arial" w:hAnsi="Arial"/>
          <w:sz w:val="18"/>
          <w:szCs w:val="18"/>
          <w:b w:val="1"/>
          <w:bCs w:val="1"/>
          <w:color w:val="auto"/>
        </w:rPr>
      </w:pPr>
    </w:p>
    <w:p>
      <w:pPr>
        <w:ind w:left="-60" w:right="380" w:firstLine="2318"/>
        <w:spacing w:after="0" w:line="277" w:lineRule="auto"/>
        <w:tabs>
          <w:tab w:leader="none" w:pos="2559"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purchase or redeem or pay any dividend on any capital stock other than stock repurchased from former service providers of this corporation in connection with the cessation of their services;</w:t>
      </w:r>
    </w:p>
    <w:p>
      <w:pPr>
        <w:spacing w:after="0" w:line="170" w:lineRule="exact"/>
        <w:rPr>
          <w:rFonts w:ascii="Arial" w:cs="Arial" w:eastAsia="Arial" w:hAnsi="Arial"/>
          <w:sz w:val="18"/>
          <w:szCs w:val="18"/>
          <w:b w:val="1"/>
          <w:bCs w:val="1"/>
          <w:color w:val="auto"/>
        </w:rPr>
      </w:pPr>
    </w:p>
    <w:p>
      <w:pPr>
        <w:ind w:left="2520" w:hanging="262"/>
        <w:spacing w:after="0"/>
        <w:tabs>
          <w:tab w:leader="none" w:pos="2520"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liquidate, dissolve, or wind-up the affairs of this corporation, or effect any Liquidation Event;</w:t>
      </w:r>
    </w:p>
    <w:p>
      <w:pPr>
        <w:spacing w:after="0" w:line="225" w:lineRule="exact"/>
        <w:rPr>
          <w:rFonts w:ascii="Arial" w:cs="Arial" w:eastAsia="Arial" w:hAnsi="Arial"/>
          <w:sz w:val="18"/>
          <w:szCs w:val="18"/>
          <w:b w:val="1"/>
          <w:bCs w:val="1"/>
          <w:color w:val="auto"/>
        </w:rPr>
      </w:pPr>
    </w:p>
    <w:p>
      <w:pPr>
        <w:ind w:left="2560" w:hanging="302"/>
        <w:spacing w:after="0"/>
        <w:tabs>
          <w:tab w:leader="none" w:pos="2560"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increase or decrease the authorized number of directors of this corporation;</w:t>
      </w:r>
    </w:p>
    <w:p>
      <w:pPr>
        <w:spacing w:after="0" w:line="225" w:lineRule="exact"/>
        <w:rPr>
          <w:rFonts w:ascii="Arial" w:cs="Arial" w:eastAsia="Arial" w:hAnsi="Arial"/>
          <w:sz w:val="18"/>
          <w:szCs w:val="18"/>
          <w:b w:val="1"/>
          <w:bCs w:val="1"/>
          <w:color w:val="auto"/>
        </w:rPr>
      </w:pPr>
    </w:p>
    <w:p>
      <w:pPr>
        <w:ind w:left="2620" w:hanging="362"/>
        <w:spacing w:after="0"/>
        <w:tabs>
          <w:tab w:leader="none" w:pos="2620"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exclusively license or transfer all or any portion of the intellectual property rights of this corporation; or</w:t>
      </w:r>
    </w:p>
    <w:p>
      <w:pPr>
        <w:spacing w:after="0" w:line="225" w:lineRule="exact"/>
        <w:rPr>
          <w:rFonts w:ascii="Arial" w:cs="Arial" w:eastAsia="Arial" w:hAnsi="Arial"/>
          <w:sz w:val="18"/>
          <w:szCs w:val="18"/>
          <w:b w:val="1"/>
          <w:bCs w:val="1"/>
          <w:color w:val="auto"/>
        </w:rPr>
      </w:pPr>
    </w:p>
    <w:p>
      <w:pPr>
        <w:ind w:left="-60" w:right="20" w:firstLine="2318"/>
        <w:spacing w:after="0" w:line="277" w:lineRule="auto"/>
        <w:tabs>
          <w:tab w:leader="none" w:pos="2659" w:val="left"/>
        </w:tabs>
        <w:numPr>
          <w:ilvl w:val="2"/>
          <w:numId w:val="169"/>
        </w:numPr>
        <w:rPr>
          <w:rFonts w:ascii="Arial" w:cs="Arial" w:eastAsia="Arial" w:hAnsi="Arial"/>
          <w:sz w:val="18"/>
          <w:szCs w:val="18"/>
          <w:b w:val="1"/>
          <w:bCs w:val="1"/>
          <w:color w:val="auto"/>
        </w:rPr>
      </w:pPr>
      <w:r>
        <w:rPr>
          <w:rFonts w:ascii="Arial" w:cs="Arial" w:eastAsia="Arial" w:hAnsi="Arial"/>
          <w:sz w:val="18"/>
          <w:szCs w:val="18"/>
          <w:color w:val="auto"/>
        </w:rPr>
        <w:t>acquire substantially all of the assets of, or a controlling interest in the voting securities of, another entity, whether by merger, consolidation or otherwise.</w:t>
      </w:r>
    </w:p>
    <w:p>
      <w:pPr>
        <w:spacing w:after="0" w:line="170" w:lineRule="exact"/>
        <w:rPr>
          <w:rFonts w:ascii="Arial" w:cs="Arial" w:eastAsia="Arial" w:hAnsi="Arial"/>
          <w:sz w:val="18"/>
          <w:szCs w:val="18"/>
          <w:b w:val="1"/>
          <w:bCs w:val="1"/>
          <w:color w:val="auto"/>
        </w:rPr>
      </w:pPr>
    </w:p>
    <w:p>
      <w:pPr>
        <w:ind w:left="-60" w:firstLine="1436"/>
        <w:spacing w:after="0" w:line="257" w:lineRule="auto"/>
        <w:tabs>
          <w:tab w:leader="none" w:pos="1638" w:val="left"/>
        </w:tabs>
        <w:numPr>
          <w:ilvl w:val="1"/>
          <w:numId w:val="169"/>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4 Preferred Stock remain outstanding, this corporation shall not (by amendment, merger, consolidation or otherwise) adversely alter or change the rights, preferences or privileges of the Series 4 Preferred Stock in a manner that is adverse and different in effect with respect to the Series 4 Preferred Stock as compared to any other series of Preferred Stock without first obtaining the approval (by vote or written consent, as provided by law) of the holders of a majority of the outstanding shares of Series 4 Preferred Stock (voting as a separate class).</w:t>
      </w:r>
    </w:p>
    <w:p>
      <w:pPr>
        <w:spacing w:after="0" w:line="188" w:lineRule="exact"/>
        <w:rPr>
          <w:rFonts w:ascii="Arial" w:cs="Arial" w:eastAsia="Arial" w:hAnsi="Arial"/>
          <w:sz w:val="18"/>
          <w:szCs w:val="18"/>
          <w:b w:val="1"/>
          <w:bCs w:val="1"/>
          <w:color w:val="auto"/>
        </w:rPr>
      </w:pPr>
    </w:p>
    <w:p>
      <w:pPr>
        <w:ind w:left="-60" w:firstLine="1436"/>
        <w:spacing w:after="0" w:line="257" w:lineRule="auto"/>
        <w:tabs>
          <w:tab w:leader="none" w:pos="1617" w:val="left"/>
        </w:tabs>
        <w:numPr>
          <w:ilvl w:val="1"/>
          <w:numId w:val="169"/>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5 Preferred Stock remain outstanding, this corporation shall not (by amendment, merger, consolidation or otherwise) adversely alter or change the rights, preferences or privileges of the Series 5 Preferred Stock in a manner that is adverse and different in effect with respect to the Series 5 Preferred Stock as compared to any other series of Preferred Stock without first obtaining the approval (by vote or written consent, as provided by law) of the holders of a majority of the outstanding shares of Series 5 Preferred Stock (voting as a separate class).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4" w:right="499" w:bottom="1440" w:gutter="0" w:footer="0" w:header="0"/>
        </w:sectPr>
      </w:pPr>
    </w:p>
    <w:bookmarkStart w:id="244" w:name="page245"/>
    <w:bookmarkEnd w:id="244"/>
    <w:p>
      <w:pPr>
        <w:ind w:right="60" w:firstLine="1436"/>
        <w:spacing w:after="0" w:line="257" w:lineRule="auto"/>
        <w:tabs>
          <w:tab w:leader="none" w:pos="169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any shares of Series 6 Preferred Stock remain outstanding, this corporation shall not (by amendment, merger, consolidation or otherwise) adversely alter or change the rights, preferences or privileges of the Series 6 Preferred Stock in a manner that is adverse and different in effect with respect to the Series 6 Preferred Stock as compared to any other series of Preferred Stock without first obtaining the approval (by vote or written consent, as provided by law) of the holders of a majority of the outstanding shares of Series 6 Preferred Stock (voting as a separate class).</w:t>
      </w:r>
    </w:p>
    <w:p>
      <w:pPr>
        <w:spacing w:after="0" w:line="188" w:lineRule="exact"/>
        <w:rPr>
          <w:rFonts w:ascii="Arial" w:cs="Arial" w:eastAsia="Arial" w:hAnsi="Arial"/>
          <w:sz w:val="18"/>
          <w:szCs w:val="18"/>
          <w:b w:val="1"/>
          <w:bCs w:val="1"/>
          <w:color w:val="auto"/>
        </w:rPr>
      </w:pPr>
    </w:p>
    <w:p>
      <w:pPr>
        <w:ind w:right="60" w:firstLine="1436"/>
        <w:spacing w:after="0" w:line="257" w:lineRule="auto"/>
        <w:tabs>
          <w:tab w:leader="none" w:pos="1677"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7 Preferred Stock remain outstanding, this corporation shall not (by amendment, merger, consolidation or otherwise) adversely alter or change the rights, preferences or privileges of the Series 7 Preferred Stock in a manner that is adverse and different in effect with respect to the Series 7 Preferred Stock as compared to any other series of Preferred Stock without first obtaining the approval (by vote or written consent, as provided by law) of the holders of at least fifty five percent (55%) of the outstanding shares of Series 7 Preferred Stock (voting as a separate class).</w:t>
      </w:r>
    </w:p>
    <w:p>
      <w:pPr>
        <w:spacing w:after="0" w:line="188" w:lineRule="exact"/>
        <w:rPr>
          <w:sz w:val="20"/>
          <w:szCs w:val="20"/>
          <w:color w:val="auto"/>
        </w:rPr>
      </w:pPr>
    </w:p>
    <w:p>
      <w:pPr>
        <w:jc w:val="both"/>
        <w:ind w:right="180" w:firstLine="1436"/>
        <w:spacing w:after="0" w:line="264" w:lineRule="auto"/>
        <w:tabs>
          <w:tab w:leader="none" w:pos="1612" w:val="left"/>
        </w:tabs>
        <w:numPr>
          <w:ilvl w:val="1"/>
          <w:numId w:val="171"/>
        </w:numPr>
        <w:rPr>
          <w:rFonts w:ascii="Arial" w:cs="Arial" w:eastAsia="Arial" w:hAnsi="Arial"/>
          <w:sz w:val="18"/>
          <w:szCs w:val="18"/>
          <w:b w:val="1"/>
          <w:bCs w:val="1"/>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Preferred Stock shall be converted pursuant to Section 4 hereof, the shares so converted shall be cancelled and shall not be issuable by this corporation. The Certificate of Incorporation of this corporation shall be appropriately amended to effect the corresponding reduction in this corporation’s authorized capital stock.</w:t>
      </w:r>
    </w:p>
    <w:p>
      <w:pPr>
        <w:spacing w:after="0" w:line="177" w:lineRule="exact"/>
        <w:rPr>
          <w:rFonts w:ascii="Arial" w:cs="Arial" w:eastAsia="Arial" w:hAnsi="Arial"/>
          <w:sz w:val="18"/>
          <w:szCs w:val="18"/>
          <w:b w:val="1"/>
          <w:bCs w:val="1"/>
          <w:color w:val="auto"/>
        </w:rPr>
      </w:pPr>
    </w:p>
    <w:p>
      <w:pPr>
        <w:ind w:right="120" w:firstLine="881"/>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 The rights, preferences, privileges and restrictions granted to and imposed on the Common Stock are as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Article IV(C).</w:t>
      </w:r>
    </w:p>
    <w:p>
      <w:pPr>
        <w:spacing w:after="0" w:line="165" w:lineRule="exact"/>
        <w:rPr>
          <w:rFonts w:ascii="Arial" w:cs="Arial" w:eastAsia="Arial" w:hAnsi="Arial"/>
          <w:sz w:val="18"/>
          <w:szCs w:val="18"/>
          <w:b w:val="1"/>
          <w:bCs w:val="1"/>
          <w:color w:val="auto"/>
        </w:rPr>
      </w:pPr>
    </w:p>
    <w:p>
      <w:pPr>
        <w:ind w:right="360" w:firstLine="1436"/>
        <w:spacing w:after="0" w:line="286" w:lineRule="auto"/>
        <w:tabs>
          <w:tab w:leader="none" w:pos="1612" w:val="left"/>
        </w:tabs>
        <w:numPr>
          <w:ilvl w:val="1"/>
          <w:numId w:val="172"/>
        </w:numPr>
        <w:rPr>
          <w:rFonts w:ascii="Arial" w:cs="Arial" w:eastAsia="Arial" w:hAnsi="Arial"/>
          <w:sz w:val="17"/>
          <w:szCs w:val="17"/>
          <w:b w:val="1"/>
          <w:bCs w:val="1"/>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165" w:lineRule="exact"/>
        <w:rPr>
          <w:rFonts w:ascii="Arial" w:cs="Arial" w:eastAsia="Arial" w:hAnsi="Arial"/>
          <w:sz w:val="17"/>
          <w:szCs w:val="17"/>
          <w:b w:val="1"/>
          <w:bCs w:val="1"/>
          <w:color w:val="auto"/>
        </w:rPr>
      </w:pPr>
    </w:p>
    <w:p>
      <w:pPr>
        <w:ind w:right="400" w:firstLine="1436"/>
        <w:spacing w:after="0" w:line="277" w:lineRule="auto"/>
        <w:tabs>
          <w:tab w:leader="none" w:pos="1612" w:val="left"/>
        </w:tabs>
        <w:numPr>
          <w:ilvl w:val="1"/>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this corporation, the assets of this corporation shall be distributed as provided in Section 2 of Article IV(B) hereof.</w:t>
      </w:r>
    </w:p>
    <w:p>
      <w:pPr>
        <w:spacing w:after="0" w:line="170" w:lineRule="exact"/>
        <w:rPr>
          <w:rFonts w:ascii="Arial" w:cs="Arial" w:eastAsia="Arial" w:hAnsi="Arial"/>
          <w:sz w:val="18"/>
          <w:szCs w:val="18"/>
          <w:b w:val="1"/>
          <w:bCs w:val="1"/>
          <w:color w:val="auto"/>
        </w:rPr>
      </w:pPr>
    </w:p>
    <w:p>
      <w:pPr>
        <w:ind w:left="1620" w:hanging="184"/>
        <w:spacing w:after="0"/>
        <w:tabs>
          <w:tab w:leader="none" w:pos="1620" w:val="left"/>
        </w:tabs>
        <w:numPr>
          <w:ilvl w:val="1"/>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5" w:lineRule="exact"/>
        <w:rPr>
          <w:rFonts w:ascii="Arial" w:cs="Arial" w:eastAsia="Arial" w:hAnsi="Arial"/>
          <w:sz w:val="18"/>
          <w:szCs w:val="18"/>
          <w:b w:val="1"/>
          <w:bCs w:val="1"/>
          <w:color w:val="auto"/>
        </w:rPr>
      </w:pPr>
    </w:p>
    <w:p>
      <w:pPr>
        <w:ind w:left="1620" w:hanging="184"/>
        <w:spacing w:after="0"/>
        <w:tabs>
          <w:tab w:leader="none" w:pos="1620" w:val="left"/>
        </w:tabs>
        <w:numPr>
          <w:ilvl w:val="1"/>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140" w:hanging="263"/>
        <w:spacing w:after="0"/>
        <w:tabs>
          <w:tab w:leader="none" w:pos="2140" w:val="left"/>
        </w:tabs>
        <w:numPr>
          <w:ilvl w:val="2"/>
          <w:numId w:val="172"/>
        </w:numPr>
        <w:rPr>
          <w:rFonts w:ascii="Arial" w:cs="Arial" w:eastAsia="Arial" w:hAnsi="Arial"/>
          <w:sz w:val="16"/>
          <w:szCs w:val="16"/>
          <w:b w:val="1"/>
          <w:bCs w:val="1"/>
          <w:color w:val="auto"/>
        </w:rPr>
      </w:pPr>
      <w:r>
        <w:rPr>
          <w:rFonts w:ascii="Arial" w:cs="Arial" w:eastAsia="Arial" w:hAnsi="Arial"/>
          <w:sz w:val="16"/>
          <w:szCs w:val="16"/>
          <w:u w:val="single" w:color="auto"/>
          <w:color w:val="auto"/>
        </w:rPr>
        <w:t>Series 1 Common Stock</w:t>
      </w:r>
      <w:r>
        <w:rPr>
          <w:rFonts w:ascii="Arial" w:cs="Arial" w:eastAsia="Arial" w:hAnsi="Arial"/>
          <w:sz w:val="16"/>
          <w:szCs w:val="16"/>
          <w:color w:val="auto"/>
        </w:rPr>
        <w:t>. Shares of Series 1 Common Stock shall have no voting rights, except as otherwise required by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b w:val="1"/>
          <w:bCs w:val="1"/>
          <w:color w:val="auto"/>
        </w:rPr>
      </w:pPr>
    </w:p>
    <w:p>
      <w:pPr>
        <w:ind w:firstLine="1877"/>
        <w:spacing w:after="0" w:line="264" w:lineRule="auto"/>
        <w:tabs>
          <w:tab w:leader="none" w:pos="2138" w:val="left"/>
        </w:tabs>
        <w:numPr>
          <w:ilvl w:val="2"/>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Series 2 Common Stock</w:t>
      </w:r>
      <w:r>
        <w:rPr>
          <w:rFonts w:ascii="Arial" w:cs="Arial" w:eastAsia="Arial" w:hAnsi="Arial"/>
          <w:sz w:val="18"/>
          <w:szCs w:val="18"/>
          <w:color w:val="auto"/>
        </w:rPr>
        <w:t>. The holder of each share of Series 2 Common Stock shall have the right to one vote for each such share, and shall be entitled to notice of any stockholders’ meeting in accordance with the Bylaws of this corporation, and shall be entitled to vote upon such matters and in such manner as may be provided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45" w:name="page246"/>
    <w:bookmarkEnd w:id="245"/>
    <w:p>
      <w:pPr>
        <w:ind w:right="56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80" w:firstLine="881"/>
        <w:spacing w:after="0" w:line="308" w:lineRule="auto"/>
        <w:rPr>
          <w:sz w:val="20"/>
          <w:szCs w:val="20"/>
          <w:color w:val="auto"/>
        </w:rPr>
      </w:pPr>
      <w:r>
        <w:rPr>
          <w:rFonts w:ascii="Arial" w:cs="Arial" w:eastAsia="Arial" w:hAnsi="Arial"/>
          <w:sz w:val="17"/>
          <w:szCs w:val="17"/>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number of directors of this corporation shall be determined in the manner set forth in the Bylaws of this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78" w:lineRule="exact"/>
        <w:rPr>
          <w:sz w:val="20"/>
          <w:szCs w:val="20"/>
          <w:color w:val="auto"/>
        </w:rPr>
      </w:pPr>
    </w:p>
    <w:p>
      <w:pPr>
        <w:jc w:val="both"/>
        <w:ind w:right="160" w:firstLine="881"/>
        <w:spacing w:after="0" w:line="264" w:lineRule="auto"/>
        <w:rPr>
          <w:sz w:val="20"/>
          <w:szCs w:val="20"/>
          <w:color w:val="auto"/>
        </w:rPr>
      </w:pPr>
      <w:r>
        <w:rPr>
          <w:rFonts w:ascii="Arial" w:cs="Arial" w:eastAsia="Arial" w:hAnsi="Arial"/>
          <w:sz w:val="18"/>
          <w:szCs w:val="18"/>
          <w:color w:val="auto"/>
        </w:rPr>
        <w:t>Any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repeal or modification.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9" w:lineRule="exact"/>
        <w:rPr>
          <w:sz w:val="20"/>
          <w:szCs w:val="20"/>
          <w:color w:val="auto"/>
        </w:rPr>
      </w:pPr>
    </w:p>
    <w:p>
      <w:pPr>
        <w:jc w:val="both"/>
        <w:ind w:right="460" w:firstLine="881"/>
        <w:spacing w:after="0" w:line="264" w:lineRule="auto"/>
        <w:rPr>
          <w:sz w:val="20"/>
          <w:szCs w:val="20"/>
          <w:color w:val="auto"/>
        </w:rPr>
      </w:pPr>
      <w:r>
        <w:rPr>
          <w:rFonts w:ascii="Arial" w:cs="Arial" w:eastAsia="Arial" w:hAnsi="Arial"/>
          <w:sz w:val="18"/>
          <w:szCs w:val="18"/>
          <w:color w:val="auto"/>
        </w:rPr>
        <w:t>This corporation reserves the right to amend, alter, change or repeal any provision contained in this Certificate of Incorporation, in the manner provided herein and as now or hereafter prescribed by statute, and all rights conferred upon stockholders herein are granted subject to this reservation.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This corporation shall indemnify and hold harmless, to the fullest extent permitted by applicable law as it presently exists or may hereafter be amended, any person (an “Indemnified Person”) who was or is made or is threatened to be made a party or is otherwise involved in any action, suit or proceeding, whether civil, criminal, administrative or investigative (a “Proceeding”),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subject only to limits created by applicable General Corporation Law (statutory or non-statutory), with respect to actions for breach of duty to this corporation, its stockholders, and others.</w:t>
      </w:r>
    </w:p>
    <w:p>
      <w:pPr>
        <w:spacing w:after="0" w:line="166" w:lineRule="exact"/>
        <w:rPr>
          <w:sz w:val="20"/>
          <w:szCs w:val="20"/>
          <w:color w:val="auto"/>
        </w:rPr>
      </w:pPr>
    </w:p>
    <w:p>
      <w:pPr>
        <w:ind w:right="180" w:firstLine="881"/>
        <w:spacing w:after="0" w:line="279" w:lineRule="auto"/>
        <w:rPr>
          <w:sz w:val="20"/>
          <w:szCs w:val="20"/>
          <w:color w:val="auto"/>
        </w:rPr>
      </w:pPr>
      <w:r>
        <w:rPr>
          <w:rFonts w:ascii="Arial" w:cs="Arial" w:eastAsia="Arial" w:hAnsi="Arial"/>
          <w:sz w:val="17"/>
          <w:szCs w:val="17"/>
          <w:color w:val="auto"/>
        </w:rPr>
        <w:t xml:space="preserve">The corporation shall pay the expenses (including attorneys’ fees) incurred by an Indemnified Person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XI or otherwise.</w:t>
      </w:r>
    </w:p>
    <w:p>
      <w:pPr>
        <w:spacing w:after="0" w:line="171"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officer, agent, or other person existing at the time of, or increase the liability of any director of this corporation with respect to any acts or omissions of such director, officer or agent occurring prior to, such amendment, repeal or modification.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400" w:firstLine="441"/>
        <w:spacing w:after="0" w:line="288" w:lineRule="auto"/>
        <w:rPr>
          <w:sz w:val="20"/>
          <w:szCs w:val="20"/>
          <w:color w:val="auto"/>
        </w:rPr>
      </w:pPr>
      <w:r>
        <w:rPr>
          <w:rFonts w:ascii="Arial" w:cs="Arial" w:eastAsia="Arial" w:hAnsi="Arial"/>
          <w:sz w:val="16"/>
          <w:szCs w:val="16"/>
          <w:color w:val="auto"/>
        </w:rPr>
        <w:t>This corporation renounces any interest or expectancy of this corporation in, or in being offered an opportunity to participate in, an Excluded Opportunity. An “</w:t>
      </w:r>
      <w:r>
        <w:rPr>
          <w:rFonts w:ascii="Arial" w:cs="Arial" w:eastAsia="Arial" w:hAnsi="Arial"/>
          <w:sz w:val="16"/>
          <w:szCs w:val="16"/>
          <w:u w:val="single" w:color="auto"/>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this corporation who is not an employee of this corporation or any of its subsidiaries, or</w:t>
      </w:r>
    </w:p>
    <w:p>
      <w:pPr>
        <w:jc w:val="both"/>
        <w:ind w:right="100" w:firstLine="4"/>
        <w:spacing w:after="0" w:line="254" w:lineRule="auto"/>
        <w:tabs>
          <w:tab w:leader="none" w:pos="2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holder of Preferred Stock or any partner, member, director, stockholder, employee or agent of any such holder, other than someone who is an employee of this corporation or any of its subsidiaries (collectively, “</w:t>
      </w:r>
      <w:r>
        <w:rPr>
          <w:rFonts w:ascii="Arial" w:cs="Arial" w:eastAsia="Arial" w:hAnsi="Arial"/>
          <w:sz w:val="18"/>
          <w:szCs w:val="18"/>
          <w:u w:val="single" w:color="auto"/>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all or in part with respect to such repurchases.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Forum Selection</w:t>
      </w:r>
      <w:r>
        <w:rPr>
          <w:rFonts w:ascii="Arial" w:cs="Arial" w:eastAsia="Arial" w:hAnsi="Arial"/>
          <w:sz w:val="18"/>
          <w:szCs w:val="18"/>
          <w:color w:val="auto"/>
        </w:rPr>
        <w:t>. Unless this corporation consents in writing to the selection of an alternative forum, the Court of Chancery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(or, if the Court of Chancery does not have jurisdiction, the federal district court for the District of Delaware) shall, to the fullest extent permitted by law, be the sole and exclusive forum for (1) any derivative action or proceeding brought on behalf of this corporation, (2) any action asserting a claim of breach of a fiduciary duty owed by any director, officer or other employee of this corporation to this corporation or this corporation’s stockholders, (3) any action arising pursuant to any provision of the General Corporation Law or this Restated Certificate of Incorporation or the Bylaws (as either may be amended from time to time), or (4) any action asserting a claim governed by the internal affairs doctrine. Any person or entity purchasing or otherwise acquiring or holding any interest in shares of capital stock of this corporation shall be deemed to have notice of and consented to the provisions of this Article XIII.</w:t>
      </w:r>
    </w:p>
    <w:p>
      <w:pPr>
        <w:spacing w:after="0" w:line="18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a court located within the State of Delaware (a “Foreign Action”) in the name of any stockholder, such stockholder shall be deemed to have consented to</w:t>
      </w:r>
    </w:p>
    <w:p>
      <w:pPr>
        <w:spacing w:after="0" w:line="1" w:lineRule="exact"/>
        <w:rPr>
          <w:sz w:val="20"/>
          <w:szCs w:val="20"/>
          <w:color w:val="auto"/>
        </w:rPr>
      </w:pPr>
    </w:p>
    <w:p>
      <w:pPr>
        <w:ind w:right="140" w:firstLine="4"/>
        <w:spacing w:after="0" w:line="277" w:lineRule="auto"/>
        <w:tabs>
          <w:tab w:leader="none" w:pos="21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personal jurisdiction of the state and federal courts located within the State of Delaware in connection with any action brought in any such court to enforce Section A immediately above (an “FSC Enforcement Action”) and (ii) having service of process made upon such stockholder in any such FSC Enforcement Action by service upon such stockholder’s counsel in the Foreign Action as agent for such stockholder.</w:t>
      </w:r>
    </w:p>
    <w:p>
      <w:pPr>
        <w:spacing w:after="0" w:line="173"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1" w:lineRule="exact"/>
        <w:rPr>
          <w:sz w:val="20"/>
          <w:szCs w:val="20"/>
          <w:color w:val="auto"/>
        </w:rPr>
      </w:pPr>
    </w:p>
    <w:p>
      <w:pPr>
        <w:ind w:right="240" w:firstLine="881"/>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foregoing amendment and restatement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General Corporation Law.</w:t>
      </w:r>
    </w:p>
    <w:p>
      <w:pPr>
        <w:spacing w:after="0" w:line="162" w:lineRule="exact"/>
        <w:rPr>
          <w:sz w:val="20"/>
          <w:szCs w:val="20"/>
          <w:color w:val="auto"/>
        </w:rPr>
      </w:pPr>
    </w:p>
    <w:p>
      <w:pPr>
        <w:ind w:right="280" w:firstLine="881"/>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said Restated Certificate of Incorporation, which restates and integrates and further amends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Restated Certificate of Incorporation, has been duly adopted in accordance with Sections 242 and 245 of the General Corporation Law.</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48" w:name="page249"/>
    <w:bookmarkEnd w:id="248"/>
    <w:p>
      <w:pPr>
        <w:ind w:firstLine="88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Restated Certificate of Incorporation has been executed by a duly authorized officer of this corporation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1</w:t>
      </w:r>
      <w:r>
        <w:rPr>
          <w:rFonts w:ascii="Arial" w:cs="Arial" w:eastAsia="Arial" w:hAnsi="Arial"/>
          <w:sz w:val="15"/>
          <w:szCs w:val="15"/>
          <w:color w:val="auto"/>
        </w:rPr>
        <w:t>st</w:t>
      </w:r>
      <w:r>
        <w:rPr>
          <w:rFonts w:ascii="Arial" w:cs="Arial" w:eastAsia="Arial" w:hAnsi="Arial"/>
          <w:sz w:val="18"/>
          <w:szCs w:val="18"/>
          <w:color w:val="auto"/>
        </w:rPr>
        <w:t xml:space="preserve"> day of June, 2016.</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Dunn, President</w:t>
      </w:r>
    </w:p>
    <w:p>
      <w:pPr>
        <w:sectPr>
          <w:pgSz w:w="11900" w:h="16838" w:orient="portrait"/>
          <w:cols w:equalWidth="0" w:num="1">
            <w:col w:w="10960"/>
          </w:cols>
          <w:pgMar w:left="440" w:top="270" w:right="49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SI-BONE,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Jeffrey Dunn hereby certifies that: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He is the duly elected and acting President of SI-BONE, Inc., a Delaware corporation.</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TWO: The Certificate of Incorporation of this corporation was originally filed with the Secretary of State of Delaware on March 18, 2008 under the name SI-BONE, Inc..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THREE: Pursuant to Section 242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this Certificate of Amendment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amends this corporation’s Certificate of Incorporation as follows: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Article IV.A. of this corporation’s Certificate of Incorporation is amended to read in its entirety as follows:</w:t>
      </w:r>
    </w:p>
    <w:p>
      <w:pPr>
        <w:spacing w:after="0" w:line="117" w:lineRule="exact"/>
        <w:rPr>
          <w:sz w:val="20"/>
          <w:szCs w:val="20"/>
          <w:color w:val="auto"/>
        </w:rPr>
      </w:pPr>
    </w:p>
    <w:p>
      <w:pPr>
        <w:ind w:left="880" w:firstLine="40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Authorization of Stock</w:t>
      </w:r>
      <w:r>
        <w:rPr>
          <w:rFonts w:ascii="Arial" w:cs="Arial" w:eastAsia="Arial" w:hAnsi="Arial"/>
          <w:sz w:val="16"/>
          <w:szCs w:val="16"/>
          <w:color w:val="auto"/>
        </w:rPr>
        <w:t>. This corporation is authorized to issue two classes of stock to be designated, respectively, common stock and preferred stock. The total number of shares that this corporation is authorized to issue is Five Hundred Sixty Five Million Eight Hundred Eighty Five Thousand Five Hundred Twenty (565,885,520). The total number of shares of common stock authorized to be issued is Three Hundred Forty Eight Million (348,000,000), par value $0.0001 per share (the “Common Stock”), of which One Hundred Eight Million (108,000,000) shares are designated as “Series 1 Common Stock” and Two Hundred Forty Million (240,000,000) shares are designated as “Series 2 Common Stock”. The total number of shares of preferred stock authorized to be issued is Two Hundred Seventeen Million Eight Hundred Eighty Five Thousand Five Hundred Twenty (217,885,520),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Seven Million Five Hundred Fifty Thousand Four Hundred Eighty Four (37,550,484) shares are designated as “Series 5 Preferred Stock”, Sixty One Million Six Thousand Ninety Five (61,006,095) are designated as “Series 6 Preferred Stock” and Forty Eight Million (48,000,000) are designated as “Series 7 Preferred Stock”.”</w:t>
      </w:r>
    </w:p>
    <w:p>
      <w:pPr>
        <w:sectPr>
          <w:pgSz w:w="11900" w:h="16838" w:orient="portrait"/>
          <w:cols w:equalWidth="0" w:num="1">
            <w:col w:w="11000"/>
          </w:cols>
          <w:pgMar w:left="440" w:top="270" w:right="459" w:bottom="1440" w:gutter="0" w:footer="0" w:header="0"/>
        </w:sectPr>
      </w:pPr>
    </w:p>
    <w:bookmarkStart w:id="250" w:name="page251"/>
    <w:bookmarkEnd w:id="250"/>
    <w:p>
      <w:pPr>
        <w:ind w:right="460" w:firstLine="885"/>
        <w:spacing w:after="0" w:line="277" w:lineRule="auto"/>
        <w:tabs>
          <w:tab w:leader="none" w:pos="11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last sentence of Subsection 4(a) of Article IV, Part B of this corporation’s Certificate of Incorporation is amended to read in its entirety as follows:</w:t>
      </w:r>
    </w:p>
    <w:p>
      <w:pPr>
        <w:spacing w:after="0" w:line="62" w:lineRule="exact"/>
        <w:rPr>
          <w:sz w:val="20"/>
          <w:szCs w:val="20"/>
          <w:color w:val="auto"/>
        </w:rPr>
      </w:pPr>
    </w:p>
    <w:p>
      <w:pPr>
        <w:ind w:left="880" w:firstLine="405"/>
        <w:spacing w:after="0" w:line="259" w:lineRule="auto"/>
        <w:rPr>
          <w:sz w:val="20"/>
          <w:szCs w:val="20"/>
          <w:color w:val="auto"/>
        </w:rPr>
      </w:pPr>
      <w:r>
        <w:rPr>
          <w:rFonts w:ascii="Arial" w:cs="Arial" w:eastAsia="Arial" w:hAnsi="Arial"/>
          <w:sz w:val="18"/>
          <w:szCs w:val="18"/>
          <w:color w:val="auto"/>
        </w:rPr>
        <w:t>“The initial Conversion Price per share for the Series 6 Preferred Stock shall be $0.8643,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8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foregoing amendment was duly adopted in accordance with the provisions of Section 242 of the General Corporation Law of the State of 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020"/>
          </w:cols>
          <w:pgMar w:left="440" w:top="274"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has executed this certificate on February 17th, 2017.</w:t>
      </w:r>
    </w:p>
    <w:p>
      <w:pPr>
        <w:spacing w:after="0" w:line="252"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Dunn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9579"/>
          </w:cols>
          <w:pgMar w:left="880" w:top="274"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SECOND AMENDED AND RESTATED BYLAWS OF</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94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OFFICES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794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7940" w:type="dxa"/>
            <w:vAlign w:val="bottom"/>
          </w:tcPr>
          <w:p>
            <w:pPr>
              <w:ind w:left="100"/>
              <w:spacing w:after="0"/>
              <w:rPr>
                <w:sz w:val="20"/>
                <w:szCs w:val="20"/>
                <w:color w:val="auto"/>
              </w:rPr>
            </w:pPr>
            <w:r>
              <w:rPr>
                <w:rFonts w:ascii="Arial" w:cs="Arial" w:eastAsia="Arial" w:hAnsi="Arial"/>
                <w:sz w:val="18"/>
                <w:szCs w:val="18"/>
                <w:color w:val="auto"/>
              </w:rPr>
              <w:t>Offices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7940" w:type="dxa"/>
            <w:vAlign w:val="bottom"/>
          </w:tcPr>
          <w:p>
            <w:pPr>
              <w:ind w:left="100"/>
              <w:spacing w:after="0"/>
              <w:rPr>
                <w:sz w:val="20"/>
                <w:szCs w:val="20"/>
                <w:color w:val="auto"/>
              </w:rPr>
            </w:pPr>
            <w:r>
              <w:rPr>
                <w:rFonts w:ascii="Arial" w:cs="Arial" w:eastAsia="Arial" w:hAnsi="Arial"/>
                <w:sz w:val="18"/>
                <w:szCs w:val="18"/>
                <w:color w:val="auto"/>
              </w:rPr>
              <w:t>Location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7940" w:type="dxa"/>
            <w:vAlign w:val="bottom"/>
          </w:tcPr>
          <w:p>
            <w:pPr>
              <w:ind w:left="100"/>
              <w:spacing w:after="0"/>
              <w:rPr>
                <w:sz w:val="20"/>
                <w:szCs w:val="20"/>
                <w:color w:val="auto"/>
              </w:rPr>
            </w:pPr>
            <w:r>
              <w:rPr>
                <w:rFonts w:ascii="Arial" w:cs="Arial" w:eastAsia="Arial" w:hAnsi="Arial"/>
                <w:sz w:val="18"/>
                <w:szCs w:val="18"/>
                <w:color w:val="auto"/>
              </w:rPr>
              <w:t>Timing</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7940" w:type="dxa"/>
            <w:vAlign w:val="bottom"/>
          </w:tcPr>
          <w:p>
            <w:pPr>
              <w:ind w:left="100"/>
              <w:spacing w:after="0"/>
              <w:rPr>
                <w:sz w:val="20"/>
                <w:szCs w:val="20"/>
                <w:color w:val="auto"/>
              </w:rPr>
            </w:pPr>
            <w:r>
              <w:rPr>
                <w:rFonts w:ascii="Arial" w:cs="Arial" w:eastAsia="Arial" w:hAnsi="Arial"/>
                <w:sz w:val="18"/>
                <w:szCs w:val="18"/>
                <w:color w:val="auto"/>
              </w:rPr>
              <w:t>Stockholders’ Records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79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7940" w:type="dxa"/>
            <w:vAlign w:val="bottom"/>
          </w:tcPr>
          <w:p>
            <w:pPr>
              <w:ind w:left="100"/>
              <w:spacing w:after="0"/>
              <w:rPr>
                <w:sz w:val="20"/>
                <w:szCs w:val="20"/>
                <w:color w:val="auto"/>
              </w:rPr>
            </w:pPr>
            <w:r>
              <w:rPr>
                <w:rFonts w:ascii="Arial" w:cs="Arial" w:eastAsia="Arial" w:hAnsi="Arial"/>
                <w:sz w:val="18"/>
                <w:szCs w:val="18"/>
                <w:color w:val="auto"/>
              </w:rPr>
              <w:t>Business Transacted at Special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7940" w:type="dxa"/>
            <w:vAlign w:val="bottom"/>
          </w:tcPr>
          <w:p>
            <w:pPr>
              <w:ind w:left="100"/>
              <w:spacing w:after="0"/>
              <w:rPr>
                <w:sz w:val="20"/>
                <w:szCs w:val="20"/>
                <w:color w:val="auto"/>
              </w:rPr>
            </w:pPr>
            <w:r>
              <w:rPr>
                <w:rFonts w:ascii="Arial" w:cs="Arial" w:eastAsia="Arial" w:hAnsi="Arial"/>
                <w:sz w:val="18"/>
                <w:szCs w:val="18"/>
                <w:color w:val="auto"/>
              </w:rPr>
              <w:t>Quorum; Meeting Adjournment; Presence by Remote Means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7940" w:type="dxa"/>
            <w:vAlign w:val="bottom"/>
          </w:tcPr>
          <w:p>
            <w:pPr>
              <w:ind w:left="100"/>
              <w:spacing w:after="0"/>
              <w:rPr>
                <w:sz w:val="20"/>
                <w:szCs w:val="20"/>
                <w:color w:val="auto"/>
              </w:rPr>
            </w:pPr>
            <w:r>
              <w:rPr>
                <w:rFonts w:ascii="Arial" w:cs="Arial" w:eastAsia="Arial" w:hAnsi="Arial"/>
                <w:sz w:val="18"/>
                <w:szCs w:val="18"/>
                <w:color w:val="auto"/>
              </w:rPr>
              <w:t>Voting Thresholds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7940" w:type="dxa"/>
            <w:vAlign w:val="bottom"/>
          </w:tcPr>
          <w:p>
            <w:pPr>
              <w:ind w:left="100"/>
              <w:spacing w:after="0"/>
              <w:rPr>
                <w:sz w:val="20"/>
                <w:szCs w:val="20"/>
                <w:color w:val="auto"/>
              </w:rPr>
            </w:pPr>
            <w:r>
              <w:rPr>
                <w:rFonts w:ascii="Arial" w:cs="Arial" w:eastAsia="Arial" w:hAnsi="Arial"/>
                <w:sz w:val="18"/>
                <w:szCs w:val="18"/>
                <w:color w:val="auto"/>
              </w:rPr>
              <w:t>Number of Votes Per Share</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7940" w:type="dxa"/>
            <w:vAlign w:val="bottom"/>
          </w:tcPr>
          <w:p>
            <w:pPr>
              <w:ind w:left="100"/>
              <w:spacing w:after="0"/>
              <w:rPr>
                <w:sz w:val="20"/>
                <w:szCs w:val="20"/>
                <w:color w:val="auto"/>
              </w:rPr>
            </w:pPr>
            <w:r>
              <w:rPr>
                <w:rFonts w:ascii="Arial" w:cs="Arial" w:eastAsia="Arial" w:hAnsi="Arial"/>
                <w:sz w:val="18"/>
                <w:szCs w:val="18"/>
                <w:color w:val="auto"/>
              </w:rPr>
              <w:t>Action by Written Consent of Stockholders; Electronic Consent; Notice of Action</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7940" w:type="dxa"/>
            <w:vAlign w:val="bottom"/>
          </w:tcPr>
          <w:p>
            <w:pPr>
              <w:ind w:left="100"/>
              <w:spacing w:after="0"/>
              <w:rPr>
                <w:sz w:val="20"/>
                <w:szCs w:val="20"/>
                <w:color w:val="auto"/>
              </w:rPr>
            </w:pPr>
            <w:r>
              <w:rPr>
                <w:rFonts w:ascii="Arial" w:cs="Arial" w:eastAsia="Arial" w:hAnsi="Arial"/>
                <w:sz w:val="18"/>
                <w:szCs w:val="18"/>
                <w:color w:val="auto"/>
              </w:rPr>
              <w:t>Authorized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79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7940" w:type="dxa"/>
            <w:vAlign w:val="bottom"/>
          </w:tcPr>
          <w:p>
            <w:pPr>
              <w:ind w:left="100"/>
              <w:spacing w:after="0"/>
              <w:rPr>
                <w:sz w:val="20"/>
                <w:szCs w:val="20"/>
                <w:color w:val="auto"/>
              </w:rPr>
            </w:pPr>
            <w:r>
              <w:rPr>
                <w:rFonts w:ascii="Arial" w:cs="Arial" w:eastAsia="Arial" w:hAnsi="Arial"/>
                <w:sz w:val="18"/>
                <w:szCs w:val="18"/>
                <w:color w:val="auto"/>
              </w:rPr>
              <w:t>Board Authority</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7940" w:type="dxa"/>
            <w:vAlign w:val="bottom"/>
          </w:tcPr>
          <w:p>
            <w:pPr>
              <w:ind w:left="100"/>
              <w:spacing w:after="0"/>
              <w:rPr>
                <w:sz w:val="20"/>
                <w:szCs w:val="20"/>
                <w:color w:val="auto"/>
              </w:rPr>
            </w:pPr>
            <w:r>
              <w:rPr>
                <w:rFonts w:ascii="Arial" w:cs="Arial" w:eastAsia="Arial" w:hAnsi="Arial"/>
                <w:sz w:val="18"/>
                <w:szCs w:val="18"/>
                <w:color w:val="auto"/>
              </w:rPr>
              <w:t>Location of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7940" w:type="dxa"/>
            <w:vAlign w:val="bottom"/>
          </w:tcPr>
          <w:p>
            <w:pPr>
              <w:ind w:left="100"/>
              <w:spacing w:after="0"/>
              <w:rPr>
                <w:sz w:val="20"/>
                <w:szCs w:val="20"/>
                <w:color w:val="auto"/>
              </w:rPr>
            </w:pPr>
            <w:r>
              <w:rPr>
                <w:rFonts w:ascii="Arial" w:cs="Arial" w:eastAsia="Arial" w:hAnsi="Arial"/>
                <w:sz w:val="18"/>
                <w:szCs w:val="18"/>
                <w:color w:val="auto"/>
              </w:rPr>
              <w:t>First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794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3.7</w:t>
            </w:r>
          </w:p>
        </w:tc>
        <w:tc>
          <w:tcPr>
            <w:tcW w:w="79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3.8</w:t>
            </w:r>
          </w:p>
        </w:tc>
        <w:tc>
          <w:tcPr>
            <w:tcW w:w="7940" w:type="dxa"/>
            <w:vAlign w:val="bottom"/>
          </w:tcPr>
          <w:p>
            <w:pPr>
              <w:ind w:left="100"/>
              <w:spacing w:after="0"/>
              <w:rPr>
                <w:sz w:val="20"/>
                <w:szCs w:val="20"/>
                <w:color w:val="auto"/>
              </w:rPr>
            </w:pPr>
            <w:r>
              <w:rPr>
                <w:rFonts w:ascii="Arial" w:cs="Arial" w:eastAsia="Arial" w:hAnsi="Arial"/>
                <w:sz w:val="18"/>
                <w:szCs w:val="18"/>
                <w:color w:val="auto"/>
              </w:rPr>
              <w:t>Quorum</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3.9</w:t>
            </w:r>
          </w:p>
        </w:tc>
        <w:tc>
          <w:tcPr>
            <w:tcW w:w="7940" w:type="dxa"/>
            <w:vAlign w:val="bottom"/>
          </w:tcPr>
          <w:p>
            <w:pPr>
              <w:ind w:left="100"/>
              <w:spacing w:after="0"/>
              <w:rPr>
                <w:sz w:val="20"/>
                <w:szCs w:val="20"/>
                <w:color w:val="auto"/>
              </w:rPr>
            </w:pPr>
            <w:r>
              <w:rPr>
                <w:rFonts w:ascii="Arial" w:cs="Arial" w:eastAsia="Arial" w:hAnsi="Arial"/>
                <w:sz w:val="18"/>
                <w:szCs w:val="18"/>
                <w:color w:val="auto"/>
              </w:rPr>
              <w:t>Action Without a Meeting</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3.10</w:t>
            </w:r>
          </w:p>
        </w:tc>
        <w:tc>
          <w:tcPr>
            <w:tcW w:w="7940" w:type="dxa"/>
            <w:vAlign w:val="bottom"/>
          </w:tcPr>
          <w:p>
            <w:pPr>
              <w:ind w:left="100"/>
              <w:spacing w:after="0"/>
              <w:rPr>
                <w:sz w:val="20"/>
                <w:szCs w:val="20"/>
                <w:color w:val="auto"/>
              </w:rPr>
            </w:pPr>
            <w:r>
              <w:rPr>
                <w:rFonts w:ascii="Arial" w:cs="Arial" w:eastAsia="Arial" w:hAnsi="Arial"/>
                <w:sz w:val="18"/>
                <w:szCs w:val="18"/>
                <w:color w:val="auto"/>
              </w:rPr>
              <w:t>Telephonic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3.11</w:t>
            </w:r>
          </w:p>
        </w:tc>
        <w:tc>
          <w:tcPr>
            <w:tcW w:w="794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3.12</w:t>
            </w:r>
          </w:p>
        </w:tc>
        <w:tc>
          <w:tcPr>
            <w:tcW w:w="7940" w:type="dxa"/>
            <w:vAlign w:val="bottom"/>
          </w:tcPr>
          <w:p>
            <w:pPr>
              <w:ind w:left="100"/>
              <w:spacing w:after="0"/>
              <w:rPr>
                <w:sz w:val="20"/>
                <w:szCs w:val="20"/>
                <w:color w:val="auto"/>
              </w:rPr>
            </w:pPr>
            <w:r>
              <w:rPr>
                <w:rFonts w:ascii="Arial" w:cs="Arial" w:eastAsia="Arial" w:hAnsi="Arial"/>
                <w:sz w:val="18"/>
                <w:szCs w:val="18"/>
                <w:color w:val="auto"/>
              </w:rPr>
              <w:t>Minutes of Meetings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3.13</w:t>
            </w:r>
          </w:p>
        </w:tc>
        <w:tc>
          <w:tcPr>
            <w:tcW w:w="7940" w:type="dxa"/>
            <w:vAlign w:val="bottom"/>
          </w:tcPr>
          <w:p>
            <w:pPr>
              <w:ind w:left="100"/>
              <w:spacing w:after="0"/>
              <w:rPr>
                <w:sz w:val="20"/>
                <w:szCs w:val="20"/>
                <w:color w:val="auto"/>
              </w:rPr>
            </w:pPr>
            <w:r>
              <w:rPr>
                <w:rFonts w:ascii="Arial" w:cs="Arial" w:eastAsia="Arial" w:hAnsi="Arial"/>
                <w:sz w:val="18"/>
                <w:szCs w:val="18"/>
                <w:color w:val="auto"/>
              </w:rPr>
              <w:t>Compensation of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3.14</w:t>
            </w:r>
          </w:p>
        </w:tc>
        <w:tc>
          <w:tcPr>
            <w:tcW w:w="7940" w:type="dxa"/>
            <w:vAlign w:val="bottom"/>
          </w:tcPr>
          <w:p>
            <w:pPr>
              <w:ind w:left="100"/>
              <w:spacing w:after="0"/>
              <w:rPr>
                <w:sz w:val="20"/>
                <w:szCs w:val="20"/>
                <w:color w:val="auto"/>
              </w:rPr>
            </w:pPr>
            <w:r>
              <w:rPr>
                <w:rFonts w:ascii="Arial" w:cs="Arial" w:eastAsia="Arial" w:hAnsi="Arial"/>
                <w:sz w:val="18"/>
                <w:szCs w:val="18"/>
                <w:color w:val="auto"/>
              </w:rPr>
              <w:t>Removal of Directors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IV 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794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7940" w:type="dxa"/>
            <w:vAlign w:val="bottom"/>
          </w:tcPr>
          <w:p>
            <w:pPr>
              <w:ind w:left="100"/>
              <w:spacing w:after="0"/>
              <w:rPr>
                <w:sz w:val="20"/>
                <w:szCs w:val="20"/>
                <w:color w:val="auto"/>
              </w:rPr>
            </w:pPr>
            <w:r>
              <w:rPr>
                <w:rFonts w:ascii="Arial" w:cs="Arial" w:eastAsia="Arial" w:hAnsi="Arial"/>
                <w:sz w:val="18"/>
                <w:szCs w:val="18"/>
                <w:color w:val="auto"/>
              </w:rPr>
              <w:t>Electronic Notice</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7940" w:type="dxa"/>
            <w:vAlign w:val="bottom"/>
          </w:tcPr>
          <w:p>
            <w:pPr>
              <w:ind w:left="100"/>
              <w:spacing w:after="0"/>
              <w:rPr>
                <w:sz w:val="20"/>
                <w:szCs w:val="20"/>
                <w:color w:val="auto"/>
              </w:rPr>
            </w:pPr>
            <w:r>
              <w:rPr>
                <w:rFonts w:ascii="Arial" w:cs="Arial" w:eastAsia="Arial" w:hAnsi="Arial"/>
                <w:sz w:val="18"/>
                <w:szCs w:val="18"/>
                <w:color w:val="auto"/>
              </w:rPr>
              <w:t>Required and Permitted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7940" w:type="dxa"/>
            <w:vAlign w:val="bottom"/>
          </w:tcPr>
          <w:p>
            <w:pPr>
              <w:ind w:left="100"/>
              <w:spacing w:after="0"/>
              <w:rPr>
                <w:sz w:val="20"/>
                <w:szCs w:val="20"/>
                <w:color w:val="auto"/>
              </w:rPr>
            </w:pPr>
            <w:r>
              <w:rPr>
                <w:rFonts w:ascii="Arial" w:cs="Arial" w:eastAsia="Arial" w:hAnsi="Arial"/>
                <w:sz w:val="18"/>
                <w:szCs w:val="18"/>
                <w:color w:val="auto"/>
              </w:rPr>
              <w:t>Appointment of Required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7940" w:type="dxa"/>
            <w:vAlign w:val="bottom"/>
          </w:tcPr>
          <w:p>
            <w:pPr>
              <w:ind w:left="100"/>
              <w:spacing w:after="0"/>
              <w:rPr>
                <w:sz w:val="20"/>
                <w:szCs w:val="20"/>
                <w:color w:val="auto"/>
              </w:rPr>
            </w:pPr>
            <w:r>
              <w:rPr>
                <w:rFonts w:ascii="Arial" w:cs="Arial" w:eastAsia="Arial" w:hAnsi="Arial"/>
                <w:sz w:val="18"/>
                <w:szCs w:val="18"/>
                <w:color w:val="auto"/>
              </w:rPr>
              <w:t>Appointment of Permitted Officers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3920" w:type="dxa"/>
            <w:vAlign w:val="bottom"/>
          </w:tcPr>
          <w:p>
            <w:pPr>
              <w:ind w:left="60"/>
              <w:spacing w:after="0"/>
              <w:rPr>
                <w:sz w:val="20"/>
                <w:szCs w:val="20"/>
                <w:color w:val="auto"/>
              </w:rPr>
            </w:pPr>
            <w:r>
              <w:rPr>
                <w:rFonts w:ascii="Arial" w:cs="Arial" w:eastAsia="Arial" w:hAnsi="Arial"/>
                <w:sz w:val="18"/>
                <w:szCs w:val="18"/>
                <w:color w:val="auto"/>
              </w:rPr>
              <w:t>Officer Compensation</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5.5</w:t>
            </w:r>
          </w:p>
        </w:tc>
        <w:tc>
          <w:tcPr>
            <w:tcW w:w="3920" w:type="dxa"/>
            <w:vAlign w:val="bottom"/>
          </w:tcPr>
          <w:p>
            <w:pPr>
              <w:ind w:left="60"/>
              <w:spacing w:after="0"/>
              <w:rPr>
                <w:sz w:val="20"/>
                <w:szCs w:val="20"/>
                <w:color w:val="auto"/>
              </w:rPr>
            </w:pPr>
            <w:r>
              <w:rPr>
                <w:rFonts w:ascii="Arial" w:cs="Arial" w:eastAsia="Arial" w:hAnsi="Arial"/>
                <w:sz w:val="18"/>
                <w:szCs w:val="18"/>
                <w:color w:val="auto"/>
              </w:rPr>
              <w:t>Term of Office; Vacancies</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5.6</w:t>
            </w:r>
          </w:p>
        </w:tc>
        <w:tc>
          <w:tcPr>
            <w:tcW w:w="3920" w:type="dxa"/>
            <w:vAlign w:val="bottom"/>
          </w:tcPr>
          <w:p>
            <w:pPr>
              <w:ind w:left="60"/>
              <w:spacing w:after="0"/>
              <w:rPr>
                <w:sz w:val="20"/>
                <w:szCs w:val="20"/>
                <w:color w:val="auto"/>
              </w:rPr>
            </w:pPr>
            <w:r>
              <w:rPr>
                <w:rFonts w:ascii="Arial" w:cs="Arial" w:eastAsia="Arial" w:hAnsi="Arial"/>
                <w:sz w:val="18"/>
                <w:szCs w:val="18"/>
                <w:color w:val="auto"/>
              </w:rPr>
              <w:t>Chairman Presides</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5.7</w:t>
            </w:r>
          </w:p>
        </w:tc>
        <w:tc>
          <w:tcPr>
            <w:tcW w:w="3920" w:type="dxa"/>
            <w:vAlign w:val="bottom"/>
          </w:tcPr>
          <w:p>
            <w:pPr>
              <w:ind w:left="60"/>
              <w:spacing w:after="0"/>
              <w:rPr>
                <w:sz w:val="20"/>
                <w:szCs w:val="20"/>
                <w:color w:val="auto"/>
              </w:rPr>
            </w:pPr>
            <w:r>
              <w:rPr>
                <w:rFonts w:ascii="Arial" w:cs="Arial" w:eastAsia="Arial" w:hAnsi="Arial"/>
                <w:sz w:val="18"/>
                <w:szCs w:val="18"/>
                <w:color w:val="auto"/>
              </w:rPr>
              <w:t>Absence of Chairman</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5.8</w:t>
            </w:r>
          </w:p>
        </w:tc>
        <w:tc>
          <w:tcPr>
            <w:tcW w:w="3920" w:type="dxa"/>
            <w:vAlign w:val="bottom"/>
          </w:tcPr>
          <w:p>
            <w:pPr>
              <w:ind w:left="60"/>
              <w:spacing w:after="0"/>
              <w:rPr>
                <w:sz w:val="20"/>
                <w:szCs w:val="20"/>
                <w:color w:val="auto"/>
              </w:rPr>
            </w:pPr>
            <w:r>
              <w:rPr>
                <w:rFonts w:ascii="Arial" w:cs="Arial" w:eastAsia="Arial" w:hAnsi="Arial"/>
                <w:sz w:val="18"/>
                <w:szCs w:val="18"/>
                <w:color w:val="auto"/>
              </w:rPr>
              <w:t>Powers of President</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5.9</w:t>
            </w:r>
          </w:p>
        </w:tc>
        <w:tc>
          <w:tcPr>
            <w:tcW w:w="3920" w:type="dxa"/>
            <w:vAlign w:val="bottom"/>
          </w:tcPr>
          <w:p>
            <w:pPr>
              <w:ind w:left="60"/>
              <w:spacing w:after="0"/>
              <w:rPr>
                <w:sz w:val="20"/>
                <w:szCs w:val="20"/>
                <w:color w:val="auto"/>
              </w:rPr>
            </w:pPr>
            <w:r>
              <w:rPr>
                <w:rFonts w:ascii="Arial" w:cs="Arial" w:eastAsia="Arial" w:hAnsi="Arial"/>
                <w:sz w:val="18"/>
                <w:szCs w:val="18"/>
                <w:color w:val="auto"/>
              </w:rPr>
              <w:t>President’s Signature Authority</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5.10</w:t>
            </w:r>
          </w:p>
        </w:tc>
        <w:tc>
          <w:tcPr>
            <w:tcW w:w="3920" w:type="dxa"/>
            <w:vAlign w:val="bottom"/>
          </w:tcPr>
          <w:p>
            <w:pPr>
              <w:ind w:left="60"/>
              <w:spacing w:after="0"/>
              <w:rPr>
                <w:sz w:val="20"/>
                <w:szCs w:val="20"/>
                <w:color w:val="auto"/>
              </w:rPr>
            </w:pPr>
            <w:r>
              <w:rPr>
                <w:rFonts w:ascii="Arial" w:cs="Arial" w:eastAsia="Arial" w:hAnsi="Arial"/>
                <w:sz w:val="18"/>
                <w:szCs w:val="18"/>
                <w:color w:val="auto"/>
              </w:rPr>
              <w:t>Absence of President</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5.11</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Secretary</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5.12</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Assistant Secretary</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5.13</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Treasurer</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5.14</w:t>
            </w:r>
          </w:p>
        </w:tc>
        <w:tc>
          <w:tcPr>
            <w:tcW w:w="3920" w:type="dxa"/>
            <w:vAlign w:val="bottom"/>
          </w:tcPr>
          <w:p>
            <w:pPr>
              <w:ind w:left="60"/>
              <w:spacing w:after="0"/>
              <w:rPr>
                <w:sz w:val="20"/>
                <w:szCs w:val="20"/>
                <w:color w:val="auto"/>
              </w:rPr>
            </w:pPr>
            <w:r>
              <w:rPr>
                <w:rFonts w:ascii="Arial" w:cs="Arial" w:eastAsia="Arial" w:hAnsi="Arial"/>
                <w:sz w:val="18"/>
                <w:szCs w:val="18"/>
                <w:color w:val="auto"/>
              </w:rPr>
              <w:t>Disbursements and Financial Reports</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5.15</w:t>
            </w:r>
          </w:p>
        </w:tc>
        <w:tc>
          <w:tcPr>
            <w:tcW w:w="3920" w:type="dxa"/>
            <w:vAlign w:val="bottom"/>
          </w:tcPr>
          <w:p>
            <w:pPr>
              <w:ind w:left="60"/>
              <w:spacing w:after="0"/>
              <w:rPr>
                <w:sz w:val="20"/>
                <w:szCs w:val="20"/>
                <w:color w:val="auto"/>
              </w:rPr>
            </w:pPr>
            <w:r>
              <w:rPr>
                <w:rFonts w:ascii="Arial" w:cs="Arial" w:eastAsia="Arial" w:hAnsi="Arial"/>
                <w:sz w:val="18"/>
                <w:szCs w:val="18"/>
                <w:color w:val="auto"/>
              </w:rPr>
              <w:t>Treasurer’s Bond</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5.16</w:t>
            </w:r>
          </w:p>
        </w:tc>
        <w:tc>
          <w:tcPr>
            <w:tcW w:w="3920" w:type="dxa"/>
            <w:vAlign w:val="bottom"/>
          </w:tcPr>
          <w:p>
            <w:pPr>
              <w:ind w:left="60"/>
              <w:spacing w:after="0"/>
              <w:rPr>
                <w:sz w:val="20"/>
                <w:szCs w:val="20"/>
                <w:color w:val="auto"/>
              </w:rPr>
            </w:pPr>
            <w:r>
              <w:rPr>
                <w:rFonts w:ascii="Arial" w:cs="Arial" w:eastAsia="Arial" w:hAnsi="Arial"/>
                <w:sz w:val="18"/>
                <w:szCs w:val="18"/>
                <w:color w:val="auto"/>
              </w:rPr>
              <w:t>Duties of Assistant Treasurer</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ARTICLE VI CERTIFICATE OF STOCK</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3920" w:type="dxa"/>
            <w:vAlign w:val="bottom"/>
          </w:tcPr>
          <w:p>
            <w:pPr>
              <w:ind w:left="60"/>
              <w:spacing w:after="0"/>
              <w:rPr>
                <w:sz w:val="20"/>
                <w:szCs w:val="20"/>
                <w:color w:val="auto"/>
              </w:rPr>
            </w:pPr>
            <w:r>
              <w:rPr>
                <w:rFonts w:ascii="Arial" w:cs="Arial" w:eastAsia="Arial" w:hAnsi="Arial"/>
                <w:sz w:val="18"/>
                <w:szCs w:val="18"/>
                <w:color w:val="auto"/>
              </w:rPr>
              <w:t>Stock Certificates</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3920" w:type="dxa"/>
            <w:vAlign w:val="bottom"/>
          </w:tcPr>
          <w:p>
            <w:pPr>
              <w:ind w:left="60"/>
              <w:spacing w:after="0"/>
              <w:rPr>
                <w:sz w:val="20"/>
                <w:szCs w:val="20"/>
                <w:color w:val="auto"/>
              </w:rPr>
            </w:pPr>
            <w:r>
              <w:rPr>
                <w:rFonts w:ascii="Arial" w:cs="Arial" w:eastAsia="Arial" w:hAnsi="Arial"/>
                <w:sz w:val="18"/>
                <w:szCs w:val="18"/>
                <w:color w:val="auto"/>
              </w:rPr>
              <w:t>Facsimile Signatures</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3920" w:type="dxa"/>
            <w:vAlign w:val="bottom"/>
          </w:tcPr>
          <w:p>
            <w:pPr>
              <w:ind w:left="60"/>
              <w:spacing w:after="0"/>
              <w:rPr>
                <w:sz w:val="20"/>
                <w:szCs w:val="20"/>
                <w:color w:val="auto"/>
              </w:rPr>
            </w:pPr>
            <w:r>
              <w:rPr>
                <w:rFonts w:ascii="Arial" w:cs="Arial" w:eastAsia="Arial" w:hAnsi="Arial"/>
                <w:sz w:val="18"/>
                <w:szCs w:val="18"/>
                <w:color w:val="auto"/>
              </w:rPr>
              <w:t>Lost Certificates</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3920" w:type="dxa"/>
            <w:vAlign w:val="bottom"/>
          </w:tcPr>
          <w:p>
            <w:pPr>
              <w:ind w:left="60"/>
              <w:spacing w:after="0"/>
              <w:rPr>
                <w:sz w:val="20"/>
                <w:szCs w:val="20"/>
                <w:color w:val="auto"/>
              </w:rPr>
            </w:pPr>
            <w:r>
              <w:rPr>
                <w:rFonts w:ascii="Arial" w:cs="Arial" w:eastAsia="Arial" w:hAnsi="Arial"/>
                <w:sz w:val="18"/>
                <w:szCs w:val="18"/>
                <w:color w:val="auto"/>
              </w:rPr>
              <w:t>Transfer of Stock</w:t>
            </w:r>
          </w:p>
        </w:tc>
        <w:tc>
          <w:tcPr>
            <w:tcW w:w="6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3920" w:type="dxa"/>
            <w:vAlign w:val="bottom"/>
          </w:tcPr>
          <w:p>
            <w:pPr>
              <w:ind w:left="60"/>
              <w:spacing w:after="0"/>
              <w:rPr>
                <w:sz w:val="20"/>
                <w:szCs w:val="20"/>
                <w:color w:val="auto"/>
              </w:rPr>
            </w:pPr>
            <w:r>
              <w:rPr>
                <w:rFonts w:ascii="Arial" w:cs="Arial" w:eastAsia="Arial" w:hAnsi="Arial"/>
                <w:sz w:val="18"/>
                <w:szCs w:val="18"/>
                <w:color w:val="auto"/>
              </w:rPr>
              <w:t>Fixing a Record Date</w:t>
            </w:r>
          </w:p>
        </w:tc>
        <w:tc>
          <w:tcPr>
            <w:tcW w:w="6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6.6</w:t>
            </w:r>
          </w:p>
        </w:tc>
        <w:tc>
          <w:tcPr>
            <w:tcW w:w="3920" w:type="dxa"/>
            <w:vAlign w:val="bottom"/>
          </w:tcPr>
          <w:p>
            <w:pPr>
              <w:ind w:left="60"/>
              <w:spacing w:after="0"/>
              <w:rPr>
                <w:sz w:val="20"/>
                <w:szCs w:val="20"/>
                <w:color w:val="auto"/>
              </w:rPr>
            </w:pPr>
            <w:r>
              <w:rPr>
                <w:rFonts w:ascii="Arial" w:cs="Arial" w:eastAsia="Arial" w:hAnsi="Arial"/>
                <w:sz w:val="18"/>
                <w:szCs w:val="18"/>
                <w:color w:val="auto"/>
              </w:rPr>
              <w:t>Registered Stockholders</w:t>
            </w:r>
          </w:p>
        </w:tc>
        <w:tc>
          <w:tcPr>
            <w:tcW w:w="6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ARTICLE VII GENERAL PROVISIONS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3920" w:type="dxa"/>
            <w:vAlign w:val="bottom"/>
          </w:tcPr>
          <w:p>
            <w:pPr>
              <w:ind w:left="60"/>
              <w:spacing w:after="0"/>
              <w:rPr>
                <w:sz w:val="20"/>
                <w:szCs w:val="20"/>
                <w:color w:val="auto"/>
              </w:rPr>
            </w:pPr>
            <w:r>
              <w:rPr>
                <w:rFonts w:ascii="Arial" w:cs="Arial" w:eastAsia="Arial" w:hAnsi="Arial"/>
                <w:sz w:val="18"/>
                <w:szCs w:val="18"/>
                <w:color w:val="auto"/>
              </w:rPr>
              <w:t>Dividends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3920" w:type="dxa"/>
            <w:vAlign w:val="bottom"/>
          </w:tcPr>
          <w:p>
            <w:pPr>
              <w:ind w:left="60"/>
              <w:spacing w:after="0"/>
              <w:rPr>
                <w:sz w:val="20"/>
                <w:szCs w:val="20"/>
                <w:color w:val="auto"/>
              </w:rPr>
            </w:pPr>
            <w:r>
              <w:rPr>
                <w:rFonts w:ascii="Arial" w:cs="Arial" w:eastAsia="Arial" w:hAnsi="Arial"/>
                <w:sz w:val="18"/>
                <w:szCs w:val="18"/>
                <w:color w:val="auto"/>
              </w:rPr>
              <w:t>Reserve for Dividends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3920" w:type="dxa"/>
            <w:vAlign w:val="bottom"/>
          </w:tcPr>
          <w:p>
            <w:pPr>
              <w:ind w:left="60"/>
              <w:spacing w:after="0"/>
              <w:rPr>
                <w:sz w:val="20"/>
                <w:szCs w:val="20"/>
                <w:color w:val="auto"/>
              </w:rPr>
            </w:pPr>
            <w:r>
              <w:rPr>
                <w:rFonts w:ascii="Arial" w:cs="Arial" w:eastAsia="Arial" w:hAnsi="Arial"/>
                <w:sz w:val="18"/>
                <w:szCs w:val="18"/>
                <w:color w:val="auto"/>
              </w:rPr>
              <w:t>Checks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7.4</w:t>
            </w:r>
          </w:p>
        </w:tc>
        <w:tc>
          <w:tcPr>
            <w:tcW w:w="392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3920" w:type="dxa"/>
            <w:vAlign w:val="bottom"/>
          </w:tcPr>
          <w:p>
            <w:pPr>
              <w:ind w:left="60"/>
              <w:spacing w:after="0"/>
              <w:rPr>
                <w:sz w:val="20"/>
                <w:szCs w:val="20"/>
                <w:color w:val="auto"/>
              </w:rPr>
            </w:pPr>
            <w:r>
              <w:rPr>
                <w:rFonts w:ascii="Arial" w:cs="Arial" w:eastAsia="Arial" w:hAnsi="Arial"/>
                <w:sz w:val="18"/>
                <w:szCs w:val="18"/>
                <w:color w:val="auto"/>
              </w:rPr>
              <w:t>Corporate Seal</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7.6</w:t>
            </w:r>
          </w:p>
        </w:tc>
        <w:tc>
          <w:tcPr>
            <w:tcW w:w="392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7.7</w:t>
            </w:r>
          </w:p>
        </w:tc>
        <w:tc>
          <w:tcPr>
            <w:tcW w:w="3920" w:type="dxa"/>
            <w:vAlign w:val="bottom"/>
          </w:tcPr>
          <w:p>
            <w:pPr>
              <w:ind w:left="60"/>
              <w:spacing w:after="0"/>
              <w:rPr>
                <w:sz w:val="20"/>
                <w:szCs w:val="20"/>
                <w:color w:val="auto"/>
              </w:rPr>
            </w:pPr>
            <w:r>
              <w:rPr>
                <w:rFonts w:ascii="Arial" w:cs="Arial" w:eastAsia="Arial" w:hAnsi="Arial"/>
                <w:sz w:val="18"/>
                <w:szCs w:val="18"/>
                <w:color w:val="auto"/>
              </w:rPr>
              <w:t>Conflicts with Certificate of Incorporation</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VIII AMENDMENTS</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IX RIGHT OF FIRST REFUSAL</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X LOANS TO OFFICERS</w:t>
            </w:r>
          </w:p>
        </w:tc>
        <w:tc>
          <w:tcPr>
            <w:tcW w:w="6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ARTICLE XI RECORDS AND REPORTS</w:t>
            </w:r>
          </w:p>
        </w:tc>
        <w:tc>
          <w:tcPr>
            <w:tcW w:w="6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7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340" w:type="dxa"/>
            <w:vAlign w:val="bottom"/>
          </w:tcPr>
          <w:p>
            <w:pPr>
              <w:jc w:val="right"/>
              <w:ind w:right="5330"/>
              <w:spacing w:after="0"/>
              <w:rPr>
                <w:sz w:val="20"/>
                <w:szCs w:val="20"/>
                <w:color w:val="auto"/>
              </w:rPr>
            </w:pPr>
            <w:r>
              <w:rPr>
                <w:rFonts w:ascii="Arial" w:cs="Arial" w:eastAsia="Arial" w:hAnsi="Arial"/>
                <w:sz w:val="18"/>
                <w:szCs w:val="18"/>
                <w:color w:val="auto"/>
              </w:rPr>
              <w:t>ii</w:t>
            </w:r>
          </w:p>
        </w:tc>
      </w:tr>
    </w:tbl>
    <w:p>
      <w:pPr>
        <w:jc w:val="right"/>
        <w:ind w:right="533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5" w:name="page256"/>
    <w:bookmarkEnd w:id="2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The registered office shall be in the City of Dover, County of Kent, State of Delaware.</w:t>
      </w:r>
    </w:p>
    <w:p>
      <w:pPr>
        <w:spacing w:after="0" w:line="117"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Offices.</w:t>
      </w:r>
      <w:r>
        <w:rPr>
          <w:rFonts w:ascii="Arial" w:cs="Arial" w:eastAsia="Arial" w:hAnsi="Arial"/>
          <w:sz w:val="18"/>
          <w:szCs w:val="18"/>
          <w:color w:val="auto"/>
        </w:rPr>
        <w:t xml:space="preserve"> SI-BONE, Inc. (the “Company”) may also have offices at such other places both within and without the State of Delaware as the Board of Directors may from time to time determine or the business of the corporation may require.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Location.</w:t>
      </w:r>
      <w:r>
        <w:rPr>
          <w:rFonts w:ascii="Arial" w:cs="Arial" w:eastAsia="Arial" w:hAnsi="Arial"/>
          <w:sz w:val="17"/>
          <w:szCs w:val="17"/>
          <w:color w:val="auto"/>
        </w:rPr>
        <w:t xml:space="preserve"> All meetings of the stockholders for the election of directors shall be held in the City of Dover, State of Delaware,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64" w:lineRule="exact"/>
        <w:rPr>
          <w:sz w:val="20"/>
          <w:szCs w:val="20"/>
          <w:color w:val="auto"/>
        </w:rPr>
      </w:pPr>
    </w:p>
    <w:p>
      <w:pPr>
        <w:ind w:right="300" w:firstLine="44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Timing.</w:t>
      </w:r>
      <w:r>
        <w:rPr>
          <w:rFonts w:ascii="Arial" w:cs="Arial" w:eastAsia="Arial" w:hAnsi="Arial"/>
          <w:sz w:val="18"/>
          <w:szCs w:val="18"/>
          <w:color w:val="auto"/>
        </w:rPr>
        <w:t xml:space="preserve"> Annual meetings of stockholders, commencing with the year 2008,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68" w:lineRule="exact"/>
        <w:rPr>
          <w:sz w:val="20"/>
          <w:szCs w:val="20"/>
          <w:color w:val="auto"/>
        </w:rPr>
      </w:pPr>
    </w:p>
    <w:p>
      <w:pPr>
        <w:ind w:right="60" w:firstLine="441"/>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Notice of Meeting.</w:t>
      </w:r>
      <w:r>
        <w:rPr>
          <w:rFonts w:ascii="Arial" w:cs="Arial" w:eastAsia="Arial" w:hAnsi="Arial"/>
          <w:sz w:val="17"/>
          <w:szCs w:val="17"/>
          <w:color w:val="auto"/>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50" w:lineRule="exact"/>
        <w:rPr>
          <w:sz w:val="20"/>
          <w:szCs w:val="20"/>
          <w:color w:val="auto"/>
        </w:rPr>
      </w:pPr>
    </w:p>
    <w:p>
      <w:pPr>
        <w:jc w:val="both"/>
        <w:ind w:firstLine="441"/>
        <w:spacing w:after="0" w:line="31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Stockholders’ Records.</w:t>
      </w:r>
      <w:r>
        <w:rPr>
          <w:rFonts w:ascii="Arial" w:cs="Arial" w:eastAsia="Arial" w:hAnsi="Arial"/>
          <w:sz w:val="16"/>
          <w:szCs w:val="16"/>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w:t>
      </w:r>
    </w:p>
    <w:p>
      <w:pPr>
        <w:sectPr>
          <w:pgSz w:w="11900" w:h="16838" w:orient="portrait"/>
          <w:cols w:equalWidth="0" w:num="1">
            <w:col w:w="11020"/>
          </w:cols>
          <w:pgMar w:left="440" w:top="270" w:right="439" w:bottom="1440" w:gutter="0" w:footer="0" w:header="0"/>
        </w:sectPr>
      </w:pPr>
    </w:p>
    <w:bookmarkStart w:id="256" w:name="page257"/>
    <w:bookmarkEnd w:id="256"/>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54"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57" w:lineRule="exact"/>
        <w:rPr>
          <w:sz w:val="20"/>
          <w:szCs w:val="20"/>
          <w:color w:val="auto"/>
        </w:rPr>
      </w:pPr>
    </w:p>
    <w:p>
      <w:pPr>
        <w:jc w:val="both"/>
        <w:ind w:right="60" w:firstLine="441"/>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Notice of Meeting.</w:t>
      </w:r>
      <w:r>
        <w:rPr>
          <w:rFonts w:ascii="Arial" w:cs="Arial" w:eastAsia="Arial" w:hAnsi="Arial"/>
          <w:sz w:val="18"/>
          <w:szCs w:val="18"/>
          <w:color w:val="auto"/>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7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Business Transacted at Special Meeting.</w:t>
      </w:r>
      <w:r>
        <w:rPr>
          <w:rFonts w:ascii="Arial" w:cs="Arial" w:eastAsia="Arial" w:hAnsi="Arial"/>
          <w:sz w:val="18"/>
          <w:szCs w:val="18"/>
          <w:color w:val="auto"/>
        </w:rPr>
        <w:t xml:space="preserve"> Business transacted at any special meeting of stockholders shall be limited to the purposes stated in the notice.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Quorum; Meeting Adjournment; Presence by Remote Means.</w:t>
      </w:r>
    </w:p>
    <w:p>
      <w:pPr>
        <w:spacing w:after="0" w:line="121" w:lineRule="exact"/>
        <w:rPr>
          <w:sz w:val="20"/>
          <w:szCs w:val="20"/>
          <w:color w:val="auto"/>
        </w:rPr>
      </w:pPr>
    </w:p>
    <w:p>
      <w:pPr>
        <w:ind w:firstLine="885"/>
        <w:spacing w:after="0" w:line="271" w:lineRule="auto"/>
        <w:tabs>
          <w:tab w:leader="none" w:pos="1126"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Quorum; Meeting Adjournment</w:t>
      </w:r>
      <w:r>
        <w:rPr>
          <w:rFonts w:ascii="Arial" w:cs="Arial" w:eastAsia="Arial" w:hAnsi="Arial"/>
          <w:sz w:val="17"/>
          <w:szCs w:val="17"/>
          <w:color w:val="auto"/>
        </w:rPr>
        <w:t>. The holders of a majority of the stock issued and outstanding and entitled to vote thereat, present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r>
        <w:rPr>
          <w:rFonts w:ascii="Arial" w:cs="Arial" w:eastAsia="Arial" w:hAnsi="Arial"/>
          <w:sz w:val="17"/>
          <w:szCs w:val="17"/>
          <w:i w:val="1"/>
          <w:iCs w:val="1"/>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57" w:name="page258"/>
    <w:bookmarkEnd w:id="257"/>
    <w:p>
      <w:pPr>
        <w:ind w:right="120" w:firstLine="885"/>
        <w:spacing w:after="0" w:line="264" w:lineRule="auto"/>
        <w:tabs>
          <w:tab w:leader="none" w:pos="1136"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Presence by Remote Means</w:t>
      </w:r>
      <w:r>
        <w:rPr>
          <w:rFonts w:ascii="Arial" w:cs="Arial" w:eastAsia="Arial" w:hAnsi="Arial"/>
          <w:sz w:val="18"/>
          <w:szCs w:val="18"/>
          <w:color w:val="auto"/>
        </w:rPr>
        <w:t>. If authorized by the Board of Directors in its sole discretion, and subject to such guidelines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Board of Directors may adopt, stockholders and proxyholders not physically present at a meeting of stockholders may, by means of remote communication:</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right="60" w:firstLine="1436"/>
        <w:spacing w:after="0" w:line="272" w:lineRule="auto"/>
        <w:tabs>
          <w:tab w:leader="none" w:pos="168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66" w:lineRule="exact"/>
        <w:rPr>
          <w:sz w:val="20"/>
          <w:szCs w:val="20"/>
          <w:color w:val="auto"/>
        </w:rPr>
      </w:pPr>
    </w:p>
    <w:p>
      <w:pPr>
        <w:jc w:val="both"/>
        <w:ind w:right="80" w:firstLine="441"/>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Voting Thresholds.</w:t>
      </w:r>
      <w:r>
        <w:rPr>
          <w:rFonts w:ascii="Arial" w:cs="Arial" w:eastAsia="Arial" w:hAnsi="Arial"/>
          <w:sz w:val="18"/>
          <w:szCs w:val="18"/>
          <w:color w:val="auto"/>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72" w:lineRule="exact"/>
        <w:rPr>
          <w:sz w:val="20"/>
          <w:szCs w:val="20"/>
          <w:color w:val="auto"/>
        </w:rPr>
      </w:pPr>
    </w:p>
    <w:p>
      <w:pPr>
        <w:jc w:val="both"/>
        <w:ind w:right="220" w:firstLine="441"/>
        <w:spacing w:after="0" w:line="28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Number of Votes Per Share.</w:t>
      </w:r>
      <w:r>
        <w:rPr>
          <w:rFonts w:ascii="Arial" w:cs="Arial" w:eastAsia="Arial" w:hAnsi="Arial"/>
          <w:sz w:val="17"/>
          <w:szCs w:val="17"/>
          <w:color w:val="auto"/>
        </w:rPr>
        <w:t xml:space="preserv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Action by Written Consent of Stockholders; Electronic Consent; Notice of Action.</w:t>
      </w:r>
    </w:p>
    <w:p>
      <w:pPr>
        <w:spacing w:after="0" w:line="121" w:lineRule="exact"/>
        <w:rPr>
          <w:sz w:val="20"/>
          <w:szCs w:val="20"/>
          <w:color w:val="auto"/>
        </w:rPr>
      </w:pPr>
    </w:p>
    <w:p>
      <w:pPr>
        <w:ind w:firstLine="885"/>
        <w:spacing w:after="0" w:line="290" w:lineRule="auto"/>
        <w:tabs>
          <w:tab w:leader="none" w:pos="1126"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Action by Written Consent of Stockholders. </w:t>
      </w:r>
      <w:r>
        <w:rPr>
          <w:rFonts w:ascii="Arial" w:cs="Arial" w:eastAsia="Arial" w:hAnsi="Arial"/>
          <w:sz w:val="16"/>
          <w:szCs w:val="16"/>
          <w:color w:val="auto"/>
        </w:rPr>
        <w:t>Unless otherwise provided by the certificate of incorporation, any action required or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8" w:name="page259"/>
    <w:bookmarkEnd w:id="258"/>
    <w:p>
      <w:pPr>
        <w:ind w:firstLine="885"/>
        <w:spacing w:after="0" w:line="286" w:lineRule="auto"/>
        <w:tabs>
          <w:tab w:leader="none" w:pos="1136"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Consent</w:t>
      </w:r>
      <w:r>
        <w:rPr>
          <w:rFonts w:ascii="Arial" w:cs="Arial" w:eastAsia="Arial" w:hAnsi="Arial"/>
          <w:sz w:val="16"/>
          <w:szCs w:val="16"/>
          <w:color w:val="auto"/>
        </w:rPr>
        <w:t>. A telegram, cablegram or other electronic transmission consenting to an action to be taken and transmitted by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63" w:lineRule="exact"/>
        <w:rPr>
          <w:rFonts w:ascii="Arial" w:cs="Arial" w:eastAsia="Arial" w:hAnsi="Arial"/>
          <w:sz w:val="16"/>
          <w:szCs w:val="16"/>
          <w:color w:val="auto"/>
        </w:rPr>
      </w:pPr>
    </w:p>
    <w:p>
      <w:pPr>
        <w:ind w:firstLine="885"/>
        <w:spacing w:after="0" w:line="277" w:lineRule="auto"/>
        <w:tabs>
          <w:tab w:leader="none" w:pos="1126"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Notice of Action</w:t>
      </w:r>
      <w:r>
        <w:rPr>
          <w:rFonts w:ascii="Arial" w:cs="Arial" w:eastAsia="Arial" w:hAnsi="Arial"/>
          <w:sz w:val="18"/>
          <w:szCs w:val="18"/>
          <w:color w:val="auto"/>
        </w:rPr>
        <w:t>. Prompt notice of any action taken pursuant to this Section 2.11 shall be provided to the stockholders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228(e) of the DGCL.</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Authorized Directors.</w:t>
      </w:r>
      <w:r>
        <w:rPr>
          <w:rFonts w:ascii="Arial" w:cs="Arial" w:eastAsia="Arial" w:hAnsi="Arial"/>
          <w:sz w:val="18"/>
          <w:szCs w:val="18"/>
          <w:color w:val="auto"/>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68" w:lineRule="exact"/>
        <w:rPr>
          <w:sz w:val="20"/>
          <w:szCs w:val="20"/>
          <w:color w:val="auto"/>
        </w:rPr>
      </w:pPr>
    </w:p>
    <w:p>
      <w:pPr>
        <w:ind w:right="160" w:firstLine="441"/>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59" w:name="page260"/>
    <w:bookmarkEnd w:id="25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7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Board Authority.</w:t>
      </w:r>
      <w:r>
        <w:rPr>
          <w:rFonts w:ascii="Arial" w:cs="Arial" w:eastAsia="Arial" w:hAnsi="Arial"/>
          <w:sz w:val="18"/>
          <w:szCs w:val="18"/>
          <w:color w:val="auto"/>
        </w:rPr>
        <w:t xml:space="preserve">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68"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Location of Meetings.</w:t>
      </w:r>
      <w:r>
        <w:rPr>
          <w:rFonts w:ascii="Arial" w:cs="Arial" w:eastAsia="Arial" w:hAnsi="Arial"/>
          <w:sz w:val="18"/>
          <w:szCs w:val="18"/>
          <w:color w:val="auto"/>
        </w:rPr>
        <w:t xml:space="preserve"> The Board of Directors of the corporation may hold meetings, both regular and special, either within or without the State of Delaware.</w:t>
      </w:r>
    </w:p>
    <w:p>
      <w:pPr>
        <w:spacing w:after="0" w:line="54"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8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Regular Meetings.</w:t>
      </w:r>
      <w:r>
        <w:rPr>
          <w:rFonts w:ascii="Arial" w:cs="Arial" w:eastAsia="Arial" w:hAnsi="Arial"/>
          <w:sz w:val="18"/>
          <w:szCs w:val="18"/>
          <w:color w:val="auto"/>
        </w:rPr>
        <w:t xml:space="preserve"> Regular meetings of the Board of Directors may be held without notice at such time and at such place as shall from time to time be determined by the Board of Directors.</w:t>
      </w:r>
    </w:p>
    <w:p>
      <w:pPr>
        <w:spacing w:after="0" w:line="54"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and shall only be deemed to be adequately delivered to the recipient upon the Company’s receipt of a confirmation sent via electronic mail or other electronic transmission or twenty-four (24) hours after a copy of such notice is sent via overnight courier. If by telephone, the notice shall be given at least twelve (12) hours prior to the time set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60" w:name="page261"/>
    <w:bookmarkEnd w:id="2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75"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Quorum.</w:t>
      </w:r>
      <w:r>
        <w:rPr>
          <w:rFonts w:ascii="Arial" w:cs="Arial" w:eastAsia="Arial" w:hAnsi="Arial"/>
          <w:sz w:val="16"/>
          <w:szCs w:val="16"/>
          <w:color w:val="auto"/>
        </w:rPr>
        <w:t xml:space="preserve">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43"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Action Without a Meeting.</w:t>
      </w:r>
      <w:r>
        <w:rPr>
          <w:rFonts w:ascii="Arial" w:cs="Arial" w:eastAsia="Arial" w:hAnsi="Arial"/>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72"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Telephonic Meetings.</w:t>
      </w:r>
      <w:r>
        <w:rPr>
          <w:rFonts w:ascii="Arial" w:cs="Arial" w:eastAsia="Arial" w:hAnsi="Arial"/>
          <w:sz w:val="18"/>
          <w:szCs w:val="18"/>
          <w:color w:val="auto"/>
        </w:rPr>
        <w:t xml:space="preserv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72" w:lineRule="exact"/>
        <w:rPr>
          <w:sz w:val="20"/>
          <w:szCs w:val="20"/>
          <w:color w:val="auto"/>
        </w:rPr>
      </w:pPr>
    </w:p>
    <w:p>
      <w:pPr>
        <w:ind w:right="20" w:firstLine="441"/>
        <w:spacing w:after="0" w:line="28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color w:val="auto"/>
        </w:rPr>
        <w:t>Committees.</w:t>
      </w:r>
      <w:r>
        <w:rPr>
          <w:rFonts w:ascii="Arial" w:cs="Arial" w:eastAsia="Arial" w:hAnsi="Arial"/>
          <w:sz w:val="17"/>
          <w:szCs w:val="17"/>
          <w:color w:val="auto"/>
        </w:rPr>
        <w:t xml:space="preserve"> Subject to the Company’s Certificate of Incorporation then in effect, 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62"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1" w:name="page262"/>
    <w:bookmarkEnd w:id="261"/>
    <w:p>
      <w:pPr>
        <w:ind w:right="6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3.12 </w:t>
      </w:r>
      <w:r>
        <w:rPr>
          <w:rFonts w:ascii="Arial" w:cs="Arial" w:eastAsia="Arial" w:hAnsi="Arial"/>
          <w:sz w:val="18"/>
          <w:szCs w:val="18"/>
          <w:b w:val="1"/>
          <w:bCs w:val="1"/>
          <w:color w:val="auto"/>
        </w:rPr>
        <w:t>Minutes of Meetings.</w:t>
      </w:r>
      <w:r>
        <w:rPr>
          <w:rFonts w:ascii="Arial" w:cs="Arial" w:eastAsia="Arial" w:hAnsi="Arial"/>
          <w:sz w:val="18"/>
          <w:szCs w:val="18"/>
          <w:color w:val="auto"/>
        </w:rPr>
        <w:t xml:space="preserve"> Each committee shall keep regular minutes of its meetings and report the same to the Board of Directors when required.</w:t>
      </w:r>
    </w:p>
    <w:p>
      <w:pPr>
        <w:spacing w:after="0" w:line="54"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6" w:lineRule="exact"/>
        <w:rPr>
          <w:sz w:val="20"/>
          <w:szCs w:val="20"/>
          <w:color w:val="auto"/>
        </w:rPr>
      </w:pPr>
    </w:p>
    <w:p>
      <w:pPr>
        <w:ind w:right="400" w:firstLine="441"/>
        <w:spacing w:after="0" w:line="313"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b w:val="1"/>
          <w:bCs w:val="1"/>
          <w:color w:val="auto"/>
        </w:rPr>
        <w:t>Removal of Directors.</w:t>
      </w:r>
      <w:r>
        <w:rPr>
          <w:rFonts w:ascii="Arial" w:cs="Arial" w:eastAsia="Arial" w:hAnsi="Arial"/>
          <w:sz w:val="17"/>
          <w:szCs w:val="17"/>
          <w:color w:val="auto"/>
        </w:rPr>
        <w:t xml:space="preserve">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right="20" w:firstLine="441"/>
        <w:spacing w:after="0" w:line="27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Notice.</w:t>
      </w:r>
      <w:r>
        <w:rPr>
          <w:rFonts w:ascii="Arial" w:cs="Arial" w:eastAsia="Arial" w:hAnsi="Arial"/>
          <w:sz w:val="17"/>
          <w:szCs w:val="17"/>
          <w:color w:val="auto"/>
        </w:rPr>
        <w:t xml:space="preserv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 facsimile transmission, or electronic transmission (provided, with respect to electronic transmission, that the director has consented to receive the form of transmission at the address to which it is directed).</w:t>
      </w:r>
    </w:p>
    <w:p>
      <w:pPr>
        <w:spacing w:after="0" w:line="66" w:lineRule="exact"/>
        <w:rPr>
          <w:sz w:val="20"/>
          <w:szCs w:val="20"/>
          <w:color w:val="auto"/>
        </w:rPr>
      </w:pPr>
    </w:p>
    <w:p>
      <w:pPr>
        <w:jc w:val="both"/>
        <w:ind w:right="100" w:firstLine="441"/>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Waiver of Notice.</w:t>
      </w:r>
      <w:r>
        <w:rPr>
          <w:rFonts w:ascii="Arial" w:cs="Arial" w:eastAsia="Arial" w:hAnsi="Arial"/>
          <w:sz w:val="18"/>
          <w:szCs w:val="18"/>
          <w:color w:val="auto"/>
        </w:rPr>
        <w:t xml:space="preserv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Electronic Notice.</w:t>
      </w:r>
    </w:p>
    <w:p>
      <w:pPr>
        <w:spacing w:after="0" w:line="121" w:lineRule="exact"/>
        <w:rPr>
          <w:sz w:val="20"/>
          <w:szCs w:val="20"/>
          <w:color w:val="auto"/>
        </w:rPr>
      </w:pPr>
    </w:p>
    <w:p>
      <w:pPr>
        <w:ind w:firstLine="885"/>
        <w:spacing w:after="0" w:line="257" w:lineRule="auto"/>
        <w:tabs>
          <w:tab w:leader="none" w:pos="1126"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Electronic Transmission</w:t>
      </w:r>
      <w:r>
        <w:rPr>
          <w:rFonts w:ascii="Arial" w:cs="Arial" w:eastAsia="Arial" w:hAnsi="Arial"/>
          <w:sz w:val="18"/>
          <w:szCs w:val="18"/>
          <w:color w:val="auto"/>
        </w:rPr>
        <w:t>. Without limiting the manner by which notice otherwise may be given effectively to stockholders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62" w:name="page263"/>
    <w:bookmarkEnd w:id="262"/>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73" w:lineRule="exact"/>
        <w:rPr>
          <w:sz w:val="20"/>
          <w:szCs w:val="20"/>
          <w:color w:val="auto"/>
        </w:rPr>
      </w:pPr>
    </w:p>
    <w:p>
      <w:pPr>
        <w:ind w:left="1140" w:hanging="255"/>
        <w:spacing w:after="0"/>
        <w:tabs>
          <w:tab w:leader="none" w:pos="114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Effective Date of Notice</w:t>
      </w:r>
      <w:r>
        <w:rPr>
          <w:rFonts w:ascii="Arial" w:cs="Arial" w:eastAsia="Arial" w:hAnsi="Arial"/>
          <w:sz w:val="18"/>
          <w:szCs w:val="18"/>
          <w:color w:val="auto"/>
        </w:rPr>
        <w:t>. Notice given pursuant to subsection (a) of this section shall be deemed given: (1) if by facsimile</w:t>
      </w:r>
    </w:p>
    <w:p>
      <w:pPr>
        <w:spacing w:after="0" w:line="23" w:lineRule="exact"/>
        <w:rPr>
          <w:rFonts w:ascii="Arial" w:cs="Arial" w:eastAsia="Arial" w:hAnsi="Arial"/>
          <w:sz w:val="18"/>
          <w:szCs w:val="18"/>
          <w:color w:val="auto"/>
        </w:rPr>
      </w:pPr>
    </w:p>
    <w:p>
      <w:pPr>
        <w:ind w:right="40"/>
        <w:spacing w:after="0" w:line="281" w:lineRule="auto"/>
        <w:rPr>
          <w:rFonts w:ascii="Arial" w:cs="Arial" w:eastAsia="Arial" w:hAnsi="Arial"/>
          <w:sz w:val="18"/>
          <w:szCs w:val="18"/>
          <w:color w:val="auto"/>
        </w:rPr>
      </w:pPr>
      <w:r>
        <w:rPr>
          <w:rFonts w:ascii="Arial" w:cs="Arial" w:eastAsia="Arial" w:hAnsi="Arial"/>
          <w:sz w:val="16"/>
          <w:szCs w:val="16"/>
          <w:color w:val="auto"/>
        </w:rPr>
        <w:t>telecommunication, when directed to a number at which the stockholder or director has consented to receive notice and upon the Company’s receipt of a confirmation sent via electronic mail or other electronic transmission or twenty-four (24) hours after a copy of such notice is sent via overnight courier;</w:t>
      </w:r>
    </w:p>
    <w:p>
      <w:pPr>
        <w:spacing w:after="0" w:line="1" w:lineRule="exact"/>
        <w:rPr>
          <w:rFonts w:ascii="Arial" w:cs="Arial" w:eastAsia="Arial" w:hAnsi="Arial"/>
          <w:sz w:val="18"/>
          <w:szCs w:val="18"/>
          <w:color w:val="auto"/>
        </w:rPr>
      </w:pPr>
    </w:p>
    <w:p>
      <w:pPr>
        <w:ind w:firstLine="4"/>
        <w:spacing w:after="0" w:line="268" w:lineRule="auto"/>
        <w:tabs>
          <w:tab w:leader="none" w:pos="2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or director has consented to receive notice and upon the Company’s receipt of a confirmation sent via electronic mail or other electronic transmission or twenty-four (24) hours after a copy of such notice is sent via overnight courier;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shall only be deemed to be adequately delivered to the recipient upon the Company’s receipt of a confirmation sent via electronic mail or other electronic transmission or twenty-four (24) hours after a copy of such notice is sent via overnight courier.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76" w:lineRule="exact"/>
        <w:rPr>
          <w:rFonts w:ascii="Arial" w:cs="Arial" w:eastAsia="Arial" w:hAnsi="Arial"/>
          <w:sz w:val="17"/>
          <w:szCs w:val="17"/>
          <w:color w:val="auto"/>
        </w:rPr>
      </w:pPr>
    </w:p>
    <w:p>
      <w:pPr>
        <w:ind w:right="160" w:firstLine="885"/>
        <w:spacing w:after="0" w:line="264" w:lineRule="auto"/>
        <w:tabs>
          <w:tab w:leader="none" w:pos="1126"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Form of Electronic Transmission</w:t>
      </w:r>
      <w:r>
        <w:rPr>
          <w:rFonts w:ascii="Arial" w:cs="Arial" w:eastAsia="Arial" w:hAnsi="Arial"/>
          <w:sz w:val="18"/>
          <w:szCs w:val="18"/>
          <w:color w:val="auto"/>
        </w:rPr>
        <w:t>. For purposes of these bylaws, “electronic transmission” means any form of communication,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Required and Permitted Officers.</w:t>
      </w:r>
      <w:r>
        <w:rPr>
          <w:rFonts w:ascii="Arial" w:cs="Arial" w:eastAsia="Arial" w:hAnsi="Arial"/>
          <w:sz w:val="17"/>
          <w:szCs w:val="17"/>
          <w:color w:val="auto"/>
        </w:rPr>
        <w:t xml:space="preserve">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57"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Appointment of Required Officers.</w:t>
      </w:r>
      <w:r>
        <w:rPr>
          <w:rFonts w:ascii="Arial" w:cs="Arial" w:eastAsia="Arial" w:hAnsi="Arial"/>
          <w:sz w:val="18"/>
          <w:szCs w:val="18"/>
          <w:color w:val="auto"/>
        </w:rPr>
        <w:t xml:space="preserve"> The Board of Directors at its first meeting after each annual meeting of stockholders shall choose a president, a treasurer, and a secretary and may choose vice-presidents.</w:t>
      </w:r>
    </w:p>
    <w:p>
      <w:pPr>
        <w:spacing w:after="0" w:line="54"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Appointment of Permitted Officers.</w:t>
      </w:r>
      <w:r>
        <w:rPr>
          <w:rFonts w:ascii="Arial" w:cs="Arial" w:eastAsia="Arial" w:hAnsi="Arial"/>
          <w:sz w:val="18"/>
          <w:szCs w:val="18"/>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63" w:name="page264"/>
    <w:bookmarkEnd w:id="2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8"/>
          <w:szCs w:val="18"/>
          <w:b w:val="1"/>
          <w:bCs w:val="1"/>
          <w:color w:val="auto"/>
        </w:rPr>
        <w:t>Officer Compensation.</w:t>
      </w:r>
      <w:r>
        <w:rPr>
          <w:rFonts w:ascii="Arial" w:cs="Arial" w:eastAsia="Arial" w:hAnsi="Arial"/>
          <w:sz w:val="18"/>
          <w:szCs w:val="18"/>
          <w:color w:val="auto"/>
        </w:rPr>
        <w:t xml:space="preserve"> The salaries of all officers and agents of the corporation shall be fixed by the Board of Directors.</w:t>
      </w:r>
    </w:p>
    <w:p>
      <w:pPr>
        <w:spacing w:after="0" w:line="117"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Term of Office; Vacancies.</w:t>
      </w:r>
      <w:r>
        <w:rPr>
          <w:rFonts w:ascii="Arial" w:cs="Arial" w:eastAsia="Arial" w:hAnsi="Arial"/>
          <w:sz w:val="18"/>
          <w:szCs w:val="18"/>
          <w:color w:val="auto"/>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CHAIRMAN OF THE BOARD</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Chairman Presides.</w:t>
      </w:r>
      <w:r>
        <w:rPr>
          <w:rFonts w:ascii="Arial" w:cs="Arial" w:eastAsia="Arial" w:hAnsi="Arial"/>
          <w:sz w:val="18"/>
          <w:szCs w:val="18"/>
          <w:color w:val="auto"/>
        </w:rPr>
        <w:t xml:space="preserve"> The 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68" w:lineRule="exact"/>
        <w:rPr>
          <w:sz w:val="20"/>
          <w:szCs w:val="20"/>
          <w:color w:val="auto"/>
        </w:rPr>
      </w:pPr>
    </w:p>
    <w:p>
      <w:pPr>
        <w:jc w:val="both"/>
        <w:ind w:right="80" w:firstLine="441"/>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Absence of Chairman.</w:t>
      </w:r>
      <w:r>
        <w:rPr>
          <w:rFonts w:ascii="Arial" w:cs="Arial" w:eastAsia="Arial" w:hAnsi="Arial"/>
          <w:sz w:val="18"/>
          <w:szCs w:val="18"/>
          <w:color w:val="auto"/>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PRESIDENT AND VICE-PRESIDENTS</w:t>
      </w:r>
    </w:p>
    <w:p>
      <w:pPr>
        <w:spacing w:after="0" w:line="225"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Powers of President.</w:t>
      </w:r>
      <w:r>
        <w:rPr>
          <w:rFonts w:ascii="Arial" w:cs="Arial" w:eastAsia="Arial" w:hAnsi="Arial"/>
          <w:sz w:val="16"/>
          <w:szCs w:val="16"/>
          <w:color w:val="auto"/>
        </w:rPr>
        <w:t xml:space="preserve">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3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President’s Signature Authority.</w:t>
      </w:r>
      <w:r>
        <w:rPr>
          <w:rFonts w:ascii="Arial" w:cs="Arial" w:eastAsia="Arial" w:hAnsi="Arial"/>
          <w:sz w:val="18"/>
          <w:szCs w:val="18"/>
          <w:color w:val="auto"/>
        </w:rPr>
        <w:t xml:space="preserve">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68"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Absence of President.</w:t>
      </w:r>
      <w:r>
        <w:rPr>
          <w:rFonts w:ascii="Arial" w:cs="Arial" w:eastAsia="Arial" w:hAnsi="Arial"/>
          <w:sz w:val="18"/>
          <w:szCs w:val="18"/>
          <w:color w:val="auto"/>
        </w:rPr>
        <w:t xml:space="preserve">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264" w:name="page265"/>
    <w:bookmarkEnd w:id="26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SECRETARY AND ASSISTANT SECRETARY</w:t>
      </w:r>
    </w:p>
    <w:p>
      <w:pPr>
        <w:spacing w:after="0" w:line="117" w:lineRule="exact"/>
        <w:rPr>
          <w:sz w:val="20"/>
          <w:szCs w:val="20"/>
          <w:color w:val="auto"/>
        </w:rPr>
      </w:pPr>
    </w:p>
    <w:p>
      <w:pPr>
        <w:ind w:right="60" w:firstLine="441"/>
        <w:spacing w:after="0" w:line="29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color w:val="auto"/>
        </w:rPr>
        <w:t>Duties of Secretary.</w:t>
      </w:r>
      <w:r>
        <w:rPr>
          <w:rFonts w:ascii="Arial" w:cs="Arial" w:eastAsia="Arial" w:hAnsi="Arial"/>
          <w:sz w:val="16"/>
          <w:szCs w:val="16"/>
          <w:color w:val="auto"/>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54"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Duties of Assistant Secretary.</w:t>
      </w:r>
      <w:r>
        <w:rPr>
          <w:rFonts w:ascii="Arial" w:cs="Arial" w:eastAsia="Arial" w:hAnsi="Arial"/>
          <w:sz w:val="18"/>
          <w:szCs w:val="18"/>
          <w:color w:val="auto"/>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TREASURER AND ASSISTANT TREASURERS</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color w:val="auto"/>
        </w:rPr>
        <w:t>Duties of Treasurer.</w:t>
      </w:r>
      <w:r>
        <w:rPr>
          <w:rFonts w:ascii="Arial" w:cs="Arial" w:eastAsia="Arial" w:hAnsi="Arial"/>
          <w:sz w:val="18"/>
          <w:szCs w:val="18"/>
          <w:color w:val="auto"/>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8"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b w:val="1"/>
          <w:bCs w:val="1"/>
          <w:color w:val="auto"/>
        </w:rPr>
        <w:t>Disbursements and Financial Reports.</w:t>
      </w:r>
      <w:r>
        <w:rPr>
          <w:rFonts w:ascii="Arial" w:cs="Arial" w:eastAsia="Arial" w:hAnsi="Arial"/>
          <w:sz w:val="17"/>
          <w:szCs w:val="17"/>
          <w:color w:val="auto"/>
        </w:rPr>
        <w:t xml:space="preserve">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50" w:lineRule="exact"/>
        <w:rPr>
          <w:sz w:val="20"/>
          <w:szCs w:val="20"/>
          <w:color w:val="auto"/>
        </w:rPr>
      </w:pPr>
    </w:p>
    <w:p>
      <w:pPr>
        <w:ind w:right="200" w:firstLine="441"/>
        <w:spacing w:after="0" w:line="281"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b w:val="1"/>
          <w:bCs w:val="1"/>
          <w:color w:val="auto"/>
        </w:rPr>
        <w:t>Treasurer’s Bond.</w:t>
      </w:r>
      <w:r>
        <w:rPr>
          <w:rFonts w:ascii="Arial" w:cs="Arial" w:eastAsia="Arial" w:hAnsi="Arial"/>
          <w:sz w:val="17"/>
          <w:szCs w:val="17"/>
          <w:color w:val="auto"/>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57"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color w:val="auto"/>
        </w:rPr>
        <w:t>Duties of Assistant Treasurer.</w:t>
      </w:r>
      <w:r>
        <w:rPr>
          <w:rFonts w:ascii="Arial" w:cs="Arial" w:eastAsia="Arial" w:hAnsi="Arial"/>
          <w:sz w:val="18"/>
          <w:szCs w:val="18"/>
          <w:color w:val="auto"/>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265" w:name="page266"/>
    <w:bookmarkEnd w:id="26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STOCK</w:t>
      </w:r>
    </w:p>
    <w:p>
      <w:pPr>
        <w:spacing w:after="0" w:line="207" w:lineRule="exact"/>
        <w:rPr>
          <w:sz w:val="20"/>
          <w:szCs w:val="20"/>
          <w:color w:val="auto"/>
        </w:rPr>
      </w:pPr>
    </w:p>
    <w:p>
      <w:pPr>
        <w:ind w:right="40" w:firstLine="441"/>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Stock Certificates.</w:t>
      </w:r>
      <w:r>
        <w:rPr>
          <w:rFonts w:ascii="Arial" w:cs="Arial" w:eastAsia="Arial" w:hAnsi="Arial"/>
          <w:sz w:val="17"/>
          <w:szCs w:val="17"/>
          <w:color w:val="auto"/>
        </w:rPr>
        <w:t xml:space="preserve">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6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Facsimile Signatures.</w:t>
      </w:r>
      <w:r>
        <w:rPr>
          <w:rFonts w:ascii="Arial" w:cs="Arial" w:eastAsia="Arial" w:hAnsi="Arial"/>
          <w:sz w:val="18"/>
          <w:szCs w:val="18"/>
          <w:color w:val="auto"/>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72" w:lineRule="exact"/>
        <w:rPr>
          <w:sz w:val="20"/>
          <w:szCs w:val="20"/>
          <w:color w:val="auto"/>
        </w:rPr>
      </w:pPr>
    </w:p>
    <w:p>
      <w:pPr>
        <w:ind w:right="160" w:firstLine="441"/>
        <w:spacing w:after="0" w:line="29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Lost Certificates.</w:t>
      </w:r>
      <w:r>
        <w:rPr>
          <w:rFonts w:ascii="Arial" w:cs="Arial" w:eastAsia="Arial" w:hAnsi="Arial"/>
          <w:sz w:val="16"/>
          <w:szCs w:val="16"/>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0" w:right="519" w:bottom="1440" w:gutter="0" w:footer="0" w:header="0"/>
        </w:sectPr>
      </w:pPr>
    </w:p>
    <w:bookmarkStart w:id="266" w:name="page267"/>
    <w:bookmarkEnd w:id="266"/>
    <w:p>
      <w:pPr>
        <w:ind w:right="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b w:val="1"/>
          <w:bCs w:val="1"/>
          <w:color w:val="auto"/>
        </w:rPr>
        <w:t>Transfer of Stock.</w:t>
      </w:r>
      <w:r>
        <w:rPr>
          <w:rFonts w:ascii="Arial" w:cs="Arial" w:eastAsia="Arial" w:hAnsi="Arial"/>
          <w:sz w:val="18"/>
          <w:szCs w:val="18"/>
          <w:color w:val="auto"/>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72" w:lineRule="exact"/>
        <w:rPr>
          <w:sz w:val="20"/>
          <w:szCs w:val="20"/>
          <w:color w:val="auto"/>
        </w:rPr>
      </w:pPr>
    </w:p>
    <w:p>
      <w:pPr>
        <w:ind w:firstLine="885"/>
        <w:spacing w:after="0" w:line="284" w:lineRule="auto"/>
        <w:tabs>
          <w:tab w:leader="none" w:pos="112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Notwithstanding anything to the contrary, a stockholder shall not transfer, whether by sale, gift, pledge or otherwise, Restricted Shares (as such term is defined below) to any third-party transferee unless such transfer is approved by the Board of Directors prior to such transfer, which approval may be granted or withheld in the Board of Directors’ sole and absolute discretion. For clarity, the Board of Directors may reject such transfer if the third-party transferee is a Healthcare Provider (as such term is defined below). “Restricted Shares” are shares of the corporation’s Common Stock (including Common Stock issued or issuable upon the conversion of Preferred Stock): (1) that were issued prior to or in conjunction with the approval of these bylaws and are owned by stockholders who voted in favor of the approval of these bylaws (the date of such approval, the “Approval Date”); or</w:t>
      </w:r>
    </w:p>
    <w:p>
      <w:pPr>
        <w:spacing w:after="0" w:line="4" w:lineRule="exact"/>
        <w:rPr>
          <w:rFonts w:ascii="Arial" w:cs="Arial" w:eastAsia="Arial" w:hAnsi="Arial"/>
          <w:sz w:val="16"/>
          <w:szCs w:val="16"/>
          <w:color w:val="auto"/>
        </w:rPr>
      </w:pPr>
    </w:p>
    <w:p>
      <w:pPr>
        <w:ind w:right="60" w:firstLine="4"/>
        <w:spacing w:after="0" w:line="287" w:lineRule="auto"/>
        <w:tabs>
          <w:tab w:leader="none" w:pos="2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that were issued after the Approval Date. Any purported transfer of any Restricted Shares effected in violation of this Section 6.4 shall be null and void and shall have no force or effect and the corporation shall not register any such purported transfer; provided, however, approval by the Board of Directors shall not be required to effect (i) a transfer by beneficiary designation, will or intestate succession or (ii) a transfer for no consideration to one or more members of a stockholder’s Immediate Family or to a trust established by the stockholder for the benefit of the stockholder and/or one or more members of the stockholder’s Immediate Family, provided in either case that the transferee agrees in writing on a form prescribed by the corporation to be bound by all provisions of all agreements applicable to the Restricted Shares. For purposes of this Section 6.4, “Immediate Family” shall mean any child, stepchild, grandchild, parent, stepparent, grandparent, spouse, sibling, mother-in-law, father-in-law, son-in-law, daughter-in-law, brother-in-law or sister-in-law and shall include adoptive relationships. “Healthcare Provider” shall mean any person who has a National Provider Identifier (NPI) Number under the National Plan &amp; Provider Enumeration System, including such person’s Immediate Family members and affiliates.</w:t>
      </w:r>
    </w:p>
    <w:p>
      <w:pPr>
        <w:spacing w:after="0" w:line="58" w:lineRule="exact"/>
        <w:rPr>
          <w:rFonts w:ascii="Arial" w:cs="Arial" w:eastAsia="Arial" w:hAnsi="Arial"/>
          <w:sz w:val="16"/>
          <w:szCs w:val="16"/>
          <w:color w:val="auto"/>
        </w:rPr>
      </w:pPr>
    </w:p>
    <w:p>
      <w:pPr>
        <w:ind w:firstLine="885"/>
        <w:spacing w:after="0" w:line="287" w:lineRule="auto"/>
        <w:tabs>
          <w:tab w:leader="none" w:pos="1136"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stockholder seeking the approval of the Board of Directors of a transfer of some or all of its shares to a third-party transferee shall give written notice (the “Transfer Notice”) thereof 60 days prior to the desired transfer date to the Secretary of the corporation that shall include: (1) the name of the stockholder; (2) the proposed transfer; (3) the number of shares the transfer of which approval is thereby requested; (4) the purchase price, if any, of the shares proposed for transfer; (5) the name, address, and primary occupation or profession of the proposed transferee; (6) proof satisfactory to the corporation that the proposed sale or transfer will not violate any applicable federal, state or foreign securities laws; and (7) representations by the stockholder that (i) the proposed transferee has been made aware that the proposed transfer is non-binding until written notice is provided by the Company that the Board of Directors has approved the proposed transfer pursuant to this Section 6.4 and (ii) that the stockholder has not provided any confidential information of the Company, either orally or in writing, to the proposed transferee, unless the stockholder has obtained the prior written consent of the Company. The corporation may require the stockholder to supplement its notice with such additional information as the corporation may request. The Company shall use reasonable efforts to respond to the Transfer Notice regarding the approval or disapproval of the Board of Directors within 45 days of the receipt of the Transfer Notice; provided, however, that the Company’s failure to approve or disapprove of such transfer within such 45 day period shall not constitute an approval of such transfer.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267" w:name="page268"/>
    <w:bookmarkEnd w:id="267"/>
    <w:p>
      <w:pPr>
        <w:ind w:right="400" w:firstLine="885"/>
        <w:spacing w:after="0" w:line="277" w:lineRule="auto"/>
        <w:tabs>
          <w:tab w:leader="none" w:pos="1126"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 representing shares of stock issued after the Approval Date shall have impressed on, printed on, written on or otherwise affixed to them the following legend:</w:t>
      </w:r>
    </w:p>
    <w:p>
      <w:pPr>
        <w:spacing w:after="0" w:line="62"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THE TRANSFER OF SECURITIES REPRESENTED HEREBY IS SUBJECT TO RESTRICTIONS REQUIRING APPROVAL OF THE BOARD OF DIRECTORS PURSUANT TO AND IN ACCORDANCE WITH SECTION 6.4 OF THE BYLAWS OF THE COMPANY, COPIES OF WHICH MAY BE OBTAINED UPON WRITTEN REQUEST TO THE COMPANY AT ITS PRINCIPAL PLACE OF BUSINESS. THE COMPANY SHALL NOT REGISTER OR OTHERWISE RECOGNIZE OR GIVE EFFECT TO ANY PURPORTED TRANSFER OF SHARES OF STOCK THAT DOES NOT COMPLY WITH SECTION 6.4 OF THE BYLAWS OF THE COMPANY.</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corporation shall take all such actions as are practicable to cause the certificates representing shares issued prior to the Approval Date that are subject to the restrictions on transfer set forth in this Section 6.4 to contain the foregoing legend.</w:t>
      </w:r>
    </w:p>
    <w:p>
      <w:pPr>
        <w:spacing w:after="0" w:line="62" w:lineRule="exact"/>
        <w:rPr>
          <w:sz w:val="20"/>
          <w:szCs w:val="20"/>
          <w:color w:val="auto"/>
        </w:rPr>
      </w:pPr>
    </w:p>
    <w:p>
      <w:pPr>
        <w:ind w:left="1140" w:hanging="25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foregoing transfer restrictions shall terminate upon the earliest to occur of the following:</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immediately prior to the closing of a Liquidation Event (as defined in the Company’s certificate of incorporation, as amended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time to time); or</w:t>
      </w:r>
    </w:p>
    <w:p>
      <w:pPr>
        <w:spacing w:after="0" w:line="102" w:lineRule="exact"/>
        <w:rPr>
          <w:rFonts w:ascii="Arial" w:cs="Arial" w:eastAsia="Arial" w:hAnsi="Arial"/>
          <w:sz w:val="17"/>
          <w:szCs w:val="17"/>
          <w:color w:val="auto"/>
        </w:rPr>
      </w:pPr>
    </w:p>
    <w:p>
      <w:pPr>
        <w:ind w:right="240" w:firstLine="1436"/>
        <w:spacing w:after="0" w:line="277" w:lineRule="auto"/>
        <w:tabs>
          <w:tab w:leader="none" w:pos="168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immediately prior to the closing of a firm commitment underwritten initial public offering pursuant to an effective registration statement filed under the Securities Act of 1933, as amended, covering the offer and sale of the Company’s common stock.</w:t>
      </w:r>
    </w:p>
    <w:p>
      <w:pPr>
        <w:spacing w:after="0" w:line="58" w:lineRule="exact"/>
        <w:rPr>
          <w:sz w:val="20"/>
          <w:szCs w:val="20"/>
          <w:color w:val="auto"/>
        </w:rPr>
      </w:pPr>
    </w:p>
    <w:p>
      <w:pPr>
        <w:ind w:right="220" w:firstLine="441"/>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b w:val="1"/>
          <w:bCs w:val="1"/>
          <w:color w:val="auto"/>
        </w:rPr>
        <w:t>Fixing a Record Date.</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w:t>
      </w:r>
    </w:p>
    <w:p>
      <w:pPr>
        <w:spacing w:after="0" w:line="3" w:lineRule="exact"/>
        <w:rPr>
          <w:sz w:val="20"/>
          <w:szCs w:val="20"/>
          <w:color w:val="auto"/>
        </w:rPr>
      </w:pPr>
    </w:p>
    <w:p>
      <w:pPr>
        <w:ind w:right="40" w:firstLine="4"/>
        <w:spacing w:after="0" w:line="255" w:lineRule="auto"/>
        <w:tabs>
          <w:tab w:leader="none" w:pos="34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8"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Registered Stockholders.</w:t>
      </w:r>
      <w:r>
        <w:rPr>
          <w:rFonts w:ascii="Arial" w:cs="Arial" w:eastAsia="Arial" w:hAnsi="Arial"/>
          <w:sz w:val="17"/>
          <w:szCs w:val="17"/>
          <w:color w:val="auto"/>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right="360" w:firstLine="441"/>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68"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Reserve for Dividends.</w:t>
      </w:r>
      <w:r>
        <w:rPr>
          <w:rFonts w:ascii="Arial" w:cs="Arial" w:eastAsia="Arial" w:hAnsi="Arial"/>
          <w:sz w:val="16"/>
          <w:szCs w:val="16"/>
          <w:color w:val="auto"/>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43"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Checks.</w:t>
      </w:r>
      <w:r>
        <w:rPr>
          <w:rFonts w:ascii="Arial" w:cs="Arial" w:eastAsia="Arial" w:hAnsi="Arial"/>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The fiscal year of the corporation shall be fixed by resolution of the Board of Directors.</w:t>
      </w:r>
    </w:p>
    <w:p>
      <w:pPr>
        <w:spacing w:after="0" w:line="117" w:lineRule="exact"/>
        <w:rPr>
          <w:sz w:val="20"/>
          <w:szCs w:val="20"/>
          <w:color w:val="auto"/>
        </w:rPr>
      </w:pPr>
    </w:p>
    <w:p>
      <w:pPr>
        <w:ind w:right="460" w:firstLine="441"/>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Corporate Seal.</w:t>
      </w:r>
      <w:r>
        <w:rPr>
          <w:rFonts w:ascii="Arial" w:cs="Arial" w:eastAsia="Arial" w:hAnsi="Arial"/>
          <w:sz w:val="18"/>
          <w:szCs w:val="18"/>
          <w:color w:val="auto"/>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68"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w:t>
      </w:r>
    </w:p>
    <w:p>
      <w:pPr>
        <w:spacing w:after="0" w:line="5" w:lineRule="exact"/>
        <w:rPr>
          <w:sz w:val="20"/>
          <w:szCs w:val="20"/>
          <w:color w:val="auto"/>
        </w:rPr>
      </w:pPr>
    </w:p>
    <w:p>
      <w:pPr>
        <w:ind w:firstLine="4"/>
        <w:spacing w:after="0" w:line="255" w:lineRule="auto"/>
        <w:tabs>
          <w:tab w:leader="none" w:pos="3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269" w:name="page270"/>
    <w:bookmarkEnd w:id="269"/>
    <w:p>
      <w:pPr>
        <w:ind w:right="4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66"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7"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The Board of Directors in its sole discretion shall have power on behalf of the corporation to indemnify any person, other than a director, made a party to any action, suit or proceeding by reason of the fact that he or she, his testator or intestate, is or was an officer or employee of the corporation.</w:t>
      </w:r>
    </w:p>
    <w:p>
      <w:pPr>
        <w:spacing w:after="0" w:line="12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INCORPORATION GOVERNS</w:t>
      </w:r>
    </w:p>
    <w:p>
      <w:pPr>
        <w:spacing w:after="0" w:line="225" w:lineRule="exact"/>
        <w:rPr>
          <w:sz w:val="20"/>
          <w:szCs w:val="20"/>
          <w:color w:val="auto"/>
        </w:rPr>
      </w:pPr>
    </w:p>
    <w:p>
      <w:pPr>
        <w:ind w:right="880" w:firstLine="441"/>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Conflicts with Certificate of Incorporation.</w:t>
      </w:r>
      <w:r>
        <w:rPr>
          <w:rFonts w:ascii="Arial" w:cs="Arial" w:eastAsia="Arial" w:hAnsi="Arial"/>
          <w:sz w:val="18"/>
          <w:szCs w:val="18"/>
          <w:color w:val="auto"/>
        </w:rPr>
        <w:t xml:space="preserve"> In the event of any conflict between the provisions of the corporation’s certificate of incorporation and these bylaws, the provisions of the certificate of incorporation shall govern.</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9.1 In addition to the applicable restrictions set forth in Section 6.4 of Article VI hereof, no stockholder shall sell, assign, pledge, or in any manner transfer any of the shares of Common Stock of the corporation or any right or interest therein (excluding, however, any Preferred Stock of the corporation and any Common Stock issued upon the conversion of such Preferred Stock), whether voluntarily or by operation of law, or by gift or otherwise, except by a transfer which meets the requirements hereinafter set forth in this Article IX:</w:t>
      </w:r>
    </w:p>
    <w:p>
      <w:pPr>
        <w:spacing w:after="0" w:line="79" w:lineRule="exact"/>
        <w:rPr>
          <w:sz w:val="20"/>
          <w:szCs w:val="20"/>
          <w:color w:val="auto"/>
        </w:rPr>
      </w:pPr>
    </w:p>
    <w:p>
      <w:pPr>
        <w:ind w:right="140" w:firstLine="885"/>
        <w:spacing w:after="0" w:line="264" w:lineRule="auto"/>
        <w:tabs>
          <w:tab w:leader="none" w:pos="1126"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Notice of Proposed Transfer</w:t>
      </w:r>
      <w:r>
        <w:rPr>
          <w:rFonts w:ascii="Arial" w:cs="Arial" w:eastAsia="Arial" w:hAnsi="Arial"/>
          <w:sz w:val="18"/>
          <w:szCs w:val="18"/>
          <w:color w:val="auto"/>
        </w:rPr>
        <w:t>. If the stockholder desires to sell or otherwise transfer any of his shares of Common Stock,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73" w:lineRule="exact"/>
        <w:rPr>
          <w:rFonts w:ascii="Arial" w:cs="Arial" w:eastAsia="Arial" w:hAnsi="Arial"/>
          <w:sz w:val="18"/>
          <w:szCs w:val="18"/>
          <w:color w:val="auto"/>
        </w:rPr>
      </w:pPr>
    </w:p>
    <w:p>
      <w:pPr>
        <w:ind w:right="60" w:firstLine="885"/>
        <w:spacing w:after="0" w:line="259" w:lineRule="auto"/>
        <w:tabs>
          <w:tab w:leader="none" w:pos="1136"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Corporate Option to Purchase</w:t>
      </w:r>
      <w:r>
        <w:rPr>
          <w:rFonts w:ascii="Arial" w:cs="Arial" w:eastAsia="Arial" w:hAnsi="Arial"/>
          <w:sz w:val="18"/>
          <w:szCs w:val="18"/>
          <w:color w:val="auto"/>
        </w:rPr>
        <w:t>. For forty-five (45) days following receipt of such notice, the corporation shall have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part of the shares specified in the notice at the price and upon the terms set forth in such notice. In the event the corporation elects to purchase all the shares, it shall give written notice to the selling stockholder of its election and settlement for said shares shall be made as provided below in paragraph (d).</w:t>
      </w:r>
    </w:p>
    <w:p>
      <w:pPr>
        <w:spacing w:after="0" w:line="78" w:lineRule="exact"/>
        <w:rPr>
          <w:rFonts w:ascii="Arial" w:cs="Arial" w:eastAsia="Arial" w:hAnsi="Arial"/>
          <w:sz w:val="18"/>
          <w:szCs w:val="18"/>
          <w:color w:val="auto"/>
        </w:rPr>
      </w:pPr>
    </w:p>
    <w:p>
      <w:pPr>
        <w:ind w:firstLine="885"/>
        <w:spacing w:after="0" w:line="257" w:lineRule="auto"/>
        <w:tabs>
          <w:tab w:leader="none" w:pos="1126"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Stockholder Option to Purchase</w:t>
      </w:r>
      <w:r>
        <w:rPr>
          <w:rFonts w:ascii="Arial" w:cs="Arial" w:eastAsia="Arial" w:hAnsi="Arial"/>
          <w:sz w:val="18"/>
          <w:szCs w:val="18"/>
          <w:color w:val="auto"/>
        </w:rPr>
        <w:t>. In the event the corporation does not elect to acquire all of the shares specified in the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notice, the corporation may, at its discretion, within forty-five (45) days of receipt of said selling stockholder’s notice, give written notice thereof to other stockholders of the corporation other than the selling stockholder. Said written notice shall state the number of shares that the corporation has elected to purchase (if any) and the number of shares remaining available for purchase (which shall be the same as the number contained in said selling stockholder’s notice, less any such shares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71" w:name="page272"/>
    <w:bookmarkEnd w:id="271"/>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has elected to purchase). Each of the other stockholders shall have the option to purchase that proportion of the shares available for purchase as the number of shares owned by each of said other stockholders (calculated on an as-converted basis) bears to the total issued and outstanding shares of the corporation (calculated on an as-converted basis), excepting those shares owned by the selling stockholder. A stockholder electing to exercise such option shall, within ten (10) days after receipt of the corporation’s notice, give notice to the corporation specifying the number of shares such stockholder will purchase. Within such ten (10) day period, each of said other stockholders shall give written notice stating how many additional shares such stockholder will purchase if additional shares are available. Failure to respond in writing to the notice given by the corporation within such ten (10) day period shall be deemed a waiver of such stockholder’s right to acquire its proportionate part of the shares of the selling stockholder. In the event one or more stockholders do not elect to acquire the shares available to them, said shares shall be allocated on a pro rata basis to the stockholders who requested shares in addition to their pro rata allotment.</w:t>
      </w:r>
    </w:p>
    <w:p>
      <w:pPr>
        <w:spacing w:after="0" w:line="74" w:lineRule="exact"/>
        <w:rPr>
          <w:sz w:val="20"/>
          <w:szCs w:val="20"/>
          <w:color w:val="auto"/>
        </w:rPr>
      </w:pPr>
    </w:p>
    <w:p>
      <w:pPr>
        <w:ind w:right="40" w:firstLine="885"/>
        <w:spacing w:after="0" w:line="276" w:lineRule="auto"/>
        <w:tabs>
          <w:tab w:leader="none" w:pos="1136"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Closing of Corporate or Stockholder Purchase. </w:t>
      </w:r>
      <w:r>
        <w:rPr>
          <w:rFonts w:ascii="Arial" w:cs="Arial" w:eastAsia="Arial" w:hAnsi="Arial"/>
          <w:sz w:val="17"/>
          <w:szCs w:val="17"/>
          <w:color w:val="auto"/>
        </w:rPr>
        <w:t>In the event the corporation and/or stockholders, other than the selling stockholder, elect</w:t>
      </w:r>
      <w:r>
        <w:rPr>
          <w:rFonts w:ascii="Arial" w:cs="Arial" w:eastAsia="Arial" w:hAnsi="Arial"/>
          <w:sz w:val="17"/>
          <w:szCs w:val="17"/>
          <w:i w:val="1"/>
          <w:iCs w:val="1"/>
          <w:color w:val="auto"/>
        </w:rPr>
        <w:t xml:space="preserve"> </w:t>
      </w:r>
      <w:r>
        <w:rPr>
          <w:rFonts w:ascii="Arial" w:cs="Arial" w:eastAsia="Arial" w:hAnsi="Arial"/>
          <w:sz w:val="17"/>
          <w:szCs w:val="17"/>
          <w:color w:val="auto"/>
        </w:rPr>
        <w:t>to acquire any of the shares of the selling stockholder as specified in said selling stockholder’s notice, the corporation shall so notify the selling stockholder and settlement thereof shall be made in cash within thirty (30) days after the corporation receives said selling stockholder’s notice; provided that if the terms of payment set forth in said selling stockholder’s notice were other than cash against delivery, the corporation and/or its other stockholders shall pay for said shares on the same terms and conditions set forth in said selling stockholder’s notice.</w:t>
      </w:r>
    </w:p>
    <w:p>
      <w:pPr>
        <w:spacing w:after="0" w:line="64" w:lineRule="exact"/>
        <w:rPr>
          <w:rFonts w:ascii="Arial" w:cs="Arial" w:eastAsia="Arial" w:hAnsi="Arial"/>
          <w:sz w:val="17"/>
          <w:szCs w:val="17"/>
          <w:color w:val="auto"/>
        </w:rPr>
      </w:pPr>
    </w:p>
    <w:p>
      <w:pPr>
        <w:ind w:firstLine="885"/>
        <w:spacing w:after="0" w:line="284" w:lineRule="auto"/>
        <w:tabs>
          <w:tab w:leader="none" w:pos="1126" w:val="left"/>
        </w:tabs>
        <w:numPr>
          <w:ilvl w:val="1"/>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Sale by Selling Stockholder. </w:t>
      </w:r>
      <w:r>
        <w:rPr>
          <w:rFonts w:ascii="Arial" w:cs="Arial" w:eastAsia="Arial" w:hAnsi="Arial"/>
          <w:sz w:val="16"/>
          <w:szCs w:val="16"/>
          <w:color w:val="auto"/>
        </w:rPr>
        <w:t>In the event the corporation and/or its other stockholders do not elect to acquire all of the shares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selling stockholder’s notice, said selling stockholder may, within the thirty (30) day period following the expiration of the option rights granted to the corporation and other stockholders herein, sell elsewhere the shares specified in said selling stockholder’s notice which were not acquired by the corporation and/or its other stockholders, in accordance with the provisions of paragraph (d) of this Section 9.1, provided that said sale shall not be on terms and conditions more favorable to the purchaser than those contained in said selling stockholder’s notice. All shares so sold by said selling stockholder shall continue to be subject to the provisions of this bylaw in the same manner as before said transfer. Notwithstanding the foregoing,</w:t>
      </w:r>
    </w:p>
    <w:p>
      <w:pPr>
        <w:spacing w:after="0" w:line="4" w:lineRule="exact"/>
        <w:rPr>
          <w:rFonts w:ascii="Arial" w:cs="Arial" w:eastAsia="Arial" w:hAnsi="Arial"/>
          <w:sz w:val="16"/>
          <w:szCs w:val="16"/>
          <w:color w:val="auto"/>
        </w:rPr>
      </w:pPr>
    </w:p>
    <w:p>
      <w:pPr>
        <w:ind w:firstLine="4"/>
        <w:spacing w:after="0" w:line="255" w:lineRule="auto"/>
        <w:tabs>
          <w:tab w:leader="none" w:pos="21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unless and until the corporation and/or its other stockholders have elected not to purchase the shares, no stockholder shall enter into a legally binding obligation to sell, transfer or assign the shares to a third party, and (ii) the selling stockholder shall comply and abide by any confidentiality obligations it has with the corporation.</w:t>
      </w:r>
    </w:p>
    <w:p>
      <w:pPr>
        <w:spacing w:after="0" w:line="82" w:lineRule="exact"/>
        <w:rPr>
          <w:rFonts w:ascii="Arial" w:cs="Arial" w:eastAsia="Arial" w:hAnsi="Arial"/>
          <w:sz w:val="18"/>
          <w:szCs w:val="18"/>
          <w:color w:val="auto"/>
        </w:rPr>
      </w:pPr>
    </w:p>
    <w:p>
      <w:pPr>
        <w:ind w:right="120" w:firstLine="885"/>
        <w:spacing w:after="0" w:line="277" w:lineRule="auto"/>
        <w:tabs>
          <w:tab w:leader="none" w:pos="1106"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Permitted Transactions. </w:t>
      </w:r>
      <w:r>
        <w:rPr>
          <w:rFonts w:ascii="Arial" w:cs="Arial" w:eastAsia="Arial" w:hAnsi="Arial"/>
          <w:sz w:val="18"/>
          <w:szCs w:val="18"/>
          <w:color w:val="auto"/>
        </w:rPr>
        <w:t>Anything to the contrary contained herein notwithstanding, the following transactions shall be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bylaw:</w:t>
      </w:r>
    </w:p>
    <w:p>
      <w:pPr>
        <w:spacing w:after="0" w:line="62" w:lineRule="exact"/>
        <w:rPr>
          <w:rFonts w:ascii="Arial" w:cs="Arial" w:eastAsia="Arial" w:hAnsi="Arial"/>
          <w:sz w:val="18"/>
          <w:szCs w:val="18"/>
          <w:color w:val="auto"/>
        </w:rPr>
      </w:pPr>
    </w:p>
    <w:p>
      <w:pPr>
        <w:ind w:right="20" w:firstLine="1436"/>
        <w:spacing w:after="0" w:line="286" w:lineRule="auto"/>
        <w:tabs>
          <w:tab w:leader="none" w:pos="1688" w:val="left"/>
        </w:tabs>
        <w:numPr>
          <w:ilvl w:val="2"/>
          <w:numId w:val="191"/>
        </w:numPr>
        <w:rPr>
          <w:rFonts w:ascii="Arial" w:cs="Arial" w:eastAsia="Arial" w:hAnsi="Arial"/>
          <w:sz w:val="17"/>
          <w:szCs w:val="17"/>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“Immediate family” as used herein shall mean spouse, lineal descendant, father, mother, brother, or sister of the stockholder making such transfer;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72" w:name="page273"/>
    <w:bookmarkEnd w:id="272"/>
    <w:p>
      <w:pPr>
        <w:ind w:right="80" w:firstLine="1436"/>
        <w:spacing w:after="0" w:line="277" w:lineRule="auto"/>
        <w:tabs>
          <w:tab w:leader="none" w:pos="16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stockholder’s bona fide pledge or mortgage of any shares with a commercial lending institution, provided that any subsequent transfer of said shares by said institution shall be conducted in the manner set forth in this bylaw;</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the corporation;</w:t>
      </w:r>
    </w:p>
    <w:p>
      <w:pPr>
        <w:spacing w:after="0" w:line="117" w:lineRule="exact"/>
        <w:rPr>
          <w:rFonts w:ascii="Arial" w:cs="Arial" w:eastAsia="Arial" w:hAnsi="Arial"/>
          <w:sz w:val="18"/>
          <w:szCs w:val="18"/>
          <w:color w:val="auto"/>
        </w:rPr>
      </w:pPr>
    </w:p>
    <w:p>
      <w:pPr>
        <w:ind w:right="340" w:firstLine="1436"/>
        <w:spacing w:after="0" w:line="277" w:lineRule="auto"/>
        <w:tabs>
          <w:tab w:leader="none" w:pos="16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62" w:lineRule="exact"/>
        <w:rPr>
          <w:rFonts w:ascii="Arial" w:cs="Arial" w:eastAsia="Arial" w:hAnsi="Arial"/>
          <w:sz w:val="18"/>
          <w:szCs w:val="18"/>
          <w:color w:val="auto"/>
        </w:rPr>
      </w:pPr>
    </w:p>
    <w:p>
      <w:pPr>
        <w:ind w:right="140" w:firstLine="1436"/>
        <w:spacing w:after="0" w:line="264" w:lineRule="auto"/>
        <w:tabs>
          <w:tab w:leader="none" w:pos="16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transfer by a stockholder which is a limited or general partnership to any or all of its partners or former partners; or</w:t>
      </w:r>
    </w:p>
    <w:p>
      <w:pPr>
        <w:spacing w:after="0" w:line="117" w:lineRule="exact"/>
        <w:rPr>
          <w:rFonts w:ascii="Arial" w:cs="Arial" w:eastAsia="Arial" w:hAnsi="Arial"/>
          <w:sz w:val="18"/>
          <w:szCs w:val="18"/>
          <w:color w:val="auto"/>
        </w:rPr>
      </w:pPr>
    </w:p>
    <w:p>
      <w:pPr>
        <w:ind w:right="300" w:firstLine="1436"/>
        <w:spacing w:after="0" w:line="277" w:lineRule="auto"/>
        <w:tabs>
          <w:tab w:leader="none" w:pos="16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distribution by INBONE Technologies, Inc. (“INBONE”) of the shares of Series 1 Common Stock held by INBONE to the stockholders of INBONE.</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62" w:lineRule="exact"/>
        <w:rPr>
          <w:sz w:val="20"/>
          <w:szCs w:val="20"/>
          <w:color w:val="auto"/>
        </w:rPr>
      </w:pPr>
    </w:p>
    <w:p>
      <w:pPr>
        <w:ind w:firstLine="885"/>
        <w:spacing w:after="0" w:line="257" w:lineRule="auto"/>
        <w:tabs>
          <w:tab w:leader="none" w:pos="1136"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Waiver of Right of First Refusal</w:t>
      </w:r>
      <w:r>
        <w:rPr>
          <w:rFonts w:ascii="Arial" w:cs="Arial" w:eastAsia="Arial" w:hAnsi="Arial"/>
          <w:sz w:val="18"/>
          <w:szCs w:val="18"/>
          <w:color w:val="auto"/>
        </w:rPr>
        <w:t>. The provisions of this bylaw may be waived with respect to any transfer either by the corporation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duly authorized action of the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80"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Void Transfers</w:t>
      </w:r>
      <w:r>
        <w:rPr>
          <w:rFonts w:ascii="Arial" w:cs="Arial" w:eastAsia="Arial" w:hAnsi="Arial"/>
          <w:sz w:val="18"/>
          <w:szCs w:val="18"/>
          <w:color w:val="auto"/>
        </w:rPr>
        <w:t>. Any sale or transfer, or purported sale or transfer, of securities of the corporation shall be null and void unless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provisions of this bylaw are strictly observed and followed.</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Termination of Right of First Refusal</w:t>
      </w:r>
      <w:r>
        <w:rPr>
          <w:rFonts w:ascii="Arial" w:cs="Arial" w:eastAsia="Arial" w:hAnsi="Arial"/>
          <w:sz w:val="16"/>
          <w:szCs w:val="16"/>
          <w:color w:val="auto"/>
        </w:rPr>
        <w:t>. The foregoing right of first refusal shall terminate on either of the following dates, whichever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first occur:</w:t>
      </w:r>
    </w:p>
    <w:p>
      <w:pPr>
        <w:spacing w:after="0" w:line="102" w:lineRule="exact"/>
        <w:rPr>
          <w:rFonts w:ascii="Arial" w:cs="Arial" w:eastAsia="Arial" w:hAnsi="Arial"/>
          <w:sz w:val="16"/>
          <w:szCs w:val="16"/>
          <w:color w:val="auto"/>
        </w:rPr>
      </w:pPr>
    </w:p>
    <w:p>
      <w:pPr>
        <w:ind w:right="80" w:firstLine="1436"/>
        <w:spacing w:after="0" w:line="264" w:lineRule="auto"/>
        <w:tabs>
          <w:tab w:leader="none" w:pos="16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Upon the date of (i) the consummation of the corporation’s first firm commitment underwritten public offering of its common stock registered under the Securities Act of 1933, as amended or (ii) the consummation of a Liquidation Event, as that term is defined in the Company’s Restated Certificate of Incorporation (as amended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73" w:name="page274"/>
    <w:bookmarkEnd w:id="273"/>
    <w:p>
      <w:pPr>
        <w:ind w:right="420" w:firstLine="885"/>
        <w:spacing w:after="0" w:line="277" w:lineRule="auto"/>
        <w:tabs>
          <w:tab w:leader="none" w:pos="1096"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Legends</w:t>
      </w:r>
      <w:r>
        <w:rPr>
          <w:rFonts w:ascii="Arial" w:cs="Arial" w:eastAsia="Arial" w:hAnsi="Arial"/>
          <w:sz w:val="18"/>
          <w:szCs w:val="18"/>
          <w:color w:val="auto"/>
        </w:rPr>
        <w:t>. The certificates representing shares of stock of the corporation shall bear on their face the following legend so long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right of first refusal remains in effect:</w:t>
      </w:r>
    </w:p>
    <w:p>
      <w:pPr>
        <w:spacing w:after="0" w:line="6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LOANS TO OFFICERS</w:t>
      </w:r>
    </w:p>
    <w:p>
      <w:pPr>
        <w:spacing w:after="0" w:line="21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10.1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RECORDS AND REPORTS</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11.1 The application and requirements of Section 1501 of the California General Corporation Law are hereby expressly waived to the fullest extent permitted thereunder.</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74" w:name="page275"/>
    <w:bookmarkEnd w:id="27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SECRETARY OF</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 xml:space="preserve">The undersigned, Robert E. Johnson, hereby certifies that he is the duly elected and acting Secretary of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(the “Corporation”), and that the Bylaws attached hereto constitute the Second Amended and Restated Bylaws of said Corporation as duly adopted at a meeting of the Corporation’s Board of Directors on March 20, 2014.</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hereunto subscribed his name this 20th day of March, 2014.</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E. Johnson, Secretary</w:t>
      </w:r>
    </w:p>
    <w:p>
      <w:pPr>
        <w:sectPr>
          <w:pgSz w:w="11900" w:h="16838" w:orient="portrait"/>
          <w:cols w:equalWidth="0" w:num="1">
            <w:col w:w="10880"/>
          </w:cols>
          <w:pgMar w:left="440" w:top="270" w:right="579" w:bottom="1440" w:gutter="0" w:footer="0" w:header="0"/>
        </w:sectPr>
      </w:pPr>
    </w:p>
    <w:bookmarkStart w:id="275" w:name="page276"/>
    <w:bookmarkEnd w:id="275"/>
    <w:p>
      <w:pPr>
        <w:ind w:left="1010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NDEMNITY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2018, is made by and between </w:t>
      </w:r>
      <w:r>
        <w:rPr>
          <w:rFonts w:ascii="Arial" w:cs="Arial" w:eastAsia="Arial" w:hAnsi="Arial"/>
          <w:sz w:val="16"/>
          <w:szCs w:val="16"/>
          <w:b w:val="1"/>
          <w:bCs w:val="1"/>
          <w:color w:val="auto"/>
        </w:rPr>
        <w:t>SI-BONE,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xml:space="preserve"> a Delaware corporation</w:t>
      </w:r>
    </w:p>
    <w:p>
      <w:pPr>
        <w:spacing w:after="0" w:line="502" w:lineRule="exact"/>
        <w:rPr>
          <w:sz w:val="20"/>
          <w:szCs w:val="20"/>
          <w:color w:val="auto"/>
        </w:rPr>
      </w:pPr>
    </w:p>
    <w:p>
      <w:pPr>
        <w:sectPr>
          <w:pgSz w:w="11900" w:h="16838" w:orient="portrait"/>
          <w:cols w:equalWidth="0" w:num="2">
            <w:col w:w="5120" w:space="640"/>
            <w:col w:w="5260"/>
          </w:cols>
          <w:pgMar w:left="440" w:top="121" w:right="4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left="800" w:hanging="356"/>
        <w:spacing w:after="0"/>
        <w:tabs>
          <w:tab w:leader="none" w:pos="800"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The Company desires to attract and retain the services of highly qualified individuals as directors, officers, employees and agents.</w:t>
      </w:r>
    </w:p>
    <w:p>
      <w:pPr>
        <w:spacing w:after="0" w:line="232" w:lineRule="exact"/>
        <w:rPr>
          <w:rFonts w:ascii="Arial" w:cs="Arial" w:eastAsia="Arial" w:hAnsi="Arial"/>
          <w:sz w:val="17"/>
          <w:szCs w:val="17"/>
          <w:b w:val="1"/>
          <w:bCs w:val="1"/>
          <w:color w:val="auto"/>
        </w:rPr>
      </w:pPr>
    </w:p>
    <w:p>
      <w:pPr>
        <w:jc w:val="both"/>
        <w:ind w:right="180" w:firstLine="444"/>
        <w:spacing w:after="0" w:line="303" w:lineRule="auto"/>
        <w:tabs>
          <w:tab w:leader="none" w:pos="782"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The Company’s amended and restated bylaws (the “</w:t>
      </w:r>
      <w:r>
        <w:rPr>
          <w:rFonts w:ascii="Arial" w:cs="Arial" w:eastAsia="Arial" w:hAnsi="Arial"/>
          <w:sz w:val="16"/>
          <w:szCs w:val="16"/>
          <w:b w:val="1"/>
          <w:bCs w:val="1"/>
          <w:color w:val="auto"/>
        </w:rPr>
        <w:t>Bylaws</w:t>
      </w:r>
      <w:r>
        <w:rPr>
          <w:rFonts w:ascii="Arial" w:cs="Arial" w:eastAsia="Arial" w:hAnsi="Arial"/>
          <w:sz w:val="16"/>
          <w:szCs w:val="16"/>
          <w:color w:val="auto"/>
        </w:rPr>
        <w:t>”) require that the Company indemnify its directors and officers, and empowers the Company to indemnify its employees and agents, as authorized by the Delaware General Corporation Law, as amended (the “</w:t>
      </w:r>
      <w:r>
        <w:rPr>
          <w:rFonts w:ascii="Arial" w:cs="Arial" w:eastAsia="Arial" w:hAnsi="Arial"/>
          <w:sz w:val="16"/>
          <w:szCs w:val="16"/>
          <w:b w:val="1"/>
          <w:bCs w:val="1"/>
          <w:color w:val="auto"/>
        </w:rPr>
        <w:t>Code</w:t>
      </w:r>
      <w:r>
        <w:rPr>
          <w:rFonts w:ascii="Arial" w:cs="Arial" w:eastAsia="Arial" w:hAnsi="Arial"/>
          <w:sz w:val="16"/>
          <w:szCs w:val="16"/>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55" w:lineRule="exact"/>
        <w:rPr>
          <w:rFonts w:ascii="Arial" w:cs="Arial" w:eastAsia="Arial" w:hAnsi="Arial"/>
          <w:sz w:val="16"/>
          <w:szCs w:val="16"/>
          <w:b w:val="1"/>
          <w:bCs w:val="1"/>
          <w:color w:val="auto"/>
        </w:rPr>
      </w:pPr>
    </w:p>
    <w:p>
      <w:pPr>
        <w:ind w:right="100" w:firstLine="444"/>
        <w:spacing w:after="0" w:line="312" w:lineRule="auto"/>
        <w:tabs>
          <w:tab w:leader="none" w:pos="796"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46" w:lineRule="exact"/>
        <w:rPr>
          <w:rFonts w:ascii="Arial" w:cs="Arial" w:eastAsia="Arial" w:hAnsi="Arial"/>
          <w:sz w:val="16"/>
          <w:szCs w:val="16"/>
          <w:b w:val="1"/>
          <w:bCs w:val="1"/>
          <w:color w:val="auto"/>
        </w:rPr>
      </w:pPr>
    </w:p>
    <w:p>
      <w:pPr>
        <w:ind w:right="60" w:firstLine="444"/>
        <w:spacing w:after="0" w:line="308" w:lineRule="auto"/>
        <w:tabs>
          <w:tab w:leader="none" w:pos="792"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46" w:lineRule="exact"/>
        <w:rPr>
          <w:rFonts w:ascii="Arial" w:cs="Arial" w:eastAsia="Arial" w:hAnsi="Arial"/>
          <w:sz w:val="17"/>
          <w:szCs w:val="17"/>
          <w:b w:val="1"/>
          <w:bCs w:val="1"/>
          <w:color w:val="auto"/>
        </w:rPr>
      </w:pPr>
    </w:p>
    <w:p>
      <w:pPr>
        <w:ind w:right="620" w:firstLine="444"/>
        <w:spacing w:after="0" w:line="277" w:lineRule="auto"/>
        <w:tabs>
          <w:tab w:leader="none" w:pos="786"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Indemnitee is willing to serve, or to continue to serve, as a director, officer, employee or agent of the Company, as the case may be, if Indemnitee is furnished the indemnity provided for herein by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270" w:lineRule="exact"/>
        <w:rPr>
          <w:sz w:val="20"/>
          <w:szCs w:val="20"/>
          <w:color w:val="auto"/>
        </w:rPr>
      </w:pPr>
    </w:p>
    <w:p>
      <w:pPr>
        <w:ind w:left="760" w:hanging="316"/>
        <w:spacing w:after="0"/>
        <w:tabs>
          <w:tab w:leader="none" w:pos="7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00" w:firstLine="885"/>
        <w:spacing w:after="0" w:line="261" w:lineRule="auto"/>
        <w:tabs>
          <w:tab w:leader="none" w:pos="1271"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 For purposes of this Agreement, the term “Agent” of the Company means any person who: (i) is or was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276" w:name="page277"/>
    <w:bookmarkEnd w:id="276"/>
    <w:p>
      <w:pPr>
        <w:ind w:left="-60" w:right="20" w:firstLine="885"/>
        <w:spacing w:after="0" w:line="286" w:lineRule="auto"/>
        <w:tabs>
          <w:tab w:leader="none" w:pos="1221"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6"/>
          <w:szCs w:val="16"/>
          <w:color w:val="auto"/>
        </w:rPr>
        <w:t>. For purposes of this Agreement, a “</w:t>
      </w:r>
      <w:r>
        <w:rPr>
          <w:rFonts w:ascii="Arial" w:cs="Arial" w:eastAsia="Arial" w:hAnsi="Arial"/>
          <w:sz w:val="16"/>
          <w:szCs w:val="16"/>
          <w:b w:val="1"/>
          <w:bCs w:val="1"/>
          <w:color w:val="auto"/>
        </w:rPr>
        <w:t>Change in Control</w:t>
      </w:r>
      <w:r>
        <w:rPr>
          <w:rFonts w:ascii="Arial" w:cs="Arial" w:eastAsia="Arial" w:hAnsi="Arial"/>
          <w:sz w:val="16"/>
          <w:szCs w:val="16"/>
          <w:color w:val="auto"/>
        </w:rPr>
        <w:t>” shall be deemed to have occurred if (i) any “person” (as</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(ii) individuals who on the date of this Agreement are members of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members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71" w:lineRule="exact"/>
        <w:rPr>
          <w:rFonts w:ascii="Arial" w:cs="Arial" w:eastAsia="Arial" w:hAnsi="Arial"/>
          <w:sz w:val="16"/>
          <w:szCs w:val="16"/>
          <w:b w:val="1"/>
          <w:bCs w:val="1"/>
          <w:color w:val="auto"/>
        </w:rPr>
      </w:pPr>
    </w:p>
    <w:p>
      <w:pPr>
        <w:ind w:left="-60" w:right="120" w:firstLine="885"/>
        <w:spacing w:after="0" w:line="271" w:lineRule="auto"/>
        <w:tabs>
          <w:tab w:leader="none" w:pos="1201"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For purposes of this Agreement, the term “Expenses” shall be broadly construed and shall include, without limitation, all</w:t>
      </w:r>
      <w:r>
        <w:rPr>
          <w:rFonts w:ascii="Arial" w:cs="Arial" w:eastAsia="Arial" w:hAnsi="Arial"/>
          <w:sz w:val="17"/>
          <w:szCs w:val="17"/>
          <w:b w:val="1"/>
          <w:bCs w:val="1"/>
          <w:color w:val="auto"/>
        </w:rPr>
        <w:t xml:space="preserve"> </w:t>
      </w:r>
      <w:r>
        <w:rPr>
          <w:rFonts w:ascii="Arial" w:cs="Arial" w:eastAsia="Arial" w:hAnsi="Arial"/>
          <w:sz w:val="17"/>
          <w:szCs w:val="17"/>
          <w:color w:val="auto"/>
        </w:rPr>
        <w:t>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The term “Expenses”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74" w:lineRule="exact"/>
        <w:rPr>
          <w:rFonts w:ascii="Arial" w:cs="Arial" w:eastAsia="Arial" w:hAnsi="Arial"/>
          <w:sz w:val="17"/>
          <w:szCs w:val="17"/>
          <w:b w:val="1"/>
          <w:bCs w:val="1"/>
          <w:color w:val="auto"/>
        </w:rPr>
      </w:pPr>
    </w:p>
    <w:p>
      <w:pPr>
        <w:ind w:left="-60" w:firstLine="885"/>
        <w:spacing w:after="0" w:line="255" w:lineRule="auto"/>
        <w:tabs>
          <w:tab w:leader="none" w:pos="1221"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Counsel</w:t>
      </w:r>
      <w:r>
        <w:rPr>
          <w:rFonts w:ascii="Arial" w:cs="Arial" w:eastAsia="Arial" w:hAnsi="Arial"/>
          <w:sz w:val="18"/>
          <w:szCs w:val="18"/>
          <w:color w:val="auto"/>
        </w:rPr>
        <w:t>. For purposes of this Agreement, the term “Independent Counsel” means a law firm, or a partner (or,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500" w:top="270" w:right="499" w:bottom="1440" w:gutter="0" w:footer="0" w:header="0"/>
        </w:sectPr>
      </w:pPr>
    </w:p>
    <w:bookmarkStart w:id="277" w:name="page278"/>
    <w:bookmarkEnd w:id="277"/>
    <w:p>
      <w:pPr>
        <w:jc w:val="both"/>
        <w:ind w:left="-20" w:right="300" w:firstLine="885"/>
        <w:spacing w:after="0" w:line="314" w:lineRule="auto"/>
        <w:tabs>
          <w:tab w:leader="none" w:pos="1241"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Liabilities</w:t>
      </w:r>
      <w:r>
        <w:rPr>
          <w:rFonts w:ascii="Arial" w:cs="Arial" w:eastAsia="Arial" w:hAnsi="Arial"/>
          <w:sz w:val="16"/>
          <w:szCs w:val="16"/>
          <w:color w:val="auto"/>
        </w:rPr>
        <w:t>. For purposes of this Agreement, the term “Liabilities” shall be broadly construed and shall include,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damages, deficiencies, liabilities, losses, penalties, excise taxes, fines, assessments and amounts paid in settlement, including any interest and any federal, state, local or foreign taxes imposed as a result of the actual or deemed receipt of any payment under this Agreement.</w:t>
      </w:r>
    </w:p>
    <w:p>
      <w:pPr>
        <w:spacing w:after="0" w:line="142" w:lineRule="exact"/>
        <w:rPr>
          <w:rFonts w:ascii="Arial" w:cs="Arial" w:eastAsia="Arial" w:hAnsi="Arial"/>
          <w:sz w:val="16"/>
          <w:szCs w:val="16"/>
          <w:b w:val="1"/>
          <w:bCs w:val="1"/>
          <w:color w:val="auto"/>
        </w:rPr>
      </w:pPr>
    </w:p>
    <w:p>
      <w:pPr>
        <w:ind w:left="-20" w:firstLine="885"/>
        <w:spacing w:after="0" w:line="270" w:lineRule="auto"/>
        <w:tabs>
          <w:tab w:leader="none" w:pos="1221" w:val="left"/>
        </w:tabs>
        <w:numPr>
          <w:ilvl w:val="1"/>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w:t>
      </w:r>
      <w:r>
        <w:rPr>
          <w:rFonts w:ascii="Arial" w:cs="Arial" w:eastAsia="Arial" w:hAnsi="Arial"/>
          <w:sz w:val="17"/>
          <w:szCs w:val="17"/>
          <w:color w:val="auto"/>
        </w:rPr>
        <w:t>. For purposes of this Agreement, the term “proceeding” shall be broadly construed and shall include,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74" w:lineRule="exact"/>
        <w:rPr>
          <w:rFonts w:ascii="Arial" w:cs="Arial" w:eastAsia="Arial" w:hAnsi="Arial"/>
          <w:sz w:val="17"/>
          <w:szCs w:val="17"/>
          <w:b w:val="1"/>
          <w:bCs w:val="1"/>
          <w:color w:val="auto"/>
        </w:rPr>
      </w:pPr>
    </w:p>
    <w:p>
      <w:pPr>
        <w:ind w:left="-20" w:right="80" w:firstLine="885"/>
        <w:spacing w:after="0" w:line="261" w:lineRule="auto"/>
        <w:tabs>
          <w:tab w:leader="none" w:pos="1251"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For purposes of this Agreement, the term “subsidiary” means any corporation, limited liability company, or other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w:t>
      </w:r>
    </w:p>
    <w:p>
      <w:pPr>
        <w:spacing w:after="0" w:line="180" w:lineRule="exact"/>
        <w:rPr>
          <w:rFonts w:ascii="Arial" w:cs="Arial" w:eastAsia="Arial" w:hAnsi="Arial"/>
          <w:sz w:val="18"/>
          <w:szCs w:val="18"/>
          <w:b w:val="1"/>
          <w:bCs w:val="1"/>
          <w:color w:val="auto"/>
        </w:rPr>
      </w:pPr>
    </w:p>
    <w:p>
      <w:pPr>
        <w:ind w:left="-20" w:right="120" w:firstLine="885"/>
        <w:spacing w:after="0" w:line="282" w:lineRule="auto"/>
        <w:tabs>
          <w:tab w:leader="none" w:pos="1261"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Voting Securities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Voting Securities</w:t>
      </w:r>
      <w:r>
        <w:rPr>
          <w:rFonts w:ascii="Arial" w:cs="Arial" w:eastAsia="Arial" w:hAnsi="Arial"/>
          <w:sz w:val="18"/>
          <w:szCs w:val="18"/>
          <w:color w:val="auto"/>
        </w:rPr>
        <w:t>” shall mean any securities of the Company that vote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election of directors.</w:t>
      </w:r>
    </w:p>
    <w:p>
      <w:pPr>
        <w:spacing w:after="0" w:line="161" w:lineRule="exact"/>
        <w:rPr>
          <w:rFonts w:ascii="Arial" w:cs="Arial" w:eastAsia="Arial" w:hAnsi="Arial"/>
          <w:sz w:val="18"/>
          <w:szCs w:val="18"/>
          <w:b w:val="1"/>
          <w:bCs w:val="1"/>
          <w:color w:val="auto"/>
        </w:rPr>
      </w:pPr>
    </w:p>
    <w:p>
      <w:pPr>
        <w:ind w:left="-20" w:right="100" w:firstLine="444"/>
        <w:spacing w:after="0" w:line="295" w:lineRule="auto"/>
        <w:tabs>
          <w:tab w:leader="none" w:pos="736"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Agreement to Serve</w:t>
      </w:r>
      <w:r>
        <w:rPr>
          <w:rFonts w:ascii="Arial" w:cs="Arial" w:eastAsia="Arial" w:hAnsi="Arial"/>
          <w:sz w:val="16"/>
          <w:szCs w:val="16"/>
          <w:color w:val="auto"/>
        </w:rPr>
        <w:t>. Indemnitee will serve, or continue to serve, as the case may be, as an Agent, faithfully and to the best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0" w:right="439" w:bottom="1440" w:gutter="0" w:footer="0" w:header="0"/>
        </w:sectPr>
      </w:pPr>
    </w:p>
    <w:bookmarkStart w:id="278" w:name="page279"/>
    <w:bookmarkEnd w:id="278"/>
    <w:p>
      <w:pPr>
        <w:jc w:val="both"/>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285" w:lineRule="exact"/>
        <w:rPr>
          <w:sz w:val="20"/>
          <w:szCs w:val="20"/>
          <w:color w:val="auto"/>
        </w:rPr>
      </w:pPr>
    </w:p>
    <w:p>
      <w:pPr>
        <w:ind w:left="760" w:hanging="316"/>
        <w:spacing w:after="0"/>
        <w:tabs>
          <w:tab w:leader="none" w:pos="7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885"/>
        <w:spacing w:after="0" w:line="270" w:lineRule="auto"/>
        <w:tabs>
          <w:tab w:leader="none" w:pos="1271" w:val="left"/>
        </w:tabs>
        <w:numPr>
          <w:ilvl w:val="1"/>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in Third Party Proceedings</w:t>
      </w:r>
      <w:r>
        <w:rPr>
          <w:rFonts w:ascii="Arial" w:cs="Arial" w:eastAsia="Arial" w:hAnsi="Arial"/>
          <w:sz w:val="17"/>
          <w:szCs w:val="17"/>
          <w:color w:val="auto"/>
        </w:rPr>
        <w:t>. Subject to Section 10 below, the Company shall indemnify Indemnitee to the fullest</w:t>
      </w:r>
      <w:r>
        <w:rPr>
          <w:rFonts w:ascii="Arial" w:cs="Arial" w:eastAsia="Arial" w:hAnsi="Arial"/>
          <w:sz w:val="17"/>
          <w:szCs w:val="17"/>
          <w:b w:val="1"/>
          <w:bCs w:val="1"/>
          <w:color w:val="auto"/>
        </w:rPr>
        <w:t xml:space="preserve"> </w:t>
      </w:r>
      <w:r>
        <w:rPr>
          <w:rFonts w:ascii="Arial" w:cs="Arial" w:eastAsia="Arial" w:hAnsi="Arial"/>
          <w:sz w:val="17"/>
          <w:szCs w:val="17"/>
          <w:color w:val="auto"/>
        </w:rPr>
        <w:t>extent permitted by the Code, as the same may be amended from time to time (but, to the fullest extent of the law, only to the extent that such amendment permits Indemnitee to broader indemnification rights than the Code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spacing w:after="0" w:line="174" w:lineRule="exact"/>
        <w:rPr>
          <w:rFonts w:ascii="Arial" w:cs="Arial" w:eastAsia="Arial" w:hAnsi="Arial"/>
          <w:sz w:val="17"/>
          <w:szCs w:val="17"/>
          <w:b w:val="1"/>
          <w:bCs w:val="1"/>
          <w:color w:val="auto"/>
        </w:rPr>
      </w:pPr>
    </w:p>
    <w:p>
      <w:pPr>
        <w:ind w:firstLine="885"/>
        <w:spacing w:after="0" w:line="289" w:lineRule="auto"/>
        <w:tabs>
          <w:tab w:leader="none" w:pos="1281" w:val="left"/>
        </w:tabs>
        <w:numPr>
          <w:ilvl w:val="1"/>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in Derivative Actions and Direct Actions by the Company</w:t>
      </w:r>
      <w:r>
        <w:rPr>
          <w:rFonts w:ascii="Arial" w:cs="Arial" w:eastAsia="Arial" w:hAnsi="Arial"/>
          <w:sz w:val="16"/>
          <w:szCs w:val="16"/>
          <w:color w:val="auto"/>
        </w:rPr>
        <w:t>. Subject to Section 10 below,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Indemnitee to the fullest extent permitted by the Code, as the same may be amended from time to time (but,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spacing w:after="0" w:line="161" w:lineRule="exact"/>
        <w:rPr>
          <w:rFonts w:ascii="Arial" w:cs="Arial" w:eastAsia="Arial" w:hAnsi="Arial"/>
          <w:sz w:val="16"/>
          <w:szCs w:val="16"/>
          <w:b w:val="1"/>
          <w:bCs w:val="1"/>
          <w:color w:val="auto"/>
        </w:rPr>
      </w:pPr>
    </w:p>
    <w:p>
      <w:pPr>
        <w:ind w:firstLine="444"/>
        <w:spacing w:after="0" w:line="272" w:lineRule="auto"/>
        <w:tabs>
          <w:tab w:leader="none" w:pos="756"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of Expenses of Successful Party</w:t>
      </w:r>
      <w:r>
        <w:rPr>
          <w:rFonts w:ascii="Arial" w:cs="Arial" w:eastAsia="Arial" w:hAnsi="Arial"/>
          <w:sz w:val="17"/>
          <w:szCs w:val="17"/>
          <w:color w:val="auto"/>
        </w:rPr>
        <w:t>. Notwithstanding any other provision of this Agreement, in circumstances where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is not available under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79" w:name="page280"/>
    <w:bookmarkEnd w:id="279"/>
    <w:p>
      <w:pPr>
        <w:ind w:left="-40" w:right="40" w:firstLine="444"/>
        <w:spacing w:after="0" w:line="273" w:lineRule="auto"/>
        <w:tabs>
          <w:tab w:leader="none" w:pos="716"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Partial Indemnification; Witness Indemnification</w:t>
      </w:r>
      <w:r>
        <w:rPr>
          <w:rFonts w:ascii="Arial" w:cs="Arial" w:eastAsia="Arial" w:hAnsi="Arial"/>
          <w:sz w:val="17"/>
          <w:szCs w:val="17"/>
          <w:color w:val="auto"/>
        </w:rPr>
        <w:t>. If Indemnitee is entitled under any provision of this Agreement to indemnification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w:t>
      </w:r>
    </w:p>
    <w:p>
      <w:pPr>
        <w:spacing w:after="0" w:line="172" w:lineRule="exact"/>
        <w:rPr>
          <w:rFonts w:ascii="Arial" w:cs="Arial" w:eastAsia="Arial" w:hAnsi="Arial"/>
          <w:sz w:val="17"/>
          <w:szCs w:val="17"/>
          <w:b w:val="1"/>
          <w:bCs w:val="1"/>
          <w:color w:val="auto"/>
        </w:rPr>
      </w:pPr>
    </w:p>
    <w:p>
      <w:pPr>
        <w:ind w:left="-40" w:right="20" w:firstLine="444"/>
        <w:spacing w:after="0" w:line="286" w:lineRule="auto"/>
        <w:tabs>
          <w:tab w:leader="none" w:pos="716"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Advancement of Expenses</w:t>
      </w:r>
      <w:r>
        <w:rPr>
          <w:rFonts w:ascii="Arial" w:cs="Arial" w:eastAsia="Arial" w:hAnsi="Arial"/>
          <w:sz w:val="16"/>
          <w:szCs w:val="16"/>
          <w:color w:val="auto"/>
        </w:rPr>
        <w:t>. To the extent not prohibited by law, the Company shall advance the Expenses incurred by Indemnitee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279" w:lineRule="exact"/>
        <w:rPr>
          <w:rFonts w:ascii="Arial" w:cs="Arial" w:eastAsia="Arial" w:hAnsi="Arial"/>
          <w:sz w:val="16"/>
          <w:szCs w:val="16"/>
          <w:b w:val="1"/>
          <w:bCs w:val="1"/>
          <w:color w:val="auto"/>
        </w:rPr>
      </w:pPr>
    </w:p>
    <w:p>
      <w:pPr>
        <w:ind w:left="720" w:hanging="316"/>
        <w:spacing w:after="0"/>
        <w:tabs>
          <w:tab w:leader="none" w:pos="72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Notice and Other 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0" w:firstLine="885"/>
        <w:spacing w:after="0" w:line="256" w:lineRule="auto"/>
        <w:tabs>
          <w:tab w:leader="none" w:pos="1231"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Proceeding</w:t>
      </w:r>
      <w:r>
        <w:rPr>
          <w:rFonts w:ascii="Arial" w:cs="Arial" w:eastAsia="Arial" w:hAnsi="Arial"/>
          <w:sz w:val="18"/>
          <w:szCs w:val="18"/>
          <w:color w:val="auto"/>
        </w:rPr>
        <w:t>. Indemnitee will notify the Company in writing promptly upon being served with any summons, 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0" w:right="459" w:bottom="1440" w:gutter="0" w:footer="0" w:header="0"/>
        </w:sectPr>
      </w:pPr>
    </w:p>
    <w:bookmarkStart w:id="280" w:name="page281"/>
    <w:bookmarkEnd w:id="280"/>
    <w:p>
      <w:pPr>
        <w:jc w:val="both"/>
        <w:ind w:left="-4" w:right="40" w:firstLine="885"/>
        <w:spacing w:after="0" w:line="261" w:lineRule="auto"/>
        <w:tabs>
          <w:tab w:leader="none" w:pos="1278"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 for Indemnification Payments</w:t>
      </w:r>
      <w:r>
        <w:rPr>
          <w:rFonts w:ascii="Arial" w:cs="Arial" w:eastAsia="Arial" w:hAnsi="Arial"/>
          <w:sz w:val="18"/>
          <w:szCs w:val="18"/>
          <w:color w:val="auto"/>
        </w:rPr>
        <w:t>. To obtain indemnification under this Agreement, Indemnitee shall submit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w:t>
      </w:r>
    </w:p>
    <w:p>
      <w:pPr>
        <w:spacing w:after="0" w:line="180" w:lineRule="exact"/>
        <w:rPr>
          <w:rFonts w:ascii="Arial" w:cs="Arial" w:eastAsia="Arial" w:hAnsi="Arial"/>
          <w:sz w:val="18"/>
          <w:szCs w:val="18"/>
          <w:b w:val="1"/>
          <w:bCs w:val="1"/>
          <w:color w:val="auto"/>
        </w:rPr>
      </w:pPr>
    </w:p>
    <w:p>
      <w:pPr>
        <w:jc w:val="both"/>
        <w:ind w:left="-4" w:right="180" w:firstLine="885"/>
        <w:spacing w:after="0" w:line="289" w:lineRule="auto"/>
        <w:tabs>
          <w:tab w:leader="none" w:pos="1257" w:val="left"/>
        </w:tabs>
        <w:numPr>
          <w:ilvl w:val="1"/>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Determination of Right to Indemnification Payments</w:t>
      </w:r>
      <w:r>
        <w:rPr>
          <w:rFonts w:ascii="Arial" w:cs="Arial" w:eastAsia="Arial" w:hAnsi="Arial"/>
          <w:sz w:val="16"/>
          <w:szCs w:val="16"/>
          <w:color w:val="auto"/>
        </w:rPr>
        <w:t>. Upon written request by Indemnitee for indemnification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7(b) hereof, a determination with respect to Indemnitee’s entitlement thereto shall be made in the specific case by one of the following four methods, which shall be at the election of the Board of Directors: (1) by a majority vote of the disinterested directors, even though less than a quorum,</w:t>
      </w:r>
    </w:p>
    <w:p>
      <w:pPr>
        <w:spacing w:after="0" w:line="1" w:lineRule="exact"/>
        <w:rPr>
          <w:rFonts w:ascii="Arial" w:cs="Arial" w:eastAsia="Arial" w:hAnsi="Arial"/>
          <w:sz w:val="16"/>
          <w:szCs w:val="16"/>
          <w:b w:val="1"/>
          <w:bCs w:val="1"/>
          <w:color w:val="auto"/>
        </w:rPr>
      </w:pPr>
    </w:p>
    <w:p>
      <w:pPr>
        <w:ind w:left="-4" w:firstLine="4"/>
        <w:spacing w:after="0" w:line="287" w:lineRule="auto"/>
        <w:tabs>
          <w:tab w:leader="none" w:pos="25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by a committee of disinterested directors designated by a majority vote of the disinterested directors, even though less than a quorum, (3) if there are no disinterested directors or if the disinterested directors so direct, by Independent Counsel in a written opinion to the Board of Directors, a copy of which shall be delivered to the Indemnitee, or (4) if so directed by the Board of Directors, by the stockholders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of the Company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spacing w:after="0" w:line="166" w:lineRule="exact"/>
        <w:rPr>
          <w:rFonts w:ascii="Arial" w:cs="Arial" w:eastAsia="Arial" w:hAnsi="Arial"/>
          <w:sz w:val="16"/>
          <w:szCs w:val="16"/>
          <w:color w:val="auto"/>
        </w:rPr>
      </w:pPr>
    </w:p>
    <w:p>
      <w:pPr>
        <w:ind w:left="-4" w:right="140" w:firstLine="885"/>
        <w:spacing w:after="0" w:line="273" w:lineRule="auto"/>
        <w:tabs>
          <w:tab w:leader="none" w:pos="1278" w:val="left"/>
        </w:tabs>
        <w:numPr>
          <w:ilvl w:val="1"/>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Application for Enforcement</w:t>
      </w:r>
      <w:r>
        <w:rPr>
          <w:rFonts w:ascii="Arial" w:cs="Arial" w:eastAsia="Arial" w:hAnsi="Arial"/>
          <w:sz w:val="17"/>
          <w:szCs w:val="17"/>
          <w:color w:val="auto"/>
        </w:rPr>
        <w:t>. In the event the Company fails to make timely payments as set forth in Sections 6 or 7(b) above,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stockholders</w:t>
      </w:r>
      <w:r>
        <w:rPr>
          <w:rFonts w:ascii="Arial" w:cs="Arial" w:eastAsia="Arial" w:hAnsi="Arial"/>
          <w:sz w:val="17"/>
          <w:szCs w:val="17"/>
          <w:b w:val="1"/>
          <w:bCs w:val="1"/>
          <w:color w:val="auto"/>
        </w:rPr>
        <w:t>,</w:t>
      </w:r>
      <w:r>
        <w:rPr>
          <w:rFonts w:ascii="Arial" w:cs="Arial" w:eastAsia="Arial" w:hAnsi="Arial"/>
          <w:sz w:val="17"/>
          <w:szCs w:val="17"/>
          <w:color w:val="auto"/>
        </w:rPr>
        <w:t xml:space="preserve"> that Indemnitee is not entitled to indemnification hereunder, shall not be a defense by the Company to the action nor create any presumption that Indemnitee is not entitled to indemnification or advancement of Expenses hereunder.</w:t>
      </w:r>
    </w:p>
    <w:p>
      <w:pPr>
        <w:spacing w:after="0" w:line="172" w:lineRule="exact"/>
        <w:rPr>
          <w:rFonts w:ascii="Arial" w:cs="Arial" w:eastAsia="Arial" w:hAnsi="Arial"/>
          <w:sz w:val="17"/>
          <w:szCs w:val="17"/>
          <w:b w:val="1"/>
          <w:bCs w:val="1"/>
          <w:color w:val="auto"/>
        </w:rPr>
      </w:pPr>
    </w:p>
    <w:p>
      <w:pPr>
        <w:ind w:left="-4" w:right="240" w:firstLine="885"/>
        <w:spacing w:after="0" w:line="347" w:lineRule="auto"/>
        <w:tabs>
          <w:tab w:leader="none" w:pos="1257" w:val="left"/>
        </w:tabs>
        <w:numPr>
          <w:ilvl w:val="1"/>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Certain Expenses</w:t>
      </w:r>
      <w:r>
        <w:rPr>
          <w:rFonts w:ascii="Arial" w:cs="Arial" w:eastAsia="Arial" w:hAnsi="Arial"/>
          <w:sz w:val="16"/>
          <w:szCs w:val="16"/>
          <w:color w:val="auto"/>
        </w:rPr>
        <w:t>. The Company shall indemnify Indemnitee against all Expenses incurred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hearing or proceeding under this Section 7 unless the Company prevails in such hearing or proceeding on the merits in all material respects.</w:t>
      </w:r>
    </w:p>
    <w:p>
      <w:pPr>
        <w:spacing w:after="0" w:line="5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6"/>
          </w:cols>
          <w:pgMar w:left="444" w:top="270" w:right="459" w:bottom="1440" w:gutter="0" w:footer="0" w:header="0"/>
        </w:sectPr>
      </w:pPr>
    </w:p>
    <w:bookmarkStart w:id="281" w:name="page282"/>
    <w:bookmarkEnd w:id="281"/>
    <w:p>
      <w:pPr>
        <w:ind w:left="-20" w:right="20" w:firstLine="444"/>
        <w:spacing w:after="0" w:line="290" w:lineRule="auto"/>
        <w:tabs>
          <w:tab w:leader="none" w:pos="736"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Assumption of Defense</w:t>
      </w:r>
      <w:r>
        <w:rPr>
          <w:rFonts w:ascii="Arial" w:cs="Arial" w:eastAsia="Arial" w:hAnsi="Arial"/>
          <w:sz w:val="16"/>
          <w:szCs w:val="16"/>
          <w:color w:val="auto"/>
        </w:rPr>
        <w:t>. In the event the Company shall be requested by Indemnitee to pay the Expenses of any proceeding, the Company, if</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59" w:lineRule="exact"/>
        <w:rPr>
          <w:rFonts w:ascii="Arial" w:cs="Arial" w:eastAsia="Arial" w:hAnsi="Arial"/>
          <w:sz w:val="16"/>
          <w:szCs w:val="16"/>
          <w:b w:val="1"/>
          <w:bCs w:val="1"/>
          <w:color w:val="auto"/>
        </w:rPr>
      </w:pPr>
    </w:p>
    <w:p>
      <w:pPr>
        <w:ind w:left="-20" w:firstLine="444"/>
        <w:spacing w:after="0" w:line="273" w:lineRule="auto"/>
        <w:tabs>
          <w:tab w:leader="none" w:pos="781"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To the extent that the Company maintains an insurance policy or policies providing liability insurance for Agents or for agents of any other Enterprise, Indemnitee shall be covered by such policy or policies in accordance with its or their terms to the maximum extent of the coverage available for any such Agent or agent under such policy or policies. </w:t>
      </w:r>
      <w:r>
        <w:rPr>
          <w:rFonts w:ascii="Arial" w:cs="Arial" w:eastAsia="Arial" w:hAnsi="Arial"/>
          <w:sz w:val="17"/>
          <w:szCs w:val="17"/>
          <w:color w:val="auto"/>
        </w:rPr>
        <w:t>If, at the time of the receipt of a notice of a claim</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terms hereof, the Company has director and officer liability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280" w:lineRule="exact"/>
        <w:rPr>
          <w:rFonts w:ascii="Arial" w:cs="Arial" w:eastAsia="Arial" w:hAnsi="Arial"/>
          <w:sz w:val="17"/>
          <w:szCs w:val="17"/>
          <w:b w:val="1"/>
          <w:bCs w:val="1"/>
          <w:color w:val="auto"/>
        </w:rPr>
      </w:pPr>
    </w:p>
    <w:p>
      <w:pPr>
        <w:ind w:left="820" w:hanging="396"/>
        <w:spacing w:after="0"/>
        <w:tabs>
          <w:tab w:leader="none" w:pos="82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 w:right="20" w:firstLine="885"/>
        <w:spacing w:after="0" w:line="287" w:lineRule="auto"/>
        <w:tabs>
          <w:tab w:leader="none" w:pos="1251" w:val="left"/>
        </w:tabs>
        <w:numPr>
          <w:ilvl w:val="1"/>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Certain Matters</w:t>
      </w:r>
      <w:r>
        <w:rPr>
          <w:rFonts w:ascii="Arial" w:cs="Arial" w:eastAsia="Arial" w:hAnsi="Arial"/>
          <w:sz w:val="16"/>
          <w:szCs w:val="16"/>
          <w:color w:val="auto"/>
        </w:rPr>
        <w:t>. Any provision herein to the contrary notwithstanding, the Company shall not be obligated pursuant to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pursuant to the provisions of Section 16(b) of the Securities Exchange Act of 1934, as amended, or other provisions of any federal, state or local statute or rules and regulations thereunder; or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282" w:name="page283"/>
    <w:bookmarkEnd w:id="282"/>
    <w:p>
      <w:pPr>
        <w:ind w:left="-20" w:firstLine="885"/>
        <w:spacing w:after="0" w:line="255" w:lineRule="auto"/>
        <w:tabs>
          <w:tab w:leader="none" w:pos="1261"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Initiated by Indemnitee</w:t>
      </w:r>
      <w:r>
        <w:rPr>
          <w:rFonts w:ascii="Arial" w:cs="Arial" w:eastAsia="Arial" w:hAnsi="Arial"/>
          <w:sz w:val="18"/>
          <w:szCs w:val="18"/>
          <w:color w:val="auto"/>
        </w:rPr>
        <w:t>. Any provision herein to the contrary notwithstanding, the Company shall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89" w:lineRule="exact"/>
        <w:rPr>
          <w:rFonts w:ascii="Arial" w:cs="Arial" w:eastAsia="Arial" w:hAnsi="Arial"/>
          <w:sz w:val="18"/>
          <w:szCs w:val="18"/>
          <w:b w:val="1"/>
          <w:bCs w:val="1"/>
          <w:color w:val="auto"/>
        </w:rPr>
      </w:pPr>
    </w:p>
    <w:p>
      <w:pPr>
        <w:ind w:left="-20" w:right="60" w:firstLine="885"/>
        <w:spacing w:after="0" w:line="256" w:lineRule="auto"/>
        <w:tabs>
          <w:tab w:leader="none" w:pos="1241"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Unauthorized Settlements</w:t>
      </w:r>
      <w:r>
        <w:rPr>
          <w:rFonts w:ascii="Arial" w:cs="Arial" w:eastAsia="Arial" w:hAnsi="Arial"/>
          <w:sz w:val="18"/>
          <w:szCs w:val="18"/>
          <w:color w:val="auto"/>
        </w:rPr>
        <w:t>. Any provision herein to the contrary notwithstanding, the Company shall not be obligated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87" w:lineRule="exact"/>
        <w:rPr>
          <w:rFonts w:ascii="Arial" w:cs="Arial" w:eastAsia="Arial" w:hAnsi="Arial"/>
          <w:sz w:val="18"/>
          <w:szCs w:val="18"/>
          <w:b w:val="1"/>
          <w:bCs w:val="1"/>
          <w:color w:val="auto"/>
        </w:rPr>
      </w:pPr>
    </w:p>
    <w:p>
      <w:pPr>
        <w:ind w:left="-20" w:right="60" w:firstLine="885"/>
        <w:spacing w:after="0" w:line="292" w:lineRule="auto"/>
        <w:tabs>
          <w:tab w:leader="none" w:pos="1261" w:val="left"/>
        </w:tabs>
        <w:numPr>
          <w:ilvl w:val="1"/>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Act Liabilities</w:t>
      </w:r>
      <w:r>
        <w:rPr>
          <w:rFonts w:ascii="Arial" w:cs="Arial" w:eastAsia="Arial" w:hAnsi="Arial"/>
          <w:sz w:val="16"/>
          <w:szCs w:val="16"/>
          <w:color w:val="auto"/>
        </w:rPr>
        <w:t>. Any provision herein to the contrary notwithstanding, the Company shall not be obligated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Agreement to indemnify Indemnitee or otherwise act in violation of any undertaking appearing in and required by the rules and regulations promulgated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61" w:lineRule="exact"/>
        <w:rPr>
          <w:rFonts w:ascii="Arial" w:cs="Arial" w:eastAsia="Arial" w:hAnsi="Arial"/>
          <w:sz w:val="16"/>
          <w:szCs w:val="16"/>
          <w:b w:val="1"/>
          <w:bCs w:val="1"/>
          <w:color w:val="auto"/>
        </w:rPr>
      </w:pPr>
    </w:p>
    <w:p>
      <w:pPr>
        <w:jc w:val="both"/>
        <w:ind w:left="-20" w:right="280" w:firstLine="885"/>
        <w:spacing w:after="0" w:line="261" w:lineRule="auto"/>
        <w:tabs>
          <w:tab w:leader="none" w:pos="1241"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Payments </w:t>
      </w:r>
      <w:r>
        <w:rPr>
          <w:rFonts w:ascii="Arial" w:cs="Arial" w:eastAsia="Arial" w:hAnsi="Arial"/>
          <w:sz w:val="18"/>
          <w:szCs w:val="18"/>
          <w:color w:val="auto"/>
        </w:rPr>
        <w:t>Any provision herein to the contrary notwithstanding, the Company shall not be obligated pursuant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w:t>
      </w:r>
    </w:p>
    <w:p>
      <w:pPr>
        <w:spacing w:after="0" w:line="180" w:lineRule="exact"/>
        <w:rPr>
          <w:rFonts w:ascii="Arial" w:cs="Arial" w:eastAsia="Arial" w:hAnsi="Arial"/>
          <w:sz w:val="18"/>
          <w:szCs w:val="18"/>
          <w:b w:val="1"/>
          <w:bCs w:val="1"/>
          <w:color w:val="auto"/>
        </w:rPr>
      </w:pPr>
    </w:p>
    <w:p>
      <w:pPr>
        <w:ind w:left="-20" w:right="100" w:firstLine="444"/>
        <w:spacing w:after="0" w:line="271" w:lineRule="auto"/>
        <w:tabs>
          <w:tab w:leader="none" w:pos="816"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and Survival of Rights</w:t>
      </w:r>
      <w:r>
        <w:rPr>
          <w:rFonts w:ascii="Arial" w:cs="Arial" w:eastAsia="Arial" w:hAnsi="Arial"/>
          <w:sz w:val="17"/>
          <w:szCs w:val="17"/>
          <w:color w:val="auto"/>
        </w:rPr>
        <w:t>. The provisions for indemnification and advancement of Expenses set forth in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0" w:right="439" w:bottom="1440" w:gutter="0" w:footer="0" w:header="0"/>
        </w:sectPr>
      </w:pPr>
    </w:p>
    <w:bookmarkStart w:id="283" w:name="page284"/>
    <w:bookmarkEnd w:id="283"/>
    <w:p>
      <w:pPr>
        <w:ind w:right="6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62" w:lineRule="exact"/>
        <w:rPr>
          <w:sz w:val="20"/>
          <w:szCs w:val="20"/>
          <w:color w:val="auto"/>
        </w:rPr>
      </w:pPr>
    </w:p>
    <w:p>
      <w:pPr>
        <w:jc w:val="both"/>
        <w:ind w:firstLine="444"/>
        <w:spacing w:after="0" w:line="266" w:lineRule="auto"/>
        <w:tabs>
          <w:tab w:leader="none" w:pos="84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Agreement shall continue until and terminate upon the later of: (a) five (5) years after the date that Indemnitee shall have ceased</w:t>
      </w:r>
      <w:r>
        <w:rPr>
          <w:rFonts w:ascii="Arial" w:cs="Arial" w:eastAsia="Arial" w:hAnsi="Arial"/>
          <w:sz w:val="18"/>
          <w:szCs w:val="18"/>
          <w:b w:val="1"/>
          <w:bCs w:val="1"/>
          <w:color w:val="auto"/>
        </w:rPr>
        <w:t xml:space="preserve"> </w:t>
      </w:r>
      <w:r>
        <w:rPr>
          <w:rFonts w:ascii="Arial" w:cs="Arial" w:eastAsia="Arial" w:hAnsi="Arial"/>
          <w:sz w:val="18"/>
          <w:szCs w:val="18"/>
          <w:color w:val="auto"/>
        </w:rPr>
        <w:t>to serve as an Agent; or (b) one (1) year after the final termination of any proceeding, including any appeal then pending, in respect to which Indemnitee was granted rights of indemnification or advancement of Expenses hereunder.</w:t>
      </w:r>
    </w:p>
    <w:p>
      <w:pPr>
        <w:spacing w:after="0" w:line="180" w:lineRule="exact"/>
        <w:rPr>
          <w:sz w:val="20"/>
          <w:szCs w:val="20"/>
          <w:color w:val="auto"/>
        </w:rPr>
      </w:pPr>
    </w:p>
    <w:p>
      <w:pPr>
        <w:ind w:right="300" w:firstLine="441"/>
        <w:spacing w:after="0" w:line="257" w:lineRule="auto"/>
        <w:rPr>
          <w:sz w:val="20"/>
          <w:szCs w:val="20"/>
          <w:color w:val="auto"/>
        </w:rPr>
      </w:pPr>
      <w:r>
        <w:rPr>
          <w:rFonts w:ascii="Arial" w:cs="Arial" w:eastAsia="Arial" w:hAnsi="Arial"/>
          <w:sz w:val="18"/>
          <w:szCs w:val="18"/>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84" w:lineRule="exact"/>
        <w:rPr>
          <w:sz w:val="20"/>
          <w:szCs w:val="20"/>
          <w:color w:val="auto"/>
        </w:rPr>
      </w:pPr>
    </w:p>
    <w:p>
      <w:pPr>
        <w:ind w:right="80" w:firstLine="444"/>
        <w:spacing w:after="0" w:line="261" w:lineRule="auto"/>
        <w:tabs>
          <w:tab w:leader="none" w:pos="846"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Company shall be subrogated to the extent of such payment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4" w:name="page285"/>
    <w:bookmarkEnd w:id="284"/>
    <w:p>
      <w:pPr>
        <w:ind w:left="-20" w:right="140" w:firstLine="444"/>
        <w:spacing w:after="0" w:line="282"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 of Agreement</w:t>
      </w:r>
      <w:r>
        <w:rPr>
          <w:rFonts w:ascii="Arial" w:cs="Arial" w:eastAsia="Arial" w:hAnsi="Arial"/>
          <w:sz w:val="18"/>
          <w:szCs w:val="18"/>
          <w:color w:val="auto"/>
        </w:rPr>
        <w:t>. It is understood that the parties hereto intend this Agreement to be interpreted and enforced so as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and advancement of Expenses to Indemnitee to the fullest extent now or hereafter permitted by law.</w:t>
      </w:r>
    </w:p>
    <w:p>
      <w:pPr>
        <w:spacing w:after="0" w:line="161" w:lineRule="exact"/>
        <w:rPr>
          <w:rFonts w:ascii="Arial" w:cs="Arial" w:eastAsia="Arial" w:hAnsi="Arial"/>
          <w:sz w:val="18"/>
          <w:szCs w:val="18"/>
          <w:b w:val="1"/>
          <w:bCs w:val="1"/>
          <w:color w:val="auto"/>
        </w:rPr>
      </w:pPr>
    </w:p>
    <w:p>
      <w:pPr>
        <w:ind w:left="-20" w:firstLine="444"/>
        <w:spacing w:after="0" w:line="255"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shall be held to be invalid, illegal or unenforceable for any reason whatsoever, (a)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89" w:lineRule="exact"/>
        <w:rPr>
          <w:rFonts w:ascii="Arial" w:cs="Arial" w:eastAsia="Arial" w:hAnsi="Arial"/>
          <w:sz w:val="18"/>
          <w:szCs w:val="18"/>
          <w:b w:val="1"/>
          <w:bCs w:val="1"/>
          <w:color w:val="auto"/>
        </w:rPr>
      </w:pPr>
    </w:p>
    <w:p>
      <w:pPr>
        <w:ind w:left="-20" w:right="80" w:firstLine="444"/>
        <w:spacing w:after="0" w:line="266"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r>
        <w:rPr>
          <w:rFonts w:ascii="Arial" w:cs="Arial" w:eastAsia="Arial" w:hAnsi="Arial"/>
          <w:sz w:val="18"/>
          <w:szCs w:val="18"/>
          <w:color w:val="auto"/>
        </w:rPr>
        <w:t>. No supplement, modification, amendment, or cancellation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parties hereto. No waiver of any of the provisions of this Agreement shall be deemed or shall constitute a waiver of any other provision hereof (whether or not similar) nor shall such waiver constitute a continuing waiver.</w:t>
      </w:r>
    </w:p>
    <w:p>
      <w:pPr>
        <w:spacing w:after="0" w:line="176" w:lineRule="exact"/>
        <w:rPr>
          <w:rFonts w:ascii="Arial" w:cs="Arial" w:eastAsia="Arial" w:hAnsi="Arial"/>
          <w:sz w:val="18"/>
          <w:szCs w:val="18"/>
          <w:b w:val="1"/>
          <w:bCs w:val="1"/>
          <w:color w:val="auto"/>
        </w:rPr>
      </w:pPr>
    </w:p>
    <w:p>
      <w:pPr>
        <w:ind w:left="-20" w:right="60" w:firstLine="444"/>
        <w:spacing w:after="0" w:line="273" w:lineRule="auto"/>
        <w:tabs>
          <w:tab w:leader="none" w:pos="826"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Except as otherwise provided herein, any notice or demand which, by the provisions hereof, is required or which may be given to or</w:t>
      </w:r>
      <w:r>
        <w:rPr>
          <w:rFonts w:ascii="Arial" w:cs="Arial" w:eastAsia="Arial" w:hAnsi="Arial"/>
          <w:sz w:val="17"/>
          <w:szCs w:val="17"/>
          <w:b w:val="1"/>
          <w:bCs w:val="1"/>
          <w:color w:val="auto"/>
        </w:rPr>
        <w:t xml:space="preserve"> </w:t>
      </w:r>
      <w:r>
        <w:rPr>
          <w:rFonts w:ascii="Arial" w:cs="Arial" w:eastAsia="Arial" w:hAnsi="Arial"/>
          <w:sz w:val="17"/>
          <w:szCs w:val="17"/>
          <w:color w:val="auto"/>
        </w:rPr>
        <w:t>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72" w:lineRule="exact"/>
        <w:rPr>
          <w:rFonts w:ascii="Arial" w:cs="Arial" w:eastAsia="Arial" w:hAnsi="Arial"/>
          <w:sz w:val="17"/>
          <w:szCs w:val="17"/>
          <w:b w:val="1"/>
          <w:bCs w:val="1"/>
          <w:color w:val="auto"/>
        </w:rPr>
      </w:pPr>
    </w:p>
    <w:p>
      <w:pPr>
        <w:ind w:left="-20" w:right="40" w:firstLine="444"/>
        <w:spacing w:after="0" w:line="282"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exclusively by and construed according to the laws of the State of Delaware, as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contracts between Delaware residents entered into and to be performed entirely within Delaware.</w:t>
      </w:r>
    </w:p>
    <w:p>
      <w:pPr>
        <w:spacing w:after="0" w:line="161" w:lineRule="exact"/>
        <w:rPr>
          <w:rFonts w:ascii="Arial" w:cs="Arial" w:eastAsia="Arial" w:hAnsi="Arial"/>
          <w:sz w:val="18"/>
          <w:szCs w:val="18"/>
          <w:b w:val="1"/>
          <w:bCs w:val="1"/>
          <w:color w:val="auto"/>
        </w:rPr>
      </w:pPr>
    </w:p>
    <w:p>
      <w:pPr>
        <w:ind w:left="-20" w:right="480" w:firstLine="444"/>
        <w:spacing w:after="0" w:line="266"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but one and the same Agreement. Only one such counterpart need be produced to evidence the existence of this Agreement.</w:t>
      </w:r>
    </w:p>
    <w:p>
      <w:pPr>
        <w:spacing w:after="0" w:line="176" w:lineRule="exact"/>
        <w:rPr>
          <w:rFonts w:ascii="Arial" w:cs="Arial" w:eastAsia="Arial" w:hAnsi="Arial"/>
          <w:sz w:val="18"/>
          <w:szCs w:val="18"/>
          <w:b w:val="1"/>
          <w:bCs w:val="1"/>
          <w:color w:val="auto"/>
        </w:rPr>
      </w:pPr>
    </w:p>
    <w:p>
      <w:pPr>
        <w:ind w:left="-20" w:right="260" w:firstLine="444"/>
        <w:spacing w:after="0" w:line="282"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hereof.</w:t>
      </w:r>
    </w:p>
    <w:p>
      <w:pPr>
        <w:spacing w:after="0" w:line="161" w:lineRule="exact"/>
        <w:rPr>
          <w:rFonts w:ascii="Arial" w:cs="Arial" w:eastAsia="Arial" w:hAnsi="Arial"/>
          <w:sz w:val="18"/>
          <w:szCs w:val="18"/>
          <w:b w:val="1"/>
          <w:bCs w:val="1"/>
          <w:color w:val="auto"/>
        </w:rPr>
      </w:pPr>
    </w:p>
    <w:p>
      <w:pPr>
        <w:ind w:left="-20" w:right="340" w:firstLine="444"/>
        <w:spacing w:after="0" w:line="258" w:lineRule="auto"/>
        <w:tabs>
          <w:tab w:leader="none" w:pos="82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Subject to Section 11 hereof, this Agreement constitutes the entire agreement between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285" w:name="page286"/>
    <w:bookmarkEnd w:id="285"/>
    <w:p>
      <w:pPr>
        <w:ind w:left="-40" w:firstLine="444"/>
        <w:spacing w:after="0" w:line="295" w:lineRule="auto"/>
        <w:tabs>
          <w:tab w:leader="none" w:pos="806"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6"/>
          <w:szCs w:val="16"/>
          <w:color w:val="auto"/>
        </w:rPr>
        <w:t>. 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w:t>
      </w:r>
    </w:p>
    <w:p>
      <w:pPr>
        <w:spacing w:after="0" w:line="155" w:lineRule="exact"/>
        <w:rPr>
          <w:rFonts w:ascii="Arial" w:cs="Arial" w:eastAsia="Arial" w:hAnsi="Arial"/>
          <w:sz w:val="16"/>
          <w:szCs w:val="16"/>
          <w:b w:val="1"/>
          <w:bCs w:val="1"/>
          <w:color w:val="auto"/>
        </w:rPr>
      </w:pPr>
    </w:p>
    <w:p>
      <w:pPr>
        <w:ind w:left="-40" w:right="60" w:firstLine="444"/>
        <w:spacing w:after="0" w:line="270" w:lineRule="auto"/>
        <w:tabs>
          <w:tab w:leader="none" w:pos="806"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Consent to Jurisdiction</w:t>
      </w:r>
      <w:r>
        <w:rPr>
          <w:rFonts w:ascii="Arial" w:cs="Arial" w:eastAsia="Arial" w:hAnsi="Arial"/>
          <w:sz w:val="17"/>
          <w:szCs w:val="17"/>
          <w:color w:val="auto"/>
        </w:rPr>
        <w:t>. This Agreement and the legal relations among the parties shall be governed by, and construed and enforced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80" w:top="270" w:right="45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hereto have entered into this Agreement effective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25901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-1905</wp:posOffset>
            </wp:positionV>
            <wp:extent cx="22294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-1905</wp:posOffset>
            </wp:positionV>
            <wp:extent cx="22294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292100</wp:posOffset>
            </wp:positionV>
            <wp:extent cx="27959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Print or Type Name of Indemnitee</w:t>
      </w:r>
    </w:p>
    <w:p>
      <w:pPr>
        <w:sectPr>
          <w:pgSz w:w="11900" w:h="16838" w:orient="portrait"/>
          <w:cols w:equalWidth="0" w:num="1">
            <w:col w:w="9579"/>
          </w:cols>
          <w:pgMar w:left="880" w:top="270" w:right="1440"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and Manufacturing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CEP Bio-Coat, LLC dba Orchid Detroit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This Quality and Manufacturing Agreement (this “Agreement”), effective April 18, 2016 (“Effective Date”), is by and between Orchid MPS Holdings, LLC (“Supplier”) with its principal office at 1489 Cedar Street, Holt, MI 48842, and </w:t>
      </w:r>
      <w:r>
        <w:rPr>
          <w:rFonts w:ascii="Arial" w:cs="Arial" w:eastAsia="Arial" w:hAnsi="Arial"/>
          <w:sz w:val="18"/>
          <w:szCs w:val="18"/>
          <w:b w:val="1"/>
          <w:bCs w:val="1"/>
          <w:color w:val="auto"/>
        </w:rPr>
        <w:t>SI-BONE, Inc.,</w:t>
      </w:r>
      <w:r>
        <w:rPr>
          <w:rFonts w:ascii="Arial" w:cs="Arial" w:eastAsia="Arial" w:hAnsi="Arial"/>
          <w:sz w:val="18"/>
          <w:szCs w:val="18"/>
          <w:color w:val="auto"/>
        </w:rPr>
        <w:t xml:space="preserve"> a Delaware corporation with its principal office at 3055 Olin Ave., Suite 2200, San Jose, CA 95128 (“Purchaser”).</w:t>
      </w:r>
    </w:p>
    <w:p>
      <w:pPr>
        <w:spacing w:after="0" w:line="181"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WHEREAS, the Purchaser develops and designs medical devices and from time to time may seek to have such devices manufactured for it by the Supplier; and</w:t>
      </w:r>
    </w:p>
    <w:p>
      <w:pPr>
        <w:spacing w:after="0" w:line="170"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WHEREAS, the Supplier has expertise in the manufacture of medical devices and components and desires to provide manufacturing services for the Purchaser.</w:t>
      </w:r>
    </w:p>
    <w:p>
      <w:pPr>
        <w:spacing w:after="0" w:line="170"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is hereby acknowledged, the parties agree as follows:</w:t>
      </w:r>
    </w:p>
    <w:p>
      <w:pPr>
        <w:spacing w:after="0" w:line="72" w:lineRule="exact"/>
        <w:rPr>
          <w:sz w:val="20"/>
          <w:szCs w:val="20"/>
          <w:color w:val="auto"/>
        </w:rPr>
      </w:pPr>
    </w:p>
    <w:p>
      <w:pPr>
        <w:ind w:left="440" w:hanging="436"/>
        <w:spacing w:after="0"/>
        <w:tabs>
          <w:tab w:leader="none" w:pos="44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defined in this Agreement, as used herein, the following defined terms shall have the meanings given them below.</w:t>
      </w:r>
    </w:p>
    <w:p>
      <w:pPr>
        <w:spacing w:after="0" w:line="157" w:lineRule="exact"/>
        <w:rPr>
          <w:rFonts w:ascii="Arial" w:cs="Arial" w:eastAsia="Arial" w:hAnsi="Arial"/>
          <w:sz w:val="16"/>
          <w:szCs w:val="16"/>
          <w:b w:val="1"/>
          <w:bCs w:val="1"/>
          <w:color w:val="auto"/>
        </w:rPr>
      </w:pPr>
    </w:p>
    <w:p>
      <w:pPr>
        <w:ind w:left="1420" w:right="140" w:hanging="986"/>
        <w:spacing w:after="0" w:line="302" w:lineRule="auto"/>
        <w:rPr>
          <w:rFonts w:ascii="Arial" w:cs="Arial" w:eastAsia="Arial" w:hAnsi="Arial"/>
          <w:sz w:val="16"/>
          <w:szCs w:val="16"/>
          <w:b w:val="1"/>
          <w:bCs w:val="1"/>
          <w:color w:val="auto"/>
        </w:rPr>
      </w:pPr>
      <w:r>
        <w:rPr>
          <w:rFonts w:ascii="Arial" w:cs="Arial" w:eastAsia="Arial" w:hAnsi="Arial"/>
          <w:sz w:val="18"/>
          <w:szCs w:val="18"/>
          <w:color w:val="auto"/>
        </w:rPr>
        <w:t>1.1.</w:t>
      </w:r>
      <w:r>
        <w:rPr>
          <w:rFonts w:ascii="Arial" w:cs="Arial" w:eastAsia="Arial" w:hAnsi="Arial"/>
          <w:sz w:val="16"/>
          <w:szCs w:val="16"/>
          <w:color w:val="auto"/>
        </w:rPr>
        <w:t>“Affiliate” means any entity which directly or indirectly controls, is controlled by, or is under common control with the referenced party. For purposes of this Section 1.1, “control,” when used with respect to any entity, means the power to direct or cause the direction of the management and policies of such entity, directly or indirectly, whether through ownership of voting securities or by contract or otherwise, and the terms and “controlled by” and “under common control” have meanings correlative to the foregoing.</w:t>
      </w:r>
    </w:p>
    <w:p>
      <w:pPr>
        <w:spacing w:after="0" w:line="59" w:lineRule="exact"/>
        <w:rPr>
          <w:rFonts w:ascii="Arial" w:cs="Arial" w:eastAsia="Arial" w:hAnsi="Arial"/>
          <w:sz w:val="16"/>
          <w:szCs w:val="16"/>
          <w:b w:val="1"/>
          <w:bCs w:val="1"/>
          <w:color w:val="auto"/>
        </w:rPr>
      </w:pPr>
    </w:p>
    <w:p>
      <w:pPr>
        <w:ind w:left="1420" w:right="40" w:hanging="986"/>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1.2.“Bankruptcy Event” means the institution of voluntary or involuntary proceedings by or against a person or entity in bankruptcy or under any insolvency law, or the appointment of a receiver or custodian for such person or entity, or the institution of proceedings by or against such person or entity for corporate reorganization or the dissolution of such person or entity, which proceedings, if involuntary, shall not have been dismissed within sixty (60) days after the date of filing, or an assignment by such person or entity for the benefit of its creditors.</w:t>
      </w:r>
    </w:p>
    <w:p>
      <w:pPr>
        <w:spacing w:after="0" w:line="93"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1.3.</w:t>
      </w:r>
      <w:r>
        <w:rPr>
          <w:rFonts w:ascii="Arial" w:cs="Arial" w:eastAsia="Arial" w:hAnsi="Arial"/>
          <w:sz w:val="16"/>
          <w:szCs w:val="16"/>
          <w:color w:val="auto"/>
        </w:rPr>
        <w:t>“Default” has the meaning given in Section 10.3.</w:t>
      </w:r>
    </w:p>
    <w:p>
      <w:pPr>
        <w:spacing w:after="0" w:line="130"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1.4.</w:t>
      </w:r>
      <w:r>
        <w:rPr>
          <w:rFonts w:ascii="Arial" w:cs="Arial" w:eastAsia="Arial" w:hAnsi="Arial"/>
          <w:sz w:val="16"/>
          <w:szCs w:val="16"/>
          <w:color w:val="auto"/>
        </w:rPr>
        <w:t>“Forecast” has the meaning given in Section 3.4.</w:t>
      </w:r>
    </w:p>
    <w:p>
      <w:pPr>
        <w:spacing w:after="0" w:line="130" w:lineRule="exact"/>
        <w:rPr>
          <w:rFonts w:ascii="Arial" w:cs="Arial" w:eastAsia="Arial" w:hAnsi="Arial"/>
          <w:sz w:val="16"/>
          <w:szCs w:val="16"/>
          <w:b w:val="1"/>
          <w:bCs w:val="1"/>
          <w:color w:val="auto"/>
        </w:rPr>
      </w:pPr>
    </w:p>
    <w:p>
      <w:pPr>
        <w:ind w:left="1420" w:right="60" w:hanging="986"/>
        <w:spacing w:after="0" w:line="286" w:lineRule="auto"/>
        <w:rPr>
          <w:rFonts w:ascii="Arial" w:cs="Arial" w:eastAsia="Arial" w:hAnsi="Arial"/>
          <w:sz w:val="16"/>
          <w:szCs w:val="16"/>
          <w:b w:val="1"/>
          <w:bCs w:val="1"/>
          <w:color w:val="auto"/>
        </w:rPr>
      </w:pPr>
      <w:r>
        <w:rPr>
          <w:rFonts w:ascii="Arial" w:cs="Arial" w:eastAsia="Arial" w:hAnsi="Arial"/>
          <w:sz w:val="18"/>
          <w:szCs w:val="18"/>
          <w:color w:val="auto"/>
        </w:rPr>
        <w:t>1.5.</w:t>
      </w:r>
      <w:r>
        <w:rPr>
          <w:rFonts w:ascii="Arial" w:cs="Arial" w:eastAsia="Arial" w:hAnsi="Arial"/>
          <w:sz w:val="17"/>
          <w:szCs w:val="17"/>
          <w:color w:val="auto"/>
        </w:rPr>
        <w:t>“Intellectual Property” means any inventions, improvements, developments, or innovations (including all rights to patents, copyrights, trademarks, and trade secrets and know-how inherent therein and appurtenant thereto) and other creative works (whether or not patentable or copyrightable, conceived or made or reduced to practice), know-how, technical</w:t>
      </w:r>
    </w:p>
    <w:p>
      <w:pPr>
        <w:spacing w:after="0" w:line="94" w:lineRule="exact"/>
        <w:rPr>
          <w:sz w:val="20"/>
          <w:szCs w:val="20"/>
          <w:color w:val="auto"/>
        </w:rPr>
      </w:pPr>
    </w:p>
    <w:p>
      <w:pPr>
        <w:ind w:right="740" w:firstLine="4"/>
        <w:spacing w:after="0" w:line="313" w:lineRule="auto"/>
        <w:tabs>
          <w:tab w:leader="none" w:pos="255"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121" w:right="439" w:bottom="1440" w:gutter="0" w:footer="0" w:header="0"/>
        </w:sectPr>
      </w:pPr>
    </w:p>
    <w:bookmarkStart w:id="288" w:name="page289"/>
    <w:bookmarkEnd w:id="288"/>
    <w:p>
      <w:pPr>
        <w:ind w:left="144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pending patent applications, registrations, divisions and continuations thereof, registered and unregistered copyrights, and all associated goodwill, designs, drawings, specifications, vendor lists, manufacturing methods and processes, and all other information pertinent to this Agreement, which is proprietary to a party.</w:t>
      </w:r>
    </w:p>
    <w:p>
      <w:pPr>
        <w:spacing w:after="0" w:line="8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“Order” has the meaning given in Section 3.5.</w:t>
      </w:r>
    </w:p>
    <w:p>
      <w:pPr>
        <w:spacing w:after="0" w:line="13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“Process” means the methods and all referenced procedures used in the manufacture of any Product.</w:t>
      </w:r>
    </w:p>
    <w:p>
      <w:pPr>
        <w:spacing w:after="0" w:line="131" w:lineRule="exact"/>
        <w:rPr>
          <w:sz w:val="20"/>
          <w:szCs w:val="20"/>
          <w:color w:val="auto"/>
        </w:rPr>
      </w:pPr>
    </w:p>
    <w:p>
      <w:pPr>
        <w:ind w:left="1420" w:right="40" w:hanging="985"/>
        <w:spacing w:after="0" w:line="277" w:lineRule="auto"/>
        <w:tabs>
          <w:tab w:leader="none" w:pos="1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“Product” means the product or products to be manufactured hereunder pursuant to mutual agreement of the parties and as described in the Specifications for such Product.</w:t>
      </w:r>
    </w:p>
    <w:p>
      <w:pPr>
        <w:spacing w:after="0" w:line="76" w:lineRule="exact"/>
        <w:rPr>
          <w:sz w:val="20"/>
          <w:szCs w:val="20"/>
          <w:color w:val="auto"/>
        </w:rPr>
      </w:pPr>
    </w:p>
    <w:p>
      <w:pPr>
        <w:ind w:left="1420" w:right="180" w:hanging="985"/>
        <w:spacing w:after="0" w:line="277" w:lineRule="auto"/>
        <w:tabs>
          <w:tab w:leader="none" w:pos="1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“Product Device Master Record” means the Product Device Master Record for the Product required by the Regulatory Authorities, as it may be revised and in effect from time to time.</w:t>
      </w:r>
    </w:p>
    <w:p>
      <w:pPr>
        <w:spacing w:after="0" w:line="7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“Purchase Price” has the meaning given in Section 3.1.</w:t>
      </w:r>
    </w:p>
    <w:p>
      <w:pPr>
        <w:spacing w:after="0" w:line="131" w:lineRule="exact"/>
        <w:rPr>
          <w:sz w:val="20"/>
          <w:szCs w:val="20"/>
          <w:color w:val="auto"/>
        </w:rPr>
      </w:pPr>
    </w:p>
    <w:p>
      <w:pPr>
        <w:ind w:left="1420" w:right="220" w:hanging="985"/>
        <w:spacing w:after="0" w:line="342" w:lineRule="auto"/>
        <w:tabs>
          <w:tab w:leader="none" w:pos="14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“Regulatory Authority” means the Food and Drug Administration of the United States (the “FDA”) or, any successor agency or, if applicable in the context, the government agency performing the same regulatory functions as the FDA in another country.</w:t>
      </w:r>
    </w:p>
    <w:p>
      <w:pPr>
        <w:spacing w:after="0" w:line="2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“Specifications” means the specifications for the Product as provided in the Product Device Master Record.</w:t>
      </w:r>
    </w:p>
    <w:p>
      <w:pPr>
        <w:spacing w:after="0" w:line="370" w:lineRule="exact"/>
        <w:rPr>
          <w:sz w:val="20"/>
          <w:szCs w:val="20"/>
          <w:color w:val="auto"/>
        </w:rPr>
      </w:pPr>
    </w:p>
    <w:p>
      <w:pPr>
        <w:ind w:left="440" w:hanging="436"/>
        <w:spacing w:after="0"/>
        <w:tabs>
          <w:tab w:leader="none" w:pos="4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Rights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20" w:right="60" w:hanging="98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Manufacture and Supply</w:t>
      </w:r>
      <w:r>
        <w:rPr>
          <w:rFonts w:ascii="Arial" w:cs="Arial" w:eastAsia="Arial" w:hAnsi="Arial"/>
          <w:sz w:val="18"/>
          <w:szCs w:val="18"/>
          <w:color w:val="auto"/>
        </w:rPr>
        <w:t>. Subject to the terms and conditions of this Agreement, the Supplier shall manufacture the Products for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supply them to the Purchaser.</w:t>
      </w:r>
    </w:p>
    <w:p>
      <w:pPr>
        <w:spacing w:after="0" w:line="75" w:lineRule="exact"/>
        <w:rPr>
          <w:rFonts w:ascii="Arial" w:cs="Arial" w:eastAsia="Arial" w:hAnsi="Arial"/>
          <w:sz w:val="18"/>
          <w:szCs w:val="18"/>
          <w:b w:val="1"/>
          <w:bCs w:val="1"/>
          <w:color w:val="auto"/>
        </w:rPr>
      </w:pPr>
    </w:p>
    <w:p>
      <w:pPr>
        <w:ind w:left="1420" w:right="220" w:hanging="986"/>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u w:val="single" w:color="auto"/>
          <w:color w:val="auto"/>
        </w:rPr>
        <w:t>Third Party Supplier</w:t>
      </w:r>
      <w:r>
        <w:rPr>
          <w:rFonts w:ascii="Arial" w:cs="Arial" w:eastAsia="Arial" w:hAnsi="Arial"/>
          <w:sz w:val="16"/>
          <w:szCs w:val="16"/>
          <w:color w:val="auto"/>
        </w:rPr>
        <w:t>. All Products must be manufactured and assembled solely by the Supplier. Supplier will not engage any third</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parties to provide services or goods relating to this Agreement without Purchaser’s prior written approval. If use of a third party supplier is agreed upon by the Purchaser, the Supplier shall have a Quality Agreement, giving effect to each of the affirmative obligations regarding quality assurance set forth herein, with any third party supplier used for production, packaging, testing, sterilization, processing, or release. Upon the Customer’s request, the Supplier will provide a copy of the Quality Agreement.</w:t>
      </w:r>
    </w:p>
    <w:p>
      <w:pPr>
        <w:spacing w:after="0" w:line="302" w:lineRule="exact"/>
        <w:rPr>
          <w:rFonts w:ascii="Arial" w:cs="Arial" w:eastAsia="Arial" w:hAnsi="Arial"/>
          <w:sz w:val="18"/>
          <w:szCs w:val="18"/>
          <w:b w:val="1"/>
          <w:bCs w:val="1"/>
          <w:color w:val="auto"/>
        </w:rPr>
      </w:pPr>
    </w:p>
    <w:p>
      <w:pPr>
        <w:ind w:left="440" w:hanging="436"/>
        <w:spacing w:after="0"/>
        <w:tabs>
          <w:tab w:leader="none" w:pos="4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Orders, Prices, Terms, Delivery, Forecast and Inventory.</w:t>
      </w:r>
    </w:p>
    <w:p>
      <w:pPr>
        <w:spacing w:after="0" w:line="134" w:lineRule="exact"/>
        <w:rPr>
          <w:rFonts w:ascii="Arial" w:cs="Arial" w:eastAsia="Arial" w:hAnsi="Arial"/>
          <w:sz w:val="18"/>
          <w:szCs w:val="18"/>
          <w:b w:val="1"/>
          <w:bCs w:val="1"/>
          <w:color w:val="auto"/>
        </w:rPr>
      </w:pPr>
    </w:p>
    <w:p>
      <w:pPr>
        <w:ind w:left="1420" w:hanging="986"/>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Purchase Price</w:t>
      </w:r>
      <w:r>
        <w:rPr>
          <w:rFonts w:ascii="Arial" w:cs="Arial" w:eastAsia="Arial" w:hAnsi="Arial"/>
          <w:sz w:val="16"/>
          <w:szCs w:val="16"/>
          <w:color w:val="auto"/>
        </w:rPr>
        <w:t>. Purchaser shall pay the amounts set forth on Purchase Orders (as described below), and specifying in reasonable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detail the Product(s) covered thereby, the applicable pricing (“Purchase Price”). Pricing shall be in US dollars. Supplier shall pay all contributions, taxes and premiums payable under federal, state and local laws measured upon the payroll of employees and agents engaged in the performance of work under this Agreement. Except as otherwise agreed to in writing by the parties, adjustments to the Price shall be made no more than once every twelve (12) months. The parties will meet annually to review changes in production costs, and Supplier shall share a reasonably detailed analysis of Supplier’s direct and indirect costs incurred in the manufacture of the Products. In connection with such annual cost review meeting, Supplier may submit a written request for a price increase if is direct costs have increased by more than [*] from its direct costs over the preceding supply year. Purchaser may submit a written request for a price decrease if Supplier’s direct costs have decreased by more than [*] from its direct costs over the preceding supply year. New prices will be effective immediately upon being agreed to in writing by both parties or at such other time as may be agreed to in writing by both parties. Pricing may be modified upon any changes to the Specifications of the Products made by Purchaser.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289" w:name="page290"/>
    <w:bookmarkEnd w:id="289"/>
    <w:p>
      <w:pPr>
        <w:ind w:left="1416" w:right="40" w:hanging="985"/>
        <w:spacing w:after="0" w:line="276"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7"/>
          <w:szCs w:val="17"/>
          <w:u w:val="single" w:color="auto"/>
          <w:color w:val="auto"/>
        </w:rPr>
        <w:t>Orders, Shipping Terms, and Inconsistencies</w:t>
      </w:r>
      <w:r>
        <w:rPr>
          <w:rFonts w:ascii="Arial" w:cs="Arial" w:eastAsia="Arial" w:hAnsi="Arial"/>
          <w:sz w:val="17"/>
          <w:szCs w:val="17"/>
          <w:color w:val="auto"/>
        </w:rPr>
        <w:t>. All shipments of Products shall be F.O.B. Origin, and shall be accompanied by a</w:t>
      </w:r>
      <w:r>
        <w:rPr>
          <w:rFonts w:ascii="Arial" w:cs="Arial" w:eastAsia="Arial" w:hAnsi="Arial"/>
          <w:sz w:val="17"/>
          <w:szCs w:val="17"/>
          <w:u w:val="single" w:color="auto"/>
          <w:color w:val="auto"/>
        </w:rPr>
        <w:t xml:space="preserve"> </w:t>
      </w:r>
      <w:r>
        <w:rPr>
          <w:rFonts w:ascii="Arial" w:cs="Arial" w:eastAsia="Arial" w:hAnsi="Arial"/>
          <w:sz w:val="17"/>
          <w:szCs w:val="17"/>
          <w:color w:val="auto"/>
        </w:rPr>
        <w:t>packing slip that describes the Products and states the Order number. Purchaser shall pay all shipping costs. Title to and all risk of loss or damage shall pass to Purchaser upon shipment of the Products from the Supplier to Purchaser’s designated point of delivery. If there is any conflict or inconsistency between this Agreement and any Purchase Order, Order release, confirmation, acceptance or any similar document, the terms of this Agreement shall govern and control.</w:t>
      </w:r>
    </w:p>
    <w:p>
      <w:pPr>
        <w:spacing w:after="0" w:line="78" w:lineRule="exact"/>
        <w:rPr>
          <w:sz w:val="20"/>
          <w:szCs w:val="20"/>
          <w:color w:val="auto"/>
        </w:rPr>
      </w:pPr>
    </w:p>
    <w:p>
      <w:pPr>
        <w:ind w:left="1416" w:right="280" w:hanging="985"/>
        <w:spacing w:after="0" w:line="277" w:lineRule="auto"/>
        <w:tabs>
          <w:tab w:leader="none" w:pos="1396"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Payment</w:t>
      </w:r>
      <w:r>
        <w:rPr>
          <w:rFonts w:ascii="Arial" w:cs="Arial" w:eastAsia="Arial" w:hAnsi="Arial"/>
          <w:sz w:val="18"/>
          <w:szCs w:val="18"/>
          <w:color w:val="auto"/>
        </w:rPr>
        <w:t>. Supplier shall invoice Purchaser for each Product no earlier than its date of shipment. Purchaser shall pay the Purchase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Price shown on each undisputed invoice within [*] of its receipt of the same.</w:t>
      </w:r>
    </w:p>
    <w:p>
      <w:pPr>
        <w:spacing w:after="0" w:line="76" w:lineRule="exact"/>
        <w:rPr>
          <w:sz w:val="20"/>
          <w:szCs w:val="20"/>
          <w:color w:val="auto"/>
        </w:rPr>
      </w:pPr>
    </w:p>
    <w:p>
      <w:pPr>
        <w:jc w:val="right"/>
        <w:ind w:left="436" w:right="180"/>
        <w:spacing w:after="0" w:line="274"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Forecasts</w:t>
      </w:r>
      <w:r>
        <w:rPr>
          <w:rFonts w:ascii="Arial" w:cs="Arial" w:eastAsia="Arial" w:hAnsi="Arial"/>
          <w:sz w:val="17"/>
          <w:szCs w:val="17"/>
          <w:color w:val="auto"/>
        </w:rPr>
        <w:t>. Purchaser shall provide to the Supplier no later than the fifteenth day of each calendar quarter, a non-binding (except as otherwise specified herein) rolling estimate by month of the Purchaser’s requirements for orders and deliveries of the Products for</w:t>
      </w:r>
    </w:p>
    <w:p>
      <w:pPr>
        <w:ind w:left="1416" w:right="400" w:firstLine="2"/>
        <w:spacing w:after="0" w:line="261" w:lineRule="auto"/>
        <w:tabs>
          <w:tab w:leader="none" w:pos="167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period (“Forecast”). Each Forecast shall update prior Forecasts as well as provide estimates for the time period added to the Forecast over the prior Forecast.</w:t>
      </w:r>
    </w:p>
    <w:p>
      <w:pPr>
        <w:spacing w:after="0" w:line="89" w:lineRule="exact"/>
        <w:rPr>
          <w:sz w:val="20"/>
          <w:szCs w:val="20"/>
          <w:color w:val="auto"/>
        </w:rPr>
      </w:pPr>
    </w:p>
    <w:p>
      <w:pPr>
        <w:ind w:left="1416" w:hanging="985"/>
        <w:spacing w:after="0" w:line="291" w:lineRule="auto"/>
        <w:tabs>
          <w:tab w:leader="none" w:pos="1396"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Orders</w:t>
      </w:r>
      <w:r>
        <w:rPr>
          <w:rFonts w:ascii="Arial" w:cs="Arial" w:eastAsia="Arial" w:hAnsi="Arial"/>
          <w:sz w:val="16"/>
          <w:szCs w:val="16"/>
          <w:color w:val="auto"/>
        </w:rPr>
        <w:t>. The Purchaser will submit binding firm purchase orders (the “Order(s)” or “Purchase Order(s)”) for Products to the Supplier</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mail, facsimile, or electronically. Each Order shall contain the following information: (i) a description of the Product by part and revision number; (ii) the quantity of the Product to be delivered to the Purchaser; (iii) the current applicable Purchase Price for such Products, (iv) the delivery date or shipping schedule; (v) the location to which the Product is to be shipped; and (vi) transportation instructions. Each Order shall provide an Order number for billing purposes, and may include other instructions and terms as may be appropriate under the circumstances. The lead times for each Product (“Product Specific Lead Times”) shall be determined by mutual agreement of the parties upon delivery of the Specifications and agreement by the Supplier to supply the applicable Product.</w:t>
      </w:r>
    </w:p>
    <w:p>
      <w:pPr>
        <w:spacing w:after="0" w:line="73" w:lineRule="exact"/>
        <w:rPr>
          <w:sz w:val="20"/>
          <w:szCs w:val="20"/>
          <w:color w:val="auto"/>
        </w:rPr>
      </w:pPr>
    </w:p>
    <w:p>
      <w:pPr>
        <w:ind w:left="1416" w:right="20" w:hanging="985"/>
        <w:spacing w:after="0" w:line="272" w:lineRule="auto"/>
        <w:tabs>
          <w:tab w:leader="none" w:pos="1396"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Emergency Deliveries</w:t>
      </w:r>
      <w:r>
        <w:rPr>
          <w:rFonts w:ascii="Arial" w:cs="Arial" w:eastAsia="Arial" w:hAnsi="Arial"/>
          <w:sz w:val="17"/>
          <w:szCs w:val="17"/>
          <w:color w:val="auto"/>
        </w:rPr>
        <w:t>. Notwithstanding Section 3.5, in the event that Purchaser desires to place Orders for Products requiring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delivery within a shorter period than the Product Specific Lead Time(s) (“Emergency Purchase Orders”), Purchaser shall notify Supplier and Supplier shall provide the Purchaser with a commercially reasonable written estimate of any additional costs (the “Emergency Quote”) that would be incurred to manufacture Products to meet the delivery schedule in an Emergency Purchase Order. Supplier will be obligated to supply such Products in the manner specified in an Emergency Purchase Order only if the Purchaser agrees in writing to pay the additional costs set forth in the Emergency Quote. Upon Purchaser’s written acceptance of the Emergency Quote, the Supplier agrees to meet such delivery schedules specified in such Emergency Purchase Orders.</w:t>
      </w:r>
    </w:p>
    <w:p>
      <w:pPr>
        <w:spacing w:after="0" w:line="83" w:lineRule="exact"/>
        <w:rPr>
          <w:sz w:val="20"/>
          <w:szCs w:val="20"/>
          <w:color w:val="auto"/>
        </w:rPr>
      </w:pPr>
    </w:p>
    <w:p>
      <w:pPr>
        <w:ind w:left="1416" w:right="40" w:hanging="985"/>
        <w:spacing w:after="0" w:line="253" w:lineRule="auto"/>
        <w:tabs>
          <w:tab w:leader="none" w:pos="1396"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Excess and Obsolete Inventory</w:t>
      </w:r>
      <w:r>
        <w:rPr>
          <w:rFonts w:ascii="Arial" w:cs="Arial" w:eastAsia="Arial" w:hAnsi="Arial"/>
          <w:sz w:val="18"/>
          <w:szCs w:val="18"/>
          <w:color w:val="auto"/>
        </w:rPr>
        <w:t>. If Purchaser cancels or materially changes any Order, Supplier shall make good faith efforts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mitigate any costs which may be incurred with such Order changes. Notwithstanding the foregoing, should any inventory (including finished goods, works-in-process, components, or raw materials) be rendered excess or obsolete (as agreed upon by both Purchaser and Supplier) due to (i) the cancellation by Purchaser of any Orders, or (ii) changes or modifications to Orders, and that cannot reasonably and without extra cost to the Supplier be utilized on other Supplier products or returned to its suppliers, or such damages otherwise mitigated, the impact of such changes will be the financial responsibility of the Purchaser, at the Supplier’s documented actual costs (including, but not limited to, restocking charges paid by the Supplier to its suppliers, labor, and component costs). Notwithstanding the foregoing, Supplier will accept all financial responsibility for inventory purchased in excess of the then-current Forecast</w:t>
      </w:r>
    </w:p>
    <w:p>
      <w:pPr>
        <w:spacing w:after="0" w:line="12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00" w:firstLine="4"/>
        <w:spacing w:after="0" w:line="261" w:lineRule="auto"/>
        <w:tabs>
          <w:tab w:leader="none" w:pos="25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4" w:right="479" w:bottom="1440" w:gutter="0" w:footer="0" w:header="0"/>
        </w:sectPr>
      </w:pPr>
    </w:p>
    <w:bookmarkStart w:id="290" w:name="page291"/>
    <w:bookmarkEnd w:id="290"/>
    <w:p>
      <w:pPr>
        <w:ind w:left="436" w:hanging="436"/>
        <w:spacing w:after="0"/>
        <w:tabs>
          <w:tab w:leader="none" w:pos="436"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60" w:hanging="986"/>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u w:val="single" w:color="auto"/>
          <w:color w:val="auto"/>
        </w:rPr>
        <w:t>Manufacturing Processes and Approvals</w:t>
      </w:r>
      <w:r>
        <w:rPr>
          <w:rFonts w:ascii="Arial" w:cs="Arial" w:eastAsia="Arial" w:hAnsi="Arial"/>
          <w:sz w:val="17"/>
          <w:szCs w:val="17"/>
          <w:color w:val="auto"/>
        </w:rPr>
        <w:t>. Supplier will manufacture Products that fully conform with: (i) Product Specifications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supplied by Purchaser, (ii) applicable regulations relating to 21 CFR Part 820 Quality System Regulations, Good Manufacturing Practices, including device and lot history records, (iii) quality system requirements of ISO 13485 and MDD 93/42/EEC, and (iv) in accordance with a risk management system conforming to the requirements of ISO 14971.</w:t>
      </w:r>
    </w:p>
    <w:p>
      <w:pPr>
        <w:spacing w:after="0" w:line="76" w:lineRule="exact"/>
        <w:rPr>
          <w:rFonts w:ascii="Arial" w:cs="Arial" w:eastAsia="Arial" w:hAnsi="Arial"/>
          <w:sz w:val="18"/>
          <w:szCs w:val="18"/>
          <w:b w:val="1"/>
          <w:bCs w:val="1"/>
          <w:color w:val="auto"/>
        </w:rPr>
      </w:pPr>
    </w:p>
    <w:p>
      <w:pPr>
        <w:ind w:left="1416" w:right="300" w:hanging="986"/>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6"/>
          <w:szCs w:val="16"/>
          <w:u w:val="single" w:color="auto"/>
          <w:color w:val="auto"/>
        </w:rPr>
        <w:t>Changes by Supplier: Manufacturing</w:t>
      </w:r>
      <w:r>
        <w:rPr>
          <w:rFonts w:ascii="Arial" w:cs="Arial" w:eastAsia="Arial" w:hAnsi="Arial"/>
          <w:sz w:val="16"/>
          <w:szCs w:val="16"/>
          <w:color w:val="auto"/>
        </w:rPr>
        <w:t>. Supplier shall make no change to the Specifications, Process, Product tooling design,</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processing conditions, materials or manufacturing location without Purchaser’s prior written approval. Supplier shall provide a written request for any such change. Such request must include a description of the specific proposed change, the reason for the proposed change, the perceived benefit that will be derived from the proposed change, the perceived potential loss that may arise from failure to make the proposed change, and the anticipated lead time that will be necessary to make the proposed change. For accepted changes, the Supplier and Purchaser will work together to develop an implementation plan.</w:t>
      </w:r>
    </w:p>
    <w:p>
      <w:pPr>
        <w:spacing w:after="0" w:line="70" w:lineRule="exact"/>
        <w:rPr>
          <w:rFonts w:ascii="Arial" w:cs="Arial" w:eastAsia="Arial" w:hAnsi="Arial"/>
          <w:sz w:val="18"/>
          <w:szCs w:val="18"/>
          <w:b w:val="1"/>
          <w:bCs w:val="1"/>
          <w:color w:val="auto"/>
        </w:rPr>
      </w:pPr>
    </w:p>
    <w:p>
      <w:pPr>
        <w:ind w:left="1416" w:hanging="986"/>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6"/>
          <w:szCs w:val="16"/>
          <w:u w:val="single" w:color="auto"/>
          <w:color w:val="auto"/>
        </w:rPr>
        <w:t>Changes by Supplier: Deviations</w:t>
      </w:r>
      <w:r>
        <w:rPr>
          <w:rFonts w:ascii="Arial" w:cs="Arial" w:eastAsia="Arial" w:hAnsi="Arial"/>
          <w:sz w:val="16"/>
          <w:szCs w:val="16"/>
          <w:color w:val="auto"/>
        </w:rPr>
        <w:t>. Supplier shall provide a written request for any deviation from a document, specification, drawing,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etc. Such request must explain the specific proposed deviation, the reason for the proposed deviation, and the period (time, lots, etc.) the proposed deviation is to be in effect. Supplier shall not proceed with a deviation without Purchaser’s prior written approval.</w:t>
      </w:r>
    </w:p>
    <w:p>
      <w:pPr>
        <w:spacing w:after="0" w:line="52" w:lineRule="exact"/>
        <w:rPr>
          <w:rFonts w:ascii="Arial" w:cs="Arial" w:eastAsia="Arial" w:hAnsi="Arial"/>
          <w:sz w:val="18"/>
          <w:szCs w:val="18"/>
          <w:b w:val="1"/>
          <w:bCs w:val="1"/>
          <w:color w:val="auto"/>
        </w:rPr>
      </w:pPr>
    </w:p>
    <w:p>
      <w:pPr>
        <w:ind w:left="1416" w:right="20" w:hanging="98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4.4.</w:t>
      </w:r>
      <w:r>
        <w:rPr>
          <w:rFonts w:ascii="Arial" w:cs="Arial" w:eastAsia="Arial" w:hAnsi="Arial"/>
          <w:sz w:val="16"/>
          <w:szCs w:val="16"/>
          <w:u w:val="single" w:color="auto"/>
          <w:color w:val="auto"/>
        </w:rPr>
        <w:t>Disposition of Non-Conforming Material</w:t>
      </w:r>
      <w:r>
        <w:rPr>
          <w:rFonts w:ascii="Arial" w:cs="Arial" w:eastAsia="Arial" w:hAnsi="Arial"/>
          <w:sz w:val="16"/>
          <w:szCs w:val="16"/>
          <w:color w:val="auto"/>
        </w:rPr>
        <w:t>. The Supplier shall identify, segregate and investigate all nonconforming material.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may make scrap dispositions without Purchaser’s prior written approval. Suppler shall not make concession (“use as is”) or rework dispositions without Purchaser’s prior written approval. Supplier shall provide a written request for any concession (“use as is”) or rework disposition. Such request must include the inspection or test conducted, the actual results, and if applicable, the proposed disposition or repair. In the event a disposition is approved, Supplier shall update the production-monitoring portion of the ISO 14971 Risk Management File to include information on the nonconformity. If the Supplier performs rework, a written history of all rework and/or corrective actions shall accompany the Product shipped to Purchaser.</w:t>
      </w:r>
    </w:p>
    <w:p>
      <w:pPr>
        <w:spacing w:after="0" w:line="72" w:lineRule="exact"/>
        <w:rPr>
          <w:rFonts w:ascii="Arial" w:cs="Arial" w:eastAsia="Arial" w:hAnsi="Arial"/>
          <w:sz w:val="18"/>
          <w:szCs w:val="18"/>
          <w:b w:val="1"/>
          <w:bCs w:val="1"/>
          <w:color w:val="auto"/>
        </w:rPr>
      </w:pPr>
    </w:p>
    <w:p>
      <w:pPr>
        <w:ind w:left="1416" w:right="400" w:hanging="98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4.5.</w:t>
      </w:r>
      <w:r>
        <w:rPr>
          <w:rFonts w:ascii="Arial" w:cs="Arial" w:eastAsia="Arial" w:hAnsi="Arial"/>
          <w:sz w:val="16"/>
          <w:szCs w:val="16"/>
          <w:u w:val="single" w:color="auto"/>
          <w:color w:val="auto"/>
        </w:rPr>
        <w:t>Corrective Action</w:t>
      </w:r>
      <w:r>
        <w:rPr>
          <w:rFonts w:ascii="Arial" w:cs="Arial" w:eastAsia="Arial" w:hAnsi="Arial"/>
          <w:sz w:val="16"/>
          <w:szCs w:val="16"/>
          <w:color w:val="auto"/>
        </w:rPr>
        <w:t>. Supplier shall initiate corrective action for all detected nonconforming material regardless of disposition.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Corrective action shall include (1) Investigation (including impact to product already released) and determination of root cause,</w:t>
      </w:r>
    </w:p>
    <w:p>
      <w:pPr>
        <w:ind w:left="1416" w:right="340" w:firstLine="2"/>
        <w:spacing w:after="0" w:line="281" w:lineRule="auto"/>
        <w:tabs>
          <w:tab w:leader="none" w:pos="1671"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Proposed corrective action to prevent recurrence, (3) Implementation of corrective actions, and (4) Verification of the effectiveness of the corrective action. The Supplier shall report the results of the corrective action to the Purchaser within fifteen</w:t>
      </w:r>
    </w:p>
    <w:p>
      <w:pPr>
        <w:spacing w:after="0" w:line="1" w:lineRule="exact"/>
        <w:rPr>
          <w:rFonts w:ascii="Arial" w:cs="Arial" w:eastAsia="Arial" w:hAnsi="Arial"/>
          <w:sz w:val="16"/>
          <w:szCs w:val="16"/>
          <w:color w:val="auto"/>
        </w:rPr>
      </w:pPr>
    </w:p>
    <w:p>
      <w:pPr>
        <w:ind w:left="1416" w:right="240" w:firstLine="2"/>
        <w:spacing w:after="0" w:line="261" w:lineRule="auto"/>
        <w:tabs>
          <w:tab w:leader="none" w:pos="1761"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working days of initiation. The Supplier shall keep records of these activities and make them available to the Purchaser upon request.</w:t>
      </w:r>
    </w:p>
    <w:p>
      <w:pPr>
        <w:spacing w:after="0" w:line="89" w:lineRule="exact"/>
        <w:rPr>
          <w:sz w:val="20"/>
          <w:szCs w:val="20"/>
          <w:color w:val="auto"/>
        </w:rPr>
      </w:pPr>
    </w:p>
    <w:p>
      <w:pPr>
        <w:jc w:val="both"/>
        <w:ind w:left="1416" w:right="140" w:hanging="985"/>
        <w:spacing w:after="0" w:line="264" w:lineRule="auto"/>
        <w:tabs>
          <w:tab w:leader="none" w:pos="1396"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u w:val="single" w:color="auto"/>
          <w:color w:val="auto"/>
        </w:rPr>
        <w:t>Device History Record</w:t>
      </w:r>
      <w:r>
        <w:rPr>
          <w:rFonts w:ascii="Arial" w:cs="Arial" w:eastAsia="Arial" w:hAnsi="Arial"/>
          <w:sz w:val="18"/>
          <w:szCs w:val="18"/>
          <w:color w:val="auto"/>
        </w:rPr>
        <w:t>. The Supplier and Purchaser will maintain the following portions of the Device History Record required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21 CFR §820.181. Supplier shall keep records of these activities and make them available to the Purchaser within one business day of request.</w:t>
      </w:r>
    </w:p>
    <w:p>
      <w:pPr>
        <w:spacing w:after="0" w:line="87" w:lineRule="exact"/>
        <w:rPr>
          <w:sz w:val="20"/>
          <w:szCs w:val="20"/>
          <w:color w:val="auto"/>
        </w:rPr>
      </w:pPr>
    </w:p>
    <w:p>
      <w:pPr>
        <w:ind w:left="2296" w:hanging="432"/>
        <w:spacing w:after="0"/>
        <w:tabs>
          <w:tab w:leader="none" w:pos="22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Device specifications (Purchaser)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Production process specifications (Supplier)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Quality assurance procedures and specifications (Supplier)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Labeling specifications (Purchaser)</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Packaging specifications (Supplier)</w:t>
      </w:r>
    </w:p>
    <w:p>
      <w:pPr>
        <w:spacing w:after="0" w:line="15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20" w:firstLine="4"/>
        <w:spacing w:after="0" w:line="261" w:lineRule="auto"/>
        <w:tabs>
          <w:tab w:leader="none" w:pos="25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0" w:right="459" w:bottom="1440" w:gutter="0" w:footer="0" w:header="0"/>
        </w:sectPr>
      </w:pPr>
    </w:p>
    <w:bookmarkStart w:id="291" w:name="page292"/>
    <w:bookmarkEnd w:id="291"/>
    <w:p>
      <w:pPr>
        <w:ind w:left="2300" w:hanging="432"/>
        <w:spacing w:after="0"/>
        <w:tabs>
          <w:tab w:leader="none" w:pos="2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Maintenance procedures and methods records (Supplier)</w:t>
      </w:r>
    </w:p>
    <w:p>
      <w:pPr>
        <w:spacing w:after="0" w:line="131" w:lineRule="exact"/>
        <w:rPr>
          <w:sz w:val="20"/>
          <w:szCs w:val="20"/>
          <w:color w:val="auto"/>
        </w:rPr>
      </w:pPr>
    </w:p>
    <w:p>
      <w:pPr>
        <w:ind w:left="1420" w:right="540" w:hanging="985"/>
        <w:spacing w:after="0" w:line="277" w:lineRule="auto"/>
        <w:tabs>
          <w:tab w:leader="none" w:pos="1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Labeling Operations</w:t>
      </w:r>
      <w:r>
        <w:rPr>
          <w:rFonts w:ascii="Arial" w:cs="Arial" w:eastAsia="Arial" w:hAnsi="Arial"/>
          <w:sz w:val="18"/>
          <w:szCs w:val="18"/>
          <w:color w:val="auto"/>
        </w:rPr>
        <w:t>. Supplier shall control all labeling operations to prevent labeling errors. Supplier shall record all labeling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activities on the Device/Lot History Record.</w:t>
      </w:r>
    </w:p>
    <w:p>
      <w:pPr>
        <w:spacing w:after="0" w:line="76" w:lineRule="exact"/>
        <w:rPr>
          <w:sz w:val="20"/>
          <w:szCs w:val="20"/>
          <w:color w:val="auto"/>
        </w:rPr>
      </w:pPr>
    </w:p>
    <w:p>
      <w:pPr>
        <w:jc w:val="right"/>
        <w:ind w:left="440" w:right="60"/>
        <w:spacing w:after="0" w:line="30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Packaging Operations</w:t>
      </w:r>
      <w:r>
        <w:rPr>
          <w:rFonts w:ascii="Arial" w:cs="Arial" w:eastAsia="Arial" w:hAnsi="Arial"/>
          <w:sz w:val="17"/>
          <w:szCs w:val="17"/>
          <w:color w:val="auto"/>
        </w:rPr>
        <w:t>. Supplier shall pack and package Product using best practices to protect Product from deterioration or damage during processing, storage, handling, and shipment. Supplier shall record all packaging activities on the Device/Lot History Record.</w:t>
      </w:r>
    </w:p>
    <w:p>
      <w:pPr>
        <w:spacing w:after="0" w:line="52" w:lineRule="exact"/>
        <w:rPr>
          <w:sz w:val="20"/>
          <w:szCs w:val="20"/>
          <w:color w:val="auto"/>
        </w:rPr>
      </w:pPr>
    </w:p>
    <w:p>
      <w:pPr>
        <w:ind w:left="1420" w:right="40" w:hanging="985"/>
        <w:spacing w:after="0" w:line="312" w:lineRule="auto"/>
        <w:tabs>
          <w:tab w:leader="none" w:pos="1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Environmental Controls</w:t>
      </w:r>
      <w:r>
        <w:rPr>
          <w:rFonts w:ascii="Arial" w:cs="Arial" w:eastAsia="Arial" w:hAnsi="Arial"/>
          <w:sz w:val="16"/>
          <w:szCs w:val="16"/>
          <w:color w:val="auto"/>
        </w:rPr>
        <w:t>. If environmental conditions could reasonably be expected to have an adverse effect on product quality,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shall establish and maintain procedures, including maintenance, adjustment, and inspection to adequately control these environmental conditions. The Supplier shall keep records of these activities and make them available to the Purchaser upon request.</w:t>
      </w:r>
    </w:p>
    <w:p>
      <w:pPr>
        <w:spacing w:after="0" w:line="52" w:lineRule="exact"/>
        <w:rPr>
          <w:sz w:val="20"/>
          <w:szCs w:val="20"/>
          <w:color w:val="auto"/>
        </w:rPr>
      </w:pPr>
    </w:p>
    <w:p>
      <w:pPr>
        <w:ind w:left="1420" w:right="160" w:hanging="985"/>
        <w:spacing w:after="0" w:line="259" w:lineRule="auto"/>
        <w:tabs>
          <w:tab w:leader="none" w:pos="14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u w:val="single" w:color="auto"/>
          <w:color w:val="auto"/>
        </w:rPr>
        <w:t>Personnel</w:t>
      </w:r>
      <w:r>
        <w:rPr>
          <w:rFonts w:ascii="Arial" w:cs="Arial" w:eastAsia="Arial" w:hAnsi="Arial"/>
          <w:sz w:val="18"/>
          <w:szCs w:val="18"/>
          <w:color w:val="auto"/>
        </w:rPr>
        <w:t>. If contact between personnel and the product could reasonably be expected to have an adverse effect on product quality,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Supplier shall establish and maintain requirements for the health, cleanliness, personal practices, and clothing of personnel to adequately control this contact. The Supplier shall keep records of these activities and make them available to the Purchaser upon request.</w:t>
      </w:r>
    </w:p>
    <w:p>
      <w:pPr>
        <w:spacing w:after="0" w:line="92" w:lineRule="exact"/>
        <w:rPr>
          <w:sz w:val="20"/>
          <w:szCs w:val="20"/>
          <w:color w:val="auto"/>
        </w:rPr>
      </w:pPr>
    </w:p>
    <w:p>
      <w:pPr>
        <w:ind w:left="1420" w:right="140" w:hanging="985"/>
        <w:spacing w:after="0" w:line="259" w:lineRule="auto"/>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auto"/>
        </w:rPr>
        <w:t>Equipment</w:t>
      </w:r>
      <w:r>
        <w:rPr>
          <w:rFonts w:ascii="Arial" w:cs="Arial" w:eastAsia="Arial" w:hAnsi="Arial"/>
          <w:sz w:val="18"/>
          <w:szCs w:val="18"/>
          <w:color w:val="auto"/>
        </w:rPr>
        <w:t>. The Supplier shall ensure that all equipment used in the manufacturing process for product is appropriately designed,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constructed, placed, and installed. The Supplier shall establish and maintain schedules for the calibration, adjustment, cleaning, and other maintenance of equipment to ensure that manufacturing specifications are met. The Supplier shall keep records of these activities and make them available to the Purchaser upon request.</w:t>
      </w:r>
    </w:p>
    <w:p>
      <w:pPr>
        <w:spacing w:after="0" w:line="92" w:lineRule="exact"/>
        <w:rPr>
          <w:sz w:val="20"/>
          <w:szCs w:val="20"/>
          <w:color w:val="auto"/>
        </w:rPr>
      </w:pPr>
    </w:p>
    <w:p>
      <w:pPr>
        <w:ind w:left="1420" w:hanging="985"/>
        <w:spacing w:after="0" w:line="255" w:lineRule="auto"/>
        <w:tabs>
          <w:tab w:leader="none" w:pos="14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Inspection, Measuring, and Test Equipment</w:t>
      </w:r>
      <w:r>
        <w:rPr>
          <w:rFonts w:ascii="Arial" w:cs="Arial" w:eastAsia="Arial" w:hAnsi="Arial"/>
          <w:sz w:val="18"/>
          <w:szCs w:val="18"/>
          <w:color w:val="auto"/>
        </w:rPr>
        <w:t>. The Supplier shall ensure that all inspection, measuring, and test equipment (IM&amp;TE)</w:t>
      </w:r>
      <w:r>
        <w:rPr>
          <w:rFonts w:ascii="Arial" w:cs="Arial" w:eastAsia="Arial" w:hAnsi="Arial"/>
          <w:sz w:val="18"/>
          <w:szCs w:val="18"/>
          <w:u w:val="single" w:color="auto"/>
          <w:color w:val="auto"/>
        </w:rPr>
        <w:t xml:space="preserve"> </w:t>
      </w:r>
      <w:r>
        <w:rPr>
          <w:rFonts w:ascii="Arial" w:cs="Arial" w:eastAsia="Arial" w:hAnsi="Arial"/>
          <w:sz w:val="18"/>
          <w:szCs w:val="18"/>
          <w:color w:val="auto"/>
        </w:rPr>
        <w:t>used in the manufacturing process for product is suitable for its intended purposes and is capable of producing valid results. Suitability includes limits for accuracy and precision. The Supplier shall establish and maintain schedules for the calibration, adjustment, cleaning, and other maintenance of equipment to ensure that manufacturing specifications are met. Calibration standards used for IM&amp;TE shall be traceable to national or international standards. The Supplier shall keep records of these activities and make them available to the Purchaser upon request.</w:t>
      </w:r>
    </w:p>
    <w:p>
      <w:pPr>
        <w:spacing w:after="0" w:line="99" w:lineRule="exact"/>
        <w:rPr>
          <w:sz w:val="20"/>
          <w:szCs w:val="20"/>
          <w:color w:val="auto"/>
        </w:rPr>
      </w:pPr>
    </w:p>
    <w:p>
      <w:pPr>
        <w:ind w:left="1420" w:right="480" w:hanging="985"/>
        <w:spacing w:after="0" w:line="277" w:lineRule="auto"/>
        <w:tabs>
          <w:tab w:leader="none" w:pos="14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u w:val="single" w:color="auto"/>
          <w:color w:val="auto"/>
        </w:rPr>
        <w:t>Process Validation</w:t>
      </w:r>
      <w:r>
        <w:rPr>
          <w:rFonts w:ascii="Arial" w:cs="Arial" w:eastAsia="Arial" w:hAnsi="Arial"/>
          <w:sz w:val="18"/>
          <w:szCs w:val="18"/>
          <w:color w:val="auto"/>
        </w:rPr>
        <w:t>. If the output of a Supplier’s process is not fully verified by subsequent inspection or test, the Supplier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validate the process with a high degree of assurance, [*].</w:t>
      </w:r>
    </w:p>
    <w:p>
      <w:pPr>
        <w:spacing w:after="0" w:line="62" w:lineRule="exact"/>
        <w:rPr>
          <w:sz w:val="20"/>
          <w:szCs w:val="20"/>
          <w:color w:val="auto"/>
        </w:rPr>
      </w:pPr>
    </w:p>
    <w:p>
      <w:pPr>
        <w:ind w:left="1440" w:right="40"/>
        <w:spacing w:after="0" w:line="255" w:lineRule="auto"/>
        <w:rPr>
          <w:sz w:val="20"/>
          <w:szCs w:val="20"/>
          <w:color w:val="auto"/>
        </w:rPr>
      </w:pPr>
      <w:r>
        <w:rPr>
          <w:rFonts w:ascii="Arial" w:cs="Arial" w:eastAsia="Arial" w:hAnsi="Arial"/>
          <w:sz w:val="18"/>
          <w:szCs w:val="18"/>
          <w:color w:val="auto"/>
        </w:rPr>
        <w:t>The validation process shall create a validation protocol (describing the planned activities) and a validation report (documenting the outcome of the planned activities). All validated process changes shall be similarly validated prior to use. The Supplier shall keep records of these activities and make them available to the Purchaser upon request. When the Supplier ships products produced using a validated process, the Supplier shall include process documentation showing the date the process was operated, the name of the operator, the identity of major equipment used, the identity and calibration date of the IM&amp;TE used in the process, and the setting of each input process parameter.</w:t>
      </w:r>
    </w:p>
    <w:p>
      <w:pPr>
        <w:spacing w:after="0" w:line="99" w:lineRule="exact"/>
        <w:rPr>
          <w:sz w:val="20"/>
          <w:szCs w:val="20"/>
          <w:color w:val="auto"/>
        </w:rPr>
      </w:pPr>
    </w:p>
    <w:p>
      <w:pPr>
        <w:ind w:left="1420" w:right="20" w:hanging="985"/>
        <w:spacing w:after="0" w:line="257" w:lineRule="auto"/>
        <w:tabs>
          <w:tab w:leader="none" w:pos="14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u w:val="single" w:color="auto"/>
          <w:color w:val="auto"/>
        </w:rPr>
        <w:t>Facility Inspections by Purchaser</w:t>
      </w:r>
      <w:r>
        <w:rPr>
          <w:rFonts w:ascii="Arial" w:cs="Arial" w:eastAsia="Arial" w:hAnsi="Arial"/>
          <w:sz w:val="18"/>
          <w:szCs w:val="18"/>
          <w:color w:val="auto"/>
        </w:rPr>
        <w:t>. Purchaser shall have the right, upon reasonable advance written notice and during regular business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hours, to inspect the facilities being used by the Supplier for production and storage of the Products. If any such inspection reveals that the facilities do not satisfy Purchaser’s requirements, then Purchaser shall provide written notification, which notice shall contain in reasonable detail the identified deficiencies and, if practicable, remedial efforts the Supplier should undertake. Supplier shall remedy 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292" w:name="page293"/>
    <w:bookmarkEnd w:id="292"/>
    <w:p>
      <w:pPr>
        <w:ind w:left="144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identified deficiencies within [*] days following Purchaser’s written notification. In the event the deficiencies are not remedied within such [*] day period, Supplier shall be in material breach of this Agreement and Purchaser shall have the right to immediately terminate this Agreement.</w:t>
      </w:r>
    </w:p>
    <w:p>
      <w:pPr>
        <w:spacing w:after="0" w:line="87" w:lineRule="exact"/>
        <w:rPr>
          <w:sz w:val="20"/>
          <w:szCs w:val="20"/>
          <w:color w:val="auto"/>
        </w:rPr>
      </w:pPr>
    </w:p>
    <w:p>
      <w:pPr>
        <w:ind w:left="1420" w:hanging="985"/>
        <w:spacing w:after="0" w:line="253" w:lineRule="auto"/>
        <w:tabs>
          <w:tab w:leader="none" w:pos="14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u w:val="single" w:color="auto"/>
          <w:color w:val="auto"/>
        </w:rPr>
        <w:t>Facility Inspections by Regulatory Authorities</w:t>
      </w:r>
      <w:r>
        <w:rPr>
          <w:rFonts w:ascii="Arial" w:cs="Arial" w:eastAsia="Arial" w:hAnsi="Arial"/>
          <w:sz w:val="18"/>
          <w:szCs w:val="18"/>
          <w:color w:val="auto"/>
        </w:rPr>
        <w:t>. Supplier shall notify Purchaser within 24 hours of any communication,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correspondence, inquiry, inspection, audit or investigation by any regulatory authority or notified body in relation to the services provided under this Agreement or Purchaser’s Products. Supplier shall consult and cooperate with Purchaser in responding to the regulatory authority, which shall include providing Purchaser access to all related documents and other information received from any regulatory authority or notified body. If requested, the Supplier will allow regulatory authorities and/or the Purchaser to inspect Product, storage locations, inventory and records. In the event a regulatory authority requests an inspection, Supplier will immediately contact Purchaser and inform the Purchaser of the inspection. In any event, Supplier shall neither make any commitments nor provide any undertakings, which, in either case, relate directly to the Products, to any regulatory authority or notified body without the prior written approval of Purchaser. Supplier’s failure to comply with this Article “Inspection by Regulatory Authorities” shall be a material breach of this Agreement and Purchaser shall have the right to immediately terminate this Agreement.</w:t>
      </w:r>
    </w:p>
    <w:p>
      <w:pPr>
        <w:spacing w:after="0" w:line="98" w:lineRule="exact"/>
        <w:rPr>
          <w:sz w:val="20"/>
          <w:szCs w:val="20"/>
          <w:color w:val="auto"/>
        </w:rPr>
      </w:pPr>
    </w:p>
    <w:p>
      <w:pPr>
        <w:jc w:val="both"/>
        <w:ind w:left="1420" w:right="40" w:hanging="985"/>
        <w:spacing w:after="0" w:line="264" w:lineRule="auto"/>
        <w:tabs>
          <w:tab w:leader="none" w:pos="14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u w:val="single" w:color="auto"/>
          <w:color w:val="auto"/>
        </w:rPr>
        <w:t>Quality System Audits</w:t>
      </w:r>
      <w:r>
        <w:rPr>
          <w:rFonts w:ascii="Arial" w:cs="Arial" w:eastAsia="Arial" w:hAnsi="Arial"/>
          <w:sz w:val="18"/>
          <w:szCs w:val="18"/>
          <w:color w:val="auto"/>
        </w:rPr>
        <w:t>. Purchaser shall have the right, upon reasonable advance written notice and during regular business hours,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 audits of Supplier’s systems, documentation, and other requirements related to this Agreement. Audits shall be conducted at mutually agreed dates and times.</w:t>
      </w:r>
    </w:p>
    <w:p>
      <w:pPr>
        <w:spacing w:after="0" w:line="87" w:lineRule="exact"/>
        <w:rPr>
          <w:sz w:val="20"/>
          <w:szCs w:val="20"/>
          <w:color w:val="auto"/>
        </w:rPr>
      </w:pPr>
    </w:p>
    <w:p>
      <w:pPr>
        <w:ind w:left="1420" w:right="560" w:hanging="985"/>
        <w:spacing w:after="0" w:line="308" w:lineRule="auto"/>
        <w:tabs>
          <w:tab w:leader="none" w:pos="14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u w:val="single" w:color="auto"/>
          <w:color w:val="auto"/>
        </w:rPr>
        <w:t>Records</w:t>
      </w:r>
      <w:r>
        <w:rPr>
          <w:rFonts w:ascii="Arial" w:cs="Arial" w:eastAsia="Arial" w:hAnsi="Arial"/>
          <w:sz w:val="17"/>
          <w:szCs w:val="17"/>
          <w:color w:val="auto"/>
        </w:rPr>
        <w:t>. Supplier will maintain records with respect to the manufacture of the Products for [*] after the last Product has been</w:t>
      </w:r>
      <w:r>
        <w:rPr>
          <w:rFonts w:ascii="Arial" w:cs="Arial" w:eastAsia="Arial" w:hAnsi="Arial"/>
          <w:sz w:val="17"/>
          <w:szCs w:val="17"/>
          <w:u w:val="single" w:color="auto"/>
          <w:color w:val="auto"/>
        </w:rPr>
        <w:t xml:space="preserve"> </w:t>
      </w:r>
      <w:r>
        <w:rPr>
          <w:rFonts w:ascii="Arial" w:cs="Arial" w:eastAsia="Arial" w:hAnsi="Arial"/>
          <w:sz w:val="17"/>
          <w:szCs w:val="17"/>
          <w:color w:val="auto"/>
        </w:rPr>
        <w:t>manufactured, at which time such records will be returned to Purchaser for maintenance or destruction.</w:t>
      </w:r>
    </w:p>
    <w:p>
      <w:pPr>
        <w:spacing w:after="0" w:line="52" w:lineRule="exact"/>
        <w:rPr>
          <w:sz w:val="20"/>
          <w:szCs w:val="20"/>
          <w:color w:val="auto"/>
        </w:rPr>
      </w:pPr>
    </w:p>
    <w:p>
      <w:pPr>
        <w:ind w:left="1420" w:right="160" w:hanging="985"/>
        <w:spacing w:after="0" w:line="271" w:lineRule="auto"/>
        <w:tabs>
          <w:tab w:leader="none" w:pos="14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u w:val="single" w:color="auto"/>
          <w:color w:val="auto"/>
        </w:rPr>
        <w:t>Product Complaints</w:t>
      </w:r>
      <w:r>
        <w:rPr>
          <w:rFonts w:ascii="Arial" w:cs="Arial" w:eastAsia="Arial" w:hAnsi="Arial"/>
          <w:sz w:val="17"/>
          <w:szCs w:val="17"/>
          <w:color w:val="auto"/>
        </w:rPr>
        <w:t>. With respect to Product complaints, Purchaser shall be considered the “manufacturer” for regulatory purposes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is responsible for filing all required Medical Device Reports. If Purchaser reasonably believes that a complaint relates to a breach by the Supplier of the warranty contained in Section 5.1, Purchaser will forward the complaint to the Supplier and Supplier shall be responsible to remedy the noncompliance as provided in Section 5.2. If the Supplier receives a complaint related to the product, or any similar product, the Supplier provides to the Purchaser, the Supplier shall promptly notify the Purchaser. Purchaser will enter the complaint into the Purchaser’s Complaint Management System (21 CFR §820.198) and review and evaluate the complaint to determine whether an investigation is necessary. The Supplier shall provide assistance in a complaint investigation as requested by the Purchaser.</w:t>
      </w:r>
    </w:p>
    <w:p>
      <w:pPr>
        <w:spacing w:after="0" w:line="84" w:lineRule="exact"/>
        <w:rPr>
          <w:sz w:val="20"/>
          <w:szCs w:val="20"/>
          <w:color w:val="auto"/>
        </w:rPr>
      </w:pPr>
    </w:p>
    <w:p>
      <w:pPr>
        <w:ind w:left="1420" w:right="40" w:hanging="985"/>
        <w:spacing w:after="0" w:line="264" w:lineRule="auto"/>
        <w:tabs>
          <w:tab w:leader="none" w:pos="14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u w:val="single" w:color="auto"/>
          <w:color w:val="auto"/>
        </w:rPr>
        <w:t>Corrections and Removals</w:t>
      </w:r>
      <w:r>
        <w:rPr>
          <w:rFonts w:ascii="Arial" w:cs="Arial" w:eastAsia="Arial" w:hAnsi="Arial"/>
          <w:sz w:val="18"/>
          <w:szCs w:val="18"/>
          <w:color w:val="auto"/>
        </w:rPr>
        <w:t>. If the Supplier files a Corrections or Removals for the product, or any similar product that the Supplier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provides to the Purchaser, the Supplier shall promptly notify the Purchaser. The Purchaser is responsible for managing corrections or removals of SI-BONE product.</w:t>
      </w:r>
    </w:p>
    <w:p>
      <w:pPr>
        <w:spacing w:after="0" w:line="87" w:lineRule="exact"/>
        <w:rPr>
          <w:sz w:val="20"/>
          <w:szCs w:val="20"/>
          <w:color w:val="auto"/>
        </w:rPr>
      </w:pPr>
    </w:p>
    <w:p>
      <w:pPr>
        <w:ind w:left="1420" w:right="260" w:hanging="985"/>
        <w:spacing w:after="0" w:line="264" w:lineRule="auto"/>
        <w:tabs>
          <w:tab w:leader="none" w:pos="14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u w:val="single" w:color="auto"/>
          <w:color w:val="auto"/>
        </w:rPr>
        <w:t>Sterilization Services</w:t>
      </w:r>
      <w:r>
        <w:rPr>
          <w:rFonts w:ascii="Arial" w:cs="Arial" w:eastAsia="Arial" w:hAnsi="Arial"/>
          <w:sz w:val="18"/>
          <w:szCs w:val="18"/>
          <w:color w:val="auto"/>
        </w:rPr>
        <w:t>. Sterilization will be provided and managed by Supplier. Supplier and Purchaser will jointly review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sterilization validation protocol and report, which will include the results of sterilization validation and revalidation. Supplier will provide all sterilization documentation to Purchase upon request.</w:t>
      </w:r>
    </w:p>
    <w:p>
      <w:pPr>
        <w:spacing w:after="0" w:line="8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Manufacturing Process Documentation</w:t>
      </w:r>
      <w:r>
        <w:rPr>
          <w:rFonts w:ascii="Arial" w:cs="Arial" w:eastAsia="Arial" w:hAnsi="Arial"/>
          <w:sz w:val="16"/>
          <w:szCs w:val="16"/>
          <w:color w:val="auto"/>
        </w:rPr>
        <w:t>. The supplier shall provide the following documentation with each product lot shipped to the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Purchaser:</w:t>
      </w:r>
    </w:p>
    <w:p>
      <w:pPr>
        <w:spacing w:after="0" w:line="116" w:lineRule="exact"/>
        <w:rPr>
          <w:sz w:val="20"/>
          <w:szCs w:val="20"/>
          <w:color w:val="auto"/>
        </w:rPr>
      </w:pPr>
    </w:p>
    <w:p>
      <w:pPr>
        <w:ind w:left="2300" w:hanging="432"/>
        <w:spacing w:after="0"/>
        <w:tabs>
          <w:tab w:leader="none" w:pos="2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Sterilization Certificate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293" w:name="page294"/>
    <w:bookmarkEnd w:id="293"/>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Package Labeling Documentation</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Job Order Pick List</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Line Clearance Forms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Supplier Certificate of Conformance</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Material Certificates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Supplier Inspection Sheets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Copy of any related Non-Conforming Material Reports</w:t>
      </w:r>
    </w:p>
    <w:p>
      <w:pPr>
        <w:spacing w:after="0" w:line="374" w:lineRule="exact"/>
        <w:rPr>
          <w:sz w:val="20"/>
          <w:szCs w:val="20"/>
          <w:color w:val="auto"/>
        </w:rPr>
      </w:pPr>
    </w:p>
    <w:p>
      <w:pPr>
        <w:ind w:left="436"/>
        <w:spacing w:after="0"/>
        <w:tabs>
          <w:tab w:leader="none" w:pos="1396"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u w:val="single" w:color="auto"/>
          <w:color w:val="auto"/>
        </w:rPr>
        <w:t>Storage and Shipment</w:t>
      </w:r>
      <w:r>
        <w:rPr>
          <w:rFonts w:ascii="Arial" w:cs="Arial" w:eastAsia="Arial" w:hAnsi="Arial"/>
          <w:sz w:val="16"/>
          <w:szCs w:val="16"/>
          <w:color w:val="auto"/>
        </w:rPr>
        <w:t>.</w:t>
      </w:r>
    </w:p>
    <w:p>
      <w:pPr>
        <w:spacing w:after="0" w:line="131" w:lineRule="exact"/>
        <w:rPr>
          <w:sz w:val="20"/>
          <w:szCs w:val="20"/>
          <w:color w:val="auto"/>
        </w:rPr>
      </w:pPr>
    </w:p>
    <w:p>
      <w:pPr>
        <w:ind w:left="2316" w:right="160" w:hanging="877"/>
        <w:spacing w:after="0" w:line="259" w:lineRule="auto"/>
        <w:tabs>
          <w:tab w:leader="none" w:pos="2296"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8"/>
          <w:szCs w:val="18"/>
          <w:color w:val="auto"/>
        </w:rPr>
        <w:t>Storage. The Supplier shall establish and maintain procedures to control storage areas and stock rooms to prevent mix-ups, damage, deterioration, contamination, or other adverse effects. The Supplier shall ensure that all products are stored to facilitate proper stock rotation and that product is retrieved from stock using First In, First Out (FIFO) methodology.</w:t>
      </w:r>
    </w:p>
    <w:p>
      <w:pPr>
        <w:spacing w:after="0" w:line="92" w:lineRule="exact"/>
        <w:rPr>
          <w:sz w:val="20"/>
          <w:szCs w:val="20"/>
          <w:color w:val="auto"/>
        </w:rPr>
      </w:pPr>
    </w:p>
    <w:p>
      <w:pPr>
        <w:ind w:left="2316" w:right="320" w:hanging="877"/>
        <w:spacing w:after="0" w:line="277" w:lineRule="auto"/>
        <w:tabs>
          <w:tab w:leader="none" w:pos="2296" w:val="left"/>
        </w:tabs>
        <w:rPr>
          <w:sz w:val="20"/>
          <w:szCs w:val="20"/>
          <w:color w:val="auto"/>
        </w:rPr>
      </w:pPr>
      <w:r>
        <w:rPr>
          <w:rFonts w:ascii="Arial" w:cs="Arial" w:eastAsia="Arial" w:hAnsi="Arial"/>
          <w:sz w:val="18"/>
          <w:szCs w:val="18"/>
          <w:color w:val="auto"/>
        </w:rPr>
        <w:t>4.22.2.</w:t>
      </w:r>
      <w:r>
        <w:rPr>
          <w:sz w:val="20"/>
          <w:szCs w:val="20"/>
          <w:color w:val="auto"/>
        </w:rPr>
        <w:tab/>
      </w:r>
      <w:r>
        <w:rPr>
          <w:rFonts w:ascii="Arial" w:cs="Arial" w:eastAsia="Arial" w:hAnsi="Arial"/>
          <w:sz w:val="18"/>
          <w:szCs w:val="18"/>
          <w:color w:val="auto"/>
        </w:rPr>
        <w:t>Shipment. The Supplier shall ship products to the Purchaser using shipping methods that will prevent the damage or deterioration of the product.</w:t>
      </w:r>
    </w:p>
    <w:p>
      <w:pPr>
        <w:spacing w:after="0" w:line="315" w:lineRule="exact"/>
        <w:rPr>
          <w:sz w:val="20"/>
          <w:szCs w:val="20"/>
          <w:color w:val="auto"/>
        </w:rPr>
      </w:pPr>
    </w:p>
    <w:p>
      <w:pPr>
        <w:ind w:left="436" w:hanging="436"/>
        <w:spacing w:after="0"/>
        <w:tabs>
          <w:tab w:leader="none" w:pos="436"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Warranty and Limited Remedies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600" w:hanging="986"/>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Warranty</w:t>
      </w:r>
      <w:r>
        <w:rPr>
          <w:rFonts w:ascii="Arial" w:cs="Arial" w:eastAsia="Arial" w:hAnsi="Arial"/>
          <w:sz w:val="16"/>
          <w:szCs w:val="16"/>
          <w:color w:val="auto"/>
        </w:rPr>
        <w:t>. Supplier represents and warrants that the Products furnished under this Agreement shall be free from all defects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workmanship and materials and shall conform to the Specifications for a period of [*] after delivery to Purchaser.</w:t>
      </w:r>
    </w:p>
    <w:p>
      <w:pPr>
        <w:spacing w:after="0" w:line="29" w:lineRule="exact"/>
        <w:rPr>
          <w:rFonts w:ascii="Arial" w:cs="Arial" w:eastAsia="Arial" w:hAnsi="Arial"/>
          <w:sz w:val="18"/>
          <w:szCs w:val="18"/>
          <w:b w:val="1"/>
          <w:bCs w:val="1"/>
          <w:color w:val="auto"/>
        </w:rPr>
      </w:pPr>
    </w:p>
    <w:p>
      <w:pPr>
        <w:ind w:left="1416" w:right="80" w:hanging="986"/>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7"/>
          <w:szCs w:val="17"/>
          <w:u w:val="single" w:color="auto"/>
          <w:color w:val="auto"/>
        </w:rPr>
        <w:t>Remedies</w:t>
      </w:r>
      <w:r>
        <w:rPr>
          <w:rFonts w:ascii="Arial" w:cs="Arial" w:eastAsia="Arial" w:hAnsi="Arial"/>
          <w:sz w:val="17"/>
          <w:szCs w:val="17"/>
          <w:color w:val="auto"/>
        </w:rPr>
        <w:t>. If Supplier fails to meet the warranty stated in Section 5.1 with respect to any Product, the Supplier shall, at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Purchaser’s option, either (i) repair or replace such Product at the Supplier’s own expense, and ship such repaired or replacement Product to either the Purchaser or the applicable customer at the Supplier’s own expense, or (ii) credit to the Purchaser the Purchase Price for the non-conforming Product. If reasonably possible, all defective Products covered by the foregoing warranty shall be shipped to the Supplier at Supplier’s expense for such repair or replacement.</w:t>
      </w:r>
    </w:p>
    <w:p>
      <w:pPr>
        <w:spacing w:after="0" w:line="77" w:lineRule="exact"/>
        <w:rPr>
          <w:rFonts w:ascii="Arial" w:cs="Arial" w:eastAsia="Arial" w:hAnsi="Arial"/>
          <w:sz w:val="18"/>
          <w:szCs w:val="18"/>
          <w:b w:val="1"/>
          <w:bCs w:val="1"/>
          <w:color w:val="auto"/>
        </w:rPr>
      </w:pPr>
    </w:p>
    <w:p>
      <w:pPr>
        <w:ind w:left="1416" w:hanging="98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Exclusions from Warranty</w:t>
      </w:r>
      <w:r>
        <w:rPr>
          <w:rFonts w:ascii="Arial" w:cs="Arial" w:eastAsia="Arial" w:hAnsi="Arial"/>
          <w:sz w:val="18"/>
          <w:szCs w:val="18"/>
          <w:color w:val="auto"/>
        </w:rPr>
        <w:t>. The warranty set forth in Section 5.1 above does not include Products that have defects or failures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resulting from Purchaser’s design of Products as set forth in the Specifications, including, but not limited to, design functionality failures, Specification inadequacies, failures relating to the functioning of Products in the manner for the intended purpose or failures resulting from unauthorized modification of the Products. To the extent that all Product designs have been provided by Purchaser to Supplier, Purchaser bears all design responsibility for the Product.</w:t>
      </w:r>
    </w:p>
    <w:p>
      <w:pPr>
        <w:spacing w:after="0" w:line="93" w:lineRule="exact"/>
        <w:rPr>
          <w:rFonts w:ascii="Arial" w:cs="Arial" w:eastAsia="Arial" w:hAnsi="Arial"/>
          <w:sz w:val="18"/>
          <w:szCs w:val="18"/>
          <w:b w:val="1"/>
          <w:bCs w:val="1"/>
          <w:color w:val="auto"/>
        </w:rPr>
      </w:pPr>
    </w:p>
    <w:p>
      <w:pPr>
        <w:ind w:left="1416" w:right="80" w:hanging="986"/>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7"/>
          <w:szCs w:val="17"/>
          <w:u w:val="single" w:color="auto"/>
          <w:color w:val="auto"/>
        </w:rPr>
        <w:t>Disputes</w:t>
      </w:r>
      <w:r>
        <w:rPr>
          <w:rFonts w:ascii="Arial" w:cs="Arial" w:eastAsia="Arial" w:hAnsi="Arial"/>
          <w:sz w:val="17"/>
          <w:szCs w:val="17"/>
          <w:color w:val="auto"/>
        </w:rPr>
        <w:t>. If the Supplier disagrees with a claim that a Product does not conform to the warranty provided in Section 5.1, then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parties agree to submit the disputed Product to a mutually agreed-upon independent party to test the Product to determine whether it conforms. The cost of such testing shall be borne by the party against whom the testing party finds.</w:t>
      </w:r>
    </w:p>
    <w:p>
      <w:pPr>
        <w:spacing w:after="0" w:line="70" w:lineRule="exact"/>
        <w:rPr>
          <w:rFonts w:ascii="Arial" w:cs="Arial" w:eastAsia="Arial" w:hAnsi="Arial"/>
          <w:sz w:val="18"/>
          <w:szCs w:val="18"/>
          <w:b w:val="1"/>
          <w:bCs w:val="1"/>
          <w:color w:val="auto"/>
        </w:rPr>
      </w:pPr>
    </w:p>
    <w:p>
      <w:pPr>
        <w:ind w:left="1416" w:right="60" w:hanging="98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THE PARTIES’ INDEMNIFICATION OBLIGATIONS UNDER SECTION 6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OBLIGATIONS OF CONFIDENTIALITY UNDER SECTION 9, NEITHER PARTY SHALL BE LIABLE TO THE OTHER FOR ANY PUNITIVE, SPECIAL, INCIDENTAL, OR CONSEQUENTIAL DAMAGES, INCLUDING, BUT NOT LIMITED TO, PERSONAL INJURY AND PROPERTY DAMAGE, EQUIPMENT DAMAGE, LOSS OF PROFITS OR REVENUES OR BUSINESS, COST OF CAPITAL, COST OF PURCHASE, COST OF RECALL, OR COST OF THIRD PARTY REPLACEMENT GOODS. IN NO EVENT SHALL PURCHASER’S TOTAL AGGREGATE LIABILITY UNDER THIS AGREEMENT, WHETHER BASED UPON CONTRACT, TORT, OR OTHERWISE EXCEED [*].</w:t>
      </w:r>
    </w:p>
    <w:p>
      <w:pPr>
        <w:spacing w:after="0" w:line="11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20" w:firstLine="4"/>
        <w:spacing w:after="0" w:line="261" w:lineRule="auto"/>
        <w:tabs>
          <w:tab w:leader="none" w:pos="25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294" w:name="page295"/>
    <w:bookmarkEnd w:id="294"/>
    <w:p>
      <w:pPr>
        <w:ind w:left="440" w:hanging="436"/>
        <w:spacing w:after="0"/>
        <w:tabs>
          <w:tab w:leader="none" w:pos="4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20" w:hanging="986"/>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u w:val="single" w:color="auto"/>
          <w:color w:val="auto"/>
        </w:rPr>
        <w:t>By Supplier</w:t>
      </w:r>
      <w:r>
        <w:rPr>
          <w:rFonts w:ascii="Arial" w:cs="Arial" w:eastAsia="Arial" w:hAnsi="Arial"/>
          <w:sz w:val="16"/>
          <w:szCs w:val="16"/>
          <w:color w:val="auto"/>
        </w:rPr>
        <w:t>. Supplier agrees to indemnify and hold Purchaser, its affiliates, officers, directors, agents and employees (“Purchaser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harmless from and against all actions, liabilities, losses, damages, claims and demands whatsoever, including, but not limited to, attorney fees and other expenses (“Claims”) that are brought or threatened against the Purchaser Indemnitees and related to Supplier’s or Supplier Indemnitee’s: (a) breach of this Agreement; (b) violation of applicable laws and regulations; (c) breach of representations and warranties; (d) any claim of Intellectual Property infringement brought by third parties arising from Supplier’s manufacturing processes or Supplier’s services provided hereunder, provided such infringement is not a direct result of specifications or instructions provided by Purchaser; or (e) negligence, recklessness or willful misconduct. The duty to indemnify will not apply to the extent that any Claim arises from the negligence, recklessness, or willful misconduct of a Purchaser Indemnitee.</w:t>
      </w:r>
    </w:p>
    <w:p>
      <w:pPr>
        <w:spacing w:after="0" w:line="71" w:lineRule="exact"/>
        <w:rPr>
          <w:rFonts w:ascii="Arial" w:cs="Arial" w:eastAsia="Arial" w:hAnsi="Arial"/>
          <w:sz w:val="18"/>
          <w:szCs w:val="18"/>
          <w:b w:val="1"/>
          <w:bCs w:val="1"/>
          <w:color w:val="auto"/>
        </w:rPr>
      </w:pPr>
    </w:p>
    <w:p>
      <w:pPr>
        <w:ind w:left="1420" w:right="220" w:hanging="986"/>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6"/>
          <w:szCs w:val="16"/>
          <w:u w:val="single" w:color="auto"/>
          <w:color w:val="auto"/>
        </w:rPr>
        <w:t>By Purchaser</w:t>
      </w:r>
      <w:r>
        <w:rPr>
          <w:rFonts w:ascii="Arial" w:cs="Arial" w:eastAsia="Arial" w:hAnsi="Arial"/>
          <w:sz w:val="16"/>
          <w:szCs w:val="16"/>
          <w:color w:val="auto"/>
        </w:rPr>
        <w:t>. Purchaser agrees to indemnify and hold Supplier, its affiliates, officers, directors, agents and employees (“Supplier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harmless from and against all Claims that are brought or threatened against the Supplier Indemnitees and related to:</w:t>
      </w:r>
    </w:p>
    <w:p>
      <w:pPr>
        <w:ind w:left="1420" w:right="100" w:firstLine="2"/>
        <w:spacing w:after="0" w:line="281" w:lineRule="auto"/>
        <w:tabs>
          <w:tab w:leader="none" w:pos="166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Purchaser’s breach of this Agreement; (b) Purchaser’s violation of applicable laws and regulations; (c) defects or alleged defects in the design of the Products, provided such design defects are a result of specifications or instructions provided by Purchaser;</w:t>
      </w:r>
    </w:p>
    <w:p>
      <w:pPr>
        <w:spacing w:after="0" w:line="1" w:lineRule="exact"/>
        <w:rPr>
          <w:rFonts w:ascii="Arial" w:cs="Arial" w:eastAsia="Arial" w:hAnsi="Arial"/>
          <w:sz w:val="16"/>
          <w:szCs w:val="16"/>
          <w:color w:val="auto"/>
        </w:rPr>
      </w:pPr>
    </w:p>
    <w:p>
      <w:pPr>
        <w:ind w:left="1420" w:right="100" w:firstLine="2"/>
        <w:spacing w:after="0" w:line="302" w:lineRule="auto"/>
        <w:tabs>
          <w:tab w:leader="none" w:pos="1675"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infringement upon the Intellectual Property rights of third parties, provided such infringement is a direct result of specifications or instructions provided by Purchaser; or (e) Purchaser’s negligence, recklessness or willful misconduct. The duty to indemnify will not apply to the extent that any Claim arises from the negligence, recklessness, or willful misconduct of a Supplier Indemnitee.</w:t>
      </w:r>
    </w:p>
    <w:p>
      <w:pPr>
        <w:spacing w:after="0" w:line="61" w:lineRule="exact"/>
        <w:rPr>
          <w:sz w:val="20"/>
          <w:szCs w:val="20"/>
          <w:color w:val="auto"/>
        </w:rPr>
      </w:pPr>
    </w:p>
    <w:p>
      <w:pPr>
        <w:ind w:left="1420" w:right="120" w:hanging="985"/>
        <w:spacing w:after="0" w:line="255" w:lineRule="auto"/>
        <w:tabs>
          <w:tab w:leader="none" w:pos="1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party claiming indemnity (the “Indemnified Party”) shall provide the party from whom indemnity is being sought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“Indemnifying Party”) with reasonable assistance, at the Indemnifying Party’s expense, in connection with the defense of the claim for which indemnity is being sought. The Indemnifying Party shall have the right to assume sole control over the defense of such claim and conduct the defense of the claim with counsel of its choice. The Indemnifying Party shall not settle any claim without the prior written consent of the Indemnified Party, not to be unreasonably withheld, unless the settlement involves only the payment of money.</w:t>
      </w:r>
    </w:p>
    <w:p>
      <w:pPr>
        <w:spacing w:after="0" w:line="99" w:lineRule="exact"/>
        <w:rPr>
          <w:sz w:val="20"/>
          <w:szCs w:val="20"/>
          <w:color w:val="auto"/>
        </w:rPr>
      </w:pPr>
    </w:p>
    <w:p>
      <w:pPr>
        <w:ind w:left="1420" w:right="40" w:hanging="985"/>
        <w:spacing w:after="0" w:line="254" w:lineRule="auto"/>
        <w:tabs>
          <w:tab w:leader="none" w:pos="14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 Each party agrees to procure and maintain in full force and effect during the term of this Agreement collectible insurance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policies in connection with the manufacture, supply and sale of Products pursuant to this Agreement and provide: (i) for commercial general liability coverage in the amount of [*] per occurrence and [*] in the aggregate, excluding Products and Completed Operations coverage and written on either an occurrence or a claims made basis; and (ii) Products and Completed Operations coverage in the amount of [*] per occurrence and [*] in the aggregate and written on a claims-made basis. Each party shall endeavor to provide the other party with thirty (30) days written notice of cancellation or ten (10) days’ notice for non-payment of premium or termination of any such policy. Upon either party’s request, the other party shall provide to the requesting party a certificate of insurance coverage.</w:t>
      </w:r>
    </w:p>
    <w:p>
      <w:pPr>
        <w:spacing w:after="0" w:line="337" w:lineRule="exact"/>
        <w:rPr>
          <w:sz w:val="20"/>
          <w:szCs w:val="20"/>
          <w:color w:val="auto"/>
        </w:rPr>
      </w:pPr>
    </w:p>
    <w:p>
      <w:pPr>
        <w:ind w:left="440" w:hanging="436"/>
        <w:spacing w:after="0"/>
        <w:tabs>
          <w:tab w:leader="none" w:pos="4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Ownership; Tooling</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20" w:right="760" w:hanging="98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Limited License Grant</w:t>
      </w:r>
      <w:r>
        <w:rPr>
          <w:rFonts w:ascii="Arial" w:cs="Arial" w:eastAsia="Arial" w:hAnsi="Arial"/>
          <w:sz w:val="18"/>
          <w:szCs w:val="18"/>
          <w:color w:val="auto"/>
        </w:rPr>
        <w:t>. Purchaser grants Supplier a non-exclusive, nontransferable, worldwide license, without the right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sublicense, to use all designs, materials,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40" w:firstLine="4"/>
        <w:spacing w:after="0" w:line="261" w:lineRule="auto"/>
        <w:tabs>
          <w:tab w:leader="none" w:pos="2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0" w:right="439" w:bottom="1440" w:gutter="0" w:footer="0" w:header="0"/>
        </w:sectPr>
      </w:pPr>
    </w:p>
    <w:bookmarkStart w:id="295" w:name="page296"/>
    <w:bookmarkEnd w:id="295"/>
    <w:p>
      <w:pPr>
        <w:ind w:left="1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know-how and documentation, including the Specifications, provided by Purchaser to Supplier, solely in connection with manufacturing the Products hereunder for supply of such Products to Purchaser or parties designated by Purchaser. This license shall not include the right to modify, make derivative works of or improvements to the Products and shall terminated upon the termination or expiration of this Agreement.</w:t>
      </w:r>
    </w:p>
    <w:p>
      <w:pPr>
        <w:spacing w:after="0" w:line="92" w:lineRule="exact"/>
        <w:rPr>
          <w:sz w:val="20"/>
          <w:szCs w:val="20"/>
          <w:color w:val="auto"/>
        </w:rPr>
      </w:pPr>
    </w:p>
    <w:p>
      <w:pPr>
        <w:ind w:left="1416" w:right="120" w:hanging="985"/>
        <w:spacing w:after="0" w:line="268" w:lineRule="auto"/>
        <w:tabs>
          <w:tab w:leader="none" w:pos="1396"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Ownership of Intellectual Property</w:t>
      </w:r>
      <w:r>
        <w:rPr>
          <w:rFonts w:ascii="Arial" w:cs="Arial" w:eastAsia="Arial" w:hAnsi="Arial"/>
          <w:sz w:val="17"/>
          <w:szCs w:val="17"/>
          <w:color w:val="auto"/>
        </w:rPr>
        <w:t>. All Intellectual Property of Purchaser existing on or prior to the execution of this Agreement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and remain the property of Purchaser, and Supplier shall not acquire any rights therein, except as expressly provided in Section 7.1 of this Agreement or in the License Agreement. Purchaser shall own, and Supplier hereby assigns to Purchaser, all worldwide right, title and interest in and to the Products, all Intellectual Property conceived or reduced to practice by Supplier, its employees or agents in the course of performing Supplier’s duties hereunder, or as a result of access to Purchaser’s Intellectual Property, and any modification, derivative work of or improvement to the Products and/or Purchaser’s Intellectual Property. All rights not expressly granted herein are reserved. Supplier shall execute all papers, including patent applications, invention assignments and copyright assignments, and otherwise shall assist Purchaser as reasonably required to perfect in the Purchaser the rights, title and other interests held by Purchaser under this Agreement. Purchaser shall pay for reasonable costs related to such assistance. If Purchaser is unable for any reason, after reasonable effort, to secure Supplier’s signature on any document needed in connection with the actions specified above, Supplier hereby irrevocably designates and appoints Purchaser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Supplier. Notwithstanding anything contained in this Agreement to the contrary,</w:t>
      </w:r>
    </w:p>
    <w:p>
      <w:pPr>
        <w:spacing w:after="0" w:line="89" w:lineRule="exact"/>
        <w:rPr>
          <w:sz w:val="20"/>
          <w:szCs w:val="20"/>
          <w:color w:val="auto"/>
        </w:rPr>
      </w:pPr>
    </w:p>
    <w:p>
      <w:pPr>
        <w:ind w:left="1416" w:right="80" w:hanging="985"/>
        <w:spacing w:after="0" w:line="302" w:lineRule="auto"/>
        <w:tabs>
          <w:tab w:leader="none" w:pos="1396"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Tooling and Equipment</w:t>
      </w:r>
      <w:r>
        <w:rPr>
          <w:rFonts w:ascii="Arial" w:cs="Arial" w:eastAsia="Arial" w:hAnsi="Arial"/>
          <w:sz w:val="16"/>
          <w:szCs w:val="16"/>
          <w:color w:val="auto"/>
        </w:rPr>
        <w:t>. All tooling and equipment used by the Supplier to manufacture the Products shall be the property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unless any such tooling and equipment is specifically provided by the Purchaser or purchased by the Purchaser from the Supplier over and above the Purchase Price for the Products. The agreement of the parties concerning any tooling and equipment so provided or purchased by the Purchaser shall be set forth in a separate document that is agreeable to both parties.</w:t>
      </w:r>
    </w:p>
    <w:p>
      <w:pPr>
        <w:spacing w:after="0" w:line="299" w:lineRule="exact"/>
        <w:rPr>
          <w:sz w:val="20"/>
          <w:szCs w:val="20"/>
          <w:color w:val="auto"/>
        </w:rPr>
      </w:pPr>
    </w:p>
    <w:p>
      <w:pPr>
        <w:ind w:left="436" w:hanging="436"/>
        <w:spacing w:after="0"/>
        <w:tabs>
          <w:tab w:leader="none" w:pos="436"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40" w:hanging="986"/>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u w:val="single" w:color="auto"/>
          <w:color w:val="auto"/>
        </w:rPr>
        <w:t>Confidentiality</w:t>
      </w:r>
      <w:r>
        <w:rPr>
          <w:rFonts w:ascii="Arial" w:cs="Arial" w:eastAsia="Arial" w:hAnsi="Arial"/>
          <w:sz w:val="16"/>
          <w:szCs w:val="16"/>
          <w:color w:val="auto"/>
        </w:rPr>
        <w:t>. The Purchaser and the Supplier will have access to each other’s Confidential Information (as defined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“Confidential Information” means any trade secret, other information viewed by the party disclosing it (the “Disclosing Party”) as confidential and/or proprietary, and any and all information or proprietary materials (in every form and media) not generally known in the relevant trade or industry made available by either party to the party receiving such information (in such case, the “Receiving Party”)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20" w:firstLine="4"/>
        <w:spacing w:after="0" w:line="261" w:lineRule="auto"/>
        <w:tabs>
          <w:tab w:leader="none" w:pos="25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296" w:name="page297"/>
    <w:bookmarkEnd w:id="296"/>
    <w:p>
      <w:pPr>
        <w:ind w:left="143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(c) becomes publicly known after the date of disclosure through no fault of the Receiving Party, (d) is received by the Receiving Party from a third party who has, to the Receiving Party’s knowledge, no obligation of confidentiality to the Disclosing Party, or (v) is developed independently by the Receiving Party without reference to the Disclosing Party’s Confidential Information as demonstrated by documentary evidence. Such obligation of confidentiality and non-use shall survive any expiration or termination of this Agreement. The restrictions on disclosure contained in this Section 9.1 shall not apply to any information which is required to be disclosed by a valid court rule or governmental law or regulation, provided that the Receiving Party gives the Disclosing Party prompt notice of any such requirement and cooperates with the Disclosing Party, at the Disclosing Party’s expense, in attempting to limit such disclosure and obtain confidential treatment thereof.</w:t>
      </w:r>
    </w:p>
    <w:p>
      <w:pPr>
        <w:spacing w:after="0" w:line="84" w:lineRule="exact"/>
        <w:rPr>
          <w:sz w:val="20"/>
          <w:szCs w:val="20"/>
          <w:color w:val="auto"/>
        </w:rPr>
      </w:pPr>
    </w:p>
    <w:p>
      <w:pPr>
        <w:ind w:left="1416" w:right="180" w:hanging="985"/>
        <w:spacing w:after="0" w:line="259" w:lineRule="auto"/>
        <w:tabs>
          <w:tab w:leader="none" w:pos="1396"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Publicity</w:t>
      </w:r>
      <w:r>
        <w:rPr>
          <w:rFonts w:ascii="Arial" w:cs="Arial" w:eastAsia="Arial" w:hAnsi="Arial"/>
          <w:sz w:val="18"/>
          <w:szCs w:val="18"/>
          <w:color w:val="auto"/>
        </w:rPr>
        <w:t>. Neither party will originate any publicity, news release, or other public announcement, written or oral, whether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public, press or otherwise, relating to this Agreement or any amendment hereto or to performance hereunder or the existence of an arrangement between the parties, without the prior written approval of the other party, such approval not to be unreasonably withheld.</w:t>
      </w:r>
    </w:p>
    <w:p>
      <w:pPr>
        <w:spacing w:after="0" w:line="92" w:lineRule="exact"/>
        <w:rPr>
          <w:sz w:val="20"/>
          <w:szCs w:val="20"/>
          <w:color w:val="auto"/>
        </w:rPr>
      </w:pPr>
    </w:p>
    <w:p>
      <w:pPr>
        <w:ind w:left="1416" w:right="200" w:hanging="985"/>
        <w:spacing w:after="0" w:line="277" w:lineRule="auto"/>
        <w:tabs>
          <w:tab w:leader="none" w:pos="1396"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Use of Names in Promotions</w:t>
      </w:r>
      <w:r>
        <w:rPr>
          <w:rFonts w:ascii="Arial" w:cs="Arial" w:eastAsia="Arial" w:hAnsi="Arial"/>
          <w:sz w:val="18"/>
          <w:szCs w:val="18"/>
          <w:color w:val="auto"/>
        </w:rPr>
        <w:t>. Neither party shall use the name of the other for advertising or promotional claims without the prior</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written consent of the other party.</w:t>
      </w:r>
    </w:p>
    <w:p>
      <w:pPr>
        <w:spacing w:after="0" w:line="76" w:lineRule="exact"/>
        <w:rPr>
          <w:sz w:val="20"/>
          <w:szCs w:val="20"/>
          <w:color w:val="auto"/>
        </w:rPr>
      </w:pPr>
    </w:p>
    <w:p>
      <w:pPr>
        <w:jc w:val="both"/>
        <w:ind w:left="1416" w:hanging="985"/>
        <w:spacing w:after="0" w:line="312" w:lineRule="auto"/>
        <w:tabs>
          <w:tab w:leader="none" w:pos="1396"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Damages Inadequate</w:t>
      </w:r>
      <w:r>
        <w:rPr>
          <w:rFonts w:ascii="Arial" w:cs="Arial" w:eastAsia="Arial" w:hAnsi="Arial"/>
          <w:sz w:val="16"/>
          <w:szCs w:val="16"/>
          <w:color w:val="auto"/>
        </w:rPr>
        <w:t>. The parties acknowledge that monetary damages may be an inadequate remedy for any breach by a party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obligations under Section 9.1 and that the non-breaching party shall be entitled to seek injunctive relief and specific performance to enforce the breaching party’s obligations, in addition to any other remedies the non-breaching party may be entitled to at law.</w:t>
      </w:r>
    </w:p>
    <w:p>
      <w:pPr>
        <w:spacing w:after="0" w:line="291" w:lineRule="exact"/>
        <w:rPr>
          <w:sz w:val="20"/>
          <w:szCs w:val="20"/>
          <w:color w:val="auto"/>
        </w:rPr>
      </w:pPr>
    </w:p>
    <w:p>
      <w:pPr>
        <w:ind w:left="436" w:hanging="436"/>
        <w:spacing w:after="0"/>
        <w:tabs>
          <w:tab w:leader="none" w:pos="436"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20" w:hanging="98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Term</w:t>
      </w:r>
      <w:r>
        <w:rPr>
          <w:rFonts w:ascii="Arial" w:cs="Arial" w:eastAsia="Arial" w:hAnsi="Arial"/>
          <w:sz w:val="18"/>
          <w:szCs w:val="18"/>
          <w:color w:val="auto"/>
        </w:rPr>
        <w:t>. Unless sooner terminated as provided in Section 10.2 below or in Section 12.6, this Agreement shall have a term commencing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the Effective Date and expiring the date three (3) years thereafter.</w:t>
      </w:r>
    </w:p>
    <w:p>
      <w:pPr>
        <w:spacing w:after="0" w:line="75"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w:t>
      </w:r>
    </w:p>
    <w:p>
      <w:pPr>
        <w:spacing w:after="0" w:line="130" w:lineRule="exact"/>
        <w:rPr>
          <w:rFonts w:ascii="Arial" w:cs="Arial" w:eastAsia="Arial" w:hAnsi="Arial"/>
          <w:sz w:val="18"/>
          <w:szCs w:val="18"/>
          <w:b w:val="1"/>
          <w:bCs w:val="1"/>
          <w:color w:val="auto"/>
        </w:rPr>
      </w:pPr>
    </w:p>
    <w:p>
      <w:pPr>
        <w:ind w:left="1856" w:hanging="425"/>
        <w:spacing w:after="0"/>
        <w:tabs>
          <w:tab w:leader="none" w:pos="185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upon written notice by either party to the other party, if the other party is in Default (as defined in Section 10.3 below);</w:t>
      </w:r>
    </w:p>
    <w:p>
      <w:pPr>
        <w:spacing w:after="0" w:line="142" w:lineRule="exact"/>
        <w:rPr>
          <w:rFonts w:ascii="Arial" w:cs="Arial" w:eastAsia="Arial" w:hAnsi="Arial"/>
          <w:sz w:val="17"/>
          <w:szCs w:val="17"/>
          <w:color w:val="auto"/>
        </w:rPr>
      </w:pPr>
    </w:p>
    <w:p>
      <w:pPr>
        <w:ind w:left="1856" w:hanging="425"/>
        <w:spacing w:after="0"/>
        <w:tabs>
          <w:tab w:leader="none" w:pos="185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By written notice from the Purchaser to the Supplier in accordance with Section 4; or</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By either party upon twelve (12) months written notice to the other party.</w:t>
      </w:r>
    </w:p>
    <w:p>
      <w:pPr>
        <w:spacing w:after="0" w:line="131" w:lineRule="exact"/>
        <w:rPr>
          <w:sz w:val="20"/>
          <w:szCs w:val="20"/>
          <w:color w:val="auto"/>
        </w:rPr>
      </w:pPr>
    </w:p>
    <w:p>
      <w:pPr>
        <w:ind w:left="1416" w:right="160" w:hanging="985"/>
        <w:spacing w:after="0" w:line="257" w:lineRule="auto"/>
        <w:tabs>
          <w:tab w:leader="none" w:pos="1396"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Default</w:t>
      </w:r>
      <w:r>
        <w:rPr>
          <w:rFonts w:ascii="Arial" w:cs="Arial" w:eastAsia="Arial" w:hAnsi="Arial"/>
          <w:sz w:val="18"/>
          <w:szCs w:val="18"/>
          <w:color w:val="auto"/>
        </w:rPr>
        <w:t>. A party shall be in “Default” (i) if such party becomes the subject of a Bankruptcy Event; (ii) with respect to Purchaser, if</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Purchaser fails to make full payment of the Purchase Price when due and such failure continues for [*] after notification of non-payment by Supplier; or (iii) if such party breaches any other material provision of this Agreement and fails to remedy such default within [*] after receipt of written notice thereof, which notice shall state, with particularity, the grounds for such claimed default.</w:t>
      </w:r>
    </w:p>
    <w:p>
      <w:pPr>
        <w:spacing w:after="0" w:line="94" w:lineRule="exact"/>
        <w:rPr>
          <w:sz w:val="20"/>
          <w:szCs w:val="20"/>
          <w:color w:val="auto"/>
        </w:rPr>
      </w:pPr>
    </w:p>
    <w:p>
      <w:pPr>
        <w:ind w:left="1416" w:right="200" w:hanging="985"/>
        <w:spacing w:after="0" w:line="259" w:lineRule="auto"/>
        <w:tabs>
          <w:tab w:leader="none" w:pos="1396"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any expiration or termination of this Agreement, each party shall either return to the other or destroy,</w:t>
      </w:r>
      <w:r>
        <w:rPr>
          <w:rFonts w:ascii="Arial" w:cs="Arial" w:eastAsia="Arial" w:hAnsi="Arial"/>
          <w:sz w:val="18"/>
          <w:szCs w:val="18"/>
          <w:u w:val="single" w:color="auto"/>
          <w:color w:val="auto"/>
        </w:rPr>
        <w:t xml:space="preserve"> </w:t>
      </w:r>
      <w:r>
        <w:rPr>
          <w:rFonts w:ascii="Arial" w:cs="Arial" w:eastAsia="Arial" w:hAnsi="Arial"/>
          <w:sz w:val="18"/>
          <w:szCs w:val="18"/>
          <w:color w:val="auto"/>
        </w:rPr>
        <w:t>upon the other party’s request, all Confidential Information, Intellectual Property and any other proprietary materials of such requesting party. The provisions of Sections 4.6, 4.11, 4.17, 4.18, 5, 6, 7, 8, 9, 10.4, 11, and 12 shall survive any termination or expiration of this Agreement.</w:t>
      </w:r>
    </w:p>
    <w:p>
      <w:pPr>
        <w:spacing w:after="0" w:line="11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00" w:firstLine="4"/>
        <w:spacing w:after="0" w:line="261" w:lineRule="auto"/>
        <w:tabs>
          <w:tab w:leader="none" w:pos="25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4" w:right="479" w:bottom="1440" w:gutter="0" w:footer="0" w:header="0"/>
        </w:sectPr>
      </w:pPr>
    </w:p>
    <w:bookmarkStart w:id="297" w:name="page298"/>
    <w:bookmarkEnd w:id="297"/>
    <w:p>
      <w:pPr>
        <w:ind w:left="436" w:hanging="436"/>
        <w:spacing w:after="0"/>
        <w:tabs>
          <w:tab w:leader="none" w:pos="436"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Management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40" w:hanging="98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Contingency Plan</w:t>
      </w:r>
      <w:r>
        <w:rPr>
          <w:rFonts w:ascii="Arial" w:cs="Arial" w:eastAsia="Arial" w:hAnsi="Arial"/>
          <w:sz w:val="18"/>
          <w:szCs w:val="18"/>
          <w:color w:val="auto"/>
        </w:rPr>
        <w:t>. Supplier shall create and maintain a contingency plan to prevent an interruption of Product supply in the event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normal business is disrupted (“Contingency Plan”), which shall be approved in advance in writing by Purchaser. Changes to the Contingency Plan may not be made without Purchaser’s prior written approval. Supplier will review the Contingency Plan on a semi-annual basis to ensure the necessary components remain in place. The Contingency Plan shall contain adequate provisions for each of the following:</w:t>
      </w:r>
    </w:p>
    <w:p>
      <w:pPr>
        <w:spacing w:after="0" w:line="93" w:lineRule="exact"/>
        <w:rPr>
          <w:rFonts w:ascii="Arial" w:cs="Arial" w:eastAsia="Arial" w:hAnsi="Arial"/>
          <w:sz w:val="18"/>
          <w:szCs w:val="18"/>
          <w:b w:val="1"/>
          <w:bCs w:val="1"/>
          <w:color w:val="auto"/>
        </w:rPr>
      </w:pPr>
    </w:p>
    <w:p>
      <w:pPr>
        <w:ind w:left="2296" w:hanging="432"/>
        <w:spacing w:after="0"/>
        <w:tabs>
          <w:tab w:leader="none" w:pos="229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Off-site storage for tools and tool drawings;</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Raw material acquisition;</w:t>
      </w:r>
    </w:p>
    <w:p>
      <w:pPr>
        <w:spacing w:after="0" w:line="130" w:lineRule="exact"/>
        <w:rPr>
          <w:rFonts w:ascii="Arial" w:cs="Arial" w:eastAsia="Arial" w:hAnsi="Arial"/>
          <w:sz w:val="18"/>
          <w:szCs w:val="18"/>
          <w:color w:val="auto"/>
        </w:rPr>
      </w:pPr>
    </w:p>
    <w:p>
      <w:pPr>
        <w:ind w:left="2296" w:hanging="432"/>
        <w:spacing w:after="0"/>
        <w:tabs>
          <w:tab w:leader="none" w:pos="229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Back-up site(s) for manufacturing capability; and</w:t>
      </w:r>
    </w:p>
    <w:p>
      <w:pPr>
        <w:spacing w:after="0" w:line="130" w:lineRule="exact"/>
        <w:rPr>
          <w:rFonts w:ascii="Arial" w:cs="Arial" w:eastAsia="Arial" w:hAnsi="Arial"/>
          <w:sz w:val="18"/>
          <w:szCs w:val="18"/>
          <w:color w:val="auto"/>
        </w:rPr>
      </w:pPr>
    </w:p>
    <w:p>
      <w:pPr>
        <w:ind w:left="2296" w:right="340" w:hanging="432"/>
        <w:spacing w:after="0" w:line="277" w:lineRule="auto"/>
        <w:tabs>
          <w:tab w:leader="none" w:pos="229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Assurance that, given an interruption in the normal business process, Products could be produced within [*] of such interruption.</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16" w:right="40" w:hanging="98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Independent Contractor Status</w:t>
      </w:r>
      <w:r>
        <w:rPr>
          <w:rFonts w:ascii="Arial" w:cs="Arial" w:eastAsia="Arial" w:hAnsi="Arial"/>
          <w:sz w:val="18"/>
          <w:szCs w:val="18"/>
          <w:color w:val="auto"/>
        </w:rPr>
        <w:t>. The relationship between the Supplier and the Purchaser is that of independent contractors,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nothing contained herein shall be deemed to create a relationship of employer and employee, principal and agent, partners, or otherwise. Neither party shall have any authority to obligate the other in any respect nor hold itself out as having any such authority. All personnel of the Supplier shall be solely employees of the Supplier and shall not represent themselves as employees of the Purchaser, and all personnel of the Purchaser shall be solely employees of the Purchaser and shall not represent themselves as employees of the Supplier.</w:t>
      </w:r>
    </w:p>
    <w:p>
      <w:pPr>
        <w:spacing w:after="0" w:line="98" w:lineRule="exact"/>
        <w:rPr>
          <w:rFonts w:ascii="Arial" w:cs="Arial" w:eastAsia="Arial" w:hAnsi="Arial"/>
          <w:sz w:val="18"/>
          <w:szCs w:val="18"/>
          <w:b w:val="1"/>
          <w:bCs w:val="1"/>
          <w:color w:val="auto"/>
        </w:rPr>
      </w:pPr>
    </w:p>
    <w:p>
      <w:pPr>
        <w:ind w:left="1416" w:hanging="98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11.2.</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delegate or subcontract its obligations without the other party’s prior express written consent.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Notwithstanding the foregoing, either party shall be permitted to assign all or part of this Agreement to a purchaser of all of, or the applicable portion of, such Party’s business (whether through asset sale, merger, consolidation, reorganization or other form of transaction) with written notice to the other party, except that Supplier may not assign this Agreement to any party that competes with Purchaser.</w:t>
      </w:r>
    </w:p>
    <w:p>
      <w:pPr>
        <w:spacing w:after="0" w:line="93" w:lineRule="exact"/>
        <w:rPr>
          <w:rFonts w:ascii="Arial" w:cs="Arial" w:eastAsia="Arial" w:hAnsi="Arial"/>
          <w:sz w:val="18"/>
          <w:szCs w:val="18"/>
          <w:b w:val="1"/>
          <w:bCs w:val="1"/>
          <w:color w:val="auto"/>
        </w:rPr>
      </w:pPr>
    </w:p>
    <w:p>
      <w:pPr>
        <w:ind w:left="1416" w:right="60" w:hanging="986"/>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11.3.</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is the full, complete, and exclusive agreement between the parties and supersedes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cancels any and all previous or contemporaneous agreements of whatever nature, whether written or oral, between them with respect to the matters covered herein. This Agreement may only be modified or amended in a writing signed by both parties.</w:t>
      </w:r>
    </w:p>
    <w:p>
      <w:pPr>
        <w:spacing w:after="0" w:line="52" w:lineRule="exact"/>
        <w:rPr>
          <w:rFonts w:ascii="Arial" w:cs="Arial" w:eastAsia="Arial" w:hAnsi="Arial"/>
          <w:sz w:val="18"/>
          <w:szCs w:val="18"/>
          <w:b w:val="1"/>
          <w:bCs w:val="1"/>
          <w:color w:val="auto"/>
        </w:rPr>
      </w:pPr>
    </w:p>
    <w:p>
      <w:pPr>
        <w:ind w:left="1416" w:right="120" w:hanging="986"/>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11.4.</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would be held in any jurisdiction to be invalid, prohibited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83" w:lineRule="exact"/>
        <w:rPr>
          <w:rFonts w:ascii="Arial" w:cs="Arial" w:eastAsia="Arial" w:hAnsi="Arial"/>
          <w:sz w:val="18"/>
          <w:szCs w:val="18"/>
          <w:b w:val="1"/>
          <w:bCs w:val="1"/>
          <w:color w:val="auto"/>
        </w:rPr>
      </w:pPr>
    </w:p>
    <w:p>
      <w:pPr>
        <w:ind w:left="1416" w:right="300" w:hanging="986"/>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11.5.</w:t>
      </w:r>
      <w:r>
        <w:rPr>
          <w:rFonts w:ascii="Arial" w:cs="Arial" w:eastAsia="Arial" w:hAnsi="Arial"/>
          <w:sz w:val="16"/>
          <w:szCs w:val="16"/>
          <w:u w:val="single" w:color="auto"/>
          <w:color w:val="auto"/>
        </w:rPr>
        <w:t>Remedies</w:t>
      </w:r>
      <w:r>
        <w:rPr>
          <w:rFonts w:ascii="Arial" w:cs="Arial" w:eastAsia="Arial" w:hAnsi="Arial"/>
          <w:sz w:val="16"/>
          <w:szCs w:val="16"/>
          <w:color w:val="auto"/>
        </w:rPr>
        <w:t>. Unless otherwise expressly provided, all remedies hereunder are cumulative, are in addition to any other remedies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for by law and may, to the extent permitted by law, be exercised concurrently or separately, and the exercise of any one remedy shall not be deemed to be an election of such remedy or to preclude the exercise of any other remedy.</w:t>
      </w:r>
    </w:p>
    <w:p>
      <w:pPr>
        <w:spacing w:after="0" w:line="7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00" w:firstLine="4"/>
        <w:spacing w:after="0" w:line="261" w:lineRule="auto"/>
        <w:tabs>
          <w:tab w:leader="none" w:pos="25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0" w:right="479" w:bottom="1440" w:gutter="0" w:footer="0" w:header="0"/>
        </w:sectPr>
      </w:pPr>
    </w:p>
    <w:bookmarkStart w:id="298" w:name="page299"/>
    <w:bookmarkEnd w:id="298"/>
    <w:p>
      <w:pPr>
        <w:ind w:left="1416" w:hanging="985"/>
        <w:spacing w:after="0" w:line="270"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w:t>
      </w:r>
      <w:r>
        <w:rPr>
          <w:sz w:val="20"/>
          <w:szCs w:val="20"/>
          <w:color w:val="auto"/>
        </w:rPr>
        <w:tab/>
      </w:r>
      <w:r>
        <w:rPr>
          <w:rFonts w:ascii="Arial" w:cs="Arial" w:eastAsia="Arial" w:hAnsi="Arial"/>
          <w:sz w:val="17"/>
          <w:szCs w:val="17"/>
          <w:u w:val="single" w:color="auto"/>
          <w:color w:val="auto"/>
        </w:rPr>
        <w:t>Force Majeure</w:t>
      </w:r>
      <w:r>
        <w:rPr>
          <w:rFonts w:ascii="Arial" w:cs="Arial" w:eastAsia="Arial" w:hAnsi="Arial"/>
          <w:sz w:val="17"/>
          <w:szCs w:val="17"/>
          <w:color w:val="auto"/>
        </w:rPr>
        <w:t>. The obligations of the Supplier and the Purchaser hereunder (except for the Purchaser’s obligations to make payment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 full for Products) shall be subject to any delays or non-performance caused in whole or part by any contingency or event beyond either party’s reasonable control, including, without limitation, any act of God; acts of any government or any agency or subdivision thereof; fire; strikes; war; machinery breakage; failure of a communications or internet provider; transportation delays; shortage of or inability to secure labor, fuel, energy, materials or supplies at reasonable prices or from regular sources; riots or acts of a public enemy; terrorist acts; and any existing or future laws or regulations with which Supplier, in its judgment and discretion, deems it advisable to comply as its legal duty. The party which is not performing its obligations under this Agreement as a result of an event of force majeure shall use diligent efforts to resume compliance with this Agreement as soon as possible. Should the event of force majeure continue unabated for a period of sixty (60) days or more, the party who’s performance has not been delayed or prevented may terminate this Agreement upon notice to the other party.</w:t>
      </w:r>
    </w:p>
    <w:p>
      <w:pPr>
        <w:spacing w:after="0" w:line="83" w:lineRule="exact"/>
        <w:rPr>
          <w:sz w:val="20"/>
          <w:szCs w:val="20"/>
          <w:color w:val="auto"/>
        </w:rPr>
      </w:pPr>
    </w:p>
    <w:p>
      <w:pPr>
        <w:ind w:left="1416" w:right="20" w:hanging="985"/>
        <w:spacing w:after="0" w:line="290" w:lineRule="auto"/>
        <w:tabs>
          <w:tab w:leader="none" w:pos="1396"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consent or communication (collectively, a “Notice”) under this Agreement shall be effective if it is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writing and (i) personally delivered, (ii) sent by certified or registered mail, postage prepaid, return receipt requested, (iii) sent by an internationally recognized overnight delivery service, with delivery confirmed, or (iv) telexed or telecopied, with receipt confirmed, addressed as set forth in this Section or to such address as shall be furnished by either party hereto to the other party hereto. A Notice shall be deemed to have been given as of (a) the date when personally delivered, (b) when received if delivered by the United States Postal Service, certified or registered mail, properly addressed, return receipt requested, postage prepaid, or by overnight delivery service, or (c) immediately, upon confirmation of receipt of the telex or telecopy, as the case may be. All Notices shall specifically state: the provision (or provisions) of this Agreement with respect to which such Notice is given and shall be addressed as follows:</w:t>
      </w:r>
    </w:p>
    <w:p>
      <w:pPr>
        <w:sectPr>
          <w:pgSz w:w="11900" w:h="16838" w:orient="portrait"/>
          <w:cols w:equalWidth="0" w:num="1">
            <w:col w:w="11016"/>
          </w:cols>
          <w:pgMar w:left="444" w:top="274" w:right="439" w:bottom="1440" w:gutter="0" w:footer="0" w:header="0"/>
        </w:sectPr>
      </w:pPr>
    </w:p>
    <w:p>
      <w:pPr>
        <w:spacing w:after="0" w:line="193" w:lineRule="exact"/>
        <w:rPr>
          <w:sz w:val="20"/>
          <w:szCs w:val="20"/>
          <w:color w:val="auto"/>
        </w:rPr>
      </w:pPr>
    </w:p>
    <w:p>
      <w:pPr>
        <w:ind w:left="1656"/>
        <w:spacing w:after="0"/>
        <w:rPr>
          <w:sz w:val="20"/>
          <w:szCs w:val="20"/>
          <w:color w:val="auto"/>
        </w:rPr>
      </w:pPr>
      <w:r>
        <w:rPr>
          <w:rFonts w:ascii="Arial" w:cs="Arial" w:eastAsia="Arial" w:hAnsi="Arial"/>
          <w:sz w:val="16"/>
          <w:szCs w:val="16"/>
          <w:color w:val="auto"/>
        </w:rPr>
        <w:t>If to the Supplier: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to the Purchaser:</w:t>
      </w:r>
    </w:p>
    <w:p>
      <w:pPr>
        <w:spacing w:after="0" w:line="200" w:lineRule="exact"/>
        <w:rPr>
          <w:sz w:val="20"/>
          <w:szCs w:val="20"/>
          <w:color w:val="auto"/>
        </w:rPr>
      </w:pPr>
    </w:p>
    <w:p>
      <w:pPr>
        <w:sectPr>
          <w:pgSz w:w="11900" w:h="16838" w:orient="portrait"/>
          <w:cols w:equalWidth="0" w:num="2">
            <w:col w:w="4676" w:space="720"/>
            <w:col w:w="5620"/>
          </w:cols>
          <w:pgMar w:left="444" w:top="274" w:right="439" w:bottom="1440" w:gutter="0" w:footer="0" w:header="0"/>
          <w:type w:val="continuous"/>
        </w:sectPr>
      </w:pPr>
    </w:p>
    <w:p>
      <w:pPr>
        <w:spacing w:after="0" w:line="48" w:lineRule="exact"/>
        <w:rPr>
          <w:sz w:val="20"/>
          <w:szCs w:val="20"/>
          <w:color w:val="auto"/>
        </w:rPr>
      </w:pPr>
    </w:p>
    <w:p>
      <w:pPr>
        <w:ind w:left="1656"/>
        <w:spacing w:after="0"/>
        <w:rPr>
          <w:sz w:val="20"/>
          <w:szCs w:val="20"/>
          <w:color w:val="auto"/>
        </w:rPr>
      </w:pPr>
      <w:r>
        <w:rPr>
          <w:rFonts w:ascii="Arial" w:cs="Arial" w:eastAsia="Arial" w:hAnsi="Arial"/>
          <w:sz w:val="17"/>
          <w:szCs w:val="17"/>
          <w:color w:val="auto"/>
        </w:rPr>
        <w:t>Orchid MPS Holdings, LLC</w:t>
      </w:r>
    </w:p>
    <w:p>
      <w:pPr>
        <w:spacing w:after="0" w:line="35" w:lineRule="exact"/>
        <w:rPr>
          <w:sz w:val="20"/>
          <w:szCs w:val="20"/>
          <w:color w:val="auto"/>
        </w:rPr>
      </w:pPr>
    </w:p>
    <w:p>
      <w:pPr>
        <w:ind w:left="1656"/>
        <w:spacing w:after="0"/>
        <w:rPr>
          <w:sz w:val="20"/>
          <w:szCs w:val="20"/>
          <w:color w:val="auto"/>
        </w:rPr>
      </w:pPr>
      <w:r>
        <w:rPr>
          <w:rFonts w:ascii="Arial" w:cs="Arial" w:eastAsia="Arial" w:hAnsi="Arial"/>
          <w:sz w:val="18"/>
          <w:szCs w:val="18"/>
          <w:color w:val="auto"/>
        </w:rPr>
        <w:t>1489 Cedar St.</w:t>
      </w:r>
    </w:p>
    <w:p>
      <w:pPr>
        <w:spacing w:after="0" w:line="9" w:lineRule="exact"/>
        <w:rPr>
          <w:sz w:val="20"/>
          <w:szCs w:val="20"/>
          <w:color w:val="auto"/>
        </w:rPr>
      </w:pPr>
    </w:p>
    <w:p>
      <w:pPr>
        <w:ind w:left="1656"/>
        <w:spacing w:after="0"/>
        <w:rPr>
          <w:sz w:val="20"/>
          <w:szCs w:val="20"/>
          <w:color w:val="auto"/>
        </w:rPr>
      </w:pPr>
      <w:r>
        <w:rPr>
          <w:rFonts w:ascii="Arial" w:cs="Arial" w:eastAsia="Arial" w:hAnsi="Arial"/>
          <w:sz w:val="18"/>
          <w:szCs w:val="18"/>
          <w:color w:val="auto"/>
        </w:rPr>
        <w:t>Holt, MI 48842</w:t>
      </w:r>
    </w:p>
    <w:p>
      <w:pPr>
        <w:spacing w:after="0" w:line="9" w:lineRule="exact"/>
        <w:rPr>
          <w:sz w:val="20"/>
          <w:szCs w:val="20"/>
          <w:color w:val="auto"/>
        </w:rPr>
      </w:pPr>
    </w:p>
    <w:p>
      <w:pPr>
        <w:ind w:left="1656"/>
        <w:spacing w:after="0"/>
        <w:rPr>
          <w:sz w:val="20"/>
          <w:szCs w:val="20"/>
          <w:color w:val="auto"/>
        </w:rPr>
      </w:pPr>
      <w:r>
        <w:rPr>
          <w:rFonts w:ascii="Arial" w:cs="Arial" w:eastAsia="Arial" w:hAnsi="Arial"/>
          <w:sz w:val="18"/>
          <w:szCs w:val="18"/>
          <w:color w:val="auto"/>
        </w:rPr>
        <w:t>ATTN: VP Sales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95128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CFO</w:t>
      </w:r>
    </w:p>
    <w:p>
      <w:pPr>
        <w:spacing w:after="0" w:line="200" w:lineRule="exact"/>
        <w:rPr>
          <w:sz w:val="20"/>
          <w:szCs w:val="20"/>
          <w:color w:val="auto"/>
        </w:rPr>
      </w:pPr>
    </w:p>
    <w:p>
      <w:pPr>
        <w:sectPr>
          <w:pgSz w:w="11900" w:h="16838" w:orient="portrait"/>
          <w:cols w:equalWidth="0" w:num="2">
            <w:col w:w="4676" w:space="720"/>
            <w:col w:w="5620"/>
          </w:cols>
          <w:pgMar w:left="444" w:top="274" w:right="439" w:bottom="1440" w:gutter="0" w:footer="0" w:header="0"/>
          <w:type w:val="continuous"/>
        </w:sectPr>
      </w:pPr>
    </w:p>
    <w:p>
      <w:pPr>
        <w:spacing w:after="0" w:line="38" w:lineRule="exact"/>
        <w:rPr>
          <w:sz w:val="20"/>
          <w:szCs w:val="20"/>
          <w:color w:val="auto"/>
        </w:rPr>
      </w:pPr>
    </w:p>
    <w:p>
      <w:pPr>
        <w:ind w:left="1416" w:right="60" w:hanging="985"/>
        <w:spacing w:after="0" w:line="286" w:lineRule="auto"/>
        <w:tabs>
          <w:tab w:leader="none" w:pos="1396"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Permits and Compliance</w:t>
      </w:r>
      <w:r>
        <w:rPr>
          <w:rFonts w:ascii="Arial" w:cs="Arial" w:eastAsia="Arial" w:hAnsi="Arial"/>
          <w:sz w:val="16"/>
          <w:szCs w:val="16"/>
          <w:color w:val="auto"/>
        </w:rPr>
        <w:t>. Supplier agrees to procure all necessary permits or licenses and abide by all applicable laws, regulations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ordinances of the United States and of the state, territory and political subdivision in which the work under this Agreement is performed. Supplier hereby represents and warrants that it and its personnel: (i) are not currently excluded, debarred, or otherwise ineligible to participate in federal health care programs as defined in 42 U.S.C. § 1320a-7b(f) (the “Federal Health Care Programs”);</w:t>
      </w:r>
    </w:p>
    <w:p>
      <w:pPr>
        <w:spacing w:after="0" w:line="2" w:lineRule="exact"/>
        <w:rPr>
          <w:sz w:val="20"/>
          <w:szCs w:val="20"/>
          <w:color w:val="auto"/>
        </w:rPr>
      </w:pPr>
    </w:p>
    <w:p>
      <w:pPr>
        <w:ind w:left="1416" w:right="100" w:firstLine="2"/>
        <w:spacing w:after="0" w:line="254" w:lineRule="auto"/>
        <w:tabs>
          <w:tab w:leader="none" w:pos="168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are not convicted of a criminal offense related to providing health care items or services but have not yet been excluded, debarred, or otherwise declared ineligible to participate in the Federal Health Care Programs, and (iii) are not under investigation or otherwise aware of any circumstances that may result in being excluded, debarred, or otherwise declared to participate in Federal Health Care Programs</w:t>
      </w:r>
    </w:p>
    <w:p>
      <w:pPr>
        <w:spacing w:after="0" w:line="95" w:lineRule="exact"/>
        <w:rPr>
          <w:sz w:val="20"/>
          <w:szCs w:val="20"/>
          <w:color w:val="auto"/>
        </w:rPr>
      </w:pPr>
    </w:p>
    <w:p>
      <w:pPr>
        <w:ind w:left="1416" w:right="260" w:hanging="985"/>
        <w:spacing w:after="0" w:line="259" w:lineRule="auto"/>
        <w:tabs>
          <w:tab w:leader="none" w:pos="1396"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constructed in accordance with the laws of California without regard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conflicts of the law principles thereof. Any dispute between the Parties in relation to or in connection with this Agreement (including those relevant to the validity, construction, execution and termination of the same) shall be submitted to the exclusive jurisdiction of courts located in San Jose, Santa Clara County, California.</w:t>
      </w:r>
    </w:p>
    <w:p>
      <w:pPr>
        <w:spacing w:after="0" w:line="1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340" w:firstLine="4"/>
        <w:spacing w:after="0" w:line="261" w:lineRule="auto"/>
        <w:tabs>
          <w:tab w:leader="none" w:pos="2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6"/>
          </w:cols>
          <w:pgMar w:left="444" w:top="274" w:right="439" w:bottom="1440" w:gutter="0" w:footer="0" w:header="0"/>
          <w:type w:val="continuous"/>
        </w:sectPr>
      </w:pPr>
    </w:p>
    <w:bookmarkStart w:id="299" w:name="page300"/>
    <w:bookmarkEnd w:id="299"/>
    <w:p>
      <w:pPr>
        <w:ind w:left="1416" w:hanging="985"/>
        <w:spacing w:after="0" w:line="264"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w:t>
      </w:r>
      <w:r>
        <w:rPr>
          <w:sz w:val="20"/>
          <w:szCs w:val="20"/>
          <w:color w:val="auto"/>
        </w:rPr>
        <w:tab/>
      </w:r>
      <w:r>
        <w:rPr>
          <w:rFonts w:ascii="Arial" w:cs="Arial" w:eastAsia="Arial" w:hAnsi="Arial"/>
          <w:sz w:val="18"/>
          <w:szCs w:val="18"/>
          <w:u w:val="single" w:color="auto"/>
          <w:color w:val="auto"/>
        </w:rPr>
        <w:t>Waivers</w:t>
      </w:r>
      <w:r>
        <w:rPr>
          <w:rFonts w:ascii="Arial" w:cs="Arial" w:eastAsia="Arial" w:hAnsi="Arial"/>
          <w:sz w:val="18"/>
          <w:szCs w:val="18"/>
          <w:color w:val="auto"/>
        </w:rPr>
        <w:t>. The failure of either party to assert a right hereunder or to insist upon compliance with any term or condition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shall not constitute a waiver of that right or excuse a similar subsequent failure to perform any such term or condition by the other party.</w:t>
      </w:r>
    </w:p>
    <w:p>
      <w:pPr>
        <w:spacing w:after="0" w:line="87" w:lineRule="exact"/>
        <w:rPr>
          <w:sz w:val="20"/>
          <w:szCs w:val="20"/>
          <w:color w:val="auto"/>
        </w:rPr>
      </w:pPr>
    </w:p>
    <w:p>
      <w:pPr>
        <w:jc w:val="both"/>
        <w:ind w:left="1416" w:right="180" w:hanging="985"/>
        <w:spacing w:after="0" w:line="264" w:lineRule="auto"/>
        <w:tabs>
          <w:tab w:leader="none" w:pos="1396"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execution by each of the parties of any one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such counterparts will constitute due execution of this Agreement. Each such counterpart hereof shall be deemed to be an original instrument, and all such counterparts together shall constitute but one agreement.</w:t>
      </w:r>
    </w:p>
    <w:p>
      <w:pPr>
        <w:spacing w:after="0" w:line="87" w:lineRule="exact"/>
        <w:rPr>
          <w:sz w:val="20"/>
          <w:szCs w:val="20"/>
          <w:color w:val="auto"/>
        </w:rPr>
      </w:pPr>
    </w:p>
    <w:p>
      <w:pPr>
        <w:jc w:val="both"/>
        <w:ind w:left="1416" w:right="160" w:hanging="985"/>
        <w:spacing w:after="0" w:line="277" w:lineRule="auto"/>
        <w:tabs>
          <w:tab w:leader="none" w:pos="1396"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for reference purposes only and shall not affect in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way the meaning or interpretation of this Agreement.</w:t>
      </w:r>
    </w:p>
    <w:p>
      <w:pPr>
        <w:spacing w:after="0" w:line="166" w:lineRule="exact"/>
        <w:rPr>
          <w:sz w:val="20"/>
          <w:szCs w:val="20"/>
          <w:color w:val="auto"/>
        </w:rPr>
      </w:pPr>
    </w:p>
    <w:p>
      <w:pPr>
        <w:jc w:val="center"/>
        <w:ind w:right="-75"/>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158"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left="-4" w:right="260" w:firstLine="4"/>
        <w:spacing w:after="0" w:line="261" w:lineRule="auto"/>
        <w:tabs>
          <w:tab w:leader="none" w:pos="2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36"/>
          </w:cols>
          <w:pgMar w:left="444" w:top="274" w:right="519" w:bottom="1440" w:gutter="0" w:footer="0" w:header="0"/>
        </w:sectPr>
      </w:pPr>
    </w:p>
    <w:bookmarkStart w:id="300" w:name="page301"/>
    <w:bookmarkEnd w:id="30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set forth beneath such person’s name.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SI-BONE, INC.</w:t>
            </w:r>
          </w:p>
        </w:tc>
        <w:tc>
          <w:tcPr>
            <w:tcW w:w="5840" w:type="dxa"/>
            <w:vAlign w:val="bottom"/>
            <w:gridSpan w:val="2"/>
          </w:tcPr>
          <w:p>
            <w:pPr>
              <w:ind w:left="640"/>
              <w:spacing w:after="0"/>
              <w:rPr>
                <w:sz w:val="20"/>
                <w:szCs w:val="20"/>
                <w:color w:val="auto"/>
              </w:rPr>
            </w:pPr>
            <w:r>
              <w:rPr>
                <w:rFonts w:ascii="Arial" w:cs="Arial" w:eastAsia="Arial" w:hAnsi="Arial"/>
                <w:sz w:val="18"/>
                <w:szCs w:val="18"/>
                <w:b w:val="1"/>
                <w:bCs w:val="1"/>
                <w:color w:val="auto"/>
              </w:rPr>
              <w:t>ORCHID MPS HOLDINGS, LLC</w:t>
            </w:r>
          </w:p>
        </w:tc>
      </w:tr>
      <w:tr>
        <w:trPr>
          <w:trHeight w:val="446"/>
        </w:trPr>
        <w:tc>
          <w:tcPr>
            <w:tcW w:w="5200" w:type="dxa"/>
            <w:vAlign w:val="bottom"/>
          </w:tcPr>
          <w:p>
            <w:pPr>
              <w:spacing w:after="0"/>
              <w:rPr>
                <w:sz w:val="20"/>
                <w:szCs w:val="20"/>
                <w:color w:val="auto"/>
              </w:rPr>
            </w:pPr>
            <w:r>
              <w:rPr>
                <w:rFonts w:ascii="Arial" w:cs="Arial" w:eastAsia="Arial" w:hAnsi="Arial"/>
                <w:sz w:val="18"/>
                <w:szCs w:val="18"/>
                <w:color w:val="auto"/>
              </w:rPr>
              <w:t>/s/ Jeffrey W. Dunn</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/s/ Matthew K. Burba</w:t>
            </w:r>
          </w:p>
        </w:tc>
      </w:tr>
      <w:tr>
        <w:trPr>
          <w:trHeight w:val="224"/>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640" w:type="dxa"/>
            <w:vAlign w:val="bottom"/>
          </w:tcPr>
          <w:p>
            <w:pPr>
              <w:spacing w:after="0"/>
              <w:rPr>
                <w:sz w:val="19"/>
                <w:szCs w:val="19"/>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17"/>
        </w:trPr>
        <w:tc>
          <w:tcPr>
            <w:tcW w:w="5200" w:type="dxa"/>
            <w:vAlign w:val="bottom"/>
          </w:tcPr>
          <w:p>
            <w:pPr>
              <w:spacing w:after="0"/>
              <w:rPr>
                <w:sz w:val="20"/>
                <w:szCs w:val="20"/>
                <w:color w:val="auto"/>
              </w:rPr>
            </w:pPr>
            <w:r>
              <w:rPr>
                <w:rFonts w:ascii="Arial" w:cs="Arial" w:eastAsia="Arial" w:hAnsi="Arial"/>
                <w:sz w:val="18"/>
                <w:szCs w:val="18"/>
                <w:color w:val="auto"/>
              </w:rPr>
              <w:t>Jeffrey W. Dunn</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Matthew K. Burba</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(Print Name)</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(Print Name)</w:t>
            </w:r>
          </w:p>
        </w:tc>
      </w:tr>
      <w:tr>
        <w:trPr>
          <w:trHeight w:val="418"/>
        </w:trPr>
        <w:tc>
          <w:tcPr>
            <w:tcW w:w="5200" w:type="dxa"/>
            <w:vAlign w:val="bottom"/>
          </w:tcPr>
          <w:p>
            <w:pPr>
              <w:spacing w:after="0"/>
              <w:rPr>
                <w:sz w:val="20"/>
                <w:szCs w:val="20"/>
                <w:color w:val="auto"/>
              </w:rPr>
            </w:pPr>
            <w:r>
              <w:rPr>
                <w:rFonts w:ascii="Arial" w:cs="Arial" w:eastAsia="Arial" w:hAnsi="Arial"/>
                <w:sz w:val="18"/>
                <w:szCs w:val="18"/>
                <w:color w:val="auto"/>
              </w:rPr>
              <w:t>President, CEO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EVP, Operations</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(Title)</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(Title)</w:t>
            </w: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Date  April 20, 2016</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Date  4/18/2016</w:t>
            </w: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7" w:lineRule="exact"/>
        <w:rPr>
          <w:sz w:val="20"/>
          <w:szCs w:val="20"/>
          <w:color w:val="auto"/>
        </w:rPr>
      </w:pPr>
    </w:p>
    <w:p>
      <w:pPr>
        <w:ind w:right="360" w:firstLine="4"/>
        <w:spacing w:after="0" w:line="261" w:lineRule="auto"/>
        <w:tabs>
          <w:tab w:leader="none" w:pos="2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74" w:right="41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No. 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Quality and Manufacturing Agreement 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Orchid MPS Holdings, LLC and SI-BONE, Inc.</w:t>
      </w:r>
    </w:p>
    <w:p>
      <w:pPr>
        <w:spacing w:after="0" w:line="207" w:lineRule="exact"/>
        <w:rPr>
          <w:sz w:val="20"/>
          <w:szCs w:val="20"/>
          <w:color w:val="auto"/>
        </w:rPr>
      </w:pPr>
    </w:p>
    <w:p>
      <w:pPr>
        <w:ind w:firstLine="881"/>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Addendum No. 1 to Quality and Manufacturing Agreement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Addendum No. 1</w:t>
      </w:r>
      <w:r>
        <w:rPr>
          <w:rFonts w:ascii="Arial" w:cs="Arial" w:eastAsia="Arial" w:hAnsi="Arial"/>
          <w:sz w:val="17"/>
          <w:szCs w:val="17"/>
          <w:color w:val="auto"/>
        </w:rPr>
        <w:t>”) evidences agreements between Orchid MPS Holdings, LLC together with its subsidiaries and affiliates on the one hand (“</w:t>
      </w:r>
      <w:r>
        <w:rPr>
          <w:rFonts w:ascii="Arial" w:cs="Arial" w:eastAsia="Arial" w:hAnsi="Arial"/>
          <w:sz w:val="17"/>
          <w:szCs w:val="17"/>
          <w:b w:val="1"/>
          <w:bCs w:val="1"/>
          <w:i w:val="1"/>
          <w:iCs w:val="1"/>
          <w:color w:val="auto"/>
        </w:rPr>
        <w:t>Supplier</w:t>
      </w:r>
      <w:r>
        <w:rPr>
          <w:rFonts w:ascii="Arial" w:cs="Arial" w:eastAsia="Arial" w:hAnsi="Arial"/>
          <w:sz w:val="17"/>
          <w:szCs w:val="17"/>
          <w:color w:val="auto"/>
        </w:rPr>
        <w:t>”) and SI-BONE, Inc. and its subsidiaries and affiliates on the other hand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and modifies and supplements that certain Quality and Manufacturing Agreement by and between the parties with an effective date of April 18, 2016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and together with this Addendum No. 1,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This Addendum No. 1 is intended to, among other things, allow Supplier to hold a specified level of inventory to better support Purchaser’s business. Capitalized terms used and not defined in this Addendum No. 1 shall have the meaning given them in the Original Agreement.</w:t>
      </w:r>
    </w:p>
    <w:p>
      <w:pPr>
        <w:spacing w:after="0" w:line="174" w:lineRule="exact"/>
        <w:rPr>
          <w:sz w:val="20"/>
          <w:szCs w:val="20"/>
          <w:color w:val="auto"/>
        </w:rPr>
      </w:pPr>
    </w:p>
    <w:p>
      <w:pPr>
        <w:ind w:left="740" w:hanging="296"/>
        <w:spacing w:after="0"/>
        <w:tabs>
          <w:tab w:leader="none" w:pos="740"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Should any conflict exist between this Addendum No. 1 and the Original Agreement, the terms of this Addendum No. 1 will</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control.</w:t>
      </w:r>
    </w:p>
    <w:p>
      <w:pPr>
        <w:spacing w:after="0" w:line="355" w:lineRule="exact"/>
        <w:rPr>
          <w:sz w:val="20"/>
          <w:szCs w:val="20"/>
          <w:color w:val="auto"/>
        </w:rPr>
      </w:pPr>
    </w:p>
    <w:p>
      <w:pPr>
        <w:ind w:left="860" w:hanging="424"/>
        <w:spacing w:after="0"/>
        <w:tabs>
          <w:tab w:leader="none" w:pos="8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 agrees to:</w:t>
      </w:r>
    </w:p>
    <w:p>
      <w:pPr>
        <w:spacing w:after="0" w:line="135" w:lineRule="exact"/>
        <w:rPr>
          <w:sz w:val="20"/>
          <w:szCs w:val="20"/>
          <w:color w:val="auto"/>
        </w:rPr>
      </w:pPr>
    </w:p>
    <w:p>
      <w:pPr>
        <w:ind w:left="860" w:right="60" w:hanging="424"/>
        <w:spacing w:after="0" w:line="257" w:lineRule="auto"/>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Hold the equivalent of [*] of machined implants and [*] of finished goods, in each case based on the then current Forecast. For purposes hereof, “machined implants” shall mean implants ready for TPS-coating and “finished goods” shall mean implants coated, packaged, sterilized and ready for shipment. Supplier will use [*] of the then current Forecast to make inventory determinations where [*] of finished goods inventory is required hereby. The inventory and lead time requirements set forth in this Addendum No. 1 shall apply only to items set forth on Schedule A.</w:t>
      </w:r>
    </w:p>
    <w:p>
      <w:pPr>
        <w:spacing w:after="0" w:line="93" w:lineRule="exact"/>
        <w:rPr>
          <w:rFonts w:ascii="Arial" w:cs="Arial" w:eastAsia="Arial" w:hAnsi="Arial"/>
          <w:sz w:val="18"/>
          <w:szCs w:val="18"/>
          <w:color w:val="auto"/>
        </w:rPr>
      </w:pPr>
    </w:p>
    <w:p>
      <w:pPr>
        <w:ind w:left="860" w:hanging="424"/>
        <w:spacing w:after="0"/>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Maintain a lead time not to exceed [*] for finished goods.</w:t>
      </w:r>
    </w:p>
    <w:p>
      <w:pPr>
        <w:spacing w:after="0" w:line="130" w:lineRule="exact"/>
        <w:rPr>
          <w:rFonts w:ascii="Arial" w:cs="Arial" w:eastAsia="Arial" w:hAnsi="Arial"/>
          <w:sz w:val="18"/>
          <w:szCs w:val="18"/>
          <w:color w:val="auto"/>
        </w:rPr>
      </w:pPr>
    </w:p>
    <w:p>
      <w:pPr>
        <w:ind w:left="860" w:right="240" w:hanging="424"/>
        <w:spacing w:after="0" w:line="277" w:lineRule="auto"/>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Hold pricing per Schedule A to the Amendment for at least one year from the date of this Addendum No. 1. Thereafter, price adjustments shall be subject to the mechanism set forth in Section 3.1 of the Original Agreement.</w:t>
      </w:r>
    </w:p>
    <w:p>
      <w:pPr>
        <w:spacing w:after="0" w:line="75" w:lineRule="exact"/>
        <w:rPr>
          <w:rFonts w:ascii="Arial" w:cs="Arial" w:eastAsia="Arial" w:hAnsi="Arial"/>
          <w:sz w:val="18"/>
          <w:szCs w:val="18"/>
          <w:color w:val="auto"/>
        </w:rPr>
      </w:pPr>
    </w:p>
    <w:p>
      <w:pPr>
        <w:ind w:left="860" w:right="80" w:hanging="424"/>
        <w:spacing w:after="0" w:line="308" w:lineRule="auto"/>
        <w:tabs>
          <w:tab w:leader="none" w:pos="8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Keep purchaser informed of any significant changes in its business which could reasonably be foreseen to impact Supplier’s inventory, lead time, volume limitations or any other aspect of its performance under the Original Agreement or this Addendum No. 1.</w:t>
      </w:r>
    </w:p>
    <w:p>
      <w:pPr>
        <w:spacing w:after="0" w:line="51" w:lineRule="exact"/>
        <w:rPr>
          <w:rFonts w:ascii="Arial" w:cs="Arial" w:eastAsia="Arial" w:hAnsi="Arial"/>
          <w:sz w:val="17"/>
          <w:szCs w:val="17"/>
          <w:color w:val="auto"/>
        </w:rPr>
      </w:pPr>
    </w:p>
    <w:p>
      <w:pPr>
        <w:ind w:left="860" w:right="540" w:hanging="424"/>
        <w:spacing w:after="0" w:line="342" w:lineRule="auto"/>
        <w:tabs>
          <w:tab w:leader="none" w:pos="8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Not to assess any lot charges for one document change each [*]; thereafter, Supplier shall charge Purchaser only at its reasonable and customary hourly rates for engineering and other administrative time necessary to effectuate documentation changes.</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Participate in [*] Kanban review meetings to discuss:</w:t>
      </w:r>
    </w:p>
    <w:p>
      <w:pPr>
        <w:spacing w:after="0" w:line="130" w:lineRule="exact"/>
        <w:rPr>
          <w:rFonts w:ascii="Arial" w:cs="Arial" w:eastAsia="Arial" w:hAnsi="Arial"/>
          <w:sz w:val="18"/>
          <w:szCs w:val="18"/>
          <w:color w:val="auto"/>
        </w:rPr>
      </w:pPr>
    </w:p>
    <w:p>
      <w:pPr>
        <w:ind w:left="1860" w:right="20" w:hanging="425"/>
        <w:spacing w:after="0" w:line="277" w:lineRule="auto"/>
        <w:tabs>
          <w:tab w:leader="none" w:pos="1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Adding parts to the Original Agreement, provided there shall be no obligation on the part of Supplier to accept such additional parts;</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Removing parts from the Original Agreement;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Changing the levels held in inventory for various part numbers.</w:t>
      </w:r>
    </w:p>
    <w:p>
      <w:pPr>
        <w:spacing w:after="0" w:line="370" w:lineRule="exact"/>
        <w:rPr>
          <w:sz w:val="20"/>
          <w:szCs w:val="20"/>
          <w:color w:val="auto"/>
        </w:rPr>
      </w:pPr>
    </w:p>
    <w:p>
      <w:pPr>
        <w:ind w:left="860" w:hanging="424"/>
        <w:spacing w:after="0"/>
        <w:tabs>
          <w:tab w:leader="none" w:pos="8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Purchaser agrees to:</w:t>
      </w:r>
    </w:p>
    <w:p>
      <w:pPr>
        <w:spacing w:after="0" w:line="135" w:lineRule="exact"/>
        <w:rPr>
          <w:sz w:val="20"/>
          <w:szCs w:val="20"/>
          <w:color w:val="auto"/>
        </w:rPr>
      </w:pPr>
    </w:p>
    <w:p>
      <w:pPr>
        <w:ind w:left="860" w:hanging="424"/>
        <w:spacing w:after="0"/>
        <w:tabs>
          <w:tab w:leader="none" w:pos="8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Provide a rolling [*] Forecast by part number and month; Purchaser shall make good faith efforts to provide such Forecast with [*] detail.</w:t>
      </w:r>
    </w:p>
    <w:p>
      <w:pPr>
        <w:spacing w:after="0" w:line="153" w:lineRule="exact"/>
        <w:rPr>
          <w:rFonts w:ascii="Arial" w:cs="Arial" w:eastAsia="Arial" w:hAnsi="Arial"/>
          <w:sz w:val="16"/>
          <w:szCs w:val="16"/>
          <w:color w:val="auto"/>
        </w:rPr>
      </w:pPr>
    </w:p>
    <w:p>
      <w:pPr>
        <w:ind w:left="860" w:hanging="424"/>
        <w:spacing w:after="0"/>
        <w:tabs>
          <w:tab w:leader="none" w:pos="8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Provide a blanket purchase order for the [*] Forecast no less than [*] prior to the first required delivery date.</w:t>
      </w:r>
    </w:p>
    <w:p>
      <w:pPr>
        <w:spacing w:after="0" w:line="130"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Release against such blanket purchase order (“Orders” as described in the Original Agreement) shall be provided at least [*]. Such releases shall be in multiples of the bin size set forth on Schedule A to this Addendum No. 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320" w:firstLine="4"/>
        <w:spacing w:after="0" w:line="261" w:lineRule="auto"/>
        <w:tabs>
          <w:tab w:leader="none" w:pos="2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00"/>
          </w:cols>
          <w:pgMar w:left="440" w:top="270" w:right="459" w:bottom="1440" w:gutter="0" w:footer="0" w:header="0"/>
        </w:sectPr>
      </w:pPr>
    </w:p>
    <w:bookmarkStart w:id="302" w:name="page303"/>
    <w:bookmarkEnd w:id="302"/>
    <w:p>
      <w:pPr>
        <w:ind w:left="856" w:right="80" w:hanging="424"/>
        <w:spacing w:after="0" w:line="264" w:lineRule="auto"/>
        <w:tabs>
          <w:tab w:leader="none" w:pos="856"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releases against the then current blanket order for any parts that remain in Supplier’s Detroit inventory of finished goods for more than [*]; provided, however, that Purchaser shall have no obligation to purchase in excess of [*] worth of inventory based on the Forecast at the time of its original procurement by Supplier.</w:t>
      </w:r>
    </w:p>
    <w:p>
      <w:pPr>
        <w:spacing w:after="0" w:line="86" w:lineRule="exact"/>
        <w:rPr>
          <w:rFonts w:ascii="Arial" w:cs="Arial" w:eastAsia="Arial" w:hAnsi="Arial"/>
          <w:sz w:val="18"/>
          <w:szCs w:val="18"/>
          <w:color w:val="auto"/>
        </w:rPr>
      </w:pPr>
    </w:p>
    <w:p>
      <w:pPr>
        <w:ind w:left="856" w:right="440" w:hanging="424"/>
        <w:spacing w:after="0" w:line="342" w:lineRule="auto"/>
        <w:tabs>
          <w:tab w:leader="none" w:pos="85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Purchase any inventory throughout Supplier’s supply chain obsoleted by a revision change or obsoleting of a part, including packaging materials, at material cost (including Supplier’s standard labor rates) unless assembly processing has been completed.</w:t>
      </w:r>
    </w:p>
    <w:p>
      <w:pPr>
        <w:spacing w:after="0" w:line="29" w:lineRule="exact"/>
        <w:rPr>
          <w:rFonts w:ascii="Arial" w:cs="Arial" w:eastAsia="Arial" w:hAnsi="Arial"/>
          <w:sz w:val="16"/>
          <w:szCs w:val="16"/>
          <w:color w:val="auto"/>
        </w:rPr>
      </w:pPr>
    </w:p>
    <w:p>
      <w:pPr>
        <w:ind w:left="856" w:hanging="424"/>
        <w:spacing w:after="0"/>
        <w:tabs>
          <w:tab w:leader="none" w:pos="85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Participate in [*] Kanban review meetings to discuss:</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Adding parts to the Original Agreement, provided Purchaser shall have no obligation to add parts to the Original Agreement;</w:t>
      </w:r>
    </w:p>
    <w:p>
      <w:pPr>
        <w:spacing w:after="0" w:line="153" w:lineRule="exact"/>
        <w:rPr>
          <w:rFonts w:ascii="Arial" w:cs="Arial" w:eastAsia="Arial" w:hAnsi="Arial"/>
          <w:sz w:val="16"/>
          <w:szCs w:val="16"/>
          <w:color w:val="auto"/>
        </w:rPr>
      </w:pPr>
    </w:p>
    <w:p>
      <w:pPr>
        <w:ind w:left="1856" w:hanging="425"/>
        <w:spacing w:after="0"/>
        <w:tabs>
          <w:tab w:leader="none" w:pos="185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Removing parts from the Original Agreement; and</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Changing the levels held in inventory for various part numbers.</w:t>
      </w:r>
    </w:p>
    <w:p>
      <w:pPr>
        <w:spacing w:after="0" w:line="370" w:lineRule="exact"/>
        <w:rPr>
          <w:sz w:val="20"/>
          <w:szCs w:val="20"/>
          <w:color w:val="auto"/>
        </w:rPr>
      </w:pPr>
    </w:p>
    <w:p>
      <w:pPr>
        <w:ind w:left="436"/>
        <w:spacing w:after="0"/>
        <w:tabs>
          <w:tab w:leader="none" w:pos="836"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Miscellaneous.</w:t>
      </w:r>
    </w:p>
    <w:p>
      <w:pPr>
        <w:spacing w:after="0" w:line="135" w:lineRule="exact"/>
        <w:rPr>
          <w:sz w:val="20"/>
          <w:szCs w:val="20"/>
          <w:color w:val="auto"/>
        </w:rPr>
      </w:pPr>
    </w:p>
    <w:p>
      <w:pPr>
        <w:ind w:left="856" w:right="520" w:hanging="424"/>
        <w:spacing w:after="0" w:line="277" w:lineRule="auto"/>
        <w:tabs>
          <w:tab w:leader="none" w:pos="856"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parties take this opportunity to ratify the Original Agreement and confirm all of their respective obligations set forth therein, including the representations and warranties made to one another.</w:t>
      </w:r>
    </w:p>
    <w:p>
      <w:pPr>
        <w:spacing w:after="0" w:line="75" w:lineRule="exact"/>
        <w:rPr>
          <w:rFonts w:ascii="Arial" w:cs="Arial" w:eastAsia="Arial" w:hAnsi="Arial"/>
          <w:sz w:val="18"/>
          <w:szCs w:val="18"/>
          <w:color w:val="auto"/>
        </w:rPr>
      </w:pPr>
    </w:p>
    <w:p>
      <w:pPr>
        <w:ind w:left="856" w:right="280" w:hanging="424"/>
        <w:spacing w:after="0" w:line="277" w:lineRule="auto"/>
        <w:tabs>
          <w:tab w:leader="none" w:pos="856"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Original Agreement will be declared invalid, illegal or unenforceable, such provision will be severed and all remaining provisions will continue in full force and effect.</w:t>
      </w:r>
    </w:p>
    <w:p>
      <w:pPr>
        <w:spacing w:after="0" w:line="75" w:lineRule="exact"/>
        <w:rPr>
          <w:rFonts w:ascii="Arial" w:cs="Arial" w:eastAsia="Arial" w:hAnsi="Arial"/>
          <w:sz w:val="18"/>
          <w:szCs w:val="18"/>
          <w:color w:val="auto"/>
        </w:rPr>
      </w:pPr>
    </w:p>
    <w:p>
      <w:pPr>
        <w:ind w:left="856" w:hanging="424"/>
        <w:spacing w:after="0" w:line="257" w:lineRule="auto"/>
        <w:tabs>
          <w:tab w:leader="none" w:pos="856"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Original Agreement, including this Addendum No. 1, is the full, complete, and exclusive agreement between the parties and supersedes and cancels any and all previous or contemporaneous agreements of whatever nature, whether written or oral, between Supplier and Purchaser and their respective subsidiaries and affiliates with respect to its subject matter. The Agreement may only be modified or amended in a writing signed by both parties. Subject headings are for convenience of reference only and will in no way affect interpretation of the Agreement.</w:t>
      </w:r>
    </w:p>
    <w:p>
      <w:pPr>
        <w:spacing w:after="0" w:line="93" w:lineRule="exact"/>
        <w:rPr>
          <w:rFonts w:ascii="Arial" w:cs="Arial" w:eastAsia="Arial" w:hAnsi="Arial"/>
          <w:sz w:val="18"/>
          <w:szCs w:val="18"/>
          <w:color w:val="auto"/>
        </w:rPr>
      </w:pPr>
    </w:p>
    <w:p>
      <w:pPr>
        <w:ind w:left="856" w:right="120" w:hanging="424"/>
        <w:spacing w:after="0" w:line="264" w:lineRule="auto"/>
        <w:tabs>
          <w:tab w:leader="none" w:pos="856"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Addendum No. 1 may be executed in separate counterparts, and by facsimile, each of which will be deemed an original, and when executed separately or together, will constitute a single original instrument, effective in the same manner as if the parties had executed one and the same instrument.</w:t>
      </w:r>
    </w:p>
    <w:p>
      <w:pPr>
        <w:spacing w:after="0" w:line="17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4" w:right="340" w:firstLine="4"/>
        <w:spacing w:after="0" w:line="261" w:lineRule="auto"/>
        <w:tabs>
          <w:tab w:leader="none" w:pos="2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16"/>
          </w:cols>
          <w:pgMar w:left="444" w:top="274" w:right="43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Addendum No. 1 as of the date set forth beneath such person’s name.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c>
          <w:tcPr>
            <w:tcW w:w="5860" w:type="dxa"/>
            <w:vAlign w:val="bottom"/>
            <w:gridSpan w:val="3"/>
          </w:tcPr>
          <w:p>
            <w:pPr>
              <w:ind w:left="640"/>
              <w:spacing w:after="0"/>
              <w:rPr>
                <w:sz w:val="20"/>
                <w:szCs w:val="20"/>
                <w:color w:val="auto"/>
              </w:rPr>
            </w:pPr>
            <w:r>
              <w:rPr>
                <w:rFonts w:ascii="Arial" w:cs="Arial" w:eastAsia="Arial" w:hAnsi="Arial"/>
                <w:sz w:val="18"/>
                <w:szCs w:val="18"/>
                <w:b w:val="1"/>
                <w:bCs w:val="1"/>
                <w:color w:val="auto"/>
              </w:rPr>
              <w:t>SUPPLIER:</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SI-BONE, Inc.</w:t>
            </w:r>
          </w:p>
        </w:tc>
        <w:tc>
          <w:tcPr>
            <w:tcW w:w="5860" w:type="dxa"/>
            <w:vAlign w:val="bottom"/>
            <w:gridSpan w:val="3"/>
          </w:tcPr>
          <w:p>
            <w:pPr>
              <w:ind w:left="640"/>
              <w:spacing w:after="0"/>
              <w:rPr>
                <w:sz w:val="20"/>
                <w:szCs w:val="20"/>
                <w:color w:val="auto"/>
              </w:rPr>
            </w:pPr>
            <w:r>
              <w:rPr>
                <w:rFonts w:ascii="Arial" w:cs="Arial" w:eastAsia="Arial" w:hAnsi="Arial"/>
                <w:sz w:val="18"/>
                <w:szCs w:val="18"/>
                <w:b w:val="1"/>
                <w:bCs w:val="1"/>
                <w:color w:val="auto"/>
              </w:rPr>
              <w:t>Orchid MPS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/s/ Laura Francis</w:t>
            </w:r>
          </w:p>
        </w:tc>
        <w:tc>
          <w:tcPr>
            <w:tcW w:w="1180" w:type="dxa"/>
            <w:vAlign w:val="bottom"/>
          </w:tcPr>
          <w:p>
            <w:pPr>
              <w:ind w:left="640"/>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/s/ Patrick Davidson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180" w:type="dxa"/>
            <w:vAlign w:val="bottom"/>
          </w:tcPr>
          <w:p>
            <w:pPr>
              <w:ind w:left="64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Patrick Davidson</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CFO</w:t>
            </w:r>
          </w:p>
        </w:tc>
        <w:tc>
          <w:tcPr>
            <w:tcW w:w="1180" w:type="dxa"/>
            <w:vAlign w:val="bottom"/>
          </w:tcPr>
          <w:p>
            <w:pPr>
              <w:ind w:left="640"/>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General Manager</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Dated: 3/1/2017</w:t>
            </w:r>
          </w:p>
        </w:tc>
        <w:tc>
          <w:tcPr>
            <w:tcW w:w="5860" w:type="dxa"/>
            <w:vAlign w:val="bottom"/>
            <w:gridSpan w:val="3"/>
          </w:tcPr>
          <w:p>
            <w:pPr>
              <w:ind w:left="640"/>
              <w:spacing w:after="0"/>
              <w:rPr>
                <w:sz w:val="20"/>
                <w:szCs w:val="20"/>
                <w:color w:val="auto"/>
              </w:rPr>
            </w:pPr>
            <w:r>
              <w:rPr>
                <w:rFonts w:ascii="Arial" w:cs="Arial" w:eastAsia="Arial" w:hAnsi="Arial"/>
                <w:sz w:val="18"/>
                <w:szCs w:val="18"/>
                <w:color w:val="auto"/>
              </w:rPr>
              <w:t>Dated: 3/1/2017</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60" w:firstLine="4"/>
        <w:spacing w:after="0" w:line="261" w:lineRule="auto"/>
        <w:tabs>
          <w:tab w:leader="none" w:pos="2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70" w:right="419" w:bottom="1440" w:gutter="0" w:footer="0" w:header="0"/>
        </w:sectPr>
      </w:pPr>
    </w:p>
    <w:bookmarkStart w:id="304" w:name="page305"/>
    <w:bookmarkEnd w:id="304"/>
    <w:p>
      <w:pPr>
        <w:jc w:val="center"/>
        <w:ind w:right="-35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 to Addendum No. 1</w:t>
      </w:r>
    </w:p>
    <w:p>
      <w:pPr>
        <w:spacing w:after="0" w:line="27" w:lineRule="exact"/>
        <w:rPr>
          <w:sz w:val="20"/>
          <w:szCs w:val="20"/>
          <w:color w:val="auto"/>
        </w:rPr>
      </w:pPr>
    </w:p>
    <w:p>
      <w:pPr>
        <w:jc w:val="center"/>
        <w:ind w:right="-355"/>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355"/>
        <w:spacing w:after="0"/>
        <w:rPr>
          <w:sz w:val="20"/>
          <w:szCs w:val="20"/>
          <w:color w:val="auto"/>
        </w:rPr>
      </w:pPr>
      <w:r>
        <w:rPr>
          <w:rFonts w:ascii="Arial" w:cs="Arial" w:eastAsia="Arial" w:hAnsi="Arial"/>
          <w:sz w:val="18"/>
          <w:szCs w:val="18"/>
          <w:b w:val="1"/>
          <w:bCs w:val="1"/>
          <w:u w:val="single" w:color="auto"/>
          <w:color w:val="auto"/>
        </w:rPr>
        <w:t>Quality and Manufacturing Agreement by and between Orchid MPS Holdings, LLC and SI-BONE, Inc.</w:t>
      </w:r>
    </w:p>
    <w:p>
      <w:pPr>
        <w:spacing w:after="0" w:line="217" w:lineRule="exact"/>
        <w:rPr>
          <w:sz w:val="20"/>
          <w:szCs w:val="20"/>
          <w:color w:val="auto"/>
        </w:rPr>
      </w:pPr>
    </w:p>
    <w:tbl>
      <w:tblPr>
        <w:tblLayout w:type="fixed"/>
        <w:tblInd w:w="456"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Weeks</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Weeks</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Inventory</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Part Number</w:t>
            </w:r>
          </w:p>
        </w:tc>
        <w:tc>
          <w:tcPr>
            <w:tcW w:w="1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Bin Size</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(finished</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Inventory</w:t>
            </w:r>
          </w:p>
        </w:tc>
        <w:tc>
          <w:tcPr>
            <w:tcW w:w="0" w:type="dxa"/>
            <w:vAlign w:val="bottom"/>
          </w:tcPr>
          <w:p>
            <w:pPr>
              <w:spacing w:after="0"/>
              <w:rPr>
                <w:sz w:val="1"/>
                <w:szCs w:val="1"/>
                <w:color w:val="auto"/>
              </w:rPr>
            </w:pPr>
          </w:p>
        </w:tc>
      </w:tr>
      <w:tr>
        <w:trPr>
          <w:trHeight w:val="185"/>
        </w:trPr>
        <w:tc>
          <w:tcPr>
            <w:tcW w:w="236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goods)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(machined)</w:t>
            </w: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55"/>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4" w:firstLine="4"/>
        <w:spacing w:after="0" w:line="261" w:lineRule="auto"/>
        <w:tabs>
          <w:tab w:leader="none" w:pos="25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76"/>
          </w:cols>
          <w:pgMar w:left="444" w:top="269" w:right="77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QUALITY AND SUPPLY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THIS MANUFACTURING, QUALITY AND SUPPLY AGREEMENT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w:t>
      </w:r>
      <w:r>
        <w:rPr>
          <w:rFonts w:ascii="Arial" w:cs="Arial" w:eastAsia="Arial" w:hAnsi="Arial"/>
          <w:sz w:val="18"/>
          <w:szCs w:val="18"/>
          <w:b w:val="1"/>
          <w:bCs w:val="1"/>
          <w:color w:val="auto"/>
        </w:rPr>
        <w:t xml:space="preserve"> January 31, 2017 </w:t>
      </w:r>
      <w:r>
        <w:rPr>
          <w:rFonts w:ascii="Arial" w:cs="Arial" w:eastAsia="Arial" w:hAnsi="Arial"/>
          <w:sz w:val="18"/>
          <w:szCs w:val="18"/>
          <w:color w:val="auto"/>
        </w:rPr>
        <w:t>(the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SI-BONE,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having an address of 3055 Olin Ave., Ste. 2200, San Jose, CA 95128 (including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w:t>
      </w:r>
      <w:r>
        <w:rPr>
          <w:rFonts w:ascii="Arial" w:cs="Arial" w:eastAsia="Arial" w:hAnsi="Arial"/>
          <w:sz w:val="18"/>
          <w:szCs w:val="18"/>
          <w:b w:val="1"/>
          <w:bCs w:val="1"/>
          <w:i w:val="1"/>
          <w:iCs w:val="1"/>
          <w:color w:val="auto"/>
        </w:rPr>
        <w:t>SI-BONE</w:t>
      </w:r>
      <w:r>
        <w:rPr>
          <w:rFonts w:ascii="Arial" w:cs="Arial" w:eastAsia="Arial" w:hAnsi="Arial"/>
          <w:sz w:val="18"/>
          <w:szCs w:val="18"/>
          <w:color w:val="auto"/>
        </w:rPr>
        <w:t xml:space="preserve">”) and </w:t>
      </w:r>
      <w:r>
        <w:rPr>
          <w:rFonts w:ascii="Arial" w:cs="Arial" w:eastAsia="Arial" w:hAnsi="Arial"/>
          <w:sz w:val="18"/>
          <w:szCs w:val="18"/>
          <w:b w:val="1"/>
          <w:bCs w:val="1"/>
          <w:color w:val="auto"/>
        </w:rPr>
        <w:t>rms COMPANY</w:t>
      </w:r>
      <w:r>
        <w:rPr>
          <w:rFonts w:ascii="Arial" w:cs="Arial" w:eastAsia="Arial" w:hAnsi="Arial"/>
          <w:sz w:val="18"/>
          <w:szCs w:val="18"/>
          <w:color w:val="auto"/>
        </w:rPr>
        <w:t xml:space="preserve"> a Minnesota corporation having an address of 8600 Evergreen Blvd., Coon Rapids, MN 55433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Supplier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SI-BONE desires to engage the services of Supplier to perform the Manufacture of the Products (as those terms are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and sale by SI-BONE, on the terms and conditions set forth below,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Supplier desires to perform Services for SI-BONE on the terms and conditions set forth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370" w:lineRule="exact"/>
        <w:rPr>
          <w:sz w:val="20"/>
          <w:szCs w:val="20"/>
          <w:color w:val="auto"/>
        </w:rPr>
      </w:pPr>
    </w:p>
    <w:p>
      <w:pPr>
        <w:ind w:left="440" w:hanging="436"/>
        <w:spacing w:after="0"/>
        <w:tabs>
          <w:tab w:leader="none" w:pos="44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SUPPLY; FORECASTS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1.1</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92"/>
              </w:rPr>
              <w:t>Agreement to Supply</w:t>
            </w:r>
            <w:r>
              <w:rPr>
                <w:rFonts w:ascii="Arial" w:cs="Arial" w:eastAsia="Arial" w:hAnsi="Arial"/>
                <w:sz w:val="18"/>
                <w:szCs w:val="18"/>
                <w:color w:val="auto"/>
                <w:w w:val="92"/>
              </w:rPr>
              <w:t>. Except as provided in this Agreement, during the Term Supplier shall supply on a non-exclusive basis and</w:t>
            </w:r>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4"/>
              </w:rPr>
              <w:t>pursuant to this Agreement Product to SI-BONE to be sold, distributed or used otherwise as provided by SI-BONE. The parties</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1"/>
              </w:rPr>
              <w:t>acknowledge and agree that the accessories used in connection with the Product may be purchased by SI-BONE from Supplier or a</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third-party vendor or manufactured directly by, or otherwise obtained through, SI-BONE.</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1.2</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91"/>
              </w:rPr>
              <w:t>Forecasts</w:t>
            </w:r>
            <w:r>
              <w:rPr>
                <w:rFonts w:ascii="Arial" w:cs="Arial" w:eastAsia="Arial" w:hAnsi="Arial"/>
                <w:sz w:val="18"/>
                <w:szCs w:val="18"/>
                <w:color w:val="auto"/>
                <w:w w:val="91"/>
              </w:rPr>
              <w:t>. Within</w:t>
            </w:r>
            <w:r>
              <w:rPr>
                <w:rFonts w:ascii="Arial" w:cs="Arial" w:eastAsia="Arial" w:hAnsi="Arial"/>
                <w:sz w:val="18"/>
                <w:szCs w:val="18"/>
                <w:b w:val="1"/>
                <w:bCs w:val="1"/>
                <w:color w:val="auto"/>
                <w:w w:val="91"/>
              </w:rPr>
              <w:t xml:space="preserve"> ten days </w:t>
            </w:r>
            <w:r>
              <w:rPr>
                <w:rFonts w:ascii="Arial" w:cs="Arial" w:eastAsia="Arial" w:hAnsi="Arial"/>
                <w:sz w:val="18"/>
                <w:szCs w:val="18"/>
                <w:color w:val="auto"/>
                <w:w w:val="91"/>
              </w:rPr>
              <w:t>after the Effective Date, SI-BONE shall deliver to Supplier a forecast of its requirements for the Product</w:t>
            </w:r>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for each of the calendar quarters ending June 30, 20XX, September 30, 20XX, December 31, 20XX, and March 31, 20XX (with the</w:t>
            </w:r>
          </w:p>
        </w:tc>
      </w:tr>
      <w:tr>
        <w:trPr>
          <w:trHeight w:val="194"/>
        </w:trPr>
        <w:tc>
          <w:tcPr>
            <w:tcW w:w="980" w:type="dxa"/>
            <w:vAlign w:val="bottom"/>
          </w:tcPr>
          <w:p>
            <w:pPr>
              <w:spacing w:after="0"/>
              <w:rPr>
                <w:sz w:val="16"/>
                <w:szCs w:val="16"/>
                <w:color w:val="auto"/>
              </w:rPr>
            </w:pPr>
          </w:p>
        </w:tc>
        <w:tc>
          <w:tcPr>
            <w:tcW w:w="9580" w:type="dxa"/>
            <w:vAlign w:val="bottom"/>
            <w:gridSpan w:val="9"/>
          </w:tcPr>
          <w:p>
            <w:pPr>
              <w:spacing w:after="0" w:line="194" w:lineRule="exact"/>
              <w:rPr>
                <w:sz w:val="20"/>
                <w:szCs w:val="20"/>
                <w:color w:val="auto"/>
              </w:rPr>
            </w:pPr>
            <w:r>
              <w:rPr>
                <w:rFonts w:ascii="Arial" w:cs="Arial" w:eastAsia="Arial" w:hAnsi="Arial"/>
                <w:sz w:val="18"/>
                <w:szCs w:val="18"/>
                <w:color w:val="auto"/>
                <w:w w:val="97"/>
              </w:rPr>
              <w:t>period ending March 31, 2017 including the period starting with the Effective Date) (the “</w:t>
            </w:r>
            <w:r>
              <w:rPr>
                <w:rFonts w:ascii="Arial" w:cs="Arial" w:eastAsia="Arial" w:hAnsi="Arial"/>
                <w:sz w:val="18"/>
                <w:szCs w:val="18"/>
                <w:b w:val="1"/>
                <w:bCs w:val="1"/>
                <w:i w:val="1"/>
                <w:iCs w:val="1"/>
                <w:color w:val="auto"/>
                <w:w w:val="97"/>
              </w:rPr>
              <w:t>Forecast</w:t>
            </w:r>
            <w:r>
              <w:rPr>
                <w:rFonts w:ascii="Arial" w:cs="Arial" w:eastAsia="Arial" w:hAnsi="Arial"/>
                <w:sz w:val="18"/>
                <w:szCs w:val="18"/>
                <w:color w:val="auto"/>
                <w:w w:val="97"/>
              </w:rPr>
              <w:t xml:space="preserve">”). No later than </w:t>
            </w:r>
            <w:r>
              <w:rPr>
                <w:rFonts w:ascii="Arial" w:cs="Arial" w:eastAsia="Arial" w:hAnsi="Arial"/>
                <w:sz w:val="18"/>
                <w:szCs w:val="18"/>
                <w:b w:val="1"/>
                <w:bCs w:val="1"/>
                <w:color w:val="auto"/>
                <w:w w:val="97"/>
              </w:rPr>
              <w:t>ten days</w:t>
            </w:r>
          </w:p>
        </w:tc>
      </w:tr>
      <w:tr>
        <w:trPr>
          <w:trHeight w:val="20"/>
        </w:trPr>
        <w:tc>
          <w:tcPr>
            <w:tcW w:w="9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4"/>
              </w:rPr>
              <w:t>following the end of each [*] during the Term, SI-BONE shall update the Forecast in writing by providing to Supplier an updated</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Forecast for the following [*] (or such fewer number of [*] remaining in the Term). Except as provided in this Section 1.2, Forecasts</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shall be nonbinding and used and relied upon by Supplier only for Supplier’s internal capacity planning purposes.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1.3</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92"/>
              </w:rPr>
              <w:t>Purchase Orders</w:t>
            </w:r>
            <w:r>
              <w:rPr>
                <w:rFonts w:ascii="Arial" w:cs="Arial" w:eastAsia="Arial" w:hAnsi="Arial"/>
                <w:sz w:val="18"/>
                <w:szCs w:val="18"/>
                <w:color w:val="auto"/>
                <w:w w:val="92"/>
              </w:rPr>
              <w:t>. All purchases shall be pursuant to purchase orders submitted by SI-BONE to Supplier (an “</w:t>
            </w:r>
            <w:r>
              <w:rPr>
                <w:rFonts w:ascii="Arial" w:cs="Arial" w:eastAsia="Arial" w:hAnsi="Arial"/>
                <w:sz w:val="18"/>
                <w:szCs w:val="18"/>
                <w:b w:val="1"/>
                <w:bCs w:val="1"/>
                <w:i w:val="1"/>
                <w:iCs w:val="1"/>
                <w:color w:val="auto"/>
                <w:w w:val="92"/>
              </w:rPr>
              <w:t>Order</w:t>
            </w:r>
            <w:r>
              <w:rPr>
                <w:rFonts w:ascii="Arial" w:cs="Arial" w:eastAsia="Arial" w:hAnsi="Arial"/>
                <w:sz w:val="18"/>
                <w:szCs w:val="18"/>
                <w:color w:val="auto"/>
                <w:w w:val="92"/>
              </w:rPr>
              <w:t>”), which shall</w:t>
            </w:r>
          </w:p>
        </w:tc>
      </w:tr>
      <w:tr>
        <w:trPr>
          <w:trHeight w:val="20"/>
        </w:trPr>
        <w:tc>
          <w:tcPr>
            <w:tcW w:w="9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3"/>
              </w:rPr>
              <w:t>specify a delivery date no less than [*] after submission of the Order. SI-BONE shall submit Orders for the number of Products. If</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Supplier cannot satisfy such order, then Supplier shall provide written notice to SI-BONE no later than [*] after receipt of the Order</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1"/>
              </w:rPr>
              <w:t>specifying its alternative delivery date which may not be more than [*] after submission of the Order, unless otherwise agreed by the</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parties, provided that the Order quantities required are reasonably consistent with the current Forecast. An Order shall specify the</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4"/>
              </w:rPr>
              <w:t>Products ordered (including part numbers and revision levels if applicable), quantities of each Product ordered, price, requested</w:t>
            </w:r>
          </w:p>
        </w:tc>
      </w:tr>
      <w:tr>
        <w:trPr>
          <w:trHeight w:val="216"/>
        </w:trPr>
        <w:tc>
          <w:tcPr>
            <w:tcW w:w="98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2"/>
              </w:rPr>
              <w:t>delivery date and requested Product recipient, all of which shall be subject to Article 5. Orders may be changed only by the mutual</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written agreement of the parties.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1.4</w:t>
            </w:r>
          </w:p>
        </w:tc>
        <w:tc>
          <w:tcPr>
            <w:tcW w:w="9580" w:type="dxa"/>
            <w:vAlign w:val="bottom"/>
            <w:gridSpan w:val="9"/>
          </w:tcPr>
          <w:p>
            <w:pPr>
              <w:spacing w:after="0"/>
              <w:rPr>
                <w:sz w:val="20"/>
                <w:szCs w:val="20"/>
                <w:color w:val="auto"/>
              </w:rPr>
            </w:pPr>
            <w:r>
              <w:rPr>
                <w:rFonts w:ascii="Arial" w:cs="Arial" w:eastAsia="Arial" w:hAnsi="Arial"/>
                <w:sz w:val="18"/>
                <w:szCs w:val="18"/>
                <w:b w:val="1"/>
                <w:bCs w:val="1"/>
                <w:color w:val="auto"/>
                <w:w w:val="89"/>
              </w:rPr>
              <w:t>Vendors and Subcontractors</w:t>
            </w:r>
            <w:r>
              <w:rPr>
                <w:rFonts w:ascii="Arial" w:cs="Arial" w:eastAsia="Arial" w:hAnsi="Arial"/>
                <w:sz w:val="18"/>
                <w:szCs w:val="18"/>
                <w:color w:val="auto"/>
                <w:w w:val="89"/>
              </w:rPr>
              <w:t>. Supplier shall not (i) change the vendors from whom Supplier sources components of the Products as</w:t>
            </w:r>
          </w:p>
        </w:tc>
      </w:tr>
      <w:tr>
        <w:trPr>
          <w:trHeight w:val="20"/>
        </w:trPr>
        <w:tc>
          <w:tcPr>
            <w:tcW w:w="980" w:type="dxa"/>
            <w:vAlign w:val="bottom"/>
          </w:tcPr>
          <w:p>
            <w:pPr>
              <w:spacing w:after="0" w:line="20" w:lineRule="exact"/>
              <w:rPr>
                <w:sz w:val="1"/>
                <w:szCs w:val="1"/>
                <w:color w:val="auto"/>
              </w:rPr>
            </w:pPr>
          </w:p>
        </w:tc>
        <w:tc>
          <w:tcPr>
            <w:tcW w:w="2200" w:type="dxa"/>
            <w:vAlign w:val="bottom"/>
            <w:gridSpan w:val="6"/>
            <w:shd w:val="clear" w:color="auto" w:fill="000000"/>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5"/>
              </w:rPr>
              <w:t>of the Effective Date or (ii) subcontract its obligations to manufacture Products to subcontractors in each case without the prior</w:t>
            </w:r>
          </w:p>
        </w:tc>
      </w:tr>
      <w:tr>
        <w:trPr>
          <w:trHeight w:val="230"/>
        </w:trPr>
        <w:tc>
          <w:tcPr>
            <w:tcW w:w="98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written consent of SI-BONE;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24</w:t>
      </w:r>
    </w:p>
    <w:p>
      <w:pPr>
        <w:spacing w:after="0" w:line="113" w:lineRule="exact"/>
        <w:rPr>
          <w:sz w:val="20"/>
          <w:szCs w:val="20"/>
          <w:color w:val="auto"/>
        </w:rPr>
      </w:pPr>
    </w:p>
    <w:p>
      <w:pPr>
        <w:ind w:right="740" w:firstLine="4"/>
        <w:spacing w:after="0" w:line="313" w:lineRule="auto"/>
        <w:tabs>
          <w:tab w:leader="none" w:pos="255"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121" w:right="439" w:bottom="1440" w:gutter="0" w:footer="0" w:header="0"/>
        </w:sectPr>
      </w:pPr>
    </w:p>
    <w:bookmarkStart w:id="306" w:name="page307"/>
    <w:bookmarkEnd w:id="306"/>
    <w:p>
      <w:pPr>
        <w:ind w:left="1436"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SI-BONE hereby acknowledges its consent to Supplier’s purchase of Product components from vendors identified in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Approved Vendors</w:t>
      </w:r>
      <w:r>
        <w:rPr>
          <w:rFonts w:ascii="Arial" w:cs="Arial" w:eastAsia="Arial" w:hAnsi="Arial"/>
          <w:sz w:val="17"/>
          <w:szCs w:val="17"/>
          <w:color w:val="auto"/>
        </w:rPr>
        <w:t>”) and use of subcontractors identified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Approved Subcontractors</w:t>
      </w:r>
      <w:r>
        <w:rPr>
          <w:rFonts w:ascii="Arial" w:cs="Arial" w:eastAsia="Arial" w:hAnsi="Arial"/>
          <w:sz w:val="17"/>
          <w:szCs w:val="17"/>
          <w:color w:val="auto"/>
        </w:rPr>
        <w:t>”). SI-BONE may</w:t>
      </w:r>
      <w:r>
        <w:rPr>
          <w:rFonts w:ascii="Arial" w:cs="Arial" w:eastAsia="Arial" w:hAnsi="Arial"/>
          <w:sz w:val="17"/>
          <w:szCs w:val="17"/>
          <w:b w:val="1"/>
          <w:bCs w:val="1"/>
          <w:color w:val="auto"/>
        </w:rPr>
        <w:t xml:space="preserve"> </w:t>
      </w:r>
      <w:r>
        <w:rPr>
          <w:rFonts w:ascii="Arial" w:cs="Arial" w:eastAsia="Arial" w:hAnsi="Arial"/>
          <w:sz w:val="17"/>
          <w:szCs w:val="17"/>
          <w:color w:val="auto"/>
        </w:rPr>
        <w:t>order through Supplier components sourced from Supplier’s approved vendors (which vendors may include affiliates of SI-BONE) and Supplier agrees to provide those components to SI-BONE at Supplier’s cost [*]. Subject to the requirements of Section 4.7 of this Agreement, SI-BONE may request or otherwise require Supplier to approve and utilize alternative sources including the Approved Vendors and Approved Subcontractors.</w:t>
      </w:r>
    </w:p>
    <w:p>
      <w:pPr>
        <w:spacing w:after="0" w:line="323" w:lineRule="exact"/>
        <w:rPr>
          <w:sz w:val="20"/>
          <w:szCs w:val="20"/>
          <w:color w:val="auto"/>
        </w:rPr>
      </w:pPr>
    </w:p>
    <w:p>
      <w:pPr>
        <w:ind w:left="436" w:hanging="436"/>
        <w:spacing w:after="0"/>
        <w:tabs>
          <w:tab w:leader="none" w:pos="436"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PRICING AND PAYMENT TERMS</w:t>
      </w:r>
      <w:r>
        <w:rPr>
          <w:rFonts w:ascii="Arial" w:cs="Arial" w:eastAsia="Arial" w:hAnsi="Arial"/>
          <w:sz w:val="18"/>
          <w:szCs w:val="18"/>
          <w:b w:val="1"/>
          <w:bCs w:val="1"/>
          <w:color w:val="auto"/>
        </w:rPr>
        <w:t>.</w:t>
      </w:r>
    </w:p>
    <w:p>
      <w:pPr>
        <w:spacing w:after="0" w:line="131" w:lineRule="exact"/>
        <w:rPr>
          <w:sz w:val="20"/>
          <w:szCs w:val="20"/>
          <w:color w:val="auto"/>
        </w:rPr>
      </w:pPr>
    </w:p>
    <w:tbl>
      <w:tblPr>
        <w:tblLayout w:type="fixed"/>
        <w:tblInd w:w="436"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2.1</w:t>
            </w: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2"/>
              </w:rPr>
              <w:t>During the Term, Supplier’s sales price to SI-BONE for each Product unit shall be based on the forecasted estimated annual unit</w:t>
            </w:r>
          </w:p>
        </w:tc>
      </w:tr>
      <w:tr>
        <w:trPr>
          <w:trHeight w:val="194"/>
        </w:trPr>
        <w:tc>
          <w:tcPr>
            <w:tcW w:w="600" w:type="dxa"/>
            <w:vAlign w:val="bottom"/>
          </w:tcPr>
          <w:p>
            <w:pPr>
              <w:spacing w:after="0"/>
              <w:rPr>
                <w:sz w:val="16"/>
                <w:szCs w:val="16"/>
                <w:color w:val="auto"/>
              </w:rPr>
            </w:pPr>
          </w:p>
        </w:tc>
        <w:tc>
          <w:tcPr>
            <w:tcW w:w="9880" w:type="dxa"/>
            <w:vAlign w:val="bottom"/>
            <w:gridSpan w:val="11"/>
          </w:tcPr>
          <w:p>
            <w:pPr>
              <w:ind w:left="380"/>
              <w:spacing w:after="0" w:line="194"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EAU</w:t>
            </w:r>
            <w:r>
              <w:rPr>
                <w:rFonts w:ascii="Arial" w:cs="Arial" w:eastAsia="Arial" w:hAnsi="Arial"/>
                <w:sz w:val="18"/>
                <w:szCs w:val="18"/>
                <w:color w:val="auto"/>
                <w:w w:val="93"/>
              </w:rPr>
              <w:t xml:space="preserve">”) volumes of Product to be purchased by SI-BONE during the Term in accordance with the pricing described in </w:t>
            </w:r>
            <w:r>
              <w:rPr>
                <w:rFonts w:ascii="Arial" w:cs="Arial" w:eastAsia="Arial" w:hAnsi="Arial"/>
                <w:sz w:val="18"/>
                <w:szCs w:val="18"/>
                <w:b w:val="1"/>
                <w:bCs w:val="1"/>
                <w:color w:val="auto"/>
                <w:w w:val="93"/>
              </w:rPr>
              <w:t>Exhibit A</w:t>
            </w:r>
          </w:p>
        </w:tc>
      </w:tr>
      <w:tr>
        <w:trPr>
          <w:trHeight w:val="20"/>
        </w:trPr>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6"/>
              </w:rPr>
              <w:t>(the “</w:t>
            </w:r>
            <w:r>
              <w:rPr>
                <w:rFonts w:ascii="Arial" w:cs="Arial" w:eastAsia="Arial" w:hAnsi="Arial"/>
                <w:sz w:val="18"/>
                <w:szCs w:val="18"/>
                <w:b w:val="1"/>
                <w:bCs w:val="1"/>
                <w:i w:val="1"/>
                <w:iCs w:val="1"/>
                <w:color w:val="auto"/>
                <w:w w:val="96"/>
              </w:rPr>
              <w:t>Pricing Addendum</w:t>
            </w:r>
            <w:r>
              <w:rPr>
                <w:rFonts w:ascii="Arial" w:cs="Arial" w:eastAsia="Arial" w:hAnsi="Arial"/>
                <w:sz w:val="18"/>
                <w:szCs w:val="18"/>
                <w:color w:val="auto"/>
                <w:w w:val="96"/>
              </w:rPr>
              <w:t>”). From time to time, the parties may mutually agree to add additional Products to this Agreement.</w:t>
            </w:r>
          </w:p>
        </w:tc>
      </w:tr>
      <w:tr>
        <w:trPr>
          <w:trHeight w:val="297"/>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2.2</w:t>
            </w: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3"/>
              </w:rPr>
              <w:t xml:space="preserve">The pricing set forth in </w:t>
            </w:r>
            <w:r>
              <w:rPr>
                <w:rFonts w:ascii="Arial" w:cs="Arial" w:eastAsia="Arial" w:hAnsi="Arial"/>
                <w:sz w:val="18"/>
                <w:szCs w:val="18"/>
                <w:b w:val="1"/>
                <w:bCs w:val="1"/>
                <w:color w:val="auto"/>
                <w:w w:val="93"/>
              </w:rPr>
              <w:t>Exhibit A</w:t>
            </w:r>
            <w:r>
              <w:rPr>
                <w:rFonts w:ascii="Arial" w:cs="Arial" w:eastAsia="Arial" w:hAnsi="Arial"/>
                <w:sz w:val="18"/>
                <w:szCs w:val="18"/>
                <w:color w:val="auto"/>
                <w:w w:val="93"/>
              </w:rPr>
              <w:t xml:space="preserve"> shall be firm for the Initial Term, as defined on the Pricing Addendum, unless the volumes vary</w:t>
            </w:r>
          </w:p>
        </w:tc>
      </w:tr>
      <w:tr>
        <w:trPr>
          <w:trHeight w:val="20"/>
        </w:trPr>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3"/>
              </w:rPr>
              <w:t>from the forecasted EAU volume by more than [*] in either direction during the initial twelve months or during subsequent twelve</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0"/>
              </w:rPr>
              <w:t>month periods during the Term. In this case the Supplier or SI-BONE may request a price review based on the volume changes and</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0"/>
              </w:rPr>
              <w:t>the parties shall negotiate in good faith any price changes, with reference to changes in input costs and variance from EAU forecast,</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5"/>
              </w:rPr>
              <w:t>prior to implementation provided that there will not be more than [*]. If the parties are unable to agree on the change in pricing</w:t>
            </w:r>
          </w:p>
        </w:tc>
      </w:tr>
      <w:tr>
        <w:trPr>
          <w:trHeight w:val="212"/>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2"/>
              </w:rPr>
              <w:t>through a process of good faith negotiation, then either of the parties may terminate this Agreement provided that, if the Supplier</w:t>
            </w:r>
          </w:p>
        </w:tc>
      </w:tr>
      <w:tr>
        <w:trPr>
          <w:trHeight w:val="194"/>
        </w:trPr>
        <w:tc>
          <w:tcPr>
            <w:tcW w:w="600" w:type="dxa"/>
            <w:vAlign w:val="bottom"/>
          </w:tcPr>
          <w:p>
            <w:pPr>
              <w:spacing w:after="0"/>
              <w:rPr>
                <w:sz w:val="16"/>
                <w:szCs w:val="16"/>
                <w:color w:val="auto"/>
              </w:rPr>
            </w:pPr>
          </w:p>
        </w:tc>
        <w:tc>
          <w:tcPr>
            <w:tcW w:w="9880" w:type="dxa"/>
            <w:vAlign w:val="bottom"/>
            <w:gridSpan w:val="11"/>
          </w:tcPr>
          <w:p>
            <w:pPr>
              <w:ind w:left="380"/>
              <w:spacing w:after="0" w:line="194" w:lineRule="exact"/>
              <w:rPr>
                <w:sz w:val="20"/>
                <w:szCs w:val="20"/>
                <w:color w:val="auto"/>
              </w:rPr>
            </w:pPr>
            <w:r>
              <w:rPr>
                <w:rFonts w:ascii="Arial" w:cs="Arial" w:eastAsia="Arial" w:hAnsi="Arial"/>
                <w:sz w:val="18"/>
                <w:szCs w:val="18"/>
                <w:color w:val="auto"/>
                <w:w w:val="92"/>
              </w:rPr>
              <w:t xml:space="preserve">terminates the Agreement, SI-BONE will have the option of making Last Purchase per Section 9.5.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will be amended to</w:t>
            </w:r>
          </w:p>
        </w:tc>
      </w:tr>
      <w:tr>
        <w:trPr>
          <w:trHeight w:val="20"/>
        </w:trPr>
        <w:tc>
          <w:tcPr>
            <w:tcW w:w="60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9880" w:type="dxa"/>
            <w:vAlign w:val="bottom"/>
            <w:gridSpan w:val="11"/>
          </w:tcPr>
          <w:p>
            <w:pPr>
              <w:ind w:left="380"/>
              <w:spacing w:after="0" w:line="196" w:lineRule="exact"/>
              <w:rPr>
                <w:sz w:val="20"/>
                <w:szCs w:val="20"/>
                <w:color w:val="auto"/>
              </w:rPr>
            </w:pPr>
            <w:r>
              <w:rPr>
                <w:rFonts w:ascii="Arial" w:cs="Arial" w:eastAsia="Arial" w:hAnsi="Arial"/>
                <w:sz w:val="18"/>
                <w:szCs w:val="18"/>
                <w:color w:val="auto"/>
                <w:w w:val="91"/>
              </w:rPr>
              <w:t xml:space="preserve">reflect any mutually agreed changes to the pricing and/or EUA volumes. Supplier may also re-price the items listed in </w:t>
            </w:r>
            <w:r>
              <w:rPr>
                <w:rFonts w:ascii="Arial" w:cs="Arial" w:eastAsia="Arial" w:hAnsi="Arial"/>
                <w:sz w:val="18"/>
                <w:szCs w:val="18"/>
                <w:b w:val="1"/>
                <w:bCs w:val="1"/>
                <w:color w:val="auto"/>
                <w:w w:val="91"/>
              </w:rPr>
              <w:t>Exhibit A</w:t>
            </w:r>
            <w:r>
              <w:rPr>
                <w:rFonts w:ascii="Arial" w:cs="Arial" w:eastAsia="Arial" w:hAnsi="Arial"/>
                <w:sz w:val="18"/>
                <w:szCs w:val="18"/>
                <w:color w:val="auto"/>
                <w:w w:val="91"/>
              </w:rPr>
              <w:t xml:space="preserve"> in</w:t>
            </w:r>
          </w:p>
        </w:tc>
      </w:tr>
      <w:tr>
        <w:trPr>
          <w:trHeight w:val="20"/>
        </w:trPr>
        <w:tc>
          <w:tcPr>
            <w:tcW w:w="600" w:type="dxa"/>
            <w:vAlign w:val="bottom"/>
          </w:tcPr>
          <w:p>
            <w:pPr>
              <w:spacing w:after="0" w:line="20" w:lineRule="exact"/>
              <w:rPr>
                <w:sz w:val="1"/>
                <w:szCs w:val="1"/>
                <w:color w:val="auto"/>
              </w:rPr>
            </w:pPr>
          </w:p>
        </w:tc>
        <w:tc>
          <w:tcPr>
            <w:tcW w:w="8920" w:type="dxa"/>
            <w:vAlign w:val="bottom"/>
            <w:gridSpan w:val="7"/>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0"/>
              </w:rPr>
              <w:t>accordance with Section 6 if there are any changes made by SI-BONE to the Specifications or materials which affect the unit costs.</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2.3</w:t>
            </w: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5"/>
              </w:rPr>
              <w:t>Supplier will invoice SI-BONE for all quantities of Products delivered in accordance with this Agreement. Payment terms shall</w:t>
            </w:r>
          </w:p>
        </w:tc>
      </w:tr>
      <w:tr>
        <w:trPr>
          <w:trHeight w:val="216"/>
        </w:trPr>
        <w:tc>
          <w:tcPr>
            <w:tcW w:w="600" w:type="dxa"/>
            <w:vAlign w:val="bottom"/>
          </w:tcPr>
          <w:p>
            <w:pPr>
              <w:spacing w:after="0"/>
              <w:rPr>
                <w:sz w:val="18"/>
                <w:szCs w:val="18"/>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w w:val="96"/>
              </w:rPr>
              <w:t>include a [*] discount to the Agreement price if paid within [*], and otherwise net cash [*], paid in US dollars from the date of</w:t>
            </w:r>
          </w:p>
        </w:tc>
      </w:tr>
      <w:tr>
        <w:trPr>
          <w:trHeight w:val="230"/>
        </w:trPr>
        <w:tc>
          <w:tcPr>
            <w:tcW w:w="600" w:type="dxa"/>
            <w:vAlign w:val="bottom"/>
          </w:tcPr>
          <w:p>
            <w:pPr>
              <w:spacing w:after="0"/>
              <w:rPr>
                <w:sz w:val="20"/>
                <w:szCs w:val="20"/>
                <w:color w:val="auto"/>
              </w:rPr>
            </w:pPr>
          </w:p>
        </w:tc>
        <w:tc>
          <w:tcPr>
            <w:tcW w:w="9880" w:type="dxa"/>
            <w:vAlign w:val="bottom"/>
            <w:gridSpan w:val="11"/>
          </w:tcPr>
          <w:p>
            <w:pPr>
              <w:ind w:left="380"/>
              <w:spacing w:after="0"/>
              <w:rPr>
                <w:sz w:val="20"/>
                <w:szCs w:val="20"/>
                <w:color w:val="auto"/>
              </w:rPr>
            </w:pPr>
            <w:r>
              <w:rPr>
                <w:rFonts w:ascii="Arial" w:cs="Arial" w:eastAsia="Arial" w:hAnsi="Arial"/>
                <w:sz w:val="18"/>
                <w:szCs w:val="18"/>
                <w:color w:val="auto"/>
              </w:rPr>
              <w:t>SI-BONE’s receipt of Supplier’s invoice.</w:t>
            </w:r>
          </w:p>
        </w:tc>
      </w:tr>
    </w:tbl>
    <w:p>
      <w:pPr>
        <w:spacing w:after="0" w:line="346" w:lineRule="exact"/>
        <w:rPr>
          <w:sz w:val="20"/>
          <w:szCs w:val="20"/>
          <w:color w:val="auto"/>
        </w:rPr>
      </w:pPr>
    </w:p>
    <w:p>
      <w:pPr>
        <w:ind w:left="436" w:hanging="436"/>
        <w:spacing w:after="0"/>
        <w:tabs>
          <w:tab w:leader="none" w:pos="436"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CAPACITY</w:t>
      </w:r>
      <w:r>
        <w:rPr>
          <w:rFonts w:ascii="Arial" w:cs="Arial" w:eastAsia="Arial" w:hAnsi="Arial"/>
          <w:sz w:val="18"/>
          <w:szCs w:val="18"/>
          <w:b w:val="1"/>
          <w:bCs w:val="1"/>
          <w:color w:val="auto"/>
        </w:rPr>
        <w:t>.</w:t>
      </w:r>
    </w:p>
    <w:p>
      <w:pPr>
        <w:spacing w:after="0" w:line="121" w:lineRule="exact"/>
        <w:rPr>
          <w:sz w:val="20"/>
          <w:szCs w:val="20"/>
          <w:color w:val="auto"/>
        </w:rPr>
      </w:pPr>
    </w:p>
    <w:p>
      <w:pPr>
        <w:ind w:left="436" w:firstLine="423"/>
        <w:spacing w:after="0" w:line="293" w:lineRule="auto"/>
        <w:rPr>
          <w:sz w:val="20"/>
          <w:szCs w:val="20"/>
          <w:color w:val="auto"/>
        </w:rPr>
      </w:pPr>
      <w:r>
        <w:rPr>
          <w:rFonts w:ascii="Arial" w:cs="Arial" w:eastAsia="Arial" w:hAnsi="Arial"/>
          <w:sz w:val="16"/>
          <w:szCs w:val="16"/>
          <w:color w:val="auto"/>
        </w:rPr>
        <w:t>Supplier shall maintain capacity adequate to fulfill the Product requirements of SI-BONE as specified in the most recent [*] rolling Forecast. Supplier hereby agrees to give timely notice to SI-BONE of any event that would reasonably be expected to adversely affect Supplier’s capacity. Without limiting Article 1, Supplier shall use commercially reasonable efforts to assure that adequate capacity is available to fulfill future Product requirements of SI-BONE (as determined by SI-BONE’s then-current Forecast, historical purchasing patterns and written communications to Supplier regarding anticipated requirements). Supplier shall obtain and maintain all equipment and resources required to fulfill its obligations under this Agreement at Supplier’s sole cost, unless such equipment or resources were purchased by Supplier exclusively to supply SI-BONE.</w:t>
      </w:r>
    </w:p>
    <w:p>
      <w:pPr>
        <w:spacing w:after="0" w:line="309" w:lineRule="exact"/>
        <w:rPr>
          <w:sz w:val="20"/>
          <w:szCs w:val="20"/>
          <w:color w:val="auto"/>
        </w:rPr>
      </w:pPr>
    </w:p>
    <w:p>
      <w:pPr>
        <w:ind w:left="436" w:hanging="436"/>
        <w:spacing w:after="0"/>
        <w:tabs>
          <w:tab w:leader="none" w:pos="436"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SPECIFICATIONS; QUALITY CONTROL MATTERS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36"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4.1</w:t>
            </w: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w w:val="90"/>
              </w:rPr>
              <w:t>Compliance with Laws</w:t>
            </w:r>
            <w:r>
              <w:rPr>
                <w:rFonts w:ascii="Arial" w:cs="Arial" w:eastAsia="Arial" w:hAnsi="Arial"/>
                <w:sz w:val="18"/>
                <w:szCs w:val="18"/>
                <w:color w:val="auto"/>
                <w:w w:val="90"/>
              </w:rPr>
              <w:t>. The parties shall comply with all applicable federal, state and local statutes, regulations, rules, ordinances</w:t>
            </w:r>
          </w:p>
        </w:tc>
      </w:tr>
      <w:tr>
        <w:trPr>
          <w:trHeight w:val="20"/>
        </w:trPr>
        <w:tc>
          <w:tcPr>
            <w:tcW w:w="9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and policies that pertain to the activities for which Supplier and SI-BONE are responsible under this Agreement, including those</w:t>
            </w:r>
          </w:p>
        </w:tc>
      </w:tr>
      <w:tr>
        <w:trPr>
          <w:trHeight w:val="216"/>
        </w:trPr>
        <w:tc>
          <w:tcPr>
            <w:tcW w:w="98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enforced by the FDA. With respect to the Products, SI-BONE shall be the “finished device manufacturer” (as such term is used by</w:t>
            </w:r>
          </w:p>
        </w:tc>
      </w:tr>
      <w:tr>
        <w:trPr>
          <w:trHeight w:val="230"/>
        </w:trPr>
        <w:tc>
          <w:tcPr>
            <w:tcW w:w="98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the FDA).</w:t>
            </w:r>
          </w:p>
        </w:tc>
      </w:tr>
    </w:tbl>
    <w:p>
      <w:pPr>
        <w:spacing w:after="0" w:line="13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2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4" w:right="459" w:bottom="1440" w:gutter="0" w:footer="0" w:header="0"/>
        </w:sectPr>
      </w:pPr>
    </w:p>
    <w:bookmarkStart w:id="307" w:name="page308"/>
    <w:bookmarkEnd w:id="307"/>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4.2</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6"/>
              </w:rPr>
              <w:t>Specifications</w:t>
            </w:r>
            <w:r>
              <w:rPr>
                <w:rFonts w:ascii="Arial" w:cs="Arial" w:eastAsia="Arial" w:hAnsi="Arial"/>
                <w:sz w:val="18"/>
                <w:szCs w:val="18"/>
                <w:color w:val="auto"/>
                <w:w w:val="96"/>
              </w:rPr>
              <w:t>. SI-BONE shall define the specifications for the product to be manufactured by Supplier, by way of drawings,</w:t>
            </w: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reference to commercial specifications and standards (the “</w:t>
            </w:r>
            <w:r>
              <w:rPr>
                <w:rFonts w:ascii="Arial" w:cs="Arial" w:eastAsia="Arial" w:hAnsi="Arial"/>
                <w:sz w:val="18"/>
                <w:szCs w:val="18"/>
                <w:b w:val="1"/>
                <w:bCs w:val="1"/>
                <w:i w:val="1"/>
                <w:iCs w:val="1"/>
                <w:color w:val="auto"/>
                <w:w w:val="95"/>
              </w:rPr>
              <w:t>Specifications</w:t>
            </w:r>
            <w:r>
              <w:rPr>
                <w:rFonts w:ascii="Arial" w:cs="Arial" w:eastAsia="Arial" w:hAnsi="Arial"/>
                <w:sz w:val="18"/>
                <w:szCs w:val="18"/>
                <w:color w:val="auto"/>
                <w:w w:val="95"/>
              </w:rPr>
              <w:t>”), which shall be set forth on the applicable Pricing</w:t>
            </w:r>
          </w:p>
        </w:tc>
      </w:tr>
      <w:tr>
        <w:trPr>
          <w:trHeight w:val="212"/>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1"/>
              </w:rPr>
              <w:t>Addendum or Order and updated from time to time in accordance herewith. References to the initial Specifications for Product to be</w:t>
            </w:r>
          </w:p>
        </w:tc>
      </w:tr>
      <w:tr>
        <w:trPr>
          <w:trHeight w:val="194"/>
        </w:trPr>
        <w:tc>
          <w:tcPr>
            <w:tcW w:w="980" w:type="dxa"/>
            <w:vAlign w:val="bottom"/>
          </w:tcPr>
          <w:p>
            <w:pPr>
              <w:spacing w:after="0"/>
              <w:rPr>
                <w:sz w:val="16"/>
                <w:szCs w:val="16"/>
                <w:color w:val="auto"/>
              </w:rPr>
            </w:pPr>
          </w:p>
        </w:tc>
        <w:tc>
          <w:tcPr>
            <w:tcW w:w="9600" w:type="dxa"/>
            <w:vAlign w:val="bottom"/>
            <w:gridSpan w:val="7"/>
          </w:tcPr>
          <w:p>
            <w:pPr>
              <w:spacing w:after="0" w:line="194" w:lineRule="exact"/>
              <w:rPr>
                <w:sz w:val="20"/>
                <w:szCs w:val="20"/>
                <w:color w:val="auto"/>
              </w:rPr>
            </w:pPr>
            <w:r>
              <w:rPr>
                <w:rFonts w:ascii="Arial" w:cs="Arial" w:eastAsia="Arial" w:hAnsi="Arial"/>
                <w:sz w:val="18"/>
                <w:szCs w:val="18"/>
                <w:color w:val="auto"/>
                <w:w w:val="96"/>
              </w:rPr>
              <w:t xml:space="preserve">purchased hereunder are set forth on </w:t>
            </w:r>
            <w:r>
              <w:rPr>
                <w:rFonts w:ascii="Arial" w:cs="Arial" w:eastAsia="Arial" w:hAnsi="Arial"/>
                <w:sz w:val="18"/>
                <w:szCs w:val="18"/>
                <w:b w:val="1"/>
                <w:bCs w:val="1"/>
                <w:color w:val="auto"/>
                <w:w w:val="96"/>
              </w:rPr>
              <w:t>Exhibit E</w:t>
            </w:r>
            <w:r>
              <w:rPr>
                <w:rFonts w:ascii="Arial" w:cs="Arial" w:eastAsia="Arial" w:hAnsi="Arial"/>
                <w:sz w:val="18"/>
                <w:szCs w:val="18"/>
                <w:color w:val="auto"/>
                <w:w w:val="96"/>
              </w:rPr>
              <w:t xml:space="preserve"> hereto and shall have been delivered to Supplier by or promptly following the</w:t>
            </w:r>
          </w:p>
        </w:tc>
      </w:tr>
      <w:tr>
        <w:trPr>
          <w:trHeight w:val="20"/>
        </w:trPr>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Effective Date of this Agreement. The Specifications may be paper documents, electronic documents or other appropriate media.</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2"/>
              </w:rPr>
              <w:t>Supplier shall deliver the Product in full conformance to the Specifications. The parties may change the Specifications from time to</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time by mutual written agreement. A Product that does not conform with the Specifications and applicable laws at the time it is</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0"/>
              </w:rPr>
              <w:t>delivered to SI-BONE is referred to in this Agreement as a “</w:t>
            </w:r>
            <w:r>
              <w:rPr>
                <w:rFonts w:ascii="Arial" w:cs="Arial" w:eastAsia="Arial" w:hAnsi="Arial"/>
                <w:sz w:val="18"/>
                <w:szCs w:val="18"/>
                <w:b w:val="1"/>
                <w:bCs w:val="1"/>
                <w:i w:val="1"/>
                <w:iCs w:val="1"/>
                <w:color w:val="auto"/>
                <w:w w:val="90"/>
              </w:rPr>
              <w:t>Nonconforming Product</w:t>
            </w:r>
            <w:r>
              <w:rPr>
                <w:rFonts w:ascii="Arial" w:cs="Arial" w:eastAsia="Arial" w:hAnsi="Arial"/>
                <w:sz w:val="18"/>
                <w:szCs w:val="18"/>
                <w:color w:val="auto"/>
                <w:w w:val="90"/>
              </w:rPr>
              <w:t>,” and such Product shall be regarded as having</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4"/>
              </w:rPr>
              <w:t>a “</w:t>
            </w:r>
            <w:r>
              <w:rPr>
                <w:rFonts w:ascii="Arial" w:cs="Arial" w:eastAsia="Arial" w:hAnsi="Arial"/>
                <w:sz w:val="18"/>
                <w:szCs w:val="18"/>
                <w:b w:val="1"/>
                <w:bCs w:val="1"/>
                <w:i w:val="1"/>
                <w:iCs w:val="1"/>
                <w:color w:val="auto"/>
                <w:w w:val="94"/>
              </w:rPr>
              <w:t>Nonconformity</w:t>
            </w:r>
            <w:r>
              <w:rPr>
                <w:rFonts w:ascii="Arial" w:cs="Arial" w:eastAsia="Arial" w:hAnsi="Arial"/>
                <w:sz w:val="18"/>
                <w:szCs w:val="18"/>
                <w:color w:val="auto"/>
                <w:w w:val="94"/>
              </w:rPr>
              <w:t>.” SI-BONE may amend or modify the Specifications from time to time in accordance with Section 6 and shall</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give prompt written notice of such change(s) to the Supplier provided that Supplier will have the right to reasonably adjust the</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Product price to the extent that the changes made by SI-BONE affect the material, manufacturing or quality costs.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4.3</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4"/>
              </w:rPr>
              <w:t>Implementation of Quality Control and Risk Management Program</w:t>
            </w:r>
            <w:r>
              <w:rPr>
                <w:rFonts w:ascii="Arial" w:cs="Arial" w:eastAsia="Arial" w:hAnsi="Arial"/>
                <w:sz w:val="18"/>
                <w:szCs w:val="18"/>
                <w:color w:val="auto"/>
                <w:w w:val="94"/>
              </w:rPr>
              <w:t>. At all times during the Term, Supplier shall comply with</w:t>
            </w:r>
          </w:p>
        </w:tc>
      </w:tr>
      <w:tr>
        <w:trPr>
          <w:trHeight w:val="20"/>
        </w:trPr>
        <w:tc>
          <w:tcPr>
            <w:tcW w:w="98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SI-BONE’s vendor qualification requirements (“</w:t>
            </w:r>
            <w:r>
              <w:rPr>
                <w:rFonts w:ascii="Arial" w:cs="Arial" w:eastAsia="Arial" w:hAnsi="Arial"/>
                <w:sz w:val="18"/>
                <w:szCs w:val="18"/>
                <w:b w:val="1"/>
                <w:bCs w:val="1"/>
                <w:i w:val="1"/>
                <w:iCs w:val="1"/>
                <w:color w:val="auto"/>
                <w:w w:val="93"/>
              </w:rPr>
              <w:t>Qualification Requirements</w:t>
            </w:r>
            <w:r>
              <w:rPr>
                <w:rFonts w:ascii="Arial" w:cs="Arial" w:eastAsia="Arial" w:hAnsi="Arial"/>
                <w:sz w:val="18"/>
                <w:szCs w:val="18"/>
                <w:color w:val="auto"/>
                <w:w w:val="93"/>
              </w:rPr>
              <w:t>”), a copy of which has been provided to Supplier. In</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2"/>
              </w:rPr>
              <w:t>addition, Supplier shall maintain and comply with a quality control program that conforms with all applicable laws and is consistent</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2"/>
              </w:rPr>
              <w:t>with current good manufacturing practices applicable to Products (“</w:t>
            </w:r>
            <w:r>
              <w:rPr>
                <w:rFonts w:ascii="Arial" w:cs="Arial" w:eastAsia="Arial" w:hAnsi="Arial"/>
                <w:sz w:val="18"/>
                <w:szCs w:val="18"/>
                <w:b w:val="1"/>
                <w:bCs w:val="1"/>
                <w:i w:val="1"/>
                <w:iCs w:val="1"/>
                <w:color w:val="auto"/>
                <w:w w:val="92"/>
              </w:rPr>
              <w:t>GMPs</w:t>
            </w:r>
            <w:r>
              <w:rPr>
                <w:rFonts w:ascii="Arial" w:cs="Arial" w:eastAsia="Arial" w:hAnsi="Arial"/>
                <w:sz w:val="18"/>
                <w:szCs w:val="18"/>
                <w:color w:val="auto"/>
                <w:w w:val="92"/>
              </w:rPr>
              <w:t>”) and as effective during the remainder of the Term and</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as required by any governmental or quasi-governmental agency having regulatory authority over the Products, including, without</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7"/>
              </w:rPr>
              <w:t>limitation, 21 CFR Part 820, the current released versions of ISO 13485 and 14971 (collectively, the “</w:t>
            </w:r>
            <w:r>
              <w:rPr>
                <w:rFonts w:ascii="Arial" w:cs="Arial" w:eastAsia="Arial" w:hAnsi="Arial"/>
                <w:sz w:val="18"/>
                <w:szCs w:val="18"/>
                <w:b w:val="1"/>
                <w:bCs w:val="1"/>
                <w:i w:val="1"/>
                <w:iCs w:val="1"/>
                <w:color w:val="auto"/>
                <w:w w:val="97"/>
              </w:rPr>
              <w:t>Quality Management</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3"/>
              </w:rPr>
              <w:t>System</w:t>
            </w:r>
            <w:r>
              <w:rPr>
                <w:rFonts w:ascii="Arial" w:cs="Arial" w:eastAsia="Arial" w:hAnsi="Arial"/>
                <w:sz w:val="18"/>
                <w:szCs w:val="18"/>
                <w:color w:val="auto"/>
                <w:w w:val="93"/>
              </w:rPr>
              <w:t>”). In addition, Supplier shall maintain a risk management system which is integrated into its Quality Management System</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7"/>
              </w:rPr>
              <w:t>(the “</w:t>
            </w:r>
            <w:r>
              <w:rPr>
                <w:rFonts w:ascii="Arial" w:cs="Arial" w:eastAsia="Arial" w:hAnsi="Arial"/>
                <w:sz w:val="18"/>
                <w:szCs w:val="18"/>
                <w:b w:val="1"/>
                <w:bCs w:val="1"/>
                <w:i w:val="1"/>
                <w:iCs w:val="1"/>
                <w:color w:val="auto"/>
                <w:w w:val="97"/>
              </w:rPr>
              <w:t>RMS</w:t>
            </w:r>
            <w:r>
              <w:rPr>
                <w:rFonts w:ascii="Arial" w:cs="Arial" w:eastAsia="Arial" w:hAnsi="Arial"/>
                <w:sz w:val="18"/>
                <w:szCs w:val="18"/>
                <w:color w:val="auto"/>
                <w:w w:val="97"/>
              </w:rPr>
              <w:t>”). Supplier shall notify SI-BONE of revisions to its manufacturing procedures to the extent necessary to remain in</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compliance with the Qualification Requirements, GMPs or RMS, as applicable, in accordance with this Section 4.3; provided,</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4"/>
              </w:rPr>
              <w:t>however, that Supplier may not make any changes to its manufacturing procedures that are inconsistent with the Specifications</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3"/>
              </w:rPr>
              <w:t>without the prior written consent of SI-BONE. Upon SI-BONE’s request, Supplier will provide a copy of such quality agreement(s).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4.4</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6"/>
              </w:rPr>
              <w:t>Notification of Nonconformity</w:t>
            </w:r>
            <w:r>
              <w:rPr>
                <w:rFonts w:ascii="Arial" w:cs="Arial" w:eastAsia="Arial" w:hAnsi="Arial"/>
                <w:sz w:val="18"/>
                <w:szCs w:val="18"/>
                <w:color w:val="auto"/>
                <w:w w:val="96"/>
              </w:rPr>
              <w:t>. Supplier agrees to promptly notify SI-BONE in writing after Supplier obtains knowledge of its</w:t>
            </w:r>
          </w:p>
        </w:tc>
      </w:tr>
      <w:tr>
        <w:trPr>
          <w:trHeight w:val="20"/>
        </w:trPr>
        <w:tc>
          <w:tcPr>
            <w:tcW w:w="98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delivery to SI-BONE of any Nonconforming Product. In addition to the foregoing, Supplier shall notify SI-BONE within (a) [*] of</w:t>
            </w:r>
          </w:p>
        </w:tc>
      </w:tr>
      <w:tr>
        <w:trPr>
          <w:trHeight w:val="216"/>
        </w:trPr>
        <w:tc>
          <w:tcPr>
            <w:tcW w:w="980" w:type="dxa"/>
            <w:vAlign w:val="bottom"/>
          </w:tcPr>
          <w:p>
            <w:pPr>
              <w:spacing w:after="0"/>
              <w:rPr>
                <w:sz w:val="18"/>
                <w:szCs w:val="18"/>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5"/>
              </w:rPr>
              <w:t>learning of any situation which may require a recall of Products and (b) [*] of obtaining knowledge of any failure of any batch of</w:t>
            </w:r>
          </w:p>
        </w:tc>
      </w:tr>
      <w:tr>
        <w:trPr>
          <w:trHeight w:val="230"/>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Products to meet the standards set forth in this Section 4.4.</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4.5</w:t>
            </w:r>
          </w:p>
        </w:tc>
        <w:tc>
          <w:tcPr>
            <w:tcW w:w="9600" w:type="dxa"/>
            <w:vAlign w:val="bottom"/>
            <w:gridSpan w:val="7"/>
          </w:tcPr>
          <w:p>
            <w:pPr>
              <w:spacing w:after="0"/>
              <w:rPr>
                <w:sz w:val="20"/>
                <w:szCs w:val="20"/>
                <w:color w:val="auto"/>
              </w:rPr>
            </w:pPr>
            <w:r>
              <w:rPr>
                <w:rFonts w:ascii="Arial" w:cs="Arial" w:eastAsia="Arial" w:hAnsi="Arial"/>
                <w:sz w:val="18"/>
                <w:szCs w:val="18"/>
                <w:b w:val="1"/>
                <w:bCs w:val="1"/>
                <w:color w:val="auto"/>
                <w:w w:val="96"/>
              </w:rPr>
              <w:t>Acceptance; Remedy for Nonconforming Products</w:t>
            </w:r>
            <w:r>
              <w:rPr>
                <w:rFonts w:ascii="Arial" w:cs="Arial" w:eastAsia="Arial" w:hAnsi="Arial"/>
                <w:sz w:val="18"/>
                <w:szCs w:val="18"/>
                <w:color w:val="auto"/>
                <w:w w:val="96"/>
              </w:rPr>
              <w:t>. All Products are subject to SI-BONE’s inspection prior to acceptance.</w:t>
            </w:r>
          </w:p>
        </w:tc>
      </w:tr>
      <w:tr>
        <w:trPr>
          <w:trHeight w:val="20"/>
        </w:trPr>
        <w:tc>
          <w:tcPr>
            <w:tcW w:w="980" w:type="dxa"/>
            <w:vAlign w:val="bottom"/>
          </w:tcPr>
          <w:p>
            <w:pPr>
              <w:spacing w:after="0" w:line="20" w:lineRule="exact"/>
              <w:rPr>
                <w:sz w:val="1"/>
                <w:szCs w:val="1"/>
                <w:color w:val="auto"/>
              </w:rPr>
            </w:pPr>
          </w:p>
        </w:tc>
        <w:tc>
          <w:tcPr>
            <w:tcW w:w="3880" w:type="dxa"/>
            <w:vAlign w:val="bottom"/>
            <w:gridSpan w:val="5"/>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w w:val="96"/>
              </w:rPr>
              <w:t>SI-BONE shall have [*] from delivery to reject Nonconforming Products. Upon detection of any Nonconformity, SI-BONE shall</w:t>
            </w:r>
          </w:p>
        </w:tc>
      </w:tr>
    </w:tbl>
    <w:p>
      <w:pPr>
        <w:ind w:left="1420"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written notice (which may be given by e-mail) to Supplier specifying the nature and type of alleged Nonconformity and Supplier will evaluate the alleged Nonconformity including samples of the Nonconforming Product if requested by the Supplier. Upon agreement between the parties that the Product is Nonconforming to the Specification, Supplier shall replace such Product free of charge, and Supplier shall cover expenses including freight, if any, in connection with (a) shipment of replacement Product to the same location and (b) shipment of the Nonconforming Product back to Supplier (if so requested by Supplier). In the absence of such agreement between the parties or if the Supplier is unable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24</w:t>
      </w:r>
    </w:p>
    <w:p>
      <w:pPr>
        <w:spacing w:after="0" w:line="117" w:lineRule="exact"/>
        <w:rPr>
          <w:sz w:val="20"/>
          <w:szCs w:val="20"/>
          <w:color w:val="auto"/>
        </w:rPr>
      </w:pPr>
    </w:p>
    <w:p>
      <w:pPr>
        <w:ind w:right="340" w:firstLine="4"/>
        <w:spacing w:after="0" w:line="277" w:lineRule="auto"/>
        <w:tabs>
          <w:tab w:leader="none" w:pos="2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56" w:right="439" w:bottom="1440" w:gutter="0" w:footer="0" w:header="0"/>
        </w:sectPr>
      </w:pPr>
    </w:p>
    <w:bookmarkStart w:id="308" w:name="page309"/>
    <w:bookmarkEnd w:id="308"/>
    <w:tbl>
      <w:tblPr>
        <w:tblLayout w:type="fixed"/>
        <w:tblInd w:w="436"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9580" w:type="dxa"/>
            <w:vAlign w:val="bottom"/>
            <w:gridSpan w:val="6"/>
          </w:tcPr>
          <w:p>
            <w:pPr>
              <w:ind w:left="20"/>
              <w:spacing w:after="0"/>
              <w:rPr>
                <w:sz w:val="20"/>
                <w:szCs w:val="20"/>
                <w:color w:val="auto"/>
              </w:rPr>
            </w:pPr>
            <w:r>
              <w:rPr>
                <w:rFonts w:ascii="Arial" w:cs="Arial" w:eastAsia="Arial" w:hAnsi="Arial"/>
                <w:sz w:val="18"/>
                <w:szCs w:val="18"/>
                <w:color w:val="auto"/>
                <w:w w:val="98"/>
              </w:rPr>
              <w:t>replace properly rejected Nonconforming Products within [*]</w:t>
            </w:r>
            <w:r>
              <w:rPr>
                <w:rFonts w:ascii="Arial" w:cs="Arial" w:eastAsia="Arial" w:hAnsi="Arial"/>
                <w:sz w:val="18"/>
                <w:szCs w:val="18"/>
                <w:b w:val="1"/>
                <w:bCs w:val="1"/>
                <w:u w:val="single" w:color="auto"/>
                <w:color w:val="auto"/>
                <w:w w:val="98"/>
              </w:rPr>
              <w:t>,</w:t>
            </w:r>
            <w:r>
              <w:rPr>
                <w:rFonts w:ascii="Arial" w:cs="Arial" w:eastAsia="Arial" w:hAnsi="Arial"/>
                <w:sz w:val="18"/>
                <w:szCs w:val="18"/>
                <w:color w:val="auto"/>
                <w:w w:val="98"/>
              </w:rPr>
              <w:t xml:space="preserve"> SI-BONE may request a credit, or if payment has been made</w:t>
            </w:r>
          </w:p>
        </w:tc>
      </w:tr>
      <w:tr>
        <w:trPr>
          <w:trHeight w:val="216"/>
        </w:trPr>
        <w:tc>
          <w:tcPr>
            <w:tcW w:w="980" w:type="dxa"/>
            <w:vAlign w:val="bottom"/>
          </w:tcPr>
          <w:p>
            <w:pPr>
              <w:spacing w:after="0"/>
              <w:rPr>
                <w:sz w:val="18"/>
                <w:szCs w:val="18"/>
                <w:color w:val="auto"/>
              </w:rPr>
            </w:pPr>
          </w:p>
        </w:tc>
        <w:tc>
          <w:tcPr>
            <w:tcW w:w="9580" w:type="dxa"/>
            <w:vAlign w:val="bottom"/>
            <w:gridSpan w:val="6"/>
          </w:tcPr>
          <w:p>
            <w:pPr>
              <w:ind w:left="20"/>
              <w:spacing w:after="0"/>
              <w:rPr>
                <w:sz w:val="20"/>
                <w:szCs w:val="20"/>
                <w:color w:val="auto"/>
              </w:rPr>
            </w:pPr>
            <w:r>
              <w:rPr>
                <w:rFonts w:ascii="Arial" w:cs="Arial" w:eastAsia="Arial" w:hAnsi="Arial"/>
                <w:sz w:val="18"/>
                <w:szCs w:val="18"/>
                <w:color w:val="auto"/>
                <w:w w:val="90"/>
              </w:rPr>
              <w:t>reimbursement for, the Nonconforming Product and may, at its discretion, discontinue the purchase of the Product from Supplier and</w:t>
            </w:r>
          </w:p>
        </w:tc>
      </w:tr>
      <w:tr>
        <w:trPr>
          <w:trHeight w:val="230"/>
        </w:trPr>
        <w:tc>
          <w:tcPr>
            <w:tcW w:w="980" w:type="dxa"/>
            <w:vAlign w:val="bottom"/>
          </w:tcPr>
          <w:p>
            <w:pPr>
              <w:spacing w:after="0"/>
              <w:rPr>
                <w:sz w:val="20"/>
                <w:szCs w:val="20"/>
                <w:color w:val="auto"/>
              </w:rPr>
            </w:pPr>
          </w:p>
        </w:tc>
        <w:tc>
          <w:tcPr>
            <w:tcW w:w="9580" w:type="dxa"/>
            <w:vAlign w:val="bottom"/>
            <w:gridSpan w:val="6"/>
          </w:tcPr>
          <w:p>
            <w:pPr>
              <w:ind w:left="20"/>
              <w:spacing w:after="0"/>
              <w:rPr>
                <w:sz w:val="20"/>
                <w:szCs w:val="20"/>
                <w:color w:val="auto"/>
              </w:rPr>
            </w:pPr>
            <w:r>
              <w:rPr>
                <w:rFonts w:ascii="Arial" w:cs="Arial" w:eastAsia="Arial" w:hAnsi="Arial"/>
                <w:sz w:val="18"/>
                <w:szCs w:val="18"/>
                <w:color w:val="auto"/>
              </w:rPr>
              <w:t>terminate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4.6</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2"/>
              </w:rPr>
              <w:t>Latent Nonconformities</w:t>
            </w:r>
            <w:r>
              <w:rPr>
                <w:rFonts w:ascii="Arial" w:cs="Arial" w:eastAsia="Arial" w:hAnsi="Arial"/>
                <w:sz w:val="18"/>
                <w:szCs w:val="18"/>
                <w:color w:val="auto"/>
                <w:w w:val="92"/>
              </w:rPr>
              <w:t>. Within the Warranty Period defined in 4.11, latent Nonconformities and Nonconformities not discovered</w:t>
            </w: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by SI-BONE pursuant to Section 4.4 through the use of reasonable inspection methods and procedures will be reported to the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Supplier by SI-BONE within [*] following detection of any Nonconformity specifying the nature and type of alleged</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3"/>
              </w:rPr>
              <w:t>Nonconformity. Supplier will evaluate the alleged Nonconformity including samples of the Nonconforming Product if requested by</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1"/>
              </w:rPr>
              <w:t>the Supplier. Upon agreement between the parties that the Product is Nonconforming to the Specification, Supplier will replace such</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Product free of charge, and Supplier shall cover expenses including freight, if any, in connection with (a) shipment of replacement</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Product to the same location and (b) shipment of the Nonconforming Product back to Supplier (if so requested by Supplier). In the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3"/>
              </w:rPr>
              <w:t>absence of such agreement between the parties or if the Supplier is unable to replace properly rejected Nonconforming Products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within [*], Supplier shall issue a credit if payment has already been made for the Nonconforming Product, and SI-BONE may, at its</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discretion, discontinue the purchase of the Product from Supplier and terminate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4.7</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0"/>
              </w:rPr>
              <w:t>Qualification of Approved Vendors and Approved Subcontractors</w:t>
            </w:r>
            <w:r>
              <w:rPr>
                <w:rFonts w:ascii="Arial" w:cs="Arial" w:eastAsia="Arial" w:hAnsi="Arial"/>
                <w:sz w:val="18"/>
                <w:szCs w:val="18"/>
                <w:color w:val="auto"/>
                <w:w w:val="90"/>
              </w:rPr>
              <w:t>. When requested to do so by SI-BONE, or otherwise required</w:t>
            </w: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to do so by this Agreement, Supplier shall utilize its Purchasing Control/Vendor Qualification processes and procedures in effect at</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8"/>
              </w:rPr>
              <w:t>the time, to qualify third party suppliers and/or third party manufacturers to manufacture and provide components, parts or</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0"/>
              </w:rPr>
              <w:t>sub-assemblies for the Product, or to manufacture and supply the Product to SI-BONE. Supplier may, but is not necessarily required</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to, qualify the Approved Vendors and Approved Subcontractors.</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4.8</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1"/>
              </w:rPr>
              <w:t>Audits</w:t>
            </w:r>
            <w:r>
              <w:rPr>
                <w:rFonts w:ascii="Arial" w:cs="Arial" w:eastAsia="Arial" w:hAnsi="Arial"/>
                <w:sz w:val="18"/>
                <w:szCs w:val="18"/>
                <w:color w:val="auto"/>
                <w:w w:val="91"/>
              </w:rPr>
              <w:t>. SI-BONE shall have the right, but not the obligation, at its expense, to audit, or have audited, Supplier’s facilities, and plants</w:t>
            </w: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4"/>
              </w:rPr>
              <w:t>that are used to manufacture and store the Products. Such audits will be conducted during Supplier’s normal business hours by</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SI-BONE or its designee. Supplier shall issue a plan to determine the correction, cause, and corrective action for any negative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4"/>
              </w:rPr>
              <w:t>finding of any audit report issued by SI-BONE within [*] of such audit report’s issue date. Supplier shall facilitate SI-BONE, or its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authorized representative, to perform audits of any third-party supplier’s facilities, systems, documentation, and other requirements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1"/>
              </w:rPr>
              <w:t>related to this Agreement at mutually agreed dates and times. Supplier, SI-BONE, any outside auditor, and such third-party supplier</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shall agree on reasonable methods to protect intellectual property, such as non-disclosure agreement or the like.</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4.9</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2"/>
              </w:rPr>
              <w:t>Inspections</w:t>
            </w:r>
            <w:r>
              <w:rPr>
                <w:rFonts w:ascii="Arial" w:cs="Arial" w:eastAsia="Arial" w:hAnsi="Arial"/>
                <w:sz w:val="18"/>
                <w:szCs w:val="18"/>
                <w:color w:val="auto"/>
                <w:w w:val="92"/>
              </w:rPr>
              <w:t>. Supplier shall promptly notify SI-BONE of any inspections, audits, formal visits, etc. of any regulator, notified body, or</w:t>
            </w:r>
          </w:p>
        </w:tc>
      </w:tr>
      <w:tr>
        <w:trPr>
          <w:trHeight w:val="20"/>
        </w:trPr>
        <w:tc>
          <w:tcPr>
            <w:tcW w:w="9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certification body acting in a formal capacity that are related directly to the Product. In the US this includes the Food and Drug</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Administration. Supplier shall promptly notify SI-BONE of any inspection or audit findings that impact the safety, effectiveness,</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5"/>
              </w:rPr>
              <w:t>conformity, or availability of Product Supplier provides to SI-BONE. Supplier agrees that SI-BONE’s notified body may conduct</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4"/>
              </w:rPr>
              <w:t>unannounced audits of Supplier in accordance with Annex III of the 24 September 2013 Commission Recommendations, on the</w:t>
            </w:r>
          </w:p>
        </w:tc>
      </w:tr>
      <w:tr>
        <w:trPr>
          <w:trHeight w:val="216"/>
        </w:trPr>
        <w:tc>
          <w:tcPr>
            <w:tcW w:w="980" w:type="dxa"/>
            <w:vAlign w:val="bottom"/>
          </w:tcPr>
          <w:p>
            <w:pPr>
              <w:spacing w:after="0"/>
              <w:rPr>
                <w:sz w:val="18"/>
                <w:szCs w:val="18"/>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audits and assessments performed by notified bodies in the field of medical devices (2013/473/EU), provided that SI-BONE will be</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responsible for any out-of-pocket costs incurred by Supplier and associated with third party audits performed on SI-BONE’s behalf.</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4.10</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w w:val="91"/>
              </w:rPr>
              <w:t>Insurance</w:t>
            </w:r>
            <w:r>
              <w:rPr>
                <w:rFonts w:ascii="Arial" w:cs="Arial" w:eastAsia="Arial" w:hAnsi="Arial"/>
                <w:sz w:val="18"/>
                <w:szCs w:val="18"/>
                <w:color w:val="auto"/>
                <w:w w:val="91"/>
              </w:rPr>
              <w:t>. During the term and for [*] after termination for any reason, the Supplier shall maintain commercial general and product</w:t>
            </w:r>
          </w:p>
        </w:tc>
      </w:tr>
      <w:tr>
        <w:trPr>
          <w:trHeight w:val="20"/>
        </w:trPr>
        <w:tc>
          <w:tcPr>
            <w:tcW w:w="9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800" w:type="dxa"/>
            <w:vAlign w:val="bottom"/>
            <w:gridSpan w:val="4"/>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w w:val="92"/>
              </w:rPr>
              <w:t>liability insurance adequate to cover any liability (including any alleged manufacturing defect or breach of warranty in Section 4.11)</w:t>
            </w:r>
          </w:p>
        </w:tc>
      </w:tr>
      <w:tr>
        <w:trPr>
          <w:trHeight w:val="230"/>
        </w:trPr>
        <w:tc>
          <w:tcPr>
            <w:tcW w:w="980" w:type="dxa"/>
            <w:vAlign w:val="bottom"/>
          </w:tcPr>
          <w:p>
            <w:pPr>
              <w:spacing w:after="0"/>
              <w:rPr>
                <w:sz w:val="20"/>
                <w:szCs w:val="20"/>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arising in connection with any Product manufactured by or on behalf of Supplier and supplied to SI-BONE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5"/>
        <w:spacing w:after="0"/>
        <w:rPr>
          <w:sz w:val="20"/>
          <w:szCs w:val="20"/>
          <w:color w:val="auto"/>
        </w:rPr>
      </w:pPr>
      <w:r>
        <w:rPr>
          <w:rFonts w:ascii="Arial" w:cs="Arial" w:eastAsia="Arial" w:hAnsi="Arial"/>
          <w:sz w:val="18"/>
          <w:szCs w:val="18"/>
          <w:color w:val="auto"/>
        </w:rPr>
        <w:t>Page 4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0" w:right="459" w:bottom="1440" w:gutter="0" w:footer="0" w:header="0"/>
        </w:sectPr>
      </w:pPr>
    </w:p>
    <w:bookmarkStart w:id="309" w:name="page310"/>
    <w:bookmarkEnd w:id="309"/>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92"/>
              </w:rPr>
              <w:t>under this Agreement in coverage amounts consistent with normal business practices of prudent companies similarly situated. The</w:t>
            </w:r>
          </w:p>
        </w:tc>
      </w:tr>
      <w:tr>
        <w:trPr>
          <w:trHeight w:val="216"/>
        </w:trPr>
        <w:tc>
          <w:tcPr>
            <w:tcW w:w="980" w:type="dxa"/>
            <w:vAlign w:val="bottom"/>
          </w:tcPr>
          <w:p>
            <w:pPr>
              <w:spacing w:after="0"/>
              <w:rPr>
                <w:sz w:val="18"/>
                <w:szCs w:val="18"/>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92"/>
              </w:rPr>
              <w:t>insurance coverage shall in no event be less than [*] per loss and [*] in the aggregate. Supplier shall provide SI-BONE with written</w:t>
            </w:r>
          </w:p>
        </w:tc>
      </w:tr>
      <w:tr>
        <w:trPr>
          <w:trHeight w:val="216"/>
        </w:trPr>
        <w:tc>
          <w:tcPr>
            <w:tcW w:w="980" w:type="dxa"/>
            <w:vAlign w:val="bottom"/>
          </w:tcPr>
          <w:p>
            <w:pPr>
              <w:spacing w:after="0"/>
              <w:rPr>
                <w:sz w:val="18"/>
                <w:szCs w:val="18"/>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93"/>
              </w:rPr>
              <w:t>evidence of such insurance upon request. Supplier shall provide SI-BONE with written notice at least [*] prior to the cancellation,</w:t>
            </w:r>
          </w:p>
        </w:tc>
      </w:tr>
      <w:tr>
        <w:trPr>
          <w:trHeight w:val="230"/>
        </w:trPr>
        <w:tc>
          <w:tcPr>
            <w:tcW w:w="980" w:type="dxa"/>
            <w:vAlign w:val="bottom"/>
          </w:tcPr>
          <w:p>
            <w:pPr>
              <w:spacing w:after="0"/>
              <w:rPr>
                <w:sz w:val="20"/>
                <w:szCs w:val="20"/>
                <w:color w:val="auto"/>
              </w:rPr>
            </w:pPr>
          </w:p>
        </w:tc>
        <w:tc>
          <w:tcPr>
            <w:tcW w:w="9600" w:type="dxa"/>
            <w:vAlign w:val="bottom"/>
            <w:gridSpan w:val="4"/>
          </w:tcPr>
          <w:p>
            <w:pPr>
              <w:ind w:left="20"/>
              <w:spacing w:after="0"/>
              <w:rPr>
                <w:sz w:val="20"/>
                <w:szCs w:val="20"/>
                <w:color w:val="auto"/>
              </w:rPr>
            </w:pPr>
            <w:r>
              <w:rPr>
                <w:rFonts w:ascii="Arial" w:cs="Arial" w:eastAsia="Arial" w:hAnsi="Arial"/>
                <w:sz w:val="18"/>
                <w:szCs w:val="18"/>
                <w:color w:val="auto"/>
                <w:w w:val="89"/>
              </w:rPr>
              <w:t>nonrenewal or material change in such insurance which materially adversely affects the scope or amount of such insurance coverage.</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4.11</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5"/>
              </w:rPr>
              <w:t>Warranty</w:t>
            </w:r>
            <w:r>
              <w:rPr>
                <w:rFonts w:ascii="Arial" w:cs="Arial" w:eastAsia="Arial" w:hAnsi="Arial"/>
                <w:sz w:val="18"/>
                <w:szCs w:val="18"/>
                <w:color w:val="auto"/>
                <w:w w:val="95"/>
              </w:rPr>
              <w:t>. Supplier represents and warrants that all Products will conform to the Specifications and will be free from defects in</w:t>
            </w:r>
          </w:p>
        </w:tc>
      </w:tr>
      <w:tr>
        <w:trPr>
          <w:trHeight w:val="20"/>
        </w:trPr>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manufacture, workmanship and materials for a period of [*] (“</w:t>
            </w:r>
            <w:r>
              <w:rPr>
                <w:rFonts w:ascii="Arial" w:cs="Arial" w:eastAsia="Arial" w:hAnsi="Arial"/>
                <w:sz w:val="18"/>
                <w:szCs w:val="18"/>
                <w:b w:val="1"/>
                <w:bCs w:val="1"/>
                <w:i w:val="1"/>
                <w:iCs w:val="1"/>
                <w:color w:val="auto"/>
                <w:w w:val="95"/>
              </w:rPr>
              <w:t>Warranty Period</w:t>
            </w:r>
            <w:r>
              <w:rPr>
                <w:rFonts w:ascii="Arial" w:cs="Arial" w:eastAsia="Arial" w:hAnsi="Arial"/>
                <w:sz w:val="18"/>
                <w:szCs w:val="18"/>
                <w:color w:val="auto"/>
                <w:w w:val="95"/>
              </w:rPr>
              <w:t>”) from the date of delivery. Except as otherwise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specifically provided in this Section 4 and Section 11, whatever the basis for the claim, Suppliers obligations under this warranty are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limited solely to the repair or replacement of Non-conforming Products. THIS WARRANTY IS IN LIEU OF ALL OTHER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9"/>
              </w:rPr>
              <w:t>WARRANTIES, EXPRESS OR IMPLIED, INCLUDING ANY IMPLIED WARRANTIES REGARDING MERCHANTABILITY</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7"/>
              </w:rPr>
              <w:t>OR FITNESS FOR A PARTICULAR PURPOSE, RELATING TO THE USE OR PERFORMANCE OF THE PARTS. No other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express or implied warranty or guaranty shall bind Supplier. Supplier shall not be liable for its failure to conform with any</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requirements not adequately identified by SI-BONE in the specifications, or for personal injury or property damage, loss of revenue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or profit, failure to realize savings or other benefits, expenditures for substitute goods or services, storage charges or other special,</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incidental or consequential damages caused by the use, misuse or inability to use the goods, regardless of the legal theory on which</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8"/>
              </w:rPr>
              <w:t>the claim is based and even if Supplier has been advised of the possibility of such damages. Without limiting the foregoing,</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SI-BONE assumes all risk and liability for loss, damage or injury to persons and property of SI-BONE or others arising out of use,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misuse, or inability to use any goods sold by Supplier not caused directly by the willful acts or omissions of Supplier. This warranty</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shall not extend to anyone other than the SI-BONE and states SI-BONE’s exclusive remedy. The foregoing sentence shall not be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interpreted to limit Supplier’s indemnification obligations set forth in Section 11 below. All claims under this warranty must be made</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within the Warranty Period.</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4.12</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8"/>
              </w:rPr>
              <w:t>Process Improvements</w:t>
            </w:r>
            <w:r>
              <w:rPr>
                <w:rFonts w:ascii="Arial" w:cs="Arial" w:eastAsia="Arial" w:hAnsi="Arial"/>
                <w:sz w:val="18"/>
                <w:szCs w:val="18"/>
                <w:color w:val="auto"/>
                <w:w w:val="98"/>
              </w:rPr>
              <w:t>. As required by 21 CFR Part 820 Sec. 820.50, Supplier shall not make significant changes to the</w:t>
            </w:r>
          </w:p>
        </w:tc>
      </w:tr>
      <w:tr>
        <w:trPr>
          <w:trHeight w:val="20"/>
        </w:trPr>
        <w:tc>
          <w:tcPr>
            <w:tcW w:w="9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Specifications, manufacturing process, tooling design, processing conditions, materials or manufacturing location of the Products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without SI-BONE’s prior written consent. Notwithstanding the foregoing, SI-BONE will consider in good faith reasonable written</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8"/>
              </w:rPr>
              <w:t>requests by Supplier to change the materials or manufacturing process of the Products, provided SI-BONE shall make final</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determination on such change(s) in its sole discretion.</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4.13</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1"/>
              </w:rPr>
              <w:t>Complaint Handling and Adverse Event Reporting</w:t>
            </w:r>
            <w:r>
              <w:rPr>
                <w:rFonts w:ascii="Arial" w:cs="Arial" w:eastAsia="Arial" w:hAnsi="Arial"/>
                <w:sz w:val="18"/>
                <w:szCs w:val="18"/>
                <w:color w:val="auto"/>
                <w:w w:val="91"/>
              </w:rPr>
              <w:t>. Each party shall cooperate fully with the other party in dealing with customer</w:t>
            </w:r>
          </w:p>
        </w:tc>
      </w:tr>
      <w:tr>
        <w:trPr>
          <w:trHeight w:val="20"/>
        </w:trPr>
        <w:tc>
          <w:tcPr>
            <w:tcW w:w="980" w:type="dxa"/>
            <w:vAlign w:val="bottom"/>
          </w:tcPr>
          <w:p>
            <w:pPr>
              <w:spacing w:after="0" w:line="20" w:lineRule="exact"/>
              <w:rPr>
                <w:sz w:val="1"/>
                <w:szCs w:val="1"/>
                <w:color w:val="auto"/>
              </w:rPr>
            </w:pPr>
          </w:p>
        </w:tc>
        <w:tc>
          <w:tcPr>
            <w:tcW w:w="3920" w:type="dxa"/>
            <w:vAlign w:val="bottom"/>
            <w:gridSpan w:val="3"/>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89"/>
              </w:rPr>
              <w:t>complaints concerning the Product(s) and shall take such action to promptly resolve such complaints as may be reasonably requested</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by the other party. SI-BONE is responsible for complying with all FDA and applicable foreign regulatory requirements pertaining to</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the receipt, review, evaluation, and where applicable, investigation of all complaints received pertaining to the Products, and for the</w:t>
            </w:r>
          </w:p>
        </w:tc>
      </w:tr>
    </w:tbl>
    <w:p>
      <w:pPr>
        <w:ind w:left="1420" w:right="2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reporting of adverse device events, including FDA’s Medical Device Reporting requirements, codified at 21 C.F.R Part 803. Supplier shall reasonably cooperate with SI-BONE to enable SI-BONE to fulfill such requirements. Supplier shall promptly, but in no event more than [*] after receipt of such information, provide complaint information regarding the Products to SI-BONE.</w:t>
      </w:r>
    </w:p>
    <w:p>
      <w:pPr>
        <w:spacing w:after="0" w:line="318" w:lineRule="exact"/>
        <w:rPr>
          <w:sz w:val="20"/>
          <w:szCs w:val="20"/>
          <w:color w:val="auto"/>
        </w:rPr>
      </w:pPr>
    </w:p>
    <w:p>
      <w:pPr>
        <w:ind w:left="440" w:hanging="436"/>
        <w:spacing w:after="0"/>
        <w:tabs>
          <w:tab w:leader="none" w:pos="4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PACKAGING; LABELING; DELIVERY</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5.1</w:t>
            </w: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w w:val="94"/>
              </w:rPr>
              <w:t>Packaging and Labeling</w:t>
            </w:r>
            <w:r>
              <w:rPr>
                <w:rFonts w:ascii="Arial" w:cs="Arial" w:eastAsia="Arial" w:hAnsi="Arial"/>
                <w:sz w:val="18"/>
                <w:szCs w:val="18"/>
                <w:color w:val="auto"/>
                <w:w w:val="94"/>
              </w:rPr>
              <w:t>. Supplier shall be responsible for labeling and packaging Product for shipment to SI-BONE or to its</w:t>
            </w:r>
          </w:p>
        </w:tc>
      </w:tr>
      <w:tr>
        <w:trPr>
          <w:trHeight w:val="20"/>
        </w:trPr>
        <w:tc>
          <w:tcPr>
            <w:tcW w:w="9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designee(s), in accordance with applicable laws, SI-BONE requirements and instructions and the additional specifications included</w:t>
            </w:r>
          </w:p>
        </w:tc>
      </w:tr>
      <w:tr>
        <w:trPr>
          <w:trHeight w:val="216"/>
        </w:trPr>
        <w:tc>
          <w:tcPr>
            <w:tcW w:w="98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2"/>
              </w:rPr>
              <w:t>in the Specifications, which labeling shall include “Manufactured for SI-BONE.” SI-BONE may request changes to the packaging</w:t>
            </w:r>
          </w:p>
        </w:tc>
      </w:tr>
      <w:tr>
        <w:trPr>
          <w:trHeight w:val="230"/>
        </w:trPr>
        <w:tc>
          <w:tcPr>
            <w:tcW w:w="98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and labeling requirements and Specifications upon reasonable prior written notice to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24</w:t>
      </w:r>
    </w:p>
    <w:p>
      <w:pPr>
        <w:spacing w:after="0" w:line="117" w:lineRule="exact"/>
        <w:rPr>
          <w:sz w:val="20"/>
          <w:szCs w:val="20"/>
          <w:color w:val="auto"/>
        </w:rPr>
      </w:pPr>
    </w:p>
    <w:p>
      <w:pPr>
        <w:ind w:right="340" w:firstLine="4"/>
        <w:spacing w:after="0" w:line="277" w:lineRule="auto"/>
        <w:tabs>
          <w:tab w:leader="none" w:pos="2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3" w:right="439" w:bottom="1440" w:gutter="0" w:footer="0" w:header="0"/>
        </w:sectPr>
      </w:pPr>
    </w:p>
    <w:bookmarkStart w:id="310" w:name="page311"/>
    <w:bookmarkEnd w:id="310"/>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0"/>
              </w:rPr>
              <w:t>Supplier. To the extent that Supplier provides input on the Product labeling or Specifications, it is understood by the parties that such</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activity is not intended to make Supplier a “Specifications developer” or a “finished device manufacturer” as such terms are used by</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FDA. Supplier is responsible for release of product labeling, provided, however, that in the case of initial release of any new label or</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2"/>
              </w:rPr>
              <w:t>labeling change, Supplier shall obtain SI-BONE’s consent to such release. SI-BONE is responsible for compliance with applicable</w:t>
            </w:r>
          </w:p>
        </w:tc>
      </w:tr>
      <w:tr>
        <w:trPr>
          <w:trHeight w:val="230"/>
        </w:trPr>
        <w:tc>
          <w:tcPr>
            <w:tcW w:w="980" w:type="dxa"/>
            <w:vAlign w:val="bottom"/>
          </w:tcPr>
          <w:p>
            <w:pPr>
              <w:spacing w:after="0"/>
              <w:rPr>
                <w:sz w:val="20"/>
                <w:szCs w:val="20"/>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FDA product labeling requirements.</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5.2</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93"/>
              </w:rPr>
              <w:t>Delivery</w:t>
            </w:r>
            <w:r>
              <w:rPr>
                <w:rFonts w:ascii="Arial" w:cs="Arial" w:eastAsia="Arial" w:hAnsi="Arial"/>
                <w:sz w:val="18"/>
                <w:szCs w:val="18"/>
                <w:color w:val="auto"/>
                <w:w w:val="93"/>
              </w:rPr>
              <w:t>. Supplier shall deliver Products by, and no more than [*] prior to, SI-BONE’s requested dates of delivery indicated in the</w:t>
            </w: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960" w:type="dxa"/>
            <w:vAlign w:val="bottom"/>
            <w:tcBorders>
              <w:left w:val="single" w:sz="8" w:color="auto"/>
            </w:tcBorders>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2"/>
              </w:rPr>
              <w:t>Order or as agreed between the Supplier and SI-BONE as indicated on the Supplier Order acknowledgement. Requested delivery</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4"/>
              </w:rPr>
              <w:t>dates may be changed only by mutual written agreement of the parties, which agreement shall not be unreasonably withheld or</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2"/>
              </w:rPr>
              <w:t>delayed. In the event that Supplier has reason to believe that it will be unable to meet the agreed upon delivery dates, Supplier will</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1"/>
              </w:rPr>
              <w:t>notify SI-BONE promptly and state the reasons for the anticipated delay. All shipments of Products pursuant to this Agreement shall</w:t>
            </w:r>
          </w:p>
        </w:tc>
      </w:tr>
      <w:tr>
        <w:trPr>
          <w:trHeight w:val="216"/>
        </w:trPr>
        <w:tc>
          <w:tcPr>
            <w:tcW w:w="9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4"/>
              </w:rPr>
              <w:t>be shipped by Supplier FOB Supplier’s facility. Delivery shall be deemed to have occurred, and therefore risk of loss transferred</w:t>
            </w:r>
          </w:p>
        </w:tc>
      </w:tr>
      <w:tr>
        <w:trPr>
          <w:trHeight w:val="230"/>
        </w:trPr>
        <w:tc>
          <w:tcPr>
            <w:tcW w:w="9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from Supplier to SI-BONE, when Products are delivered to the freight forwarder.</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5.3</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89"/>
              </w:rPr>
              <w:t>Packing</w:t>
            </w:r>
            <w:r>
              <w:rPr>
                <w:rFonts w:ascii="Arial" w:cs="Arial" w:eastAsia="Arial" w:hAnsi="Arial"/>
                <w:sz w:val="18"/>
                <w:szCs w:val="18"/>
                <w:color w:val="auto"/>
                <w:w w:val="89"/>
              </w:rPr>
              <w:t>. Products shall be packed at Supplier’s sole cost and expense in accordance with SI-BONE’s reasonable written instructions</w:t>
            </w: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and reasonable commercial practices. Each shipment of Product shall be clearly marked as per SI-BONE’s instructions.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IMPROVEMENTS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6.1</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w w:val="95"/>
              </w:rPr>
              <w:t>General</w:t>
            </w:r>
            <w:r>
              <w:rPr>
                <w:rFonts w:ascii="Arial" w:cs="Arial" w:eastAsia="Arial" w:hAnsi="Arial"/>
                <w:sz w:val="18"/>
                <w:szCs w:val="18"/>
                <w:color w:val="auto"/>
                <w:w w:val="95"/>
              </w:rPr>
              <w:t>. In the event that SI-BONE notifies Supplier that it desires to have Supplier incorporate changes or improvements to a</w:t>
            </w: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1"/>
              </w:rPr>
              <w:t>Product to (a) address a Product defect, integrity, safety or quality concern or compliance matter (each a “</w:t>
            </w:r>
            <w:r>
              <w:rPr>
                <w:rFonts w:ascii="Arial" w:cs="Arial" w:eastAsia="Arial" w:hAnsi="Arial"/>
                <w:sz w:val="18"/>
                <w:szCs w:val="18"/>
                <w:b w:val="1"/>
                <w:bCs w:val="1"/>
                <w:i w:val="1"/>
                <w:iCs w:val="1"/>
                <w:color w:val="auto"/>
                <w:w w:val="91"/>
              </w:rPr>
              <w:t>Required Improvement</w:t>
            </w:r>
            <w:r>
              <w:rPr>
                <w:rFonts w:ascii="Arial" w:cs="Arial" w:eastAsia="Arial" w:hAnsi="Arial"/>
                <w:sz w:val="18"/>
                <w:szCs w:val="18"/>
                <w:color w:val="auto"/>
                <w:w w:val="91"/>
              </w:rPr>
              <w:t>”)</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9"/>
              </w:rPr>
              <w:t>or (b) incorporate a feature enhancement or other improvement that is a not a Required Improvement (each an “</w:t>
            </w:r>
            <w:r>
              <w:rPr>
                <w:rFonts w:ascii="Arial" w:cs="Arial" w:eastAsia="Arial" w:hAnsi="Arial"/>
                <w:sz w:val="18"/>
                <w:szCs w:val="18"/>
                <w:b w:val="1"/>
                <w:bCs w:val="1"/>
                <w:i w:val="1"/>
                <w:iCs w:val="1"/>
                <w:color w:val="auto"/>
                <w:w w:val="99"/>
              </w:rPr>
              <w:t>Optional</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2"/>
              </w:rPr>
              <w:t>Improvement</w:t>
            </w:r>
            <w:r>
              <w:rPr>
                <w:rFonts w:ascii="Arial" w:cs="Arial" w:eastAsia="Arial" w:hAnsi="Arial"/>
                <w:sz w:val="18"/>
                <w:szCs w:val="18"/>
                <w:color w:val="auto"/>
                <w:w w:val="92"/>
              </w:rPr>
              <w:t>,” and together with the Required Improvements, an “</w:t>
            </w:r>
            <w:r>
              <w:rPr>
                <w:rFonts w:ascii="Arial" w:cs="Arial" w:eastAsia="Arial" w:hAnsi="Arial"/>
                <w:sz w:val="18"/>
                <w:szCs w:val="18"/>
                <w:b w:val="1"/>
                <w:bCs w:val="1"/>
                <w:i w:val="1"/>
                <w:iCs w:val="1"/>
                <w:color w:val="auto"/>
                <w:w w:val="92"/>
              </w:rPr>
              <w:t>Improvement</w:t>
            </w:r>
            <w:r>
              <w:rPr>
                <w:rFonts w:ascii="Arial" w:cs="Arial" w:eastAsia="Arial" w:hAnsi="Arial"/>
                <w:sz w:val="18"/>
                <w:szCs w:val="18"/>
                <w:color w:val="auto"/>
                <w:w w:val="92"/>
              </w:rPr>
              <w:t>”), the parties shall promptly discuss in good faith</w:t>
            </w:r>
          </w:p>
        </w:tc>
      </w:tr>
      <w:tr>
        <w:trPr>
          <w:trHeight w:val="230"/>
        </w:trPr>
        <w:tc>
          <w:tcPr>
            <w:tcW w:w="98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the feasibility of implementing such Improvement.</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6.2</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w w:val="91"/>
              </w:rPr>
              <w:t>Implementation of Required Improvements</w:t>
            </w:r>
            <w:r>
              <w:rPr>
                <w:rFonts w:ascii="Arial" w:cs="Arial" w:eastAsia="Arial" w:hAnsi="Arial"/>
                <w:sz w:val="18"/>
                <w:szCs w:val="18"/>
                <w:color w:val="auto"/>
                <w:w w:val="91"/>
              </w:rPr>
              <w:t>. Immediately following receipt of such a request from SI-BONE regarding a Required</w:t>
            </w:r>
          </w:p>
        </w:tc>
      </w:tr>
      <w:tr>
        <w:trPr>
          <w:trHeight w:val="20"/>
        </w:trPr>
        <w:tc>
          <w:tcPr>
            <w:tcW w:w="980" w:type="dxa"/>
            <w:vAlign w:val="bottom"/>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27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3"/>
              </w:rPr>
              <w:t>Improvement, Supplier shall use best efforts to implement the Required Improvement as soon as possible at SI-BONE’s sole cost</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and shall provide reports regarding Supplier’s implementation progress to SI-BONE upon SI-BONE’s request. All such</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improvements shall be evaluated and implemented in accordance SI-BONE’s applicable design control processes and procedures</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4"/>
              </w:rPr>
              <w:t>that are in effect at the time that the improvements are made. SI-BONE shall update the Design History File and Device Master</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Record, as applicable, and provide copies of such documentation to SI-BONE upon implementation of the Required Improvement.</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4"/>
              </w:rPr>
              <w:t>To the extent that Supplier provides input on Required Improvements and changes to the Specifications, it is understood by the</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parties that such activity does not intend to make Supplier a “Specifications Developer” or a “finished device manufacturer” as such</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0"/>
              </w:rPr>
              <w:t>terms are used by FDA. Supplier will have the right to reasonably adjust the Product price to the extent that the changes requested by</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0"/>
              </w:rPr>
              <w:t>SI-BONE affect the material, manufacturing or quality costs. In the event that any Required Improvements result in a change in costs</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0"/>
              </w:rPr>
              <w:t>to Supplier, the parties shall negotiate in good faith a pricing change commensurate with the change in costs. If the parties are unable</w:t>
            </w:r>
          </w:p>
        </w:tc>
      </w:tr>
      <w:tr>
        <w:trPr>
          <w:trHeight w:val="216"/>
        </w:trPr>
        <w:tc>
          <w:tcPr>
            <w:tcW w:w="980" w:type="dxa"/>
            <w:vAlign w:val="bottom"/>
          </w:tcPr>
          <w:p>
            <w:pPr>
              <w:spacing w:after="0"/>
              <w:rPr>
                <w:sz w:val="18"/>
                <w:szCs w:val="18"/>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3"/>
              </w:rPr>
              <w:t>to agree on the change in pricing, then either of the parties may terminate this Agreement provided that, if the Supplier terminates</w:t>
            </w:r>
          </w:p>
        </w:tc>
      </w:tr>
      <w:tr>
        <w:trPr>
          <w:trHeight w:val="190"/>
        </w:trPr>
        <w:tc>
          <w:tcPr>
            <w:tcW w:w="980" w:type="dxa"/>
            <w:vAlign w:val="bottom"/>
          </w:tcPr>
          <w:p>
            <w:pPr>
              <w:spacing w:after="0"/>
              <w:rPr>
                <w:sz w:val="16"/>
                <w:szCs w:val="16"/>
                <w:color w:val="auto"/>
              </w:rPr>
            </w:pPr>
          </w:p>
        </w:tc>
        <w:tc>
          <w:tcPr>
            <w:tcW w:w="9600" w:type="dxa"/>
            <w:vAlign w:val="bottom"/>
            <w:gridSpan w:val="5"/>
          </w:tcPr>
          <w:p>
            <w:pPr>
              <w:spacing w:after="0" w:line="190" w:lineRule="exact"/>
              <w:rPr>
                <w:sz w:val="20"/>
                <w:szCs w:val="20"/>
                <w:color w:val="auto"/>
              </w:rPr>
            </w:pPr>
            <w:r>
              <w:rPr>
                <w:rFonts w:ascii="Arial" w:cs="Arial" w:eastAsia="Arial" w:hAnsi="Arial"/>
                <w:sz w:val="18"/>
                <w:szCs w:val="18"/>
                <w:color w:val="auto"/>
              </w:rPr>
              <w:t>the Agreement, SI-BONE will have the option of making Last Purchase per Section 9.5.</w:t>
            </w:r>
          </w:p>
        </w:tc>
      </w:tr>
      <w:tr>
        <w:trPr>
          <w:trHeight w:val="20"/>
        </w:trPr>
        <w:tc>
          <w:tcPr>
            <w:tcW w:w="9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18"/>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6.3</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w w:val="99"/>
              </w:rPr>
              <w:t>Implementation of Optional Improvements</w:t>
            </w:r>
            <w:r>
              <w:rPr>
                <w:rFonts w:ascii="Arial" w:cs="Arial" w:eastAsia="Arial" w:hAnsi="Arial"/>
                <w:sz w:val="18"/>
                <w:szCs w:val="18"/>
                <w:color w:val="auto"/>
                <w:w w:val="99"/>
              </w:rPr>
              <w:t>. In evaluating and implementing Optional Improvements, Supplier shall use</w:t>
            </w:r>
          </w:p>
        </w:tc>
      </w:tr>
      <w:tr>
        <w:trPr>
          <w:trHeight w:val="20"/>
        </w:trPr>
        <w:tc>
          <w:tcPr>
            <w:tcW w:w="980" w:type="dxa"/>
            <w:vAlign w:val="bottom"/>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4"/>
              </w:rPr>
              <w:t>commercially reasonable efforts to minimize SI-BONE’s cost of implementing the Optional Improvements. Supplier shall provide</w:t>
            </w:r>
          </w:p>
        </w:tc>
      </w:tr>
      <w:tr>
        <w:trPr>
          <w:trHeight w:val="230"/>
        </w:trPr>
        <w:tc>
          <w:tcPr>
            <w:tcW w:w="98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w w:val="92"/>
              </w:rPr>
              <w:t>SI-BONE with a detailed analysis (together with supporting documentation) of the estimated costs (if any) and effect on the supply</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24</w:t>
      </w:r>
    </w:p>
    <w:p>
      <w:pPr>
        <w:spacing w:after="0" w:line="117" w:lineRule="exact"/>
        <w:rPr>
          <w:sz w:val="20"/>
          <w:szCs w:val="20"/>
          <w:color w:val="auto"/>
        </w:rPr>
      </w:pPr>
    </w:p>
    <w:p>
      <w:pPr>
        <w:ind w:right="340" w:firstLine="4"/>
        <w:spacing w:after="0" w:line="277" w:lineRule="auto"/>
        <w:tabs>
          <w:tab w:leader="none" w:pos="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3" w:right="439" w:bottom="1440" w:gutter="0" w:footer="0" w:header="0"/>
        </w:sectPr>
      </w:pPr>
    </w:p>
    <w:bookmarkStart w:id="311" w:name="page312"/>
    <w:bookmarkEnd w:id="311"/>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6"/>
              </w:rPr>
              <w:t>price for the applicable Product (if any) of implementing such Optional Improvement. Supplier shall implement such Optional</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rPr>
              <w:t>Improvement only with SI-BONE’s prior written consent. If Supplier notifies SI-BONE that implementation of an Optional</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9"/>
              </w:rPr>
              <w:t>Improvement will require any modification to the pricing set forth on the Pricing Addendum or in the applicable Order and</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8"/>
              </w:rPr>
              <w:t>SI-BONE agrees, the parties will negotiate in good faith an appropriate modification to the pricing in an amendment to this</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4"/>
              </w:rPr>
              <w:t>Agreement. If the parties are unable to agree on the change in pricing, then Supplier may delay implementation of the Optional</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89"/>
              </w:rPr>
              <w:t>Improvement until a reasonable price change is agreed; provided, however, that if the parties are unable to agree on such reasonable</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8"/>
              </w:rPr>
              <w:t>change in pricing, SI-BONE will have the option of terminating this Agreement provided that this termination will not relieve</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1"/>
              </w:rPr>
              <w:t>SI-BONE of its obligations with respect to any open Orders or outstanding payments. All such improvements shall be evaluated and</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0"/>
              </w:rPr>
              <w:t>implemented in accordance with SI-BONE’s applicable design control processes and procedures that are in effect at the time that the</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0"/>
              </w:rPr>
              <w:t>improvements are made. Supplier shall update the Design History File and Device Master Record, as applicable, and provide copies</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3"/>
              </w:rPr>
              <w:t>of such documentation to SI-BONE upon implementation of the Optional Improvement. To the extent that Supplier provides input</w:t>
            </w:r>
          </w:p>
        </w:tc>
      </w:tr>
      <w:tr>
        <w:trPr>
          <w:trHeight w:val="216"/>
        </w:trPr>
        <w:tc>
          <w:tcPr>
            <w:tcW w:w="980" w:type="dxa"/>
            <w:vAlign w:val="bottom"/>
          </w:tcPr>
          <w:p>
            <w:pPr>
              <w:spacing w:after="0"/>
              <w:rPr>
                <w:sz w:val="18"/>
                <w:szCs w:val="18"/>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w w:val="94"/>
              </w:rPr>
              <w:t>on Optional Improvements and changes to the Specifications, it is understood by the parties that such activity does not intend to</w:t>
            </w:r>
          </w:p>
        </w:tc>
      </w:tr>
      <w:tr>
        <w:trPr>
          <w:trHeight w:val="230"/>
        </w:trPr>
        <w:tc>
          <w:tcPr>
            <w:tcW w:w="980" w:type="dxa"/>
            <w:vAlign w:val="bottom"/>
          </w:tcPr>
          <w:p>
            <w:pPr>
              <w:spacing w:after="0"/>
              <w:rPr>
                <w:sz w:val="20"/>
                <w:szCs w:val="20"/>
                <w:color w:val="auto"/>
              </w:rPr>
            </w:pPr>
          </w:p>
        </w:tc>
        <w:tc>
          <w:tcPr>
            <w:tcW w:w="9600" w:type="dxa"/>
            <w:vAlign w:val="bottom"/>
            <w:gridSpan w:val="3"/>
          </w:tcPr>
          <w:p>
            <w:pPr>
              <w:ind w:left="20"/>
              <w:spacing w:after="0"/>
              <w:rPr>
                <w:sz w:val="20"/>
                <w:szCs w:val="20"/>
                <w:color w:val="auto"/>
              </w:rPr>
            </w:pPr>
            <w:r>
              <w:rPr>
                <w:rFonts w:ascii="Arial" w:cs="Arial" w:eastAsia="Arial" w:hAnsi="Arial"/>
                <w:sz w:val="18"/>
                <w:szCs w:val="18"/>
                <w:color w:val="auto"/>
              </w:rPr>
              <w:t>make Supplier a “Specifications Developer” or a “finished device manufacturer” as such terms are used by FDA.</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6.4</w:t>
            </w:r>
          </w:p>
        </w:tc>
        <w:tc>
          <w:tcPr>
            <w:tcW w:w="9600" w:type="dxa"/>
            <w:vAlign w:val="bottom"/>
            <w:gridSpan w:val="3"/>
          </w:tcPr>
          <w:p>
            <w:pPr>
              <w:spacing w:after="0"/>
              <w:rPr>
                <w:sz w:val="20"/>
                <w:szCs w:val="20"/>
                <w:color w:val="auto"/>
              </w:rPr>
            </w:pPr>
            <w:r>
              <w:rPr>
                <w:rFonts w:ascii="Arial" w:cs="Arial" w:eastAsia="Arial" w:hAnsi="Arial"/>
                <w:sz w:val="18"/>
                <w:szCs w:val="18"/>
                <w:b w:val="1"/>
                <w:bCs w:val="1"/>
                <w:color w:val="auto"/>
                <w:w w:val="97"/>
              </w:rPr>
              <w:t>Regulatory Determination</w:t>
            </w:r>
            <w:r>
              <w:rPr>
                <w:rFonts w:ascii="Arial" w:cs="Arial" w:eastAsia="Arial" w:hAnsi="Arial"/>
                <w:sz w:val="18"/>
                <w:szCs w:val="18"/>
                <w:color w:val="auto"/>
                <w:w w:val="97"/>
              </w:rPr>
              <w:t>. SI-BONE shall be responsible for making the final decision as to whether a proposed design or</w:t>
            </w: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3"/>
              </w:rPr>
              <w:t>manufacturing change may be implemented for the Product(s). Supplier is not permitted to make any modification that affects the</w:t>
            </w:r>
          </w:p>
        </w:tc>
      </w:tr>
      <w:tr>
        <w:trPr>
          <w:trHeight w:val="216"/>
        </w:trPr>
        <w:tc>
          <w:tcPr>
            <w:tcW w:w="98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1"/>
              </w:rPr>
              <w:t>Product(s) without notifying SI-BONE. SI-BONE shall be responsible for making the final determination as to whether such changes</w:t>
            </w:r>
          </w:p>
        </w:tc>
      </w:tr>
      <w:tr>
        <w:trPr>
          <w:trHeight w:val="216"/>
        </w:trPr>
        <w:tc>
          <w:tcPr>
            <w:tcW w:w="98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w w:val="96"/>
              </w:rPr>
              <w:t>require regulatory approval or clearance prior to implementation and shall be responsible for filing and obtaining any required</w:t>
            </w:r>
          </w:p>
        </w:tc>
      </w:tr>
      <w:tr>
        <w:trPr>
          <w:trHeight w:val="230"/>
        </w:trPr>
        <w:tc>
          <w:tcPr>
            <w:tcW w:w="98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approvals and/or clearances, as necessary.</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6.5</w:t>
            </w:r>
          </w:p>
        </w:tc>
        <w:tc>
          <w:tcPr>
            <w:tcW w:w="9600" w:type="dxa"/>
            <w:vAlign w:val="bottom"/>
            <w:gridSpan w:val="3"/>
          </w:tcPr>
          <w:p>
            <w:pPr>
              <w:spacing w:after="0"/>
              <w:rPr>
                <w:sz w:val="20"/>
                <w:szCs w:val="20"/>
                <w:color w:val="auto"/>
              </w:rPr>
            </w:pPr>
            <w:r>
              <w:rPr>
                <w:rFonts w:ascii="Arial" w:cs="Arial" w:eastAsia="Arial" w:hAnsi="Arial"/>
                <w:sz w:val="18"/>
                <w:szCs w:val="18"/>
                <w:b w:val="1"/>
                <w:bCs w:val="1"/>
                <w:color w:val="auto"/>
                <w:w w:val="92"/>
              </w:rPr>
              <w:t>Registration and Listing</w:t>
            </w:r>
            <w:r>
              <w:rPr>
                <w:rFonts w:ascii="Arial" w:cs="Arial" w:eastAsia="Arial" w:hAnsi="Arial"/>
                <w:sz w:val="18"/>
                <w:szCs w:val="18"/>
                <w:color w:val="auto"/>
                <w:w w:val="92"/>
              </w:rPr>
              <w:t>. Supplier shall comply with applicable establishment registration requirements of the US FDA applicable</w:t>
            </w: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to the Products and the manufacture of the Products.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7.1</w:t>
            </w:r>
          </w:p>
        </w:tc>
        <w:tc>
          <w:tcPr>
            <w:tcW w:w="9500" w:type="dxa"/>
            <w:vAlign w:val="bottom"/>
            <w:gridSpan w:val="6"/>
          </w:tcPr>
          <w:p>
            <w:pPr>
              <w:spacing w:after="0"/>
              <w:rPr>
                <w:sz w:val="20"/>
                <w:szCs w:val="20"/>
                <w:color w:val="auto"/>
              </w:rPr>
            </w:pPr>
            <w:r>
              <w:rPr>
                <w:rFonts w:ascii="Arial" w:cs="Arial" w:eastAsia="Arial" w:hAnsi="Arial"/>
                <w:sz w:val="18"/>
                <w:szCs w:val="18"/>
                <w:b w:val="1"/>
                <w:bCs w:val="1"/>
                <w:color w:val="auto"/>
                <w:w w:val="96"/>
              </w:rPr>
              <w:t>Limited License</w:t>
            </w:r>
            <w:r>
              <w:rPr>
                <w:rFonts w:ascii="Arial" w:cs="Arial" w:eastAsia="Arial" w:hAnsi="Arial"/>
                <w:sz w:val="18"/>
                <w:szCs w:val="18"/>
                <w:color w:val="auto"/>
                <w:w w:val="96"/>
              </w:rPr>
              <w:t>. SI-BONE hereby grants Supplier a non-exclusive, nontransferable, worldwide license, without the right to</w:t>
            </w: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5"/>
              </w:rPr>
              <w:t>sublicense, to use all designs, materials, information, know-how and documentation, including the Specifications, provided by</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SI-BONE to Supplier, solely in connection with manufacturing the Products hereunder for supply of such Products to SI-BONE or</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1"/>
              </w:rPr>
              <w:t>parties designated by SI-BONE. This license shall not include the right to modify, make derivative works of or improvements to the</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Products and shall terminate upon the termination or expiration of this Agreement. For purposes of this Agreement, “</w:t>
            </w:r>
            <w:r>
              <w:rPr>
                <w:rFonts w:ascii="Arial" w:cs="Arial" w:eastAsia="Arial" w:hAnsi="Arial"/>
                <w:sz w:val="18"/>
                <w:szCs w:val="18"/>
                <w:b w:val="1"/>
                <w:bCs w:val="1"/>
                <w:i w:val="1"/>
                <w:iCs w:val="1"/>
                <w:color w:val="auto"/>
                <w:w w:val="92"/>
              </w:rPr>
              <w:t>Intellectual</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8"/>
              </w:rPr>
              <w:t>Property</w:t>
            </w:r>
            <w:r>
              <w:rPr>
                <w:rFonts w:ascii="Arial" w:cs="Arial" w:eastAsia="Arial" w:hAnsi="Arial"/>
                <w:sz w:val="18"/>
                <w:szCs w:val="18"/>
                <w:color w:val="auto"/>
                <w:w w:val="98"/>
              </w:rPr>
              <w:t>” means any inventions, improvements, developments, or innovations (including all rights to patents, copyrights,</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trademarks, and trade secrets and know-how inherent therein and appurtenant thereto) and other creative works (whether or not</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8"/>
              </w:rPr>
              <w:t>patentable or copyrightable, conceived or made or reduced to practice), know-how, technical information, pending patent</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1"/>
              </w:rPr>
              <w:t>applications, registrations, divisions and continuations thereof, registered and unregistered copyrights, and all associated goodwill,</w:t>
            </w:r>
          </w:p>
        </w:tc>
      </w:tr>
      <w:tr>
        <w:trPr>
          <w:trHeight w:val="216"/>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3"/>
              </w:rPr>
              <w:t>designs, drawings, specifications, vendor lists, manufacturing methods and processes, and all other information pertinent to this</w:t>
            </w:r>
          </w:p>
        </w:tc>
      </w:tr>
      <w:tr>
        <w:trPr>
          <w:trHeight w:val="212"/>
        </w:trPr>
        <w:tc>
          <w:tcPr>
            <w:tcW w:w="98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3"/>
              </w:rPr>
              <w:t>Agreement, which is proprietary to SI-BONE. SI-BONE’s Intellectual Property as of the date hereof includes, but is not limited to</w:t>
            </w:r>
          </w:p>
        </w:tc>
      </w:tr>
      <w:tr>
        <w:trPr>
          <w:trHeight w:val="194"/>
        </w:trPr>
        <w:tc>
          <w:tcPr>
            <w:tcW w:w="980" w:type="dxa"/>
            <w:vAlign w:val="bottom"/>
          </w:tcPr>
          <w:p>
            <w:pPr>
              <w:spacing w:after="0"/>
              <w:rPr>
                <w:sz w:val="16"/>
                <w:szCs w:val="16"/>
                <w:color w:val="auto"/>
              </w:rPr>
            </w:pPr>
          </w:p>
        </w:tc>
        <w:tc>
          <w:tcPr>
            <w:tcW w:w="9500" w:type="dxa"/>
            <w:vAlign w:val="bottom"/>
            <w:gridSpan w:val="6"/>
          </w:tcPr>
          <w:p>
            <w:pPr>
              <w:spacing w:after="0" w:line="194" w:lineRule="exact"/>
              <w:rPr>
                <w:sz w:val="20"/>
                <w:szCs w:val="20"/>
                <w:color w:val="auto"/>
              </w:rPr>
            </w:pPr>
            <w:r>
              <w:rPr>
                <w:rFonts w:ascii="Arial" w:cs="Arial" w:eastAsia="Arial" w:hAnsi="Arial"/>
                <w:sz w:val="18"/>
                <w:szCs w:val="18"/>
                <w:color w:val="auto"/>
              </w:rPr>
              <w:t xml:space="preserve">the list set forth on </w:t>
            </w:r>
            <w:r>
              <w:rPr>
                <w:rFonts w:ascii="Arial" w:cs="Arial" w:eastAsia="Arial" w:hAnsi="Arial"/>
                <w:sz w:val="18"/>
                <w:szCs w:val="18"/>
                <w:b w:val="1"/>
                <w:bCs w:val="1"/>
                <w:color w:val="auto"/>
              </w:rPr>
              <w:t>Exhibit D</w:t>
            </w:r>
            <w:r>
              <w:rPr>
                <w:rFonts w:ascii="Arial" w:cs="Arial" w:eastAsia="Arial" w:hAnsi="Arial"/>
                <w:sz w:val="18"/>
                <w:szCs w:val="18"/>
                <w:color w:val="auto"/>
              </w:rPr>
              <w:t>.</w:t>
            </w: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318"/>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7.2</w:t>
            </w:r>
          </w:p>
        </w:tc>
        <w:tc>
          <w:tcPr>
            <w:tcW w:w="9500" w:type="dxa"/>
            <w:vAlign w:val="bottom"/>
            <w:gridSpan w:val="6"/>
          </w:tcPr>
          <w:p>
            <w:pPr>
              <w:spacing w:after="0"/>
              <w:rPr>
                <w:sz w:val="20"/>
                <w:szCs w:val="20"/>
                <w:color w:val="auto"/>
              </w:rPr>
            </w:pPr>
            <w:r>
              <w:rPr>
                <w:rFonts w:ascii="Arial" w:cs="Arial" w:eastAsia="Arial" w:hAnsi="Arial"/>
                <w:sz w:val="18"/>
                <w:szCs w:val="18"/>
                <w:b w:val="1"/>
                <w:bCs w:val="1"/>
                <w:color w:val="auto"/>
                <w:w w:val="93"/>
              </w:rPr>
              <w:t>Ownership of Intellectual Property</w:t>
            </w:r>
            <w:r>
              <w:rPr>
                <w:rFonts w:ascii="Arial" w:cs="Arial" w:eastAsia="Arial" w:hAnsi="Arial"/>
                <w:sz w:val="18"/>
                <w:szCs w:val="18"/>
                <w:color w:val="auto"/>
                <w:w w:val="93"/>
              </w:rPr>
              <w:t>. All Intellectual Property of SI-BONE existing on or prior to the execution of this Agreement</w:t>
            </w: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80" w:type="dxa"/>
            <w:vAlign w:val="bottom"/>
            <w:gridSpan w:val="4"/>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4"/>
              </w:rPr>
              <w:t>shall be and remain the property of SI-BONE, and Supplier shall not acquire any rights therein, except as expressly provided in</w:t>
            </w:r>
          </w:p>
        </w:tc>
      </w:tr>
      <w:tr>
        <w:trPr>
          <w:trHeight w:val="230"/>
        </w:trPr>
        <w:tc>
          <w:tcPr>
            <w:tcW w:w="98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Section 7.1 of this Agreement.</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7.3</w:t>
            </w:r>
          </w:p>
        </w:tc>
        <w:tc>
          <w:tcPr>
            <w:tcW w:w="9500" w:type="dxa"/>
            <w:vAlign w:val="bottom"/>
            <w:gridSpan w:val="6"/>
          </w:tcPr>
          <w:p>
            <w:pPr>
              <w:spacing w:after="0"/>
              <w:rPr>
                <w:sz w:val="20"/>
                <w:szCs w:val="20"/>
                <w:color w:val="auto"/>
              </w:rPr>
            </w:pPr>
            <w:r>
              <w:rPr>
                <w:rFonts w:ascii="Arial" w:cs="Arial" w:eastAsia="Arial" w:hAnsi="Arial"/>
                <w:sz w:val="18"/>
                <w:szCs w:val="18"/>
                <w:b w:val="1"/>
                <w:bCs w:val="1"/>
                <w:color w:val="auto"/>
                <w:w w:val="97"/>
              </w:rPr>
              <w:t>Inventions</w:t>
            </w:r>
            <w:r>
              <w:rPr>
                <w:rFonts w:ascii="Arial" w:cs="Arial" w:eastAsia="Arial" w:hAnsi="Arial"/>
                <w:sz w:val="18"/>
                <w:szCs w:val="18"/>
                <w:color w:val="auto"/>
                <w:w w:val="97"/>
              </w:rPr>
              <w:t>. All Intellectual Property conceived or reduced to practice by Supplier, its employees or agents in the course of</w:t>
            </w: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80" w:type="dxa"/>
            <w:vAlign w:val="bottom"/>
            <w:gridSpan w:val="5"/>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0"/>
              </w:rPr>
              <w:t>performing Supplier’s duties hereunder and related to the Products, or as a result of access to SI-BONE’s Intellectual Property, shall</w:t>
            </w:r>
          </w:p>
        </w:tc>
      </w:tr>
      <w:tr>
        <w:trPr>
          <w:trHeight w:val="230"/>
        </w:trPr>
        <w:tc>
          <w:tcPr>
            <w:tcW w:w="98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be owned solely by SI-BONE and Supplier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24</w:t>
      </w:r>
    </w:p>
    <w:p>
      <w:pPr>
        <w:spacing w:after="0" w:line="117" w:lineRule="exact"/>
        <w:rPr>
          <w:sz w:val="20"/>
          <w:szCs w:val="20"/>
          <w:color w:val="auto"/>
        </w:rPr>
      </w:pPr>
    </w:p>
    <w:p>
      <w:pPr>
        <w:ind w:right="340" w:firstLine="4"/>
        <w:spacing w:after="0" w:line="277" w:lineRule="auto"/>
        <w:tabs>
          <w:tab w:leader="none" w:pos="2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312" w:name="page313"/>
    <w:bookmarkEnd w:id="312"/>
    <w:tbl>
      <w:tblPr>
        <w:tblLayout w:type="fixed"/>
        <w:tblInd w:w="43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agrees to irrevocably assign all of its interests in such Intellectual Property to SI-BONE. Supplier shall execute all papers, including</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0"/>
              </w:rPr>
              <w:t>patent applications, invention assignments and copyright assignments, and otherwise shall assist SI-BONE as reasonably required to</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3"/>
              </w:rPr>
              <w:t>perfect in SI-BONE the rights, title and other interests held by SI-BONE under this Agreement. SI-BONE shall pay for reasonable</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costs related to such assistance. If SI-BONE is unable for any reason, after reasonable effort, to secure Supplier’s signature on any</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0"/>
              </w:rPr>
              <w:t>document needed in connection with the actions specified above, Supplier hereby irrevocably designates and appoints SI-BONE and</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1"/>
              </w:rPr>
              <w:t>its duly authorized officers and agents as its agent and attorney in fact, which appointment is coupled with an interest, to act for and</w:t>
            </w:r>
          </w:p>
        </w:tc>
      </w:tr>
      <w:tr>
        <w:trPr>
          <w:trHeight w:val="216"/>
        </w:trPr>
        <w:tc>
          <w:tcPr>
            <w:tcW w:w="980" w:type="dxa"/>
            <w:vAlign w:val="bottom"/>
          </w:tcPr>
          <w:p>
            <w:pPr>
              <w:spacing w:after="0"/>
              <w:rPr>
                <w:sz w:val="18"/>
                <w:szCs w:val="18"/>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w w:val="92"/>
              </w:rPr>
              <w:t>in its behalf to execute, verify and file any such documents and to do all other lawfully permitted acts to further the purposes of the</w:t>
            </w:r>
          </w:p>
        </w:tc>
      </w:tr>
      <w:tr>
        <w:trPr>
          <w:trHeight w:val="230"/>
        </w:trPr>
        <w:tc>
          <w:tcPr>
            <w:tcW w:w="980" w:type="dxa"/>
            <w:vAlign w:val="bottom"/>
          </w:tcPr>
          <w:p>
            <w:pPr>
              <w:spacing w:after="0"/>
              <w:rPr>
                <w:sz w:val="20"/>
                <w:szCs w:val="20"/>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preceding paragraph with the same legal force and effect as if executed by Supplier.</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7.4</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w w:val="93"/>
              </w:rPr>
              <w:t>Trade Names</w:t>
            </w:r>
            <w:r>
              <w:rPr>
                <w:rFonts w:ascii="Arial" w:cs="Arial" w:eastAsia="Arial" w:hAnsi="Arial"/>
                <w:sz w:val="18"/>
                <w:szCs w:val="18"/>
                <w:color w:val="auto"/>
                <w:w w:val="93"/>
              </w:rPr>
              <w:t>. Each of SI-BONE and Supplier hereby acknowledges and agrees that it does not have, and shall not acquire, any</w:t>
            </w:r>
          </w:p>
        </w:tc>
      </w:tr>
      <w:tr>
        <w:trPr>
          <w:trHeight w:val="20"/>
        </w:trPr>
        <w:tc>
          <w:tcPr>
            <w:tcW w:w="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interest in the other party’s trademarks except as expressly provided herein. Any violation of this Section 7 shall constitute a material</w:t>
            </w:r>
          </w:p>
        </w:tc>
      </w:tr>
      <w:tr>
        <w:trPr>
          <w:trHeight w:val="230"/>
        </w:trPr>
        <w:tc>
          <w:tcPr>
            <w:tcW w:w="9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breach of this Agreement.</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6" w:hanging="436"/>
        <w:spacing w:after="0"/>
        <w:tabs>
          <w:tab w:leader="none" w:pos="436"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NON-INTERFERENCE</w:t>
      </w:r>
      <w:r>
        <w:rPr>
          <w:rFonts w:ascii="Arial" w:cs="Arial" w:eastAsia="Arial" w:hAnsi="Arial"/>
          <w:sz w:val="18"/>
          <w:szCs w:val="18"/>
          <w:b w:val="1"/>
          <w:bCs w:val="1"/>
          <w:color w:val="auto"/>
        </w:rPr>
        <w:t>.</w:t>
      </w:r>
    </w:p>
    <w:p>
      <w:pPr>
        <w:spacing w:after="0" w:line="121" w:lineRule="exact"/>
        <w:rPr>
          <w:sz w:val="20"/>
          <w:szCs w:val="20"/>
          <w:color w:val="auto"/>
        </w:rPr>
      </w:pPr>
    </w:p>
    <w:p>
      <w:pPr>
        <w:ind w:left="436" w:right="20" w:firstLine="423"/>
        <w:spacing w:after="0" w:line="255" w:lineRule="auto"/>
        <w:rPr>
          <w:sz w:val="20"/>
          <w:szCs w:val="20"/>
          <w:color w:val="auto"/>
        </w:rPr>
      </w:pPr>
      <w:r>
        <w:rPr>
          <w:rFonts w:ascii="Arial" w:cs="Arial" w:eastAsia="Arial" w:hAnsi="Arial"/>
          <w:sz w:val="18"/>
          <w:szCs w:val="18"/>
          <w:color w:val="auto"/>
        </w:rPr>
        <w:t>During the Term of this Agreement and for a period of [*]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neither party shall, directly or indirectly, solicit for hiring, hire or accept any services or work from the other party’s employees or consultants. This restriction shall not apply to employees responding to commercially reasonable employment advertisements in common national or regional recruiting media. The parties further agree that during the Restricted Period, the parties shall not in any way discourage any of the other party’s clients, customers or distributors or prospective clients, customers or distributors from purchasing products, or solicit or influence or attempt to solicit or influence any client, customer, distributor or other person, either directly or indirectly, to direct any purchase of products to any other entity in competition with the business of the other party.</w:t>
      </w:r>
    </w:p>
    <w:p>
      <w:pPr>
        <w:spacing w:after="0" w:line="334" w:lineRule="exact"/>
        <w:rPr>
          <w:sz w:val="20"/>
          <w:szCs w:val="20"/>
          <w:color w:val="auto"/>
        </w:rPr>
      </w:pPr>
    </w:p>
    <w:p>
      <w:pPr>
        <w:ind w:left="436" w:hanging="436"/>
        <w:spacing w:after="0"/>
        <w:tabs>
          <w:tab w:leader="none" w:pos="436"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36" w:type="dxa"/>
        <w:tblCellMar>
          <w:top w:w="0" w:type="dxa"/>
          <w:left w:w="0" w:type="dxa"/>
          <w:bottom w:w="0" w:type="dxa"/>
          <w:right w:w="0" w:type="dxa"/>
        </w:tblCellMar>
      </w:tblPr>
      <w:tr>
        <w:trPr>
          <w:trHeight w:val="20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9.1</w:t>
            </w:r>
          </w:p>
        </w:tc>
        <w:tc>
          <w:tcPr>
            <w:tcW w:w="9520" w:type="dxa"/>
            <w:vAlign w:val="bottom"/>
            <w:gridSpan w:val="9"/>
          </w:tcPr>
          <w:p>
            <w:pPr>
              <w:spacing w:after="0"/>
              <w:rPr>
                <w:sz w:val="20"/>
                <w:szCs w:val="20"/>
                <w:color w:val="auto"/>
              </w:rPr>
            </w:pPr>
            <w:r>
              <w:rPr>
                <w:rFonts w:ascii="Arial" w:cs="Arial" w:eastAsia="Arial" w:hAnsi="Arial"/>
                <w:sz w:val="18"/>
                <w:szCs w:val="18"/>
                <w:b w:val="1"/>
                <w:bCs w:val="1"/>
                <w:color w:val="auto"/>
                <w:w w:val="93"/>
              </w:rPr>
              <w:t>Term; Renewal</w:t>
            </w:r>
            <w:r>
              <w:rPr>
                <w:rFonts w:ascii="Arial" w:cs="Arial" w:eastAsia="Arial" w:hAnsi="Arial"/>
                <w:sz w:val="18"/>
                <w:szCs w:val="18"/>
                <w:color w:val="auto"/>
                <w:w w:val="93"/>
              </w:rPr>
              <w:t>. Unless earlier terminated in accordance with this Section 9, the term of this Agreement shall commence on the</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520" w:type="dxa"/>
            <w:vAlign w:val="bottom"/>
            <w:gridSpan w:val="9"/>
          </w:tcPr>
          <w:p>
            <w:pPr>
              <w:spacing w:after="0" w:line="196" w:lineRule="exact"/>
              <w:rPr>
                <w:sz w:val="20"/>
                <w:szCs w:val="20"/>
                <w:color w:val="auto"/>
              </w:rPr>
            </w:pPr>
            <w:r>
              <w:rPr>
                <w:rFonts w:ascii="Arial" w:cs="Arial" w:eastAsia="Arial" w:hAnsi="Arial"/>
                <w:sz w:val="18"/>
                <w:szCs w:val="18"/>
                <w:color w:val="auto"/>
                <w:w w:val="94"/>
              </w:rPr>
              <w:t xml:space="preserve">Effective Date and continue for an initial term of </w:t>
            </w:r>
            <w:r>
              <w:rPr>
                <w:rFonts w:ascii="Arial" w:cs="Arial" w:eastAsia="Arial" w:hAnsi="Arial"/>
                <w:sz w:val="18"/>
                <w:szCs w:val="18"/>
                <w:b w:val="1"/>
                <w:bCs w:val="1"/>
                <w:color w:val="auto"/>
                <w:w w:val="94"/>
              </w:rPr>
              <w:t>three years</w:t>
            </w:r>
            <w:r>
              <w:rPr>
                <w:rFonts w:ascii="Arial" w:cs="Arial" w:eastAsia="Arial" w:hAnsi="Arial"/>
                <w:sz w:val="18"/>
                <w:szCs w:val="18"/>
                <w:color w:val="auto"/>
                <w:w w:val="94"/>
              </w:rPr>
              <w:t xml:space="preserve"> (the “</w:t>
            </w:r>
            <w:r>
              <w:rPr>
                <w:rFonts w:ascii="Arial" w:cs="Arial" w:eastAsia="Arial" w:hAnsi="Arial"/>
                <w:sz w:val="18"/>
                <w:szCs w:val="18"/>
                <w:b w:val="1"/>
                <w:bCs w:val="1"/>
                <w:i w:val="1"/>
                <w:iCs w:val="1"/>
                <w:color w:val="auto"/>
                <w:w w:val="94"/>
              </w:rPr>
              <w:t>Initial Term</w:t>
            </w:r>
            <w:r>
              <w:rPr>
                <w:rFonts w:ascii="Arial" w:cs="Arial" w:eastAsia="Arial" w:hAnsi="Arial"/>
                <w:sz w:val="18"/>
                <w:szCs w:val="18"/>
                <w:color w:val="auto"/>
                <w:w w:val="94"/>
              </w:rPr>
              <w:t>”). This Agreement shall automatically renew for</w:t>
            </w:r>
          </w:p>
        </w:tc>
      </w:tr>
      <w:tr>
        <w:trPr>
          <w:trHeight w:val="20"/>
        </w:trPr>
        <w:tc>
          <w:tcPr>
            <w:tcW w:w="9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520" w:type="dxa"/>
            <w:vAlign w:val="bottom"/>
            <w:gridSpan w:val="9"/>
          </w:tcPr>
          <w:p>
            <w:pPr>
              <w:spacing w:after="0" w:line="196" w:lineRule="exact"/>
              <w:rPr>
                <w:sz w:val="20"/>
                <w:szCs w:val="20"/>
                <w:color w:val="auto"/>
              </w:rPr>
            </w:pPr>
            <w:r>
              <w:rPr>
                <w:rFonts w:ascii="Arial" w:cs="Arial" w:eastAsia="Arial" w:hAnsi="Arial"/>
                <w:sz w:val="18"/>
                <w:szCs w:val="18"/>
                <w:color w:val="auto"/>
                <w:w w:val="90"/>
              </w:rPr>
              <w:t xml:space="preserve">successive </w:t>
            </w:r>
            <w:r>
              <w:rPr>
                <w:rFonts w:ascii="Arial" w:cs="Arial" w:eastAsia="Arial" w:hAnsi="Arial"/>
                <w:sz w:val="18"/>
                <w:szCs w:val="18"/>
                <w:b w:val="1"/>
                <w:bCs w:val="1"/>
                <w:color w:val="auto"/>
                <w:w w:val="90"/>
              </w:rPr>
              <w:t>one year</w:t>
            </w:r>
            <w:r>
              <w:rPr>
                <w:rFonts w:ascii="Arial" w:cs="Arial" w:eastAsia="Arial" w:hAnsi="Arial"/>
                <w:sz w:val="18"/>
                <w:szCs w:val="18"/>
                <w:color w:val="auto"/>
                <w:w w:val="90"/>
              </w:rPr>
              <w:t xml:space="preserve"> periods (each, a “</w:t>
            </w:r>
            <w:r>
              <w:rPr>
                <w:rFonts w:ascii="Arial" w:cs="Arial" w:eastAsia="Arial" w:hAnsi="Arial"/>
                <w:sz w:val="18"/>
                <w:szCs w:val="18"/>
                <w:b w:val="1"/>
                <w:bCs w:val="1"/>
                <w:i w:val="1"/>
                <w:iCs w:val="1"/>
                <w:color w:val="auto"/>
                <w:w w:val="90"/>
              </w:rPr>
              <w:t>Renewal Term</w:t>
            </w:r>
            <w:r>
              <w:rPr>
                <w:rFonts w:ascii="Arial" w:cs="Arial" w:eastAsia="Arial" w:hAnsi="Arial"/>
                <w:sz w:val="18"/>
                <w:szCs w:val="18"/>
                <w:color w:val="auto"/>
                <w:w w:val="90"/>
              </w:rPr>
              <w:t>” and collectively, together with Initial Term, the “</w:t>
            </w:r>
            <w:r>
              <w:rPr>
                <w:rFonts w:ascii="Arial" w:cs="Arial" w:eastAsia="Arial" w:hAnsi="Arial"/>
                <w:sz w:val="18"/>
                <w:szCs w:val="18"/>
                <w:b w:val="1"/>
                <w:bCs w:val="1"/>
                <w:i w:val="1"/>
                <w:iCs w:val="1"/>
                <w:color w:val="auto"/>
                <w:w w:val="90"/>
              </w:rPr>
              <w:t>Term</w:t>
            </w:r>
            <w:r>
              <w:rPr>
                <w:rFonts w:ascii="Arial" w:cs="Arial" w:eastAsia="Arial" w:hAnsi="Arial"/>
                <w:sz w:val="18"/>
                <w:szCs w:val="18"/>
                <w:color w:val="auto"/>
                <w:w w:val="90"/>
              </w:rPr>
              <w:t>”) unless terminated by</w:t>
            </w:r>
          </w:p>
        </w:tc>
      </w:tr>
      <w:tr>
        <w:trPr>
          <w:trHeight w:val="20"/>
        </w:trPr>
        <w:tc>
          <w:tcPr>
            <w:tcW w:w="9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rPr>
              <w:t>either party with [*] written notice prior to the beginning of such Renewal Term.</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9.2</w:t>
            </w:r>
          </w:p>
        </w:tc>
        <w:tc>
          <w:tcPr>
            <w:tcW w:w="9520" w:type="dxa"/>
            <w:vAlign w:val="bottom"/>
            <w:gridSpan w:val="9"/>
          </w:tcPr>
          <w:p>
            <w:pPr>
              <w:spacing w:after="0"/>
              <w:rPr>
                <w:sz w:val="20"/>
                <w:szCs w:val="20"/>
                <w:color w:val="auto"/>
              </w:rPr>
            </w:pPr>
            <w:r>
              <w:rPr>
                <w:rFonts w:ascii="Arial" w:cs="Arial" w:eastAsia="Arial" w:hAnsi="Arial"/>
                <w:sz w:val="18"/>
                <w:szCs w:val="18"/>
                <w:b w:val="1"/>
                <w:bCs w:val="1"/>
                <w:color w:val="auto"/>
                <w:w w:val="97"/>
              </w:rPr>
              <w:t>Material Breach</w:t>
            </w:r>
            <w:r>
              <w:rPr>
                <w:rFonts w:ascii="Arial" w:cs="Arial" w:eastAsia="Arial" w:hAnsi="Arial"/>
                <w:sz w:val="18"/>
                <w:szCs w:val="18"/>
                <w:color w:val="auto"/>
                <w:w w:val="97"/>
              </w:rPr>
              <w:t>. Either party may terminate this Agreement in the event the other party commits a material breach of this</w:t>
            </w:r>
          </w:p>
        </w:tc>
      </w:tr>
      <w:tr>
        <w:trPr>
          <w:trHeight w:val="20"/>
        </w:trPr>
        <w:tc>
          <w:tcPr>
            <w:tcW w:w="98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rPr>
              <w:t>Agreement and has not cured such breach within [*] of written notice thereof from the non-breaching party.</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9.3</w:t>
            </w:r>
          </w:p>
        </w:tc>
        <w:tc>
          <w:tcPr>
            <w:tcW w:w="9520" w:type="dxa"/>
            <w:vAlign w:val="bottom"/>
            <w:gridSpan w:val="9"/>
          </w:tcPr>
          <w:p>
            <w:pPr>
              <w:spacing w:after="0"/>
              <w:rPr>
                <w:sz w:val="20"/>
                <w:szCs w:val="20"/>
                <w:color w:val="auto"/>
              </w:rPr>
            </w:pPr>
            <w:r>
              <w:rPr>
                <w:rFonts w:ascii="Arial" w:cs="Arial" w:eastAsia="Arial" w:hAnsi="Arial"/>
                <w:sz w:val="18"/>
                <w:szCs w:val="18"/>
                <w:b w:val="1"/>
                <w:bCs w:val="1"/>
                <w:color w:val="auto"/>
              </w:rPr>
              <w:t>Termination by SI-BONE</w:t>
            </w:r>
            <w:r>
              <w:rPr>
                <w:rFonts w:ascii="Arial" w:cs="Arial" w:eastAsia="Arial" w:hAnsi="Arial"/>
                <w:sz w:val="18"/>
                <w:szCs w:val="18"/>
                <w:color w:val="auto"/>
              </w:rPr>
              <w:t>. SI-BONE may terminate this Agreement upon written notice to Supplier:</w:t>
            </w: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gridSpan w:val="5"/>
            <w:shd w:val="clear" w:color="auto" w:fill="000000"/>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r>
      <w:tr>
        <w:trPr>
          <w:trHeight w:val="344"/>
        </w:trPr>
        <w:tc>
          <w:tcPr>
            <w:tcW w:w="9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a.</w:t>
            </w: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3"/>
              </w:rPr>
              <w:t>if Supplier fails to deliver a shipment of conforming Products in the quantities and within [*] of the mutually agreed delivery</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7"/>
              </w:rPr>
              <w:t>date for a SI-BONE Order submitted in accordance with this Agreement and such failure results in a delay or Product</w:t>
            </w: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2"/>
              </w:rPr>
              <w:t>backorder of an aggregate total (together with any other delays during the same Supply Period) of more than [*] (a “</w:t>
            </w:r>
            <w:r>
              <w:rPr>
                <w:rFonts w:ascii="Arial" w:cs="Arial" w:eastAsia="Arial" w:hAnsi="Arial"/>
                <w:sz w:val="18"/>
                <w:szCs w:val="18"/>
                <w:b w:val="1"/>
                <w:bCs w:val="1"/>
                <w:i w:val="1"/>
                <w:iCs w:val="1"/>
                <w:color w:val="auto"/>
                <w:w w:val="92"/>
              </w:rPr>
              <w:t>Supply</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b w:val="1"/>
                <w:bCs w:val="1"/>
                <w:i w:val="1"/>
                <w:iCs w:val="1"/>
                <w:color w:val="auto"/>
              </w:rPr>
              <w:t>Failure</w:t>
            </w:r>
            <w:r>
              <w:rPr>
                <w:rFonts w:ascii="Arial" w:cs="Arial" w:eastAsia="Arial" w:hAnsi="Arial"/>
                <w:sz w:val="18"/>
                <w:szCs w:val="18"/>
                <w:color w:val="auto"/>
              </w:rPr>
              <w:t>”);</w:t>
            </w:r>
          </w:p>
        </w:tc>
      </w:tr>
      <w:tr>
        <w:trPr>
          <w:trHeight w:val="323"/>
        </w:trPr>
        <w:tc>
          <w:tcPr>
            <w:tcW w:w="9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w w:val="93"/>
              </w:rPr>
              <w:t>if Supplier changes the site of manufacture of any Products to a site that has not been previously approved by SI-BONE in</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rPr>
              <w:t>writing;</w:t>
            </w:r>
          </w:p>
        </w:tc>
      </w:tr>
      <w:tr>
        <w:trPr>
          <w:trHeight w:val="323"/>
        </w:trPr>
        <w:tc>
          <w:tcPr>
            <w:tcW w:w="9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c.</w:t>
            </w: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rPr>
              <w:t>in the event of a Change in Control of Supplier or Supplier sells all or substantially all of its assets relating to the</w:t>
            </w: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20" w:type="dxa"/>
            <w:vAlign w:val="bottom"/>
            <w:gridSpan w:val="8"/>
          </w:tcPr>
          <w:p>
            <w:pPr>
              <w:ind w:left="140"/>
              <w:spacing w:after="0"/>
              <w:rPr>
                <w:sz w:val="20"/>
                <w:szCs w:val="20"/>
                <w:color w:val="auto"/>
              </w:rPr>
            </w:pPr>
            <w:r>
              <w:rPr>
                <w:rFonts w:ascii="Arial" w:cs="Arial" w:eastAsia="Arial" w:hAnsi="Arial"/>
                <w:sz w:val="18"/>
                <w:szCs w:val="18"/>
                <w:color w:val="auto"/>
              </w:rPr>
              <w:t>manufacturing of the Products; or</w:t>
            </w:r>
          </w:p>
        </w:tc>
      </w:tr>
    </w:tbl>
    <w:p>
      <w:pPr>
        <w:spacing w:after="0" w:line="13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8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3" w:right="459" w:bottom="1440" w:gutter="0" w:footer="0" w:header="0"/>
        </w:sectPr>
      </w:pPr>
    </w:p>
    <w:bookmarkStart w:id="313" w:name="page314"/>
    <w:bookmarkEnd w:id="313"/>
    <w:tbl>
      <w:tblPr>
        <w:tblLayout w:type="fixed"/>
        <w:tblInd w:w="4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d.</w:t>
            </w:r>
          </w:p>
        </w:tc>
        <w:tc>
          <w:tcPr>
            <w:tcW w:w="9220" w:type="dxa"/>
            <w:vAlign w:val="bottom"/>
            <w:gridSpan w:val="5"/>
          </w:tcPr>
          <w:p>
            <w:pPr>
              <w:ind w:left="140"/>
              <w:spacing w:after="0"/>
              <w:rPr>
                <w:sz w:val="20"/>
                <w:szCs w:val="20"/>
                <w:color w:val="auto"/>
              </w:rPr>
            </w:pPr>
            <w:r>
              <w:rPr>
                <w:rFonts w:ascii="Arial" w:cs="Arial" w:eastAsia="Arial" w:hAnsi="Arial"/>
                <w:sz w:val="18"/>
                <w:szCs w:val="18"/>
                <w:color w:val="auto"/>
              </w:rPr>
              <w:t>if Supplier breaches Section 8 hereof (Non-Interference Covenant).</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9.4</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5"/>
              </w:rPr>
              <w:t>Insolvency</w:t>
            </w:r>
            <w:r>
              <w:rPr>
                <w:rFonts w:ascii="Arial" w:cs="Arial" w:eastAsia="Arial" w:hAnsi="Arial"/>
                <w:sz w:val="18"/>
                <w:szCs w:val="18"/>
                <w:color w:val="auto"/>
                <w:w w:val="95"/>
              </w:rPr>
              <w:t>. Either party may terminate this Agreement if the other party files, or has filed against it, a petition for voluntary or</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0"/>
              </w:rPr>
              <w:t>involuntary bankruptcy or pursuant to any other insolvency law, or the other party makes or seeks to make a general assignment for</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1"/>
              </w:rPr>
              <w:t>the benefit of its creditors or applies for or consents to the appointment of a trustee, receiver or custodian for it or a substantial part</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7"/>
              </w:rPr>
              <w:t>of its property, and, in the case of an involuntary bankruptcy, such situation is not cured within [*] from its occurrence, such</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termination to take effect upon delivery of notice of termination to the other party.</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9.5</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1"/>
              </w:rPr>
              <w:t xml:space="preserve">Last Purchase. </w:t>
            </w:r>
            <w:r>
              <w:rPr>
                <w:rFonts w:ascii="Arial" w:cs="Arial" w:eastAsia="Arial" w:hAnsi="Arial"/>
                <w:sz w:val="18"/>
                <w:szCs w:val="18"/>
                <w:color w:val="auto"/>
                <w:w w:val="91"/>
              </w:rPr>
              <w:t>If this agreement is terminated by SI-BONE in accordance with 9.3, SI-BONE will have the option of placing a last</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4"/>
              </w:rPr>
              <w:t>purchase with the Supplier equal to the amount of the demand for up to a [*] period based on the then current forecast and unit</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prices, to be delivered by the Supplier within a mutually agreed upon time frame or a maximum of [*].</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9.6</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2"/>
              </w:rPr>
              <w:t>Effect of Termination</w:t>
            </w:r>
            <w:r>
              <w:rPr>
                <w:rFonts w:ascii="Arial" w:cs="Arial" w:eastAsia="Arial" w:hAnsi="Arial"/>
                <w:sz w:val="18"/>
                <w:szCs w:val="18"/>
                <w:color w:val="auto"/>
                <w:w w:val="92"/>
              </w:rPr>
              <w:t>. Immediately upon expiration or termination of this Agreement, Supplier will discontinue manufacturing the</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4"/>
              </w:rPr>
              <w:t>Products and the license under Section 7.1 shall terminate; provided, that expiration or termination of this Agreement shall not</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9"/>
              </w:rPr>
              <w:t>relieve the parties of any obligation accruing prior of such expiration or termination. Upon termination or expiration of this</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1"/>
              </w:rPr>
              <w:t>Agreement, SI-BONE shall take delivery of and pay for all Products under any Order outstanding as of the date of termination only</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1"/>
              </w:rPr>
              <w:t>in the event of a termination by SI-BONE under Section 9.1 unless SI-BONE terminated the Agreement for cause, and Supplier will</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(i) fulfill all Orders submitted to Supplier prior to the effective date of termination and (ii) promptly return all SI-BONE</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documentation and property in Supplier’s possession.</w:t>
            </w:r>
          </w:p>
        </w:tc>
      </w:tr>
      <w:tr>
        <w:trPr>
          <w:trHeight w:val="297"/>
        </w:trPr>
        <w:tc>
          <w:tcPr>
            <w:tcW w:w="98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9.7</w:t>
            </w:r>
          </w:p>
        </w:tc>
        <w:tc>
          <w:tcPr>
            <w:tcW w:w="9520" w:type="dxa"/>
            <w:vAlign w:val="bottom"/>
            <w:gridSpan w:val="6"/>
          </w:tcPr>
          <w:p>
            <w:pPr>
              <w:spacing w:after="0"/>
              <w:rPr>
                <w:sz w:val="20"/>
                <w:szCs w:val="20"/>
                <w:color w:val="auto"/>
              </w:rPr>
            </w:pPr>
            <w:r>
              <w:rPr>
                <w:rFonts w:ascii="Arial" w:cs="Arial" w:eastAsia="Arial" w:hAnsi="Arial"/>
                <w:sz w:val="18"/>
                <w:szCs w:val="18"/>
                <w:b w:val="1"/>
                <w:bCs w:val="1"/>
                <w:color w:val="auto"/>
                <w:w w:val="92"/>
              </w:rPr>
              <w:t>Survival</w:t>
            </w:r>
            <w:r>
              <w:rPr>
                <w:rFonts w:ascii="Arial" w:cs="Arial" w:eastAsia="Arial" w:hAnsi="Arial"/>
                <w:sz w:val="18"/>
                <w:szCs w:val="18"/>
                <w:color w:val="auto"/>
                <w:w w:val="92"/>
              </w:rPr>
              <w:t>. All of the representations, warranties, and indemnifications made in this Agreement, and all terms and provisions hereof</w:t>
            </w:r>
          </w:p>
        </w:tc>
      </w:tr>
      <w:tr>
        <w:trPr>
          <w:trHeight w:val="20"/>
        </w:trPr>
        <w:tc>
          <w:tcPr>
            <w:tcW w:w="9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0"/>
              </w:rPr>
              <w:t>intended to be observed and performed by the parties after the termination hereof, including Sections 4.1, 4.3, 4.4, 4.5, 4.6, 4.8, 4.9,</w:t>
            </w:r>
          </w:p>
        </w:tc>
      </w:tr>
      <w:tr>
        <w:trPr>
          <w:trHeight w:val="216"/>
        </w:trPr>
        <w:tc>
          <w:tcPr>
            <w:tcW w:w="98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w w:val="94"/>
              </w:rPr>
              <w:t>4.10, 4.11, 4.13, 7.2, 7.3, 7.4, 8, 9, 10, 11 and 12 shall survive such termination and continue thereafter in full force and effect,</w:t>
            </w:r>
          </w:p>
        </w:tc>
      </w:tr>
      <w:tr>
        <w:trPr>
          <w:trHeight w:val="230"/>
        </w:trPr>
        <w:tc>
          <w:tcPr>
            <w:tcW w:w="980" w:type="dxa"/>
            <w:vAlign w:val="bottom"/>
          </w:tcPr>
          <w:p>
            <w:pPr>
              <w:spacing w:after="0"/>
              <w:rPr>
                <w:sz w:val="20"/>
                <w:szCs w:val="20"/>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subject to applicable statutes of limitations.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PUBLICITY</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10.1</w:t>
            </w: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w w:val="96"/>
              </w:rPr>
              <w:t>Confidential and Proprietary Information</w:t>
            </w:r>
            <w:r>
              <w:rPr>
                <w:rFonts w:ascii="Arial" w:cs="Arial" w:eastAsia="Arial" w:hAnsi="Arial"/>
                <w:sz w:val="18"/>
                <w:szCs w:val="18"/>
                <w:color w:val="auto"/>
                <w:w w:val="96"/>
              </w:rPr>
              <w:t>. SI-BONE and the Supplier will have access to each other’s Confidential and</w:t>
            </w:r>
          </w:p>
        </w:tc>
      </w:tr>
      <w:tr>
        <w:trPr>
          <w:trHeight w:val="20"/>
        </w:trPr>
        <w:tc>
          <w:tcPr>
            <w:tcW w:w="98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1"/>
              </w:rPr>
              <w:t>Proprietary Information. “</w:t>
            </w:r>
            <w:r>
              <w:rPr>
                <w:rFonts w:ascii="Arial" w:cs="Arial" w:eastAsia="Arial" w:hAnsi="Arial"/>
                <w:sz w:val="18"/>
                <w:szCs w:val="18"/>
                <w:b w:val="1"/>
                <w:bCs w:val="1"/>
                <w:i w:val="1"/>
                <w:iCs w:val="1"/>
                <w:color w:val="auto"/>
                <w:w w:val="91"/>
              </w:rPr>
              <w:t>Confidential and Proprietary Information</w:t>
            </w:r>
            <w:r>
              <w:rPr>
                <w:rFonts w:ascii="Arial" w:cs="Arial" w:eastAsia="Arial" w:hAnsi="Arial"/>
                <w:sz w:val="18"/>
                <w:szCs w:val="18"/>
                <w:color w:val="auto"/>
                <w:w w:val="91"/>
              </w:rPr>
              <w:t>” means any trade secret as defined by the Uniform Trade</w:t>
            </w:r>
          </w:p>
        </w:tc>
      </w:tr>
      <w:tr>
        <w:trPr>
          <w:trHeight w:val="230"/>
        </w:trPr>
        <w:tc>
          <w:tcPr>
            <w:tcW w:w="98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1"/>
              </w:rPr>
              <w:t>Secrets Act (“</w:t>
            </w:r>
            <w:r>
              <w:rPr>
                <w:rFonts w:ascii="Arial" w:cs="Arial" w:eastAsia="Arial" w:hAnsi="Arial"/>
                <w:sz w:val="18"/>
                <w:szCs w:val="18"/>
                <w:b w:val="1"/>
                <w:bCs w:val="1"/>
                <w:i w:val="1"/>
                <w:iCs w:val="1"/>
                <w:color w:val="auto"/>
                <w:w w:val="91"/>
              </w:rPr>
              <w:t>Trade Secret</w:t>
            </w:r>
            <w:r>
              <w:rPr>
                <w:rFonts w:ascii="Arial" w:cs="Arial" w:eastAsia="Arial" w:hAnsi="Arial"/>
                <w:sz w:val="18"/>
                <w:szCs w:val="18"/>
                <w:color w:val="auto"/>
                <w:w w:val="91"/>
              </w:rPr>
              <w:t>”), other information viewed by the party disclosing it (the “</w:t>
            </w:r>
            <w:r>
              <w:rPr>
                <w:rFonts w:ascii="Arial" w:cs="Arial" w:eastAsia="Arial" w:hAnsi="Arial"/>
                <w:sz w:val="18"/>
                <w:szCs w:val="18"/>
                <w:b w:val="1"/>
                <w:bCs w:val="1"/>
                <w:i w:val="1"/>
                <w:iCs w:val="1"/>
                <w:color w:val="auto"/>
                <w:w w:val="91"/>
              </w:rPr>
              <w:t>Disclosing Party</w:t>
            </w:r>
            <w:r>
              <w:rPr>
                <w:rFonts w:ascii="Arial" w:cs="Arial" w:eastAsia="Arial" w:hAnsi="Arial"/>
                <w:sz w:val="18"/>
                <w:szCs w:val="18"/>
                <w:color w:val="auto"/>
                <w:w w:val="91"/>
              </w:rPr>
              <w:t>”) as confidential and/or</w:t>
            </w:r>
          </w:p>
        </w:tc>
      </w:tr>
    </w:tbl>
    <w:p>
      <w:pPr>
        <w:ind w:left="1420"/>
        <w:spacing w:after="0" w:line="285" w:lineRule="auto"/>
        <w:rPr>
          <w:sz w:val="20"/>
          <w:szCs w:val="20"/>
          <w:color w:val="auto"/>
        </w:rPr>
      </w:pPr>
      <w:r>
        <w:rPr>
          <w:rFonts w:ascii="Arial" w:cs="Arial" w:eastAsia="Arial" w:hAnsi="Arial"/>
          <w:sz w:val="16"/>
          <w:szCs w:val="16"/>
          <w:color w:val="auto"/>
        </w:rPr>
        <w:t>proprietary, and any and all information or proprietary materials (in every form and media) not generally known in the relevant trade or industry made available by either party to the party receiving such information (in such case,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and Proprietary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 disclosure, (c) becomes publicly known after the date of disclosure through no fault of the Receiving Party, (d) is received by the Receiving Party from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24</w:t>
      </w:r>
    </w:p>
    <w:p>
      <w:pPr>
        <w:spacing w:after="0" w:line="117" w:lineRule="exact"/>
        <w:rPr>
          <w:sz w:val="20"/>
          <w:szCs w:val="20"/>
          <w:color w:val="auto"/>
        </w:rPr>
      </w:pPr>
    </w:p>
    <w:p>
      <w:pPr>
        <w:ind w:right="340" w:firstLine="4"/>
        <w:spacing w:after="0" w:line="277" w:lineRule="auto"/>
        <w:tabs>
          <w:tab w:leader="none" w:pos="25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314" w:name="page315"/>
    <w:bookmarkEnd w:id="314"/>
    <w:tbl>
      <w:tblPr>
        <w:tblLayout w:type="fixed"/>
        <w:tblInd w:w="43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2"/>
              </w:rPr>
              <w:t>third party who has, to the Receiving Party’s knowledge, no obligation of confidentiality to the Disclosing Party, or (v) is developed</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6"/>
              </w:rPr>
              <w:t>independently by the Receiving Party without reference to the Disclosing Party’s Confidential and Proprietary Information as</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2"/>
              </w:rPr>
              <w:t>demonstrated by documentary evidence. Such obligation of confidentiality and non-use shall survive any expiration or termination</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2"/>
              </w:rPr>
              <w:t xml:space="preserve">of this Agreement for a period of [*];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however</w:t>
            </w:r>
            <w:r>
              <w:rPr>
                <w:rFonts w:ascii="Arial" w:cs="Arial" w:eastAsia="Arial" w:hAnsi="Arial"/>
                <w:sz w:val="18"/>
                <w:szCs w:val="18"/>
                <w:color w:val="auto"/>
                <w:w w:val="92"/>
              </w:rPr>
              <w:t>, that such restrictions shall survive indefinitely, or until public disclosure of</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1"/>
              </w:rPr>
              <w:t>the secret occurs through no fault or breach of the other party, for any information which is Trade Secret information of a party. The</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4"/>
              </w:rPr>
              <w:t>restrictions on disclosure contained in this Section 10.1 shall not apply to any information which is required to be disclosed by a</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3"/>
              </w:rPr>
              <w:t>valid court order or governmental law or regulation, provided that the Receiving Party gives the Disclosing Party prompt notice of</w:t>
            </w:r>
          </w:p>
        </w:tc>
      </w:tr>
      <w:tr>
        <w:trPr>
          <w:trHeight w:val="216"/>
        </w:trPr>
        <w:tc>
          <w:tcPr>
            <w:tcW w:w="980" w:type="dxa"/>
            <w:vAlign w:val="bottom"/>
          </w:tcPr>
          <w:p>
            <w:pPr>
              <w:spacing w:after="0"/>
              <w:rPr>
                <w:sz w:val="18"/>
                <w:szCs w:val="18"/>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w w:val="96"/>
              </w:rPr>
              <w:t>any such requirement and cooperates with the Disclosing Party, at the Disclosing Party’s expense, in attempting to limit such</w:t>
            </w:r>
          </w:p>
        </w:tc>
      </w:tr>
      <w:tr>
        <w:trPr>
          <w:trHeight w:val="230"/>
        </w:trPr>
        <w:tc>
          <w:tcPr>
            <w:tcW w:w="980" w:type="dxa"/>
            <w:vAlign w:val="bottom"/>
          </w:tcPr>
          <w:p>
            <w:pPr>
              <w:spacing w:after="0"/>
              <w:rPr>
                <w:sz w:val="20"/>
                <w:szCs w:val="20"/>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color w:val="auto"/>
              </w:rPr>
              <w:t>disclosure and obtain confidential treatment thereof.</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10.2</w:t>
            </w:r>
          </w:p>
        </w:tc>
        <w:tc>
          <w:tcPr>
            <w:tcW w:w="9560" w:type="dxa"/>
            <w:vAlign w:val="bottom"/>
            <w:gridSpan w:val="4"/>
          </w:tcPr>
          <w:p>
            <w:pPr>
              <w:spacing w:after="0"/>
              <w:rPr>
                <w:sz w:val="20"/>
                <w:szCs w:val="20"/>
                <w:color w:val="auto"/>
              </w:rPr>
            </w:pPr>
            <w:r>
              <w:rPr>
                <w:rFonts w:ascii="Arial" w:cs="Arial" w:eastAsia="Arial" w:hAnsi="Arial"/>
                <w:sz w:val="18"/>
                <w:szCs w:val="18"/>
                <w:b w:val="1"/>
                <w:bCs w:val="1"/>
                <w:color w:val="auto"/>
                <w:w w:val="95"/>
              </w:rPr>
              <w:t>Misuse of Confidential and Proprietary Information</w:t>
            </w:r>
            <w:r>
              <w:rPr>
                <w:rFonts w:ascii="Arial" w:cs="Arial" w:eastAsia="Arial" w:hAnsi="Arial"/>
                <w:sz w:val="18"/>
                <w:szCs w:val="18"/>
                <w:color w:val="auto"/>
                <w:w w:val="95"/>
              </w:rPr>
              <w:t>. Each party understands and agrees that this provision prohibits it from</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89"/>
              </w:rPr>
              <w:t>rendering services to another party to the extent that such party would use, disclose, or rely upon the other party’s trade secrets in the</w:t>
            </w:r>
          </w:p>
        </w:tc>
      </w:tr>
      <w:tr>
        <w:trPr>
          <w:trHeight w:val="216"/>
        </w:trPr>
        <w:tc>
          <w:tcPr>
            <w:tcW w:w="9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0"/>
              </w:rPr>
              <w:t>course of rendering such services or use disclose or rely upon Confidential and Proprietary Information in any way other than for the</w:t>
            </w:r>
          </w:p>
        </w:tc>
      </w:tr>
      <w:tr>
        <w:trPr>
          <w:trHeight w:val="230"/>
        </w:trPr>
        <w:tc>
          <w:tcPr>
            <w:tcW w:w="9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other party’s benefit and in the furtherance of the objectives of this Agreement.</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10.3</w:t>
            </w:r>
          </w:p>
        </w:tc>
        <w:tc>
          <w:tcPr>
            <w:tcW w:w="9560" w:type="dxa"/>
            <w:vAlign w:val="bottom"/>
            <w:gridSpan w:val="4"/>
          </w:tcPr>
          <w:p>
            <w:pPr>
              <w:spacing w:after="0"/>
              <w:rPr>
                <w:sz w:val="20"/>
                <w:szCs w:val="20"/>
                <w:color w:val="auto"/>
              </w:rPr>
            </w:pPr>
            <w:r>
              <w:rPr>
                <w:rFonts w:ascii="Arial" w:cs="Arial" w:eastAsia="Arial" w:hAnsi="Arial"/>
                <w:sz w:val="18"/>
                <w:szCs w:val="18"/>
                <w:b w:val="1"/>
                <w:bCs w:val="1"/>
                <w:color w:val="auto"/>
                <w:w w:val="91"/>
              </w:rPr>
              <w:t>Publicity</w:t>
            </w:r>
            <w:r>
              <w:rPr>
                <w:rFonts w:ascii="Arial" w:cs="Arial" w:eastAsia="Arial" w:hAnsi="Arial"/>
                <w:sz w:val="18"/>
                <w:szCs w:val="18"/>
                <w:color w:val="auto"/>
                <w:w w:val="91"/>
              </w:rPr>
              <w:t>. Except as otherwise provided in this Agreement or required by Law, neither party shall use the other’s name or refer to it</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3"/>
              </w:rPr>
              <w:t>directly or indirectly in an advertisement, news release or release to any professional or trade publication without written approval</w:t>
            </w:r>
          </w:p>
        </w:tc>
      </w:tr>
      <w:tr>
        <w:trPr>
          <w:trHeight w:val="216"/>
        </w:trPr>
        <w:tc>
          <w:tcPr>
            <w:tcW w:w="9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4"/>
              </w:rPr>
              <w:t>from such party, which approval may not be unreasonably withheld or delayed. Neither party shall use the name of the other for</w:t>
            </w:r>
          </w:p>
        </w:tc>
      </w:tr>
      <w:tr>
        <w:trPr>
          <w:trHeight w:val="230"/>
        </w:trPr>
        <w:tc>
          <w:tcPr>
            <w:tcW w:w="9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advertising or promotional claims without the prior written consent of the other party.</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10.4</w:t>
            </w:r>
          </w:p>
        </w:tc>
        <w:tc>
          <w:tcPr>
            <w:tcW w:w="9560" w:type="dxa"/>
            <w:vAlign w:val="bottom"/>
            <w:gridSpan w:val="4"/>
          </w:tcPr>
          <w:p>
            <w:pPr>
              <w:spacing w:after="0"/>
              <w:rPr>
                <w:sz w:val="20"/>
                <w:szCs w:val="20"/>
                <w:color w:val="auto"/>
              </w:rPr>
            </w:pPr>
            <w:r>
              <w:rPr>
                <w:rFonts w:ascii="Arial" w:cs="Arial" w:eastAsia="Arial" w:hAnsi="Arial"/>
                <w:sz w:val="18"/>
                <w:szCs w:val="18"/>
                <w:b w:val="1"/>
                <w:bCs w:val="1"/>
                <w:color w:val="auto"/>
                <w:w w:val="90"/>
              </w:rPr>
              <w:t>Damages Inadequate</w:t>
            </w:r>
            <w:r>
              <w:rPr>
                <w:rFonts w:ascii="Arial" w:cs="Arial" w:eastAsia="Arial" w:hAnsi="Arial"/>
                <w:sz w:val="18"/>
                <w:szCs w:val="18"/>
                <w:color w:val="auto"/>
                <w:w w:val="90"/>
              </w:rPr>
              <w:t>. The parties acknowledge that monetary damages may be an inadequate remedy for any breach by a party of</w:t>
            </w:r>
          </w:p>
        </w:tc>
      </w:tr>
      <w:tr>
        <w:trPr>
          <w:trHeight w:val="20"/>
        </w:trPr>
        <w:tc>
          <w:tcPr>
            <w:tcW w:w="9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8"/>
              </w:rPr>
              <w:t>its obligations under this Section 10 and that the non-breaching party shall be entitled to seek injunctive relief and specific</w:t>
            </w:r>
          </w:p>
        </w:tc>
      </w:tr>
      <w:tr>
        <w:trPr>
          <w:trHeight w:val="216"/>
        </w:trPr>
        <w:tc>
          <w:tcPr>
            <w:tcW w:w="9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1"/>
              </w:rPr>
              <w:t>performance to enforce the breaching party’s obligations, in addition to any other remedies the non-breaching party may be entitled</w:t>
            </w:r>
          </w:p>
        </w:tc>
      </w:tr>
      <w:tr>
        <w:trPr>
          <w:trHeight w:val="230"/>
        </w:trPr>
        <w:tc>
          <w:tcPr>
            <w:tcW w:w="9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to at law.</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6" w:hanging="436"/>
        <w:spacing w:after="0"/>
        <w:tabs>
          <w:tab w:leader="none" w:pos="436"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 INDEMNIFICATION</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36" w:type="dxa"/>
        <w:tblCellMar>
          <w:top w:w="0" w:type="dxa"/>
          <w:left w:w="0" w:type="dxa"/>
          <w:bottom w:w="0" w:type="dxa"/>
          <w:right w:w="0" w:type="dxa"/>
        </w:tblCellMar>
      </w:tblPr>
      <w:tr>
        <w:trPr>
          <w:trHeight w:val="20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11.1</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1"/>
              </w:rPr>
              <w:t>Remedies for Nonconforming Products</w:t>
            </w:r>
            <w:r>
              <w:rPr>
                <w:rFonts w:ascii="Arial" w:cs="Arial" w:eastAsia="Arial" w:hAnsi="Arial"/>
                <w:sz w:val="18"/>
                <w:szCs w:val="18"/>
                <w:color w:val="auto"/>
                <w:w w:val="91"/>
              </w:rPr>
              <w:t>. In addition to any other remedies available to SI-BONE at law, in equity or hereunder, in</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the event Supplier delivers Nonconforming Products to SI-BONE, SI-BONE may select, and Supplier shall provide, one of the</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following remedies: (a) the refund of the purchase price of the Nonconforming Products, (b) replacement with Products that conform</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to the Specifications, or (c) the cost of reconditioning or reworking any Nonconforming Products to conform in all material respects</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with the Specifications.</w:t>
            </w:r>
          </w:p>
        </w:tc>
      </w:tr>
      <w:tr>
        <w:trPr>
          <w:trHeight w:val="29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11.2</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2"/>
              </w:rPr>
              <w:t>Indemnification by Supplier</w:t>
            </w:r>
            <w:r>
              <w:rPr>
                <w:rFonts w:ascii="Arial" w:cs="Arial" w:eastAsia="Arial" w:hAnsi="Arial"/>
                <w:sz w:val="18"/>
                <w:szCs w:val="18"/>
                <w:color w:val="auto"/>
                <w:w w:val="92"/>
              </w:rPr>
              <w:t>. Supplier agrees to indemnify, defend and hold SI-BONE, its affiliates, officers, directors, agents and</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employees (“</w:t>
            </w:r>
            <w:r>
              <w:rPr>
                <w:rFonts w:ascii="Arial" w:cs="Arial" w:eastAsia="Arial" w:hAnsi="Arial"/>
                <w:sz w:val="18"/>
                <w:szCs w:val="18"/>
                <w:b w:val="1"/>
                <w:bCs w:val="1"/>
                <w:i w:val="1"/>
                <w:iCs w:val="1"/>
                <w:color w:val="auto"/>
                <w:w w:val="91"/>
              </w:rPr>
              <w:t>SI-BONE Indemnitees</w:t>
            </w:r>
            <w:r>
              <w:rPr>
                <w:rFonts w:ascii="Arial" w:cs="Arial" w:eastAsia="Arial" w:hAnsi="Arial"/>
                <w:sz w:val="18"/>
                <w:szCs w:val="18"/>
                <w:color w:val="auto"/>
                <w:w w:val="91"/>
              </w:rPr>
              <w:t>”) harmless from and against all actions, liabilities, damages, claims and demands whatsoever,</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4"/>
              </w:rPr>
              <w:t>including, but not limited to, reasonable attorney fees and other expenses (“</w:t>
            </w:r>
            <w:r>
              <w:rPr>
                <w:rFonts w:ascii="Arial" w:cs="Arial" w:eastAsia="Arial" w:hAnsi="Arial"/>
                <w:sz w:val="18"/>
                <w:szCs w:val="18"/>
                <w:b w:val="1"/>
                <w:bCs w:val="1"/>
                <w:i w:val="1"/>
                <w:iCs w:val="1"/>
                <w:color w:val="auto"/>
                <w:w w:val="94"/>
              </w:rPr>
              <w:t>Claims</w:t>
            </w:r>
            <w:r>
              <w:rPr>
                <w:rFonts w:ascii="Arial" w:cs="Arial" w:eastAsia="Arial" w:hAnsi="Arial"/>
                <w:sz w:val="18"/>
                <w:szCs w:val="18"/>
                <w:color w:val="auto"/>
                <w:w w:val="94"/>
              </w:rPr>
              <w:t>”) that are brought or threatened against the</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SI-BONE Indemnitees and related to Supplier’s or Supplier Indemnitee’s: (a) breach of this Agreement; (b) violation of applicable</w:t>
            </w:r>
          </w:p>
        </w:tc>
      </w:tr>
    </w:tbl>
    <w:p>
      <w:pPr>
        <w:ind w:left="1416" w:right="280"/>
        <w:spacing w:after="0" w:line="271" w:lineRule="auto"/>
        <w:rPr>
          <w:sz w:val="20"/>
          <w:szCs w:val="20"/>
          <w:color w:val="auto"/>
        </w:rPr>
      </w:pPr>
      <w:r>
        <w:rPr>
          <w:rFonts w:ascii="Arial" w:cs="Arial" w:eastAsia="Arial" w:hAnsi="Arial"/>
          <w:sz w:val="17"/>
          <w:szCs w:val="17"/>
          <w:color w:val="auto"/>
        </w:rPr>
        <w:t>laws and regulations; (c) breach of representations and warranties; (d) any claim of Intellectual Property infringement brought by third parties as a direct result of Supplier’s manufacturing processes or Supplier’s services provided hereunder, provided such infringement is not a direct result of the Specifications provided by SI-BONE; or (e) gross negligence, recklessness or willful misconduct. The duty to indemnify will not apply to the extent that any Loss arises from the gross negligence, recklessness, or willful misconduct of a SI-BONE Indemnitee or SI-BONE’s breach of this Agreement.</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10 of 24</w:t>
      </w:r>
    </w:p>
    <w:p>
      <w:pPr>
        <w:spacing w:after="0" w:line="117" w:lineRule="exact"/>
        <w:rPr>
          <w:sz w:val="20"/>
          <w:szCs w:val="20"/>
          <w:color w:val="auto"/>
        </w:rPr>
      </w:pPr>
    </w:p>
    <w:p>
      <w:pPr>
        <w:ind w:left="-4" w:right="320" w:firstLine="4"/>
        <w:spacing w:after="0" w:line="277" w:lineRule="auto"/>
        <w:tabs>
          <w:tab w:leader="none" w:pos="25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96"/>
          </w:cols>
          <w:pgMar w:left="444" w:top="273" w:right="459" w:bottom="1440" w:gutter="0" w:footer="0" w:header="0"/>
        </w:sectPr>
      </w:pPr>
    </w:p>
    <w:bookmarkStart w:id="315" w:name="page316"/>
    <w:bookmarkEnd w:id="315"/>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11.3</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2"/>
              </w:rPr>
              <w:t>Indemnification by SI-BONE</w:t>
            </w:r>
            <w:r>
              <w:rPr>
                <w:rFonts w:ascii="Arial" w:cs="Arial" w:eastAsia="Arial" w:hAnsi="Arial"/>
                <w:sz w:val="18"/>
                <w:szCs w:val="18"/>
                <w:color w:val="auto"/>
                <w:w w:val="92"/>
              </w:rPr>
              <w:t>. SI-BONE agrees to indemnify, defend and hold Supplier, its affiliates, officers, directors, agents and</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5"/>
              </w:rPr>
              <w:t>employees (“</w:t>
            </w:r>
            <w:r>
              <w:rPr>
                <w:rFonts w:ascii="Arial" w:cs="Arial" w:eastAsia="Arial" w:hAnsi="Arial"/>
                <w:sz w:val="18"/>
                <w:szCs w:val="18"/>
                <w:b w:val="1"/>
                <w:bCs w:val="1"/>
                <w:i w:val="1"/>
                <w:iCs w:val="1"/>
                <w:color w:val="auto"/>
                <w:w w:val="95"/>
              </w:rPr>
              <w:t>Supplier Indemnitees</w:t>
            </w:r>
            <w:r>
              <w:rPr>
                <w:rFonts w:ascii="Arial" w:cs="Arial" w:eastAsia="Arial" w:hAnsi="Arial"/>
                <w:sz w:val="18"/>
                <w:szCs w:val="18"/>
                <w:color w:val="auto"/>
                <w:w w:val="95"/>
              </w:rPr>
              <w:t>”) harmless from and against all Claims that are brought or threatened against the Supplier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4"/>
              </w:rPr>
              <w:t>Indemnitees and related to: (a) SI-BONE’s breach of this Agreement; (b) SI-BONE’s violation of applicable laws and regulations;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(c) defects or alleged defects in the design of the Products, provided such design defects are a result of specifications or instructions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6"/>
              </w:rPr>
              <w:t>provided by SI-BONE and not Supplier’s manufacturing process; (d) infringement upon the Intellectual Property rights of third</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4"/>
              </w:rPr>
              <w:t>parties, provided such infringement is a direct result of the Specifications or instructions provided by SI-BONE; or (e) SI-BONE’s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gross negligence, recklessness or willful misconduct. The duty to indemnify will not apply to the extent that any Claim arises from</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9"/>
              </w:rPr>
              <w:t>the gross negligence, recklessness, or willful misconduct of a Supplier Indemnitee or Supplier’s breach of this Agreement.</w:t>
            </w:r>
          </w:p>
        </w:tc>
      </w:tr>
      <w:tr>
        <w:trPr>
          <w:trHeight w:val="29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11.4</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2"/>
              </w:rPr>
              <w:t>Indemnification Procedure</w:t>
            </w:r>
            <w:r>
              <w:rPr>
                <w:rFonts w:ascii="Arial" w:cs="Arial" w:eastAsia="Arial" w:hAnsi="Arial"/>
                <w:sz w:val="18"/>
                <w:szCs w:val="18"/>
                <w:color w:val="auto"/>
                <w:w w:val="92"/>
              </w:rPr>
              <w:t>. The party claiming indemnity (the “</w:t>
            </w:r>
            <w:r>
              <w:rPr>
                <w:rFonts w:ascii="Arial" w:cs="Arial" w:eastAsia="Arial" w:hAnsi="Arial"/>
                <w:sz w:val="18"/>
                <w:szCs w:val="18"/>
                <w:b w:val="1"/>
                <w:bCs w:val="1"/>
                <w:i w:val="1"/>
                <w:iCs w:val="1"/>
                <w:color w:val="auto"/>
                <w:w w:val="92"/>
              </w:rPr>
              <w:t>Indemnified Party</w:t>
            </w:r>
            <w:r>
              <w:rPr>
                <w:rFonts w:ascii="Arial" w:cs="Arial" w:eastAsia="Arial" w:hAnsi="Arial"/>
                <w:sz w:val="18"/>
                <w:szCs w:val="18"/>
                <w:color w:val="auto"/>
                <w:w w:val="92"/>
              </w:rPr>
              <w:t>”) shall provide the party from whom indemnity</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is being sought (the “</w:t>
            </w:r>
            <w:r>
              <w:rPr>
                <w:rFonts w:ascii="Arial" w:cs="Arial" w:eastAsia="Arial" w:hAnsi="Arial"/>
                <w:sz w:val="18"/>
                <w:szCs w:val="18"/>
                <w:b w:val="1"/>
                <w:bCs w:val="1"/>
                <w:i w:val="1"/>
                <w:iCs w:val="1"/>
                <w:color w:val="auto"/>
                <w:w w:val="91"/>
              </w:rPr>
              <w:t>Indemnifying Party</w:t>
            </w:r>
            <w:r>
              <w:rPr>
                <w:rFonts w:ascii="Arial" w:cs="Arial" w:eastAsia="Arial" w:hAnsi="Arial"/>
                <w:sz w:val="18"/>
                <w:szCs w:val="18"/>
                <w:color w:val="auto"/>
                <w:w w:val="91"/>
              </w:rPr>
              <w:t>”) with reasonable assistance, at the Indemnifying Party’s expense, in connection with the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defense of the claim for which indemnity is being sought. The Indemnifying Party shall have the right to assume sole control over</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3"/>
              </w:rPr>
              <w:t>the defense of such claim and conduct the defense of the claim with counsel of its choice. The Indemnifying Party shall not settle</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1"/>
              </w:rPr>
              <w:t>any claim without the prior written consent of the Indemnified Party, not to be unreasonably withheld, unless the settlement involves</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rPr>
              <w:t>only the payment of money.</w:t>
            </w:r>
          </w:p>
        </w:tc>
      </w:tr>
      <w:tr>
        <w:trPr>
          <w:trHeight w:val="297"/>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79"/>
              </w:rPr>
              <w:t>11.5</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w w:val="92"/>
              </w:rPr>
              <w:t>Limitations of Damages</w:t>
            </w:r>
            <w:r>
              <w:rPr>
                <w:rFonts w:ascii="Arial" w:cs="Arial" w:eastAsia="Arial" w:hAnsi="Arial"/>
                <w:sz w:val="18"/>
                <w:szCs w:val="18"/>
                <w:color w:val="auto"/>
                <w:w w:val="92"/>
              </w:rPr>
              <w:t>. Notwithstanding anything to the contrary contained in this Agreement, neither party shall be liable to the</w:t>
            </w:r>
          </w:p>
        </w:tc>
      </w:tr>
      <w:tr>
        <w:trPr>
          <w:trHeight w:val="20"/>
        </w:trPr>
        <w:tc>
          <w:tcPr>
            <w:tcW w:w="9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2"/>
              </w:rPr>
              <w:t>other party or its Affiliates (except with respect to either party’s breach of its obligations of Article 10, or indemnification obligations</w:t>
            </w:r>
          </w:p>
        </w:tc>
      </w:tr>
      <w:tr>
        <w:trPr>
          <w:trHeight w:val="216"/>
        </w:trPr>
        <w:tc>
          <w:tcPr>
            <w:tcW w:w="980" w:type="dxa"/>
            <w:vAlign w:val="bottom"/>
          </w:tcPr>
          <w:p>
            <w:pPr>
              <w:spacing w:after="0"/>
              <w:rPr>
                <w:sz w:val="18"/>
                <w:szCs w:val="18"/>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7"/>
              </w:rPr>
              <w:t>of Section 11.2 or 11.3 with respect to third party claims) for any indirect, special, incidental (including, without limitation, lost</w:t>
            </w:r>
          </w:p>
        </w:tc>
      </w:tr>
      <w:tr>
        <w:trPr>
          <w:trHeight w:val="230"/>
        </w:trPr>
        <w:tc>
          <w:tcPr>
            <w:tcW w:w="98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18"/>
                <w:szCs w:val="18"/>
                <w:color w:val="auto"/>
                <w:w w:val="94"/>
              </w:rPr>
              <w:t>profits) or punitive damages of the other party or its Affiliates from any breach or default of a party’s obligations hereunder or the</w:t>
            </w:r>
          </w:p>
        </w:tc>
      </w:tr>
    </w:tbl>
    <w:p>
      <w:pPr>
        <w:ind w:left="142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any representation or warranty made hereunder. Except with respect to either party’s breach of its obligations of Article 10, or indemnification obligations of Section 11.2 or 11.3 with respect to third party claims, the collective liability of either party to the other under this Agreement shall be limited on an aggregate basis (not per claim or occurrence) to [*], except that with respect to damages or liabilities [*]. Upon payment(s) by the they indemnifying party to the indemnified party Supplier and/or Supplier Indemnitees to the SI-BONE and/or SI-BONE Indemnitees, or payment(s) by SI-BONE and/or the SI-BONE Indemnitees to Supplier and/or the Supplier Indemnitees, the party having made such payments shall be relieved and discharged from any further liability to the other party and/or its Indemnitees under this Agreement, or otherwise for contribution or to defend, indemnify, and/or hold harmless the other party and/or its Indemnitees .</w:t>
      </w:r>
    </w:p>
    <w:p>
      <w:pPr>
        <w:spacing w:after="0" w:line="329" w:lineRule="exact"/>
        <w:rPr>
          <w:sz w:val="20"/>
          <w:szCs w:val="20"/>
          <w:color w:val="auto"/>
        </w:rPr>
      </w:pPr>
    </w:p>
    <w:p>
      <w:pPr>
        <w:ind w:left="440" w:hanging="436"/>
        <w:spacing w:after="0"/>
        <w:tabs>
          <w:tab w:leader="none" w:pos="4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12.1</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91"/>
              </w:rPr>
              <w:t>Assignment; Binding Effect</w:t>
            </w:r>
            <w:r>
              <w:rPr>
                <w:rFonts w:ascii="Arial" w:cs="Arial" w:eastAsia="Arial" w:hAnsi="Arial"/>
                <w:sz w:val="18"/>
                <w:szCs w:val="18"/>
                <w:color w:val="auto"/>
                <w:w w:val="91"/>
              </w:rPr>
              <w:t>. This Agreement shall not be assignable or otherwise transferable by Supplier without the prior written</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consent of SI-BONE and shall be binding upon and inure to the benefit of the parties and their respective successors and permitted</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assigns. This Agreement shall not be assignable or otherwise transferable by SI-BONE without the prior written consent of Supplier,</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provided that SI-BONE may assign this Agreement to any Affiliate of SI-BONE without Supplier’s consent or in connection with a</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merger, acquisition or sale of the stock of, or all or substantially all of the assets of, SI-BONE. Notwithstanding anything in this</w:t>
            </w:r>
          </w:p>
        </w:tc>
      </w:tr>
      <w:tr>
        <w:trPr>
          <w:trHeight w:val="216"/>
        </w:trPr>
        <w:tc>
          <w:tcPr>
            <w:tcW w:w="9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Agreement, the parties acknowledge and agree that SI-BONE may perform its obligations under this Agreement through an Affiliate</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of SI-BONE.</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12.2</w:t>
            </w:r>
          </w:p>
        </w:tc>
        <w:tc>
          <w:tcPr>
            <w:tcW w:w="9580" w:type="dxa"/>
            <w:vAlign w:val="bottom"/>
            <w:gridSpan w:val="3"/>
          </w:tcPr>
          <w:p>
            <w:pPr>
              <w:spacing w:after="0"/>
              <w:rPr>
                <w:sz w:val="20"/>
                <w:szCs w:val="20"/>
                <w:color w:val="auto"/>
              </w:rPr>
            </w:pPr>
            <w:r>
              <w:rPr>
                <w:rFonts w:ascii="Arial" w:cs="Arial" w:eastAsia="Arial" w:hAnsi="Arial"/>
                <w:sz w:val="18"/>
                <w:szCs w:val="18"/>
                <w:b w:val="1"/>
                <w:bCs w:val="1"/>
                <w:color w:val="auto"/>
                <w:w w:val="89"/>
              </w:rPr>
              <w:t>Notices</w:t>
            </w:r>
            <w:r>
              <w:rPr>
                <w:rFonts w:ascii="Arial" w:cs="Arial" w:eastAsia="Arial" w:hAnsi="Arial"/>
                <w:sz w:val="18"/>
                <w:szCs w:val="18"/>
                <w:color w:val="auto"/>
                <w:w w:val="89"/>
              </w:rPr>
              <w:t>. All notices, requests, claims, demands and other communications hereunder shall be in writing and shall be deemed to have</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been duly given (a) when received if delivered personally, including by recognized overnight delivery service, (b) when transmitted</w:t>
            </w:r>
          </w:p>
        </w:tc>
      </w:tr>
      <w:tr>
        <w:trPr>
          <w:trHeight w:val="230"/>
        </w:trPr>
        <w:tc>
          <w:tcPr>
            <w:tcW w:w="98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by facsimile or electronic</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24</w:t>
      </w:r>
    </w:p>
    <w:p>
      <w:pPr>
        <w:spacing w:after="0" w:line="117" w:lineRule="exact"/>
        <w:rPr>
          <w:sz w:val="20"/>
          <w:szCs w:val="20"/>
          <w:color w:val="auto"/>
        </w:rPr>
      </w:pPr>
    </w:p>
    <w:p>
      <w:pPr>
        <w:ind w:right="340" w:firstLine="4"/>
        <w:spacing w:after="0" w:line="277" w:lineRule="auto"/>
        <w:tabs>
          <w:tab w:leader="none" w:pos="25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56" w:right="439" w:bottom="1440" w:gutter="0" w:footer="0" w:header="0"/>
        </w:sectPr>
      </w:pPr>
    </w:p>
    <w:bookmarkStart w:id="316" w:name="page317"/>
    <w:bookmarkEnd w:id="316"/>
    <w:p>
      <w:pPr>
        <w:ind w:left="1436"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mail (email), with confirmation of successful transmission, provided that such delivery is followed by physical delivery, (c) upon receipt, if sent by registered or certified mail (postage prepaid, return receipt requested) and (d) the next business day after it is sent, if sent for next-day delivery to a domestic address by overnight mail or courier, to the parties at the following addresses:</w:t>
      </w:r>
    </w:p>
    <w:p>
      <w:pPr>
        <w:sectPr>
          <w:pgSz w:w="11900" w:h="16838" w:orient="portrait"/>
          <w:cols w:equalWidth="0" w:num="1">
            <w:col w:w="10976"/>
          </w:cols>
          <w:pgMar w:left="444" w:top="274" w:right="479" w:bottom="1440" w:gutter="0" w:footer="0" w:header="0"/>
        </w:sectPr>
      </w:pPr>
    </w:p>
    <w:p>
      <w:pPr>
        <w:spacing w:after="0" w:line="174" w:lineRule="exact"/>
        <w:rPr>
          <w:sz w:val="20"/>
          <w:szCs w:val="20"/>
          <w:color w:val="auto"/>
        </w:rPr>
      </w:pPr>
    </w:p>
    <w:p>
      <w:pPr>
        <w:ind w:left="2216"/>
        <w:spacing w:after="0"/>
        <w:rPr>
          <w:sz w:val="20"/>
          <w:szCs w:val="20"/>
          <w:color w:val="auto"/>
        </w:rPr>
      </w:pPr>
      <w:r>
        <w:rPr>
          <w:rFonts w:ascii="Arial" w:cs="Arial" w:eastAsia="Arial" w:hAnsi="Arial"/>
          <w:sz w:val="17"/>
          <w:szCs w:val="17"/>
          <w:color w:val="auto"/>
        </w:rPr>
        <w:t>If to SI-BONE,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95128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CFO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legal@si-bone.com</w:t>
      </w:r>
    </w:p>
    <w:p>
      <w:pPr>
        <w:spacing w:after="0" w:line="200" w:lineRule="exact"/>
        <w:rPr>
          <w:sz w:val="20"/>
          <w:szCs w:val="20"/>
          <w:color w:val="auto"/>
        </w:rPr>
      </w:pPr>
    </w:p>
    <w:p>
      <w:pPr>
        <w:sectPr>
          <w:pgSz w:w="11900" w:h="16838" w:orient="portrait"/>
          <w:cols w:equalWidth="0" w:num="2">
            <w:col w:w="4596" w:space="720"/>
            <w:col w:w="5660"/>
          </w:cols>
          <w:pgMar w:left="444" w:top="274" w:right="479" w:bottom="1440" w:gutter="0" w:footer="0" w:header="0"/>
          <w:type w:val="continuous"/>
        </w:sectPr>
      </w:pPr>
    </w:p>
    <w:p>
      <w:pPr>
        <w:spacing w:after="0" w:line="22" w:lineRule="exact"/>
        <w:rPr>
          <w:sz w:val="20"/>
          <w:szCs w:val="20"/>
          <w:color w:val="auto"/>
        </w:rPr>
      </w:pPr>
    </w:p>
    <w:p>
      <w:pPr>
        <w:ind w:left="2216"/>
        <w:spacing w:after="0"/>
        <w:tabs>
          <w:tab w:leader="none" w:pos="5296" w:val="left"/>
        </w:tabs>
        <w:rPr>
          <w:sz w:val="20"/>
          <w:szCs w:val="20"/>
          <w:color w:val="auto"/>
        </w:rPr>
      </w:pPr>
      <w:r>
        <w:rPr>
          <w:rFonts w:ascii="Arial" w:cs="Arial" w:eastAsia="Arial" w:hAnsi="Arial"/>
          <w:sz w:val="18"/>
          <w:szCs w:val="18"/>
          <w:color w:val="auto"/>
        </w:rPr>
        <w:t>If to Supplier, to:</w:t>
      </w:r>
      <w:r>
        <w:rPr>
          <w:sz w:val="20"/>
          <w:szCs w:val="20"/>
          <w:color w:val="auto"/>
        </w:rPr>
        <w:tab/>
      </w:r>
      <w:r>
        <w:rPr>
          <w:rFonts w:ascii="Arial" w:cs="Arial" w:eastAsia="Arial" w:hAnsi="Arial"/>
          <w:sz w:val="16"/>
          <w:szCs w:val="16"/>
          <w:color w:val="auto"/>
        </w:rPr>
        <w:t>rms Company</w:t>
      </w:r>
    </w:p>
    <w:p>
      <w:pPr>
        <w:spacing w:after="0" w:line="23"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8600 Evergreen Blvd.</w:t>
      </w:r>
    </w:p>
    <w:p>
      <w:pPr>
        <w:spacing w:after="0" w:line="9"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Coon Rapids, MN 55433</w:t>
      </w:r>
    </w:p>
    <w:p>
      <w:pPr>
        <w:spacing w:after="0" w:line="9"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ATTN: Director of Sales</w:t>
      </w:r>
    </w:p>
    <w:p>
      <w:pPr>
        <w:spacing w:after="0" w:line="211" w:lineRule="exact"/>
        <w:rPr>
          <w:sz w:val="20"/>
          <w:szCs w:val="20"/>
          <w:color w:val="auto"/>
        </w:rPr>
      </w:pPr>
    </w:p>
    <w:tbl>
      <w:tblPr>
        <w:tblLayout w:type="fixed"/>
        <w:tblInd w:w="43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560" w:type="dxa"/>
            <w:vAlign w:val="bottom"/>
            <w:gridSpan w:val="5"/>
          </w:tcPr>
          <w:p>
            <w:pPr>
              <w:ind w:left="460"/>
              <w:spacing w:after="0"/>
              <w:rPr>
                <w:sz w:val="20"/>
                <w:szCs w:val="20"/>
                <w:color w:val="auto"/>
              </w:rPr>
            </w:pPr>
            <w:r>
              <w:rPr>
                <w:rFonts w:ascii="Arial" w:cs="Arial" w:eastAsia="Arial" w:hAnsi="Arial"/>
                <w:sz w:val="18"/>
                <w:szCs w:val="18"/>
                <w:i w:val="1"/>
                <w:iCs w:val="1"/>
                <w:color w:val="auto"/>
                <w:w w:val="89"/>
              </w:rPr>
              <w:t>provided</w:t>
            </w:r>
            <w:r>
              <w:rPr>
                <w:rFonts w:ascii="Arial" w:cs="Arial" w:eastAsia="Arial" w:hAnsi="Arial"/>
                <w:sz w:val="18"/>
                <w:szCs w:val="18"/>
                <w:color w:val="auto"/>
                <w:w w:val="89"/>
              </w:rPr>
              <w:t>,</w:t>
            </w:r>
            <w:r>
              <w:rPr>
                <w:rFonts w:ascii="Arial" w:cs="Arial" w:eastAsia="Arial" w:hAnsi="Arial"/>
                <w:sz w:val="18"/>
                <w:szCs w:val="18"/>
                <w:i w:val="1"/>
                <w:iCs w:val="1"/>
                <w:color w:val="auto"/>
                <w:w w:val="89"/>
              </w:rPr>
              <w:t xml:space="preserve"> however</w:t>
            </w:r>
            <w:r>
              <w:rPr>
                <w:rFonts w:ascii="Arial" w:cs="Arial" w:eastAsia="Arial" w:hAnsi="Arial"/>
                <w:sz w:val="18"/>
                <w:szCs w:val="18"/>
                <w:color w:val="auto"/>
                <w:w w:val="89"/>
              </w:rPr>
              <w:t>, that if any party shall have designated a different address by notice to the others, then to the last address so</w:t>
            </w:r>
          </w:p>
        </w:tc>
      </w:tr>
      <w:tr>
        <w:trPr>
          <w:trHeight w:val="230"/>
        </w:trPr>
        <w:tc>
          <w:tcPr>
            <w:tcW w:w="980" w:type="dxa"/>
            <w:vAlign w:val="bottom"/>
          </w:tcPr>
          <w:p>
            <w:pPr>
              <w:spacing w:after="0"/>
              <w:rPr>
                <w:sz w:val="20"/>
                <w:szCs w:val="20"/>
                <w:color w:val="auto"/>
              </w:rPr>
            </w:pPr>
          </w:p>
        </w:tc>
        <w:tc>
          <w:tcPr>
            <w:tcW w:w="9560" w:type="dxa"/>
            <w:vAlign w:val="bottom"/>
            <w:gridSpan w:val="5"/>
          </w:tcPr>
          <w:p>
            <w:pPr>
              <w:ind w:left="460"/>
              <w:spacing w:after="0"/>
              <w:rPr>
                <w:sz w:val="20"/>
                <w:szCs w:val="20"/>
                <w:color w:val="auto"/>
              </w:rPr>
            </w:pPr>
            <w:r>
              <w:rPr>
                <w:rFonts w:ascii="Arial" w:cs="Arial" w:eastAsia="Arial" w:hAnsi="Arial"/>
                <w:sz w:val="18"/>
                <w:szCs w:val="18"/>
                <w:color w:val="auto"/>
              </w:rPr>
              <w:t>designated.</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12.3</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Severability</w:t>
            </w:r>
            <w:r>
              <w:rPr>
                <w:rFonts w:ascii="Arial" w:cs="Arial" w:eastAsia="Arial" w:hAnsi="Arial"/>
                <w:sz w:val="18"/>
                <w:szCs w:val="18"/>
                <w:color w:val="auto"/>
                <w:w w:val="93"/>
              </w:rPr>
              <w:t>. If any term, provision, covenant or restriction of this Agreement is held by a court of competent jurisdiction or other</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3"/>
              </w:rPr>
              <w:t>authority to be invalid, void, unenforceable or against its regulatory policy such determination shall not affect the enforceability of</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7"/>
              </w:rPr>
              <w:t>any others or of the remainder of this Agreement; and in connection with such term, provision, covenant or restriction of this</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Agreement which is held invalid, void, unenforceable or against regulatory policy, the parties shall negotiate in good faith with a</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view to the substitution therefor of a suitable and equitable solution in order to carry out, so far as may be valid and enforceable, the</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intent and purpose of such invalid term, provision, covenant or restriction and, absent any agreement by the parties, such court of</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competent jurisdiction or other authority shall substitute therefore such term, provision, covenant or restriction as is legal, valid and</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enforceable but otherwise similar to the invalid term, provision, covenant or restriction.</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12.4</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2"/>
              </w:rPr>
              <w:t>Entire Agreement</w:t>
            </w:r>
            <w:r>
              <w:rPr>
                <w:rFonts w:ascii="Arial" w:cs="Arial" w:eastAsia="Arial" w:hAnsi="Arial"/>
                <w:sz w:val="18"/>
                <w:szCs w:val="18"/>
                <w:color w:val="auto"/>
                <w:w w:val="92"/>
              </w:rPr>
              <w:t>. This Agreement may not be amended, supplemented or otherwise modified except by an instrument in writing</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signed by SI-BONE and Supplier. This Agreement contains the entire agreement of the parties hereto with respect to its subject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matter, superseding all negotiations, prior discussions and preliminary agreements made prior to the date hereof.</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12.5</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No Third-Party Beneficiaries</w:t>
            </w:r>
            <w:r>
              <w:rPr>
                <w:rFonts w:ascii="Arial" w:cs="Arial" w:eastAsia="Arial" w:hAnsi="Arial"/>
                <w:sz w:val="18"/>
                <w:szCs w:val="18"/>
                <w:color w:val="auto"/>
                <w:w w:val="93"/>
              </w:rPr>
              <w:t>. This Agreement is solely for the benefit of the parties hereto and their respective Affiliates and no</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7320" w:type="dxa"/>
            <w:vAlign w:val="bottom"/>
            <w:tcBorders>
              <w:left w:val="single" w:sz="8" w:color="auto"/>
            </w:tcBorders>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provision of this Agreement shall be deemed to confer upon any third parties (other than permitted assigns) any remedy, claim,</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liability, reimbursement, claim of action or other right in excess of those existing without reference to this Agreement.</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12.6</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1"/>
              </w:rPr>
              <w:t>Waiver</w:t>
            </w:r>
            <w:r>
              <w:rPr>
                <w:rFonts w:ascii="Arial" w:cs="Arial" w:eastAsia="Arial" w:hAnsi="Arial"/>
                <w:sz w:val="18"/>
                <w:szCs w:val="18"/>
                <w:color w:val="auto"/>
                <w:w w:val="91"/>
              </w:rPr>
              <w:t>. The failure of any party to enforce any condition or part of this Agreement at any time shall not be construed as a waiver of</w:t>
            </w: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that condition or part, nor shall it forfeit any rights to future enforcement thereof.</w:t>
            </w:r>
          </w:p>
        </w:tc>
      </w:tr>
      <w:tr>
        <w:trPr>
          <w:trHeight w:val="297"/>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12.7</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4"/>
              </w:rPr>
              <w:t>Governing Law; Jurisdiction</w:t>
            </w:r>
            <w:r>
              <w:rPr>
                <w:rFonts w:ascii="Arial" w:cs="Arial" w:eastAsia="Arial" w:hAnsi="Arial"/>
                <w:sz w:val="18"/>
                <w:szCs w:val="18"/>
                <w:color w:val="auto"/>
                <w:w w:val="94"/>
              </w:rPr>
              <w:t>. This Agreement (including any claim or controversy arising out of or relating to this Agreement)</w:t>
            </w:r>
          </w:p>
        </w:tc>
      </w:tr>
      <w:tr>
        <w:trPr>
          <w:trHeight w:val="20"/>
        </w:trPr>
        <w:tc>
          <w:tcPr>
            <w:tcW w:w="980" w:type="dxa"/>
            <w:vAlign w:val="bottom"/>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shall be governed by the law of the State of Delaware without regard to conflict of law principles that would result in the application</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4"/>
              </w:rPr>
              <w:t>of any Law other than the Laws of the State of Delaware. Any proceeding to interpret or enforce this Agreement will be brought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exclusively in the state and federal courts situated in the state of Delaware.</w:t>
            </w:r>
          </w:p>
        </w:tc>
      </w:tr>
    </w:tbl>
    <w:p>
      <w:pPr>
        <w:spacing w:after="0" w:line="13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12 of 24</w:t>
      </w:r>
    </w:p>
    <w:p>
      <w:pPr>
        <w:spacing w:after="0" w:line="117" w:lineRule="exact"/>
        <w:rPr>
          <w:sz w:val="20"/>
          <w:szCs w:val="20"/>
          <w:color w:val="auto"/>
        </w:rPr>
      </w:pPr>
    </w:p>
    <w:p>
      <w:pPr>
        <w:ind w:left="-4" w:right="300" w:firstLine="4"/>
        <w:spacing w:after="0" w:line="277" w:lineRule="auto"/>
        <w:tabs>
          <w:tab w:leader="none" w:pos="25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74" w:right="479" w:bottom="1440" w:gutter="0" w:footer="0" w:header="0"/>
          <w:type w:val="continuous"/>
        </w:sectPr>
      </w:pPr>
    </w:p>
    <w:bookmarkStart w:id="317" w:name="page318"/>
    <w:bookmarkEnd w:id="317"/>
    <w:tbl>
      <w:tblPr>
        <w:tblLayout w:type="fixed"/>
        <w:tblInd w:w="436"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rPr>
              <w:t>12.8</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1"/>
              </w:rPr>
              <w:t>Injunctive Relief</w:t>
            </w:r>
            <w:r>
              <w:rPr>
                <w:rFonts w:ascii="Arial" w:cs="Arial" w:eastAsia="Arial" w:hAnsi="Arial"/>
                <w:sz w:val="18"/>
                <w:szCs w:val="18"/>
                <w:color w:val="auto"/>
                <w:w w:val="91"/>
              </w:rPr>
              <w:t>. The parties acknowledge that damages would be an inadequate remedy for any material breach of Sections 7, 8,</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3"/>
              </w:rPr>
              <w:t>or 10. Accordingly, notwithstanding anything to the contrary in this Agreement, either party will have the right to obtain injunctive</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relief in any court of competent jurisdiction to enforce Sections 7, 8, or 10 in the event of a party’s failure to perform its obligations</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thereunder, as well as the right to pursue any and all other rights and remedies available at law or in equity for such a breach. The</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89"/>
              </w:rPr>
              <w:t>breaching party hereby expressly waives the defense that a remedy in damages will be adequate and any requirement in an action for</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specific performance or injunction for the posting of a bond by the party seeking injunctive relief.</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12.9</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Counterparts</w:t>
            </w:r>
            <w:r>
              <w:rPr>
                <w:rFonts w:ascii="Arial" w:cs="Arial" w:eastAsia="Arial" w:hAnsi="Arial"/>
                <w:sz w:val="18"/>
                <w:szCs w:val="18"/>
                <w:color w:val="auto"/>
                <w:w w:val="93"/>
              </w:rPr>
              <w:t>. This Agreement may be executed manually or by facsimile by the parties, in any number of counterparts, each of</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89"/>
              </w:rPr>
              <w:t>which shall be considered one and the same agreement and shall become effective when a counterpart hereof shall have been signed</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by each of the parties and delivered to each of the other parties.</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12.10</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0"/>
              </w:rPr>
              <w:t>Construction</w:t>
            </w:r>
            <w:r>
              <w:rPr>
                <w:rFonts w:ascii="Arial" w:cs="Arial" w:eastAsia="Arial" w:hAnsi="Arial"/>
                <w:sz w:val="18"/>
                <w:szCs w:val="18"/>
                <w:color w:val="auto"/>
                <w:w w:val="90"/>
              </w:rPr>
              <w:t>. The language in all parts of this Agreement shall be construed, in all cases, according to its fair meaning. The parties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0"/>
              </w:rPr>
              <w:t>acknowledge that each party and its counsel have reviewed and revised this Agreement and that any rule of construction to the effect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5"/>
              </w:rPr>
              <w:t>that any ambiguities are to be resolved against the drafting party shall not be employed in the interpretation of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12.11</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3"/>
              </w:rPr>
              <w:t>Other Terms and Conditions</w:t>
            </w:r>
            <w:r>
              <w:rPr>
                <w:rFonts w:ascii="Arial" w:cs="Arial" w:eastAsia="Arial" w:hAnsi="Arial"/>
                <w:sz w:val="18"/>
                <w:szCs w:val="18"/>
                <w:color w:val="auto"/>
                <w:w w:val="93"/>
              </w:rPr>
              <w:t>. Other terms and conditions not inconsistent with terms and conditions in this Agreement covering</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2"/>
              </w:rPr>
              <w:t>Products to be supplied under this Agreement will be provided in Orders by SI-BONE and in order acknowledgments and invoices</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issued by Supplier. In the event of any conflict of terms in these documents, SI-BONE and Supplier agree to negotiate in good faith</w:t>
            </w:r>
          </w:p>
        </w:tc>
      </w:tr>
      <w:tr>
        <w:trPr>
          <w:trHeight w:val="216"/>
        </w:trPr>
        <w:tc>
          <w:tcPr>
            <w:tcW w:w="980" w:type="dxa"/>
            <w:vAlign w:val="bottom"/>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to resolve such differences, unless such terms conflict with the terms of this Agreement, in which case the terms of this Agreement</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shall control.</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12.12</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1"/>
              </w:rPr>
              <w:t>Further Assurances</w:t>
            </w:r>
            <w:r>
              <w:rPr>
                <w:rFonts w:ascii="Arial" w:cs="Arial" w:eastAsia="Arial" w:hAnsi="Arial"/>
                <w:sz w:val="18"/>
                <w:szCs w:val="18"/>
                <w:color w:val="auto"/>
                <w:w w:val="91"/>
              </w:rPr>
              <w:t>. SI-BONE and Supplier covenant and agree that subsequent to the execution and delivery of this Agreement</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1"/>
              </w:rPr>
              <w:t>and without any additional consideration, each of SI-BONE and Supplier shall execute and deliver any further legal instruments and</w:t>
            </w:r>
          </w:p>
        </w:tc>
      </w:tr>
      <w:tr>
        <w:trPr>
          <w:trHeight w:val="230"/>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rPr>
              <w:t>perform such acts which are or may become necessary to effectuate the purposes of this Agreement.</w:t>
            </w:r>
          </w:p>
        </w:tc>
      </w:tr>
      <w:tr>
        <w:trPr>
          <w:trHeight w:val="297"/>
        </w:trPr>
        <w:tc>
          <w:tcPr>
            <w:tcW w:w="980" w:type="dxa"/>
            <w:vAlign w:val="bottom"/>
          </w:tcPr>
          <w:p>
            <w:pPr>
              <w:spacing w:after="0"/>
              <w:rPr>
                <w:sz w:val="20"/>
                <w:szCs w:val="20"/>
                <w:color w:val="auto"/>
              </w:rPr>
            </w:pPr>
            <w:r>
              <w:rPr>
                <w:rFonts w:ascii="Arial" w:cs="Arial" w:eastAsia="Arial" w:hAnsi="Arial"/>
                <w:sz w:val="18"/>
                <w:szCs w:val="18"/>
                <w:b w:val="1"/>
                <w:bCs w:val="1"/>
                <w:color w:val="auto"/>
              </w:rPr>
              <w:t>12.13</w:t>
            </w: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w w:val="97"/>
              </w:rPr>
              <w:t>Relationship</w:t>
            </w:r>
            <w:r>
              <w:rPr>
                <w:rFonts w:ascii="Arial" w:cs="Arial" w:eastAsia="Arial" w:hAnsi="Arial"/>
                <w:sz w:val="18"/>
                <w:szCs w:val="18"/>
                <w:color w:val="auto"/>
                <w:w w:val="97"/>
              </w:rPr>
              <w:t>. Supplier is an independent contractor engaged by SI-BONE for the provision of the Products. Nothing in this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580" w:type="dxa"/>
            <w:vAlign w:val="bottom"/>
            <w:gridSpan w:val="4"/>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Arial" w:cs="Arial" w:eastAsia="Arial" w:hAnsi="Arial"/>
                <w:sz w:val="18"/>
                <w:szCs w:val="18"/>
                <w:color w:val="auto"/>
                <w:w w:val="93"/>
              </w:rPr>
              <w:t>Agreement shall constitute either party as an employee, agent or general representative of the other, nor shall either SI-BONE or</w:t>
            </w:r>
          </w:p>
        </w:tc>
      </w:tr>
    </w:tbl>
    <w:p>
      <w:pPr>
        <w:ind w:left="1416"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 have the right or authority to assume, create or incur any liability or any obligation of any kind, express or implied, against, or in the name of or on behalf of, the other.</w:t>
      </w:r>
    </w:p>
    <w:p>
      <w:pPr>
        <w:spacing w:after="0" w:line="180"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16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13 of 24</w:t>
      </w:r>
    </w:p>
    <w:p>
      <w:pPr>
        <w:spacing w:after="0" w:line="117" w:lineRule="exact"/>
        <w:rPr>
          <w:sz w:val="20"/>
          <w:szCs w:val="20"/>
          <w:color w:val="auto"/>
        </w:rPr>
      </w:pPr>
    </w:p>
    <w:p>
      <w:pPr>
        <w:ind w:left="-4" w:right="300" w:firstLine="4"/>
        <w:spacing w:after="0" w:line="277" w:lineRule="auto"/>
        <w:tabs>
          <w:tab w:leader="none" w:pos="25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76"/>
          </w:cols>
          <w:pgMar w:left="444" w:top="256" w:right="479" w:bottom="1440" w:gutter="0" w:footer="0" w:header="0"/>
        </w:sectPr>
      </w:pPr>
    </w:p>
    <w:bookmarkStart w:id="318" w:name="page319"/>
    <w:bookmarkEnd w:id="318"/>
    <w:p>
      <w:pPr>
        <w:ind w:right="420" w:firstLine="88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Manufacturing, Quality and Supply Agreement to be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duly authorized officers as of the date set forth below their names.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Pr>
          <w:p>
            <w:pPr>
              <w:spacing w:after="0"/>
              <w:rPr>
                <w:sz w:val="20"/>
                <w:szCs w:val="20"/>
                <w:color w:val="auto"/>
              </w:rPr>
            </w:pPr>
            <w:r>
              <w:rPr>
                <w:rFonts w:ascii="Arial" w:cs="Arial" w:eastAsia="Arial" w:hAnsi="Arial"/>
                <w:sz w:val="18"/>
                <w:szCs w:val="18"/>
                <w:color w:val="auto"/>
              </w:rPr>
              <w:t>/s/ Laura Francis</w:t>
            </w:r>
          </w:p>
        </w:tc>
        <w:tc>
          <w:tcPr>
            <w:tcW w:w="1580" w:type="dxa"/>
            <w:vAlign w:val="bottom"/>
          </w:tcPr>
          <w:p>
            <w:pPr>
              <w:spacing w:after="0"/>
              <w:rPr>
                <w:sz w:val="20"/>
                <w:szCs w:val="20"/>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/s/ Richard Riddle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580" w:type="dxa"/>
            <w:vAlign w:val="bottom"/>
            <w:tcBorders>
              <w:top w:val="single" w:sz="8" w:color="auto"/>
            </w:tcBorders>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Riddle</w:t>
            </w:r>
          </w:p>
        </w:tc>
      </w:tr>
      <w:tr>
        <w:trPr>
          <w:trHeight w:val="4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Title: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Director of Sales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spacing w:after="0"/>
              <w:rPr>
                <w:sz w:val="20"/>
                <w:szCs w:val="20"/>
                <w:color w:val="auto"/>
              </w:rPr>
            </w:pPr>
            <w:r>
              <w:rPr>
                <w:rFonts w:ascii="Arial" w:cs="Arial" w:eastAsia="Arial" w:hAnsi="Arial"/>
                <w:sz w:val="18"/>
                <w:szCs w:val="18"/>
                <w:color w:val="auto"/>
              </w:rPr>
              <w:t>2/1/2017</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Date: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2/1/2017</w:t>
            </w:r>
          </w:p>
        </w:tc>
      </w:tr>
      <w:tr>
        <w:trPr>
          <w:trHeight w:val="365"/>
        </w:trPr>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gridSpan w:val="2"/>
          </w:tcPr>
          <w:p>
            <w:pPr>
              <w:ind w:left="1380"/>
              <w:spacing w:after="0"/>
              <w:rPr>
                <w:sz w:val="20"/>
                <w:szCs w:val="20"/>
                <w:color w:val="auto"/>
              </w:rPr>
            </w:pPr>
            <w:r>
              <w:rPr>
                <w:rFonts w:ascii="Arial" w:cs="Arial" w:eastAsia="Arial" w:hAnsi="Arial"/>
                <w:sz w:val="18"/>
                <w:szCs w:val="18"/>
                <w:color w:val="auto"/>
              </w:rPr>
              <w:t>Page 14 of 24</w:t>
            </w: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94" w:lineRule="exact"/>
        <w:rPr>
          <w:sz w:val="20"/>
          <w:szCs w:val="20"/>
          <w:color w:val="auto"/>
        </w:rPr>
      </w:pPr>
    </w:p>
    <w:p>
      <w:pPr>
        <w:ind w:right="360" w:firstLine="4"/>
        <w:spacing w:after="0" w:line="277" w:lineRule="auto"/>
        <w:tabs>
          <w:tab w:leader="none" w:pos="2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70" w:right="419" w:bottom="1440" w:gutter="0" w:footer="0" w:header="0"/>
        </w:sectPr>
      </w:pPr>
    </w:p>
    <w:bookmarkStart w:id="319" w:name="page320"/>
    <w:bookmarkEnd w:id="319"/>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PRICING ADDENDUM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15 of 24</w:t>
      </w:r>
    </w:p>
    <w:p>
      <w:pPr>
        <w:spacing w:after="0" w:line="117" w:lineRule="exact"/>
        <w:rPr>
          <w:sz w:val="20"/>
          <w:szCs w:val="20"/>
          <w:color w:val="auto"/>
        </w:rPr>
      </w:pPr>
    </w:p>
    <w:p>
      <w:pPr>
        <w:ind w:firstLine="4"/>
        <w:spacing w:after="0" w:line="277" w:lineRule="auto"/>
        <w:tabs>
          <w:tab w:leader="none" w:pos="2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70" w:right="779" w:bottom="1440" w:gutter="0" w:footer="0" w:header="0"/>
        </w:sectPr>
      </w:pPr>
    </w:p>
    <w:bookmarkStart w:id="320" w:name="page321"/>
    <w:bookmarkEnd w:id="320"/>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APPROVED VENDORS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16 of 24</w:t>
      </w:r>
    </w:p>
    <w:p>
      <w:pPr>
        <w:spacing w:after="0" w:line="117" w:lineRule="exact"/>
        <w:rPr>
          <w:sz w:val="20"/>
          <w:szCs w:val="20"/>
          <w:color w:val="auto"/>
        </w:rPr>
      </w:pPr>
    </w:p>
    <w:p>
      <w:pPr>
        <w:ind w:firstLine="4"/>
        <w:spacing w:after="0" w:line="277" w:lineRule="auto"/>
        <w:tabs>
          <w:tab w:leader="none" w:pos="25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70" w:right="779" w:bottom="1440" w:gutter="0" w:footer="0" w:header="0"/>
        </w:sectPr>
      </w:pPr>
    </w:p>
    <w:bookmarkStart w:id="321" w:name="page322"/>
    <w:bookmarkEnd w:id="321"/>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APPROVED SUBCONTRACTORS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17 of 24</w:t>
      </w:r>
    </w:p>
    <w:p>
      <w:pPr>
        <w:spacing w:after="0" w:line="117" w:lineRule="exact"/>
        <w:rPr>
          <w:sz w:val="20"/>
          <w:szCs w:val="20"/>
          <w:color w:val="auto"/>
        </w:rPr>
      </w:pPr>
    </w:p>
    <w:p>
      <w:pPr>
        <w:ind w:firstLine="4"/>
        <w:spacing w:after="0" w:line="277" w:lineRule="auto"/>
        <w:tabs>
          <w:tab w:leader="none" w:pos="25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70" w:right="779" w:bottom="1440" w:gutter="0" w:footer="0" w:header="0"/>
        </w:sectPr>
      </w:pPr>
    </w:p>
    <w:bookmarkStart w:id="322" w:name="page323"/>
    <w:bookmarkEnd w:id="322"/>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18 of 24</w:t>
      </w:r>
    </w:p>
    <w:p>
      <w:pPr>
        <w:spacing w:after="0" w:line="117" w:lineRule="exact"/>
        <w:rPr>
          <w:sz w:val="20"/>
          <w:szCs w:val="20"/>
          <w:color w:val="auto"/>
        </w:rPr>
      </w:pPr>
    </w:p>
    <w:p>
      <w:pPr>
        <w:ind w:firstLine="4"/>
        <w:spacing w:after="0" w:line="277" w:lineRule="auto"/>
        <w:tabs>
          <w:tab w:leader="none" w:pos="25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69" w:right="779" w:bottom="1440" w:gutter="0" w:footer="0" w:header="0"/>
        </w:sectPr>
      </w:pPr>
    </w:p>
    <w:bookmarkStart w:id="323" w:name="page324"/>
    <w:bookmarkEnd w:id="323"/>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PRODUCT SPECIFICATIONS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Item</w:t>
            </w:r>
          </w:p>
        </w:tc>
        <w:tc>
          <w:tcPr>
            <w:tcW w:w="2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Part Number</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Document Title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Document Type</w:t>
            </w:r>
          </w:p>
        </w:tc>
      </w:tr>
      <w:tr>
        <w:trPr>
          <w:trHeight w:val="210"/>
        </w:trPr>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Future revision updates to be applied through mutual signed agreement of both parties through the change control process.</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19 of 24</w:t>
      </w:r>
    </w:p>
    <w:p>
      <w:pPr>
        <w:spacing w:after="0" w:line="117" w:lineRule="exact"/>
        <w:rPr>
          <w:sz w:val="20"/>
          <w:szCs w:val="20"/>
          <w:color w:val="auto"/>
        </w:rPr>
      </w:pPr>
    </w:p>
    <w:p>
      <w:pPr>
        <w:ind w:firstLine="4"/>
        <w:spacing w:after="0" w:line="277" w:lineRule="auto"/>
        <w:tabs>
          <w:tab w:leader="none" w:pos="25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440" w:top="269" w:right="77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and Manufacturing Agreement by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rms COMPANY and SI-BONE, Inc.</w:t>
      </w:r>
    </w:p>
    <w:p>
      <w:pPr>
        <w:spacing w:after="0" w:line="207" w:lineRule="exact"/>
        <w:rPr>
          <w:sz w:val="20"/>
          <w:szCs w:val="20"/>
          <w:color w:val="auto"/>
        </w:rPr>
      </w:pPr>
    </w:p>
    <w:p>
      <w:pPr>
        <w:ind w:right="160" w:firstLine="881"/>
        <w:spacing w:after="0" w:line="29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Addendum No. 1 to Quality and Manufacturing Agreement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Addendum No. 1</w:t>
      </w:r>
      <w:r>
        <w:rPr>
          <w:rFonts w:ascii="Arial" w:cs="Arial" w:eastAsia="Arial" w:hAnsi="Arial"/>
          <w:sz w:val="16"/>
          <w:szCs w:val="16"/>
          <w:color w:val="auto"/>
        </w:rPr>
        <w:t>”) is entered into between rms COMPANY (“</w:t>
      </w:r>
      <w:r>
        <w:rPr>
          <w:rFonts w:ascii="Arial" w:cs="Arial" w:eastAsia="Arial" w:hAnsi="Arial"/>
          <w:sz w:val="16"/>
          <w:szCs w:val="16"/>
          <w:b w:val="1"/>
          <w:bCs w:val="1"/>
          <w:i w:val="1"/>
          <w:iCs w:val="1"/>
          <w:color w:val="auto"/>
        </w:rPr>
        <w:t>Supplier</w:t>
      </w:r>
      <w:r>
        <w:rPr>
          <w:rFonts w:ascii="Arial" w:cs="Arial" w:eastAsia="Arial" w:hAnsi="Arial"/>
          <w:sz w:val="16"/>
          <w:szCs w:val="16"/>
          <w:color w:val="auto"/>
        </w:rPr>
        <w:t>”) and SI-BONE, Inc. (“</w:t>
      </w:r>
      <w:r>
        <w:rPr>
          <w:rFonts w:ascii="Arial" w:cs="Arial" w:eastAsia="Arial" w:hAnsi="Arial"/>
          <w:sz w:val="16"/>
          <w:szCs w:val="16"/>
          <w:b w:val="1"/>
          <w:bCs w:val="1"/>
          <w:i w:val="1"/>
          <w:iCs w:val="1"/>
          <w:color w:val="auto"/>
        </w:rPr>
        <w:t>SI-BONE</w:t>
      </w:r>
      <w:r>
        <w:rPr>
          <w:rFonts w:ascii="Arial" w:cs="Arial" w:eastAsia="Arial" w:hAnsi="Arial"/>
          <w:sz w:val="16"/>
          <w:szCs w:val="16"/>
          <w:color w:val="auto"/>
        </w:rPr>
        <w:t>”) and modifies and supplements that certain Manufacturing, Quality and Supply Agreement by and between the parties with an effective date of January 31, 2017 (the “</w:t>
      </w:r>
      <w:r>
        <w:rPr>
          <w:rFonts w:ascii="Arial" w:cs="Arial" w:eastAsia="Arial" w:hAnsi="Arial"/>
          <w:sz w:val="16"/>
          <w:szCs w:val="16"/>
          <w:b w:val="1"/>
          <w:bCs w:val="1"/>
          <w:i w:val="1"/>
          <w:iCs w:val="1"/>
          <w:color w:val="auto"/>
        </w:rPr>
        <w:t>Original Agreement</w:t>
      </w:r>
      <w:r>
        <w:rPr>
          <w:rFonts w:ascii="Arial" w:cs="Arial" w:eastAsia="Arial" w:hAnsi="Arial"/>
          <w:sz w:val="16"/>
          <w:szCs w:val="16"/>
          <w:color w:val="auto"/>
        </w:rPr>
        <w:t>”, and together with this Addendum No. 1,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This Addendum No. 1 is intended to, among other things, allow Supplier to hold a specified level of inventory to better support SI-BONE’s business. Capitalized terms used and not defined in this Addendum No. 1 shall have the meaning given them in the Original Agreement.</w:t>
      </w:r>
    </w:p>
    <w:p>
      <w:pPr>
        <w:spacing w:after="0" w:line="154" w:lineRule="exact"/>
        <w:rPr>
          <w:sz w:val="20"/>
          <w:szCs w:val="20"/>
          <w:color w:val="auto"/>
        </w:rPr>
      </w:pPr>
    </w:p>
    <w:p>
      <w:pPr>
        <w:ind w:left="740" w:hanging="296"/>
        <w:spacing w:after="0"/>
        <w:tabs>
          <w:tab w:leader="none" w:pos="7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provisions of the Original Agreement are amended and restated in their entirety as set forth below:</w:t>
      </w:r>
    </w:p>
    <w:p>
      <w:pPr>
        <w:spacing w:after="0" w:line="135" w:lineRule="exact"/>
        <w:rPr>
          <w:sz w:val="20"/>
          <w:szCs w:val="20"/>
          <w:color w:val="auto"/>
        </w:rPr>
      </w:pPr>
    </w:p>
    <w:p>
      <w:pPr>
        <w:ind w:left="1420" w:hanging="538"/>
        <w:spacing w:after="0"/>
        <w:tabs>
          <w:tab w:leader="none" w:pos="142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Section 1.2 of the Original Agreement is hereby amended and restated as set forth below:</w:t>
      </w:r>
    </w:p>
    <w:p>
      <w:pPr>
        <w:spacing w:after="0" w:line="113"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Forecasts.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ten days after the Effective Date, SI-BONE shall deliver to Supplier a forecast of its requirements for the Product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calendar quarters ending June 30, 20XX, September 30, 20XX, December 31, 20XX, and March 31, 20XX (with the period ending March 31, 2017 including the period starting with the Effective Date) (the “</w:t>
      </w:r>
      <w:r>
        <w:rPr>
          <w:rFonts w:ascii="Arial" w:cs="Arial" w:eastAsia="Arial" w:hAnsi="Arial"/>
          <w:sz w:val="18"/>
          <w:szCs w:val="18"/>
          <w:b w:val="1"/>
          <w:bCs w:val="1"/>
          <w:i w:val="1"/>
          <w:iCs w:val="1"/>
          <w:color w:val="auto"/>
        </w:rPr>
        <w:t>Forecast</w:t>
      </w:r>
      <w:r>
        <w:rPr>
          <w:rFonts w:ascii="Arial" w:cs="Arial" w:eastAsia="Arial" w:hAnsi="Arial"/>
          <w:sz w:val="18"/>
          <w:szCs w:val="18"/>
          <w:color w:val="auto"/>
        </w:rPr>
        <w:t>”). Such Forecast shall include requirements for Product by part number (as set forth on Schedule A to this Addendum No. 1) and by calendar month for the applicable period, and at the elected of SI-BONE, by calendar week. No later than ten days following the end of each [*] during the Term, SI-BONE shall update the Forecast in writing by providing to Supplier an updated Forecast for the following [*] (or such fewer number of [*] remaining in the Term). Except as provided in this Section 1.2 and this Addendum No. 1, Forecasts shall be nonbinding and used and relied upon by Supplier only for Supplier’s internal capacity planning purposes.”</w:t>
      </w:r>
    </w:p>
    <w:p>
      <w:pPr>
        <w:spacing w:after="0" w:line="95" w:lineRule="exact"/>
        <w:rPr>
          <w:sz w:val="20"/>
          <w:szCs w:val="20"/>
          <w:color w:val="auto"/>
        </w:rPr>
      </w:pPr>
    </w:p>
    <w:p>
      <w:pPr>
        <w:ind w:left="1420" w:hanging="538"/>
        <w:spacing w:after="0"/>
        <w:tabs>
          <w:tab w:leader="none" w:pos="142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Section 1.3 of the Original Agreement is hereby amended and restated as set forth below:</w:t>
      </w:r>
    </w:p>
    <w:p>
      <w:pPr>
        <w:spacing w:after="0" w:line="113"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1.3</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Purchase Orders</w:t>
      </w:r>
      <w:r>
        <w:rPr>
          <w:rFonts w:ascii="Arial" w:cs="Arial" w:eastAsia="Arial" w:hAnsi="Arial"/>
          <w:sz w:val="17"/>
          <w:szCs w:val="17"/>
          <w:color w:val="auto"/>
        </w:rPr>
        <w:t>. SI-BONE shall deliver to Supplier a blanket purchase order for all Product specified in each Forecast no later than [*] prior to the first anticipated delivery date of any Product under such Forecast (a “</w:t>
      </w:r>
      <w:r>
        <w:rPr>
          <w:rFonts w:ascii="Arial" w:cs="Arial" w:eastAsia="Arial" w:hAnsi="Arial"/>
          <w:sz w:val="17"/>
          <w:szCs w:val="17"/>
          <w:b w:val="1"/>
          <w:bCs w:val="1"/>
          <w:i w:val="1"/>
          <w:iCs w:val="1"/>
          <w:color w:val="auto"/>
        </w:rPr>
        <w:t>Blanket PO</w:t>
      </w:r>
      <w:r>
        <w:rPr>
          <w:rFonts w:ascii="Arial" w:cs="Arial" w:eastAsia="Arial" w:hAnsi="Arial"/>
          <w:sz w:val="17"/>
          <w:szCs w:val="17"/>
          <w:color w:val="auto"/>
        </w:rPr>
        <w:t>”) for the purpose of Supplier’s maintenance of Inventory (as defined in Section 1.5 below). All purchases shall be pursuant to purchase orders submitted by SI-BONE to Supplier (an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which, other than Orders made against the Blanket PO (a ‘</w:t>
      </w:r>
      <w:r>
        <w:rPr>
          <w:rFonts w:ascii="Arial" w:cs="Arial" w:eastAsia="Arial" w:hAnsi="Arial"/>
          <w:sz w:val="17"/>
          <w:szCs w:val="17"/>
          <w:b w:val="1"/>
          <w:bCs w:val="1"/>
          <w:i w:val="1"/>
          <w:iCs w:val="1"/>
          <w:color w:val="auto"/>
        </w:rPr>
        <w:t>Drawdown Order</w:t>
      </w:r>
      <w:r>
        <w:rPr>
          <w:rFonts w:ascii="Arial" w:cs="Arial" w:eastAsia="Arial" w:hAnsi="Arial"/>
          <w:sz w:val="17"/>
          <w:szCs w:val="17"/>
          <w:color w:val="auto"/>
        </w:rPr>
        <w:t>”), shall specify a delivery date no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submission of the Order, provided that any Drawdown Order shall specify a deliver date no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submission of such Order. SI-BONE shall submit Orders for the number of Products. If Supplier cannot satisfy any Order that is not a Drawdown Order, then Supplier shall provide written notice to SI- BONE 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receipt of the Order specifying its alternative delivery date which may not be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submission of the Order, unless otherwise agreed by the parties, provided that the Order quantities required are reasonably consistent with the current Forecast. SI- BONE shall deliver Drawdown Orders to Supplier on a monthly basis and any Product ordered pursuant to such Drawdown Order shall be based on the minimum release lot sizes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24</w:t>
      </w:r>
    </w:p>
    <w:p>
      <w:pPr>
        <w:spacing w:after="0" w:line="117" w:lineRule="exact"/>
        <w:rPr>
          <w:sz w:val="20"/>
          <w:szCs w:val="20"/>
          <w:color w:val="auto"/>
        </w:rPr>
      </w:pPr>
    </w:p>
    <w:p>
      <w:pPr>
        <w:ind w:right="340" w:firstLine="4"/>
        <w:spacing w:after="0" w:line="277" w:lineRule="auto"/>
        <w:tabs>
          <w:tab w:leader="none" w:pos="25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0" w:right="439" w:bottom="1440" w:gutter="0" w:footer="0" w:header="0"/>
        </w:sectPr>
      </w:pPr>
    </w:p>
    <w:bookmarkStart w:id="325" w:name="page326"/>
    <w:bookmarkEnd w:id="325"/>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on Schedule A to this Addendum No. 1. Any Product ordered pursuant to a Drawdown Order shall be shipped within [*] of Supplier’s receipt of such Drawdown Order. An Order shall specify the Products ordered (including part numbers and revision levels if applicable), quantities of each Product ordered, price, requested delivery date and requested Product recipient, all of which shall be subject to Article 5. Orders may be changed only by the mutual written agreement of the parties.”</w:t>
      </w:r>
    </w:p>
    <w:p>
      <w:pPr>
        <w:spacing w:after="0" w:line="92" w:lineRule="exact"/>
        <w:rPr>
          <w:sz w:val="20"/>
          <w:szCs w:val="20"/>
          <w:color w:val="auto"/>
        </w:rPr>
      </w:pPr>
    </w:p>
    <w:p>
      <w:pPr>
        <w:ind w:left="1420" w:hanging="538"/>
        <w:spacing w:after="0"/>
        <w:tabs>
          <w:tab w:leader="none" w:pos="142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The Original Agreement is hereby amended to include the following Section 1.5:</w:t>
      </w:r>
    </w:p>
    <w:p>
      <w:pPr>
        <w:spacing w:after="0" w:line="2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Inventory</w:t>
      </w:r>
      <w:r>
        <w:rPr>
          <w:rFonts w:ascii="Arial" w:cs="Arial" w:eastAsia="Arial" w:hAnsi="Arial"/>
          <w:sz w:val="18"/>
          <w:szCs w:val="18"/>
          <w:color w:val="auto"/>
        </w:rPr>
        <w:t>. Supplier shall maintain available Inventory of “machined Product” and “finished Product”, in each case based on the then current Forecast, for delivery pursuant to Sections 1.3 and 5.2, as set forth on Schedule A to this Addendum No. 1. For purposes hereof, (i) “machined Products” shall mean Product additively manufactured and machined but unpackaged, and (ii) “finished Products” shall mean machined additively manufactured Product, packaged and sterilized pursuant to the Agreement. The terms “machined Products” and “finished Products” are collectively referred to here as “Inventory”. Supplier and SI-BONE agree to meet on a quarterly basis for the purpose of adding or removing Products, or adjusting Inventory levels of the Products, listed on Schedule A. In the event Supplier maintains any “finished Product” in Inventory for more than [*], upon notice from Supplier of such event, SI-BONE shall deliver a Drawdown Order against any such “finished Product”, provided, however, that SI-BONE shall have no obligation to purchase in excess of [*] of Inventory based on the original Forecast delivered to Supplier. Supplier shall be solely responsible for maintaining sufficient Inventory to satisfy the delivery requirements under the Agreement and for any loss, damage or replacement to any Inventory.”</w:t>
      </w:r>
    </w:p>
    <w:p>
      <w:pPr>
        <w:spacing w:after="0" w:line="96" w:lineRule="exact"/>
        <w:rPr>
          <w:sz w:val="20"/>
          <w:szCs w:val="20"/>
          <w:color w:val="auto"/>
        </w:rPr>
      </w:pPr>
    </w:p>
    <w:p>
      <w:pPr>
        <w:ind w:left="1420" w:hanging="538"/>
        <w:spacing w:after="0"/>
        <w:tabs>
          <w:tab w:leader="none" w:pos="142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t>The second sentence of Section 4.3 of the Original Agreement is hereby amended and restated as set forth below:</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“Supplier shall maintain and comply with a quality control program that conforms with all applicable laws and is consistent with current good manufacturing practices applicable to Products (“</w:t>
      </w:r>
      <w:r>
        <w:rPr>
          <w:rFonts w:ascii="Arial" w:cs="Arial" w:eastAsia="Arial" w:hAnsi="Arial"/>
          <w:sz w:val="16"/>
          <w:szCs w:val="16"/>
          <w:b w:val="1"/>
          <w:bCs w:val="1"/>
          <w:i w:val="1"/>
          <w:iCs w:val="1"/>
          <w:color w:val="auto"/>
        </w:rPr>
        <w:t>GMPs</w:t>
      </w:r>
      <w:r>
        <w:rPr>
          <w:rFonts w:ascii="Arial" w:cs="Arial" w:eastAsia="Arial" w:hAnsi="Arial"/>
          <w:sz w:val="16"/>
          <w:szCs w:val="16"/>
          <w:color w:val="auto"/>
        </w:rPr>
        <w:t>”) and as effective during the remainder of the Term and as required by any governmental or quasigovernmental agency having regulatory authority over the Products, including, without limitation, 21 CFR Part 820, the current released versions of ISO 13485 and 14971, and shall establish and maintain procedures for identifying with a control number each unit, lot, or batch of “finished Products” and where appropriate components of such “finished Products” (collectively, the “</w:t>
      </w:r>
      <w:r>
        <w:rPr>
          <w:rFonts w:ascii="Arial" w:cs="Arial" w:eastAsia="Arial" w:hAnsi="Arial"/>
          <w:sz w:val="16"/>
          <w:szCs w:val="16"/>
          <w:b w:val="1"/>
          <w:bCs w:val="1"/>
          <w:i w:val="1"/>
          <w:iCs w:val="1"/>
          <w:color w:val="auto"/>
        </w:rPr>
        <w:t>Quality Management System</w:t>
      </w:r>
      <w:r>
        <w:rPr>
          <w:rFonts w:ascii="Arial" w:cs="Arial" w:eastAsia="Arial" w:hAnsi="Arial"/>
          <w:sz w:val="16"/>
          <w:szCs w:val="16"/>
          <w:color w:val="auto"/>
        </w:rPr>
        <w:t>”).”</w:t>
      </w:r>
    </w:p>
    <w:p>
      <w:pPr>
        <w:spacing w:after="0" w:line="64" w:lineRule="exact"/>
        <w:rPr>
          <w:sz w:val="20"/>
          <w:szCs w:val="20"/>
          <w:color w:val="auto"/>
        </w:rPr>
      </w:pPr>
    </w:p>
    <w:p>
      <w:pPr>
        <w:ind w:left="1420" w:hanging="538"/>
        <w:spacing w:after="0"/>
        <w:tabs>
          <w:tab w:leader="none" w:pos="1420"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Section 5.2 of the Original Agreement is hereby amended and restated as set forth below:</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shall deliver Products by, and no more than [*] prior to, SIBONE’s requested dates of delivery indicated in the Order or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agreed between the Supplier and SIBONE as indicated on the Supplier Order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Products ordered pursuant to any Drawdown Order shall be shipped within [*] of Supplier’s receipt of such Drawdown Order. Requested delivery dates may be changed only by mutual written agreement of the parties, which agreement shall not be unreasonably withheld or delayed. In the event that Supplier has reason to believe that it will be unable to meet the agreed upon delivery dates, Supplier will notify SI-BONE promptly and state the reasons for the anticipated delay. All shipments of Products pursuant to this Agreement shall be shipped by Supplier FOB Supplier’s facility. Delivery shall be deemed to have occurred, and therefore risk of loss transferred from Supplier to SI-BONE, when Products are delivered to the freight forwarder. All Product ordered pursuant to a Drawdown Order from Inventory shall be shipped in a “first in – first out” basis in order minimize the amount of time any Product is maintained by Supplier in Inventory.”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24</w:t>
      </w:r>
    </w:p>
    <w:p>
      <w:pPr>
        <w:spacing w:after="0" w:line="117" w:lineRule="exact"/>
        <w:rPr>
          <w:sz w:val="20"/>
          <w:szCs w:val="20"/>
          <w:color w:val="auto"/>
        </w:rPr>
      </w:pPr>
    </w:p>
    <w:p>
      <w:pPr>
        <w:ind w:right="340" w:firstLine="4"/>
        <w:spacing w:after="0" w:line="277" w:lineRule="auto"/>
        <w:tabs>
          <w:tab w:leader="none" w:pos="25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20"/>
          </w:cols>
          <w:pgMar w:left="440" w:top="274" w:right="439" w:bottom="1440" w:gutter="0" w:footer="0" w:header="0"/>
        </w:sectPr>
      </w:pPr>
    </w:p>
    <w:bookmarkStart w:id="326" w:name="page327"/>
    <w:bookmarkEnd w:id="326"/>
    <w:p>
      <w:pPr>
        <w:ind w:left="856" w:hanging="424"/>
        <w:spacing w:after="0"/>
        <w:tabs>
          <w:tab w:leader="none" w:pos="856"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135" w:lineRule="exact"/>
        <w:rPr>
          <w:sz w:val="20"/>
          <w:szCs w:val="20"/>
          <w:color w:val="auto"/>
        </w:rPr>
      </w:pPr>
    </w:p>
    <w:p>
      <w:pPr>
        <w:ind w:left="856" w:hanging="424"/>
        <w:spacing w:after="0" w:line="277" w:lineRule="auto"/>
        <w:tabs>
          <w:tab w:leader="none" w:pos="856"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Original Agreement, including this Addendum No. 1, will be declared invalid, illegal or unenforceable, such provision will be severed and all remaining provisions will continue in full force and effect.</w:t>
      </w:r>
    </w:p>
    <w:p>
      <w:pPr>
        <w:spacing w:after="0" w:line="75" w:lineRule="exact"/>
        <w:rPr>
          <w:rFonts w:ascii="Arial" w:cs="Arial" w:eastAsia="Arial" w:hAnsi="Arial"/>
          <w:sz w:val="18"/>
          <w:szCs w:val="18"/>
          <w:color w:val="auto"/>
        </w:rPr>
      </w:pPr>
    </w:p>
    <w:p>
      <w:pPr>
        <w:ind w:left="856" w:right="60" w:hanging="424"/>
        <w:spacing w:after="0" w:line="276" w:lineRule="auto"/>
        <w:tabs>
          <w:tab w:leader="none" w:pos="856"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Original Agreement, including this Addendum No. 1, is the full, complete, and exclusive agreement between the parties and supersedes and cancels any and all previous or contemporaneous agreements of whatever nature, whether written or oral, between Supplier and SI-BONE and their respective subsidiaries and affiliates with respect to its subject matter. The Original Agreement, including this Addendum No. 1, may only be modified or amended in writing signed by both parties. Subject headings are for convenience of reference only and will in no way affect interpretation of the Original Agreement.</w:t>
      </w:r>
    </w:p>
    <w:p>
      <w:pPr>
        <w:spacing w:after="0" w:line="77" w:lineRule="exact"/>
        <w:rPr>
          <w:rFonts w:ascii="Arial" w:cs="Arial" w:eastAsia="Arial" w:hAnsi="Arial"/>
          <w:sz w:val="17"/>
          <w:szCs w:val="17"/>
          <w:color w:val="auto"/>
        </w:rPr>
      </w:pPr>
    </w:p>
    <w:p>
      <w:pPr>
        <w:ind w:left="856" w:right="20" w:hanging="424"/>
        <w:spacing w:after="0" w:line="264" w:lineRule="auto"/>
        <w:tabs>
          <w:tab w:leader="none" w:pos="856"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Addendum No. 1 may be executed in separate counterparts, and by facsimile, each of which will be deemed an original, and when executed separately or together, will constitute a single original instrument, effective in the same manner as if the parties had executed one and the same instrument.</w:t>
      </w:r>
    </w:p>
    <w:p>
      <w:pPr>
        <w:spacing w:after="0" w:line="177"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Page 22 of 24</w:t>
      </w:r>
    </w:p>
    <w:p>
      <w:pPr>
        <w:spacing w:after="0" w:line="117" w:lineRule="exact"/>
        <w:rPr>
          <w:sz w:val="20"/>
          <w:szCs w:val="20"/>
          <w:color w:val="auto"/>
        </w:rPr>
      </w:pPr>
    </w:p>
    <w:p>
      <w:pPr>
        <w:ind w:left="-4" w:right="240" w:firstLine="4"/>
        <w:spacing w:after="0" w:line="277" w:lineRule="auto"/>
        <w:tabs>
          <w:tab w:leader="none" w:pos="25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16"/>
          </w:cols>
          <w:pgMar w:left="444" w:top="270" w:right="539"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Addendum No. 1 as of the date set forth beneath such person’s name.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SI-BONE:</w:t>
            </w:r>
          </w:p>
        </w:tc>
        <w:tc>
          <w:tcPr>
            <w:tcW w:w="1580" w:type="dxa"/>
            <w:vAlign w:val="bottom"/>
          </w:tcPr>
          <w:p>
            <w:pPr>
              <w:spacing w:after="0"/>
              <w:rPr>
                <w:sz w:val="20"/>
                <w:szCs w:val="20"/>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b w:val="1"/>
                <w:bCs w:val="1"/>
                <w:color w:val="auto"/>
              </w:rPr>
              <w:t>SUPPLIER:</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SI-BONE, Inc.</w:t>
            </w:r>
          </w:p>
        </w:tc>
        <w:tc>
          <w:tcPr>
            <w:tcW w:w="1580" w:type="dxa"/>
            <w:vAlign w:val="bottom"/>
          </w:tcPr>
          <w:p>
            <w:pPr>
              <w:spacing w:after="0"/>
              <w:rPr>
                <w:sz w:val="24"/>
                <w:szCs w:val="24"/>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b w:val="1"/>
                <w:bCs w:val="1"/>
                <w:color w:val="auto"/>
              </w:rPr>
              <w:t>rms Company</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40" w:type="dxa"/>
            <w:vAlign w:val="bottom"/>
          </w:tcPr>
          <w:p>
            <w:pPr>
              <w:spacing w:after="0"/>
              <w:rPr>
                <w:sz w:val="20"/>
                <w:szCs w:val="20"/>
                <w:color w:val="auto"/>
              </w:rPr>
            </w:pPr>
            <w:r>
              <w:rPr>
                <w:rFonts w:ascii="Arial" w:cs="Arial" w:eastAsia="Arial" w:hAnsi="Arial"/>
                <w:sz w:val="18"/>
                <w:szCs w:val="18"/>
                <w:color w:val="auto"/>
              </w:rPr>
              <w:t>/s/ Laura Francis</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/s/ Richard S. Riddle</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580" w:type="dxa"/>
            <w:vAlign w:val="bottom"/>
            <w:tcBorders>
              <w:top w:val="single" w:sz="8" w:color="auto"/>
            </w:tcBorders>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S. Riddle</w:t>
            </w:r>
          </w:p>
        </w:tc>
      </w:tr>
      <w:tr>
        <w:trPr>
          <w:trHeight w:val="4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Title: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Director of Sales</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Dated: July 7, 2017</w:t>
            </w:r>
          </w:p>
        </w:tc>
        <w:tc>
          <w:tcPr>
            <w:tcW w:w="1580" w:type="dxa"/>
            <w:vAlign w:val="bottom"/>
          </w:tcPr>
          <w:p>
            <w:pPr>
              <w:spacing w:after="0"/>
              <w:rPr>
                <w:sz w:val="24"/>
                <w:szCs w:val="24"/>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color w:val="auto"/>
              </w:rPr>
              <w:t>Dated: July 6, 2017</w:t>
            </w:r>
          </w:p>
        </w:tc>
      </w:tr>
      <w:tr>
        <w:trPr>
          <w:trHeight w:val="365"/>
        </w:trPr>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gridSpan w:val="2"/>
          </w:tcPr>
          <w:p>
            <w:pPr>
              <w:ind w:left="1380"/>
              <w:spacing w:after="0"/>
              <w:rPr>
                <w:sz w:val="20"/>
                <w:szCs w:val="20"/>
                <w:color w:val="auto"/>
              </w:rPr>
            </w:pPr>
            <w:r>
              <w:rPr>
                <w:rFonts w:ascii="Arial" w:cs="Arial" w:eastAsia="Arial" w:hAnsi="Arial"/>
                <w:sz w:val="18"/>
                <w:szCs w:val="18"/>
                <w:color w:val="auto"/>
              </w:rPr>
              <w:t>Page 23 of 24</w:t>
            </w: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94" w:lineRule="exact"/>
        <w:rPr>
          <w:sz w:val="20"/>
          <w:szCs w:val="20"/>
          <w:color w:val="auto"/>
        </w:rPr>
      </w:pPr>
    </w:p>
    <w:p>
      <w:pPr>
        <w:ind w:right="360" w:firstLine="4"/>
        <w:spacing w:after="0" w:line="277" w:lineRule="auto"/>
        <w:tabs>
          <w:tab w:leader="none" w:pos="2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040"/>
          </w:cols>
          <w:pgMar w:left="440" w:top="269" w:right="419" w:bottom="1440" w:gutter="0" w:footer="0" w:header="0"/>
        </w:sectPr>
      </w:pPr>
    </w:p>
    <w:bookmarkStart w:id="328" w:name="page329"/>
    <w:bookmarkEnd w:id="328"/>
    <w:p>
      <w:pPr>
        <w:jc w:val="center"/>
        <w:ind w:right="-35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 to Addendum No. 1</w:t>
      </w:r>
    </w:p>
    <w:p>
      <w:pPr>
        <w:spacing w:after="0" w:line="235" w:lineRule="exact"/>
        <w:rPr>
          <w:sz w:val="20"/>
          <w:szCs w:val="20"/>
          <w:color w:val="auto"/>
        </w:rPr>
      </w:pPr>
    </w:p>
    <w:tbl>
      <w:tblPr>
        <w:tblLayout w:type="fixed"/>
        <w:tblInd w:w="876"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left="564"/>
              <w:spacing w:after="0"/>
              <w:rPr>
                <w:sz w:val="20"/>
                <w:szCs w:val="20"/>
                <w:color w:val="auto"/>
              </w:rPr>
            </w:pPr>
            <w:r>
              <w:rPr>
                <w:rFonts w:ascii="Arial" w:cs="Arial" w:eastAsia="Arial" w:hAnsi="Arial"/>
                <w:sz w:val="14"/>
                <w:szCs w:val="14"/>
                <w:b w:val="1"/>
                <w:bCs w:val="1"/>
                <w:color w:val="auto"/>
              </w:rPr>
              <w:t>Minimum</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Weeks Inventory</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Weeks Inventory</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Part Number</w:t>
            </w:r>
          </w:p>
        </w:tc>
        <w:tc>
          <w:tcPr>
            <w:tcW w:w="1420" w:type="dxa"/>
            <w:vAlign w:val="bottom"/>
          </w:tcPr>
          <w:p>
            <w:pPr>
              <w:jc w:val="center"/>
              <w:ind w:left="564"/>
              <w:spacing w:after="0" w:line="149" w:lineRule="exact"/>
              <w:rPr>
                <w:sz w:val="20"/>
                <w:szCs w:val="20"/>
                <w:color w:val="auto"/>
              </w:rPr>
            </w:pPr>
            <w:r>
              <w:rPr>
                <w:rFonts w:ascii="Arial" w:cs="Arial" w:eastAsia="Arial" w:hAnsi="Arial"/>
                <w:sz w:val="14"/>
                <w:szCs w:val="14"/>
                <w:b w:val="1"/>
                <w:bCs w:val="1"/>
                <w:color w:val="auto"/>
                <w:w w:val="89"/>
              </w:rPr>
              <w:t>Release Lot</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(finished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(machined</w:t>
            </w:r>
          </w:p>
        </w:tc>
        <w:tc>
          <w:tcPr>
            <w:tcW w:w="0" w:type="dxa"/>
            <w:vAlign w:val="bottom"/>
          </w:tcPr>
          <w:p>
            <w:pPr>
              <w:spacing w:after="0"/>
              <w:rPr>
                <w:sz w:val="1"/>
                <w:szCs w:val="1"/>
                <w:color w:val="auto"/>
              </w:rPr>
            </w:pPr>
          </w:p>
        </w:tc>
      </w:tr>
      <w:tr>
        <w:trPr>
          <w:trHeight w:val="185"/>
        </w:trPr>
        <w:tc>
          <w:tcPr>
            <w:tcW w:w="2700" w:type="dxa"/>
            <w:vAlign w:val="bottom"/>
            <w:gridSpan w:val="2"/>
            <w:vMerge w:val="continue"/>
          </w:tcPr>
          <w:p>
            <w:pPr>
              <w:spacing w:after="0"/>
              <w:rPr>
                <w:sz w:val="16"/>
                <w:szCs w:val="16"/>
                <w:color w:val="auto"/>
              </w:rPr>
            </w:pPr>
          </w:p>
        </w:tc>
        <w:tc>
          <w:tcPr>
            <w:tcW w:w="1420" w:type="dxa"/>
            <w:vAlign w:val="bottom"/>
          </w:tcPr>
          <w:p>
            <w:pPr>
              <w:jc w:val="center"/>
              <w:ind w:left="564"/>
              <w:spacing w:after="0"/>
              <w:rPr>
                <w:sz w:val="20"/>
                <w:szCs w:val="20"/>
                <w:color w:val="auto"/>
              </w:rPr>
            </w:pPr>
            <w:r>
              <w:rPr>
                <w:rFonts w:ascii="Arial" w:cs="Arial" w:eastAsia="Arial" w:hAnsi="Arial"/>
                <w:sz w:val="14"/>
                <w:szCs w:val="14"/>
                <w:b w:val="1"/>
                <w:bCs w:val="1"/>
                <w:color w:val="auto"/>
                <w:w w:val="92"/>
              </w:rPr>
              <w:t>Size</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Products)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Products)</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56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4"/>
          </w:tcPr>
          <w:p>
            <w:pPr>
              <w:ind w:left="20"/>
              <w:spacing w:after="0"/>
              <w:rPr>
                <w:sz w:val="20"/>
                <w:szCs w:val="20"/>
                <w:color w:val="auto"/>
              </w:rPr>
            </w:pPr>
            <w:r>
              <w:rPr>
                <w:rFonts w:ascii="Arial" w:cs="Arial" w:eastAsia="Arial" w:hAnsi="Arial"/>
                <w:sz w:val="18"/>
                <w:szCs w:val="18"/>
                <w:color w:val="auto"/>
              </w:rPr>
              <w:t>Page 24 of 24</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 w:firstLine="4"/>
        <w:spacing w:after="0" w:line="277" w:lineRule="auto"/>
        <w:tabs>
          <w:tab w:leader="none" w:pos="25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76"/>
          </w:cols>
          <w:pgMar w:left="444" w:top="269" w:right="77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UITE</w:t>
      </w:r>
      <w:r>
        <w:rPr>
          <w:rFonts w:ascii="Arial" w:cs="Arial" w:eastAsia="Arial" w:hAnsi="Arial"/>
          <w:sz w:val="18"/>
          <w:szCs w:val="18"/>
          <w:b w:val="1"/>
          <w:bCs w:val="1"/>
          <w:color w:val="auto"/>
        </w:rPr>
        <w:t xml:space="preserve"> 1F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20045 S</w:t>
      </w:r>
      <w:r>
        <w:rPr>
          <w:rFonts w:ascii="Arial" w:cs="Arial" w:eastAsia="Arial" w:hAnsi="Arial"/>
          <w:sz w:val="15"/>
          <w:szCs w:val="15"/>
          <w:b w:val="1"/>
          <w:bCs w:val="1"/>
          <w:color w:val="auto"/>
        </w:rPr>
        <w:t>TEVENS</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REEK</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LVD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UPERTINO</w:t>
      </w:r>
      <w:r>
        <w:rPr>
          <w:rFonts w:ascii="Arial" w:cs="Arial" w:eastAsia="Arial" w:hAnsi="Arial"/>
          <w:sz w:val="18"/>
          <w:szCs w:val="18"/>
          <w:b w:val="1"/>
          <w:bCs w:val="1"/>
          <w:color w:val="auto"/>
        </w:rPr>
        <w:t>, CA 95014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225"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SI-BONE, Inc. (the “Company”) is pleased to offer you employment on the following terms. In consideration for receiving this offer of employment, you acknowledge and agree that, effective as of January 1, 2010, the consulting agreement between you and the Company is terminated and of no further force and effect.</w:t>
      </w:r>
    </w:p>
    <w:p>
      <w:pPr>
        <w:spacing w:after="0" w:line="177" w:lineRule="exact"/>
        <w:rPr>
          <w:sz w:val="20"/>
          <w:szCs w:val="20"/>
          <w:color w:val="auto"/>
        </w:rPr>
      </w:pPr>
    </w:p>
    <w:p>
      <w:pPr>
        <w:ind w:right="60" w:firstLine="885"/>
        <w:spacing w:after="0" w:line="281" w:lineRule="auto"/>
        <w:tabs>
          <w:tab w:leader="none" w:pos="1196" w:val="left"/>
        </w:tabs>
        <w:numPr>
          <w:ilvl w:val="0"/>
          <w:numId w:val="297"/>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initial title will be President and CEO, and you will initially report to the Company’s Board of Directors. While you</w:t>
      </w:r>
      <w:r>
        <w:rPr>
          <w:rFonts w:ascii="Arial" w:cs="Arial" w:eastAsia="Arial" w:hAnsi="Arial"/>
          <w:sz w:val="17"/>
          <w:szCs w:val="17"/>
          <w:b w:val="1"/>
          <w:bCs w:val="1"/>
          <w:color w:val="auto"/>
        </w:rPr>
        <w:t xml:space="preserve"> </w:t>
      </w:r>
      <w:r>
        <w:rPr>
          <w:rFonts w:ascii="Arial" w:cs="Arial" w:eastAsia="Arial" w:hAnsi="Arial"/>
          <w:sz w:val="17"/>
          <w:szCs w:val="17"/>
          <w:color w:val="auto"/>
        </w:rPr>
        <w:t>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64" w:lineRule="exact"/>
        <w:rPr>
          <w:rFonts w:ascii="Arial" w:cs="Arial" w:eastAsia="Arial" w:hAnsi="Arial"/>
          <w:sz w:val="17"/>
          <w:szCs w:val="17"/>
          <w:color w:val="auto"/>
        </w:rPr>
      </w:pPr>
    </w:p>
    <w:p>
      <w:pPr>
        <w:ind w:right="300" w:firstLine="885"/>
        <w:spacing w:after="0" w:line="266" w:lineRule="auto"/>
        <w:tabs>
          <w:tab w:leader="none" w:pos="1196"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$360,000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18"/>
          <w:szCs w:val="18"/>
          <w:color w:val="auto"/>
        </w:rPr>
      </w:pPr>
    </w:p>
    <w:p>
      <w:pPr>
        <w:ind w:right="380" w:firstLine="885"/>
        <w:spacing w:after="0" w:line="347" w:lineRule="auto"/>
        <w:tabs>
          <w:tab w:leader="none" w:pos="1196" w:val="left"/>
        </w:tabs>
        <w:numPr>
          <w:ilvl w:val="0"/>
          <w:numId w:val="297"/>
        </w:numPr>
        <w:rPr>
          <w:rFonts w:ascii="Arial" w:cs="Arial" w:eastAsia="Arial" w:hAnsi="Arial"/>
          <w:sz w:val="16"/>
          <w:szCs w:val="16"/>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As a regular employee of the Company, you will be eligible to participate in a number of Company-sponsored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In addition, you will be entitled to paid vacation in accordance with the Company’s vacation policy, as in effect from time to time.</w:t>
      </w:r>
    </w:p>
    <w:p>
      <w:pPr>
        <w:spacing w:after="0" w:line="116" w:lineRule="exact"/>
        <w:rPr>
          <w:rFonts w:ascii="Arial" w:cs="Arial" w:eastAsia="Arial" w:hAnsi="Arial"/>
          <w:sz w:val="16"/>
          <w:szCs w:val="16"/>
          <w:color w:val="auto"/>
        </w:rPr>
      </w:pPr>
    </w:p>
    <w:p>
      <w:pPr>
        <w:ind w:right="60" w:firstLine="885"/>
        <w:spacing w:after="0" w:line="261" w:lineRule="auto"/>
        <w:tabs>
          <w:tab w:leader="none" w:pos="1196"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On June 20, 2009 and October 7, 2009, the Company’s Board of Directors granted you options to purchase 1,668,963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Series 1 Common Stock and 953,693 shares of the Company’s Series 1 Common Stock, respectively (the “Options”). The Options are subject to the terms and conditions applicable to options granted under the Company’s 2008 Stock Plan (the “Plan”), as described in the Plan and the applicable Stock Option Agreements.</w:t>
      </w:r>
    </w:p>
    <w:p>
      <w:pPr>
        <w:sectPr>
          <w:pgSz w:w="11900" w:h="16838" w:orient="portrait"/>
          <w:cols w:equalWidth="0" w:num="1">
            <w:col w:w="11020"/>
          </w:cols>
          <w:pgMar w:left="440" w:top="121" w:right="4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1200" w:hanging="315"/>
        <w:spacing w:after="0"/>
        <w:tabs>
          <w:tab w:leader="none" w:pos="120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72" w:lineRule="auto"/>
        <w:tabs>
          <w:tab w:leader="none" w:pos="123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General. If you are subject to an Involuntary Termination, then you will be entitled to the benefits described in this Section 5. 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60 days after your Separation. If you fail to return the release on or before the Release Deadline, or if you revoke the release, then you will not be entitled to the benefits described in this Section 5.</w:t>
      </w:r>
    </w:p>
    <w:p>
      <w:pPr>
        <w:spacing w:after="0" w:line="177" w:lineRule="exact"/>
        <w:rPr>
          <w:rFonts w:ascii="Arial" w:cs="Arial" w:eastAsia="Arial" w:hAnsi="Arial"/>
          <w:sz w:val="17"/>
          <w:szCs w:val="17"/>
          <w:color w:val="auto"/>
        </w:rPr>
      </w:pPr>
    </w:p>
    <w:p>
      <w:pPr>
        <w:jc w:val="both"/>
        <w:ind w:right="240" w:firstLine="885"/>
        <w:spacing w:after="0" w:line="259" w:lineRule="auto"/>
        <w:tabs>
          <w:tab w:leader="none" w:pos="122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Salary Continuation. If you are subject to an Involuntary Termination, then the Company will continue to pay your base salary for a period of 12 months after your Separation. Your base salary will be paid at the rate in effect at the time of your Separation and in accordance with the Company’s standard payroll procedures. The salary continuation payments will commence within 30 days after the Release Deadline and, once they commence, will be retroactive to the date of your Separation.</w:t>
      </w:r>
    </w:p>
    <w:p>
      <w:pPr>
        <w:spacing w:after="0" w:line="186" w:lineRule="exact"/>
        <w:rPr>
          <w:rFonts w:ascii="Arial" w:cs="Arial" w:eastAsia="Arial" w:hAnsi="Arial"/>
          <w:sz w:val="18"/>
          <w:szCs w:val="18"/>
          <w:color w:val="auto"/>
        </w:rPr>
      </w:pPr>
    </w:p>
    <w:p>
      <w:pPr>
        <w:ind w:firstLine="885"/>
        <w:spacing w:after="0" w:line="257" w:lineRule="auto"/>
        <w:tabs>
          <w:tab w:leader="none" w:pos="122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COBRA. If you are subject to an Involuntary Termination and you elect to continue your health insurance coverage under the Consolidated Omnibus Budget Reconciliation Act (“COBRA”) following your Separation, then the Company will pay the same portion of your monthly premium under COBRA as it pays for active employees until the earliest of (i) the close of the 12-month period following your Separation, (ii) the expiration of your continuation coverage under COBRA or (iii) the date when you become eligible for substantially equivalent health insurance coverage in connection with new employment or self-employment.</w:t>
      </w:r>
    </w:p>
    <w:p>
      <w:pPr>
        <w:spacing w:after="0" w:line="188"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“Cause”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w:t>
      </w:r>
    </w:p>
    <w:p>
      <w:pPr>
        <w:spacing w:after="0" w:line="17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w:t>
      </w:r>
    </w:p>
    <w:p>
      <w:pPr>
        <w:sectPr>
          <w:pgSz w:w="11900" w:h="16838" w:orient="portrait"/>
          <w:cols w:equalWidth="0" w:num="1">
            <w:col w:w="11000"/>
          </w:cols>
          <w:pgMar w:left="440" w:top="274" w:right="45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who were the Company’s stockholders immediately prior to the merger or consolidation in substantially the same proportions as their ownership of the voting power of the Company’s capital stock immediately prior to the merger or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“Good Reason” means that you resign within 12 months after one of the following conditions has come into existence without your consent:</w:t>
      </w:r>
    </w:p>
    <w:p>
      <w:pPr>
        <w:spacing w:after="0" w:line="129" w:lineRule="exact"/>
        <w:rPr>
          <w:sz w:val="20"/>
          <w:szCs w:val="20"/>
          <w:color w:val="auto"/>
        </w:rPr>
      </w:pPr>
    </w:p>
    <w:p>
      <w:pPr>
        <w:ind w:left="2120" w:hanging="300"/>
        <w:spacing w:after="0"/>
        <w:tabs>
          <w:tab w:leader="none" w:pos="21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reduction in your base salary by more than 10%;</w:t>
      </w:r>
    </w:p>
    <w:p>
      <w:pPr>
        <w:spacing w:after="0" w:line="117" w:lineRule="exact"/>
        <w:rPr>
          <w:rFonts w:ascii="Arial" w:cs="Arial" w:eastAsia="Arial" w:hAnsi="Arial"/>
          <w:sz w:val="18"/>
          <w:szCs w:val="18"/>
          <w:color w:val="auto"/>
        </w:rPr>
      </w:pPr>
    </w:p>
    <w:p>
      <w:pPr>
        <w:ind w:left="2120" w:hanging="300"/>
        <w:spacing w:after="0"/>
        <w:tabs>
          <w:tab w:leader="none" w:pos="21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change in your position with the Company that materially reduces your level of authority or responsibility; or</w:t>
      </w:r>
    </w:p>
    <w:p>
      <w:pPr>
        <w:spacing w:after="0" w:line="117" w:lineRule="exact"/>
        <w:rPr>
          <w:rFonts w:ascii="Arial" w:cs="Arial" w:eastAsia="Arial" w:hAnsi="Arial"/>
          <w:sz w:val="18"/>
          <w:szCs w:val="18"/>
          <w:color w:val="auto"/>
        </w:rPr>
      </w:pPr>
    </w:p>
    <w:p>
      <w:pPr>
        <w:ind w:left="2120" w:hanging="300"/>
        <w:spacing w:after="0"/>
        <w:tabs>
          <w:tab w:leader="none" w:pos="21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relocation of your principal workplace by more than 30 miles.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condition will not be considered “Good Reason”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“Involuntary Termination” means a Separation resulting from either (a) your involuntary discharge by the Company for reasons other than Cause or Permanent Disability or (b) within 12 months after a Change in Control of the Company, your voluntary resignation for Good Reason.</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“Permanent Disability” means that you are unable to perform the essential functions of your position, with or without reasonable accommodation, for a period of at least 120 consecutive days because of a physical or mental impairment.</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“Separation” means a “separation from service,” as defined in the regulations under Section 409A of the Internal Revenue Code of 1986, as amended (the “Code”)</w:t>
      </w:r>
    </w:p>
    <w:p>
      <w:pPr>
        <w:spacing w:after="0" w:line="166" w:lineRule="exact"/>
        <w:rPr>
          <w:sz w:val="20"/>
          <w:szCs w:val="20"/>
          <w:color w:val="auto"/>
        </w:rPr>
      </w:pPr>
    </w:p>
    <w:p>
      <w:pPr>
        <w:ind w:right="120" w:firstLine="885"/>
        <w:spacing w:after="0" w:line="266" w:lineRule="auto"/>
        <w:tabs>
          <w:tab w:leader="none" w:pos="1196"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885"/>
        <w:spacing w:after="0" w:line="256" w:lineRule="auto"/>
        <w:tabs>
          <w:tab w:leader="none" w:pos="1196"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ectPr>
          <w:pgSz w:w="11900" w:h="16838" w:orient="portrait"/>
          <w:cols w:equalWidth="0" w:num="1">
            <w:col w:w="11000"/>
          </w:cols>
          <w:pgMar w:left="440" w:top="274"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1200" w:hanging="315"/>
        <w:spacing w:after="0"/>
        <w:tabs>
          <w:tab w:leader="none" w:pos="120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140" w:firstLine="885"/>
        <w:spacing w:after="0" w:line="282" w:lineRule="auto"/>
        <w:tabs>
          <w:tab w:leader="none" w:pos="1261"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payroll taxes and other deductions required by law.</w:t>
      </w:r>
    </w:p>
    <w:p>
      <w:pPr>
        <w:spacing w:after="0" w:line="161" w:lineRule="exact"/>
        <w:rPr>
          <w:rFonts w:ascii="Arial" w:cs="Arial" w:eastAsia="Arial" w:hAnsi="Arial"/>
          <w:sz w:val="18"/>
          <w:szCs w:val="18"/>
          <w:color w:val="auto"/>
        </w:rPr>
      </w:pPr>
    </w:p>
    <w:p>
      <w:pPr>
        <w:ind w:firstLine="885"/>
        <w:spacing w:after="0" w:line="277" w:lineRule="auto"/>
        <w:tabs>
          <w:tab w:leader="none" w:pos="1271" w:val="left"/>
        </w:tabs>
        <w:numPr>
          <w:ilvl w:val="0"/>
          <w:numId w:val="303"/>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For purposes of Section 409A of the Code, each salary continuation payment under Section 5(b) is hereby designated as</w:t>
      </w:r>
      <w:r>
        <w:rPr>
          <w:rFonts w:ascii="Arial" w:cs="Arial" w:eastAsia="Arial" w:hAnsi="Arial"/>
          <w:sz w:val="17"/>
          <w:szCs w:val="17"/>
          <w:b w:val="1"/>
          <w:bCs w:val="1"/>
          <w:color w:val="auto"/>
        </w:rPr>
        <w:t xml:space="preserve"> </w:t>
      </w:r>
      <w:r>
        <w:rPr>
          <w:rFonts w:ascii="Arial" w:cs="Arial" w:eastAsia="Arial" w:hAnsi="Arial"/>
          <w:sz w:val="17"/>
          <w:szCs w:val="17"/>
          <w:color w:val="auto"/>
        </w:rPr>
        <w:t>a separate payment. If the Company determines that you are a “specified employee” under Section 409A(a)(2)(B)(i) of the Code at the time of your Separation, then (i) the salary continuation payments under Section 5(b), to the extent that they are subject to Section 409A of the Code, will commence during the seventh month after your Separation and (ii) the installments that otherwise would have been paid during the first six months after your Separation will be paid in a lump sum when the salary continuation payments commence.</w:t>
      </w:r>
    </w:p>
    <w:p>
      <w:pPr>
        <w:spacing w:after="0" w:line="168" w:lineRule="exact"/>
        <w:rPr>
          <w:rFonts w:ascii="Arial" w:cs="Arial" w:eastAsia="Arial" w:hAnsi="Arial"/>
          <w:sz w:val="17"/>
          <w:szCs w:val="17"/>
          <w:color w:val="auto"/>
        </w:rPr>
      </w:pPr>
    </w:p>
    <w:p>
      <w:pPr>
        <w:ind w:right="240" w:firstLine="885"/>
        <w:spacing w:after="0" w:line="266" w:lineRule="auto"/>
        <w:tabs>
          <w:tab w:leader="none" w:pos="1261"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 agree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sz w:val="20"/>
          <w:szCs w:val="20"/>
          <w:color w:val="auto"/>
        </w:rPr>
      </w:pPr>
    </w:p>
    <w:p>
      <w:pPr>
        <w:ind w:right="20" w:firstLine="885"/>
        <w:spacing w:after="0" w:line="291" w:lineRule="auto"/>
        <w:tabs>
          <w:tab w:leader="none" w:pos="1196" w:val="left"/>
        </w:tabs>
        <w:numPr>
          <w:ilvl w:val="0"/>
          <w:numId w:val="304"/>
        </w:numPr>
        <w:rPr>
          <w:rFonts w:ascii="Arial" w:cs="Arial" w:eastAsia="Arial" w:hAnsi="Arial"/>
          <w:sz w:val="16"/>
          <w:szCs w:val="16"/>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letter agreement and Exhibit A constitute the complete agreement between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contain all of the terms of your employment with the Company and supersede any prior agreements, representations or understandings (whether written, oral or implied) between you and the Company, including the Consulting Agreement.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in connection with any Dispute or any claim related to any Dispute.</w:t>
      </w:r>
    </w:p>
    <w:p>
      <w:pPr>
        <w:spacing w:after="0" w:line="164" w:lineRule="exact"/>
        <w:rPr>
          <w:rFonts w:ascii="Arial" w:cs="Arial" w:eastAsia="Arial" w:hAnsi="Arial"/>
          <w:sz w:val="16"/>
          <w:szCs w:val="16"/>
          <w:color w:val="auto"/>
        </w:rPr>
      </w:pPr>
    </w:p>
    <w:p>
      <w:pPr>
        <w:ind w:left="5200"/>
        <w:spacing w:after="0"/>
        <w:rPr>
          <w:rFonts w:ascii="Arial" w:cs="Arial" w:eastAsia="Arial" w:hAnsi="Arial"/>
          <w:sz w:val="16"/>
          <w:szCs w:val="16"/>
          <w:color w:val="auto"/>
        </w:rPr>
      </w:pPr>
      <w:r>
        <w:rPr>
          <w:rFonts w:ascii="Arial" w:cs="Arial" w:eastAsia="Arial" w:hAnsi="Arial"/>
          <w:sz w:val="18"/>
          <w:szCs w:val="18"/>
          <w:color w:val="auto"/>
        </w:rPr>
        <w:t>* * * * *</w:t>
      </w:r>
    </w:p>
    <w:p>
      <w:pPr>
        <w:sectPr>
          <w:pgSz w:w="11900" w:h="16838" w:orient="portrait"/>
          <w:cols w:equalWidth="0" w:num="1">
            <w:col w:w="11020"/>
          </w:cols>
          <w:pgMar w:left="440" w:top="273" w:right="4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December 25, 2009. As required by law, your employment with the Company is contingent upon your providing legal proof of your identity and authorization to work in the United States. Your employment is also contingent upon your starting work with the Company on January 1, 2010.</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do not hesitate to contact me.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Ted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Ted Davis, BOD Member on behalf of the Board of</w:t>
      </w:r>
    </w:p>
    <w:p>
      <w:pPr>
        <w:spacing w:after="0" w:line="3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Jeffrey W. Dunn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12.30.09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0920"/>
          </w:cols>
          <w:pgMar w:left="440" w:top="273" w:right="5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171450</wp:posOffset>
            </wp:positionV>
            <wp:extent cx="3241675" cy="3346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416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5"/>
          <w:szCs w:val="15"/>
          <w:color w:val="auto"/>
        </w:rPr>
        <w:t>OLIN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 JOSE</w:t>
      </w:r>
      <w:r>
        <w:rPr>
          <w:rFonts w:ascii="Arial" w:cs="Arial" w:eastAsia="Arial" w:hAnsi="Arial"/>
          <w:sz w:val="18"/>
          <w:szCs w:val="18"/>
          <w:color w:val="auto"/>
        </w:rPr>
        <w:t xml:space="preserve">, </w:t>
      </w:r>
      <w:r>
        <w:rPr>
          <w:rFonts w:ascii="Arial" w:cs="Arial" w:eastAsia="Arial" w:hAnsi="Arial"/>
          <w:sz w:val="15"/>
          <w:szCs w:val="15"/>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pleased to offer you the position of Director, Legal effective March 2, 2015. We believe that you will bring great value to SI-BONE Inc., and that your knowledge, skills and experience will be an asset to the Company and will offer a mutually beneficial opportunity. We are excited about you joining our team and hope that you will accept our offer.</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Director, Legal. This is a full time, exempt position. You will report directly to Bert Johnson, VP, General Counsel,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Cash Compensation. </w:t>
      </w:r>
      <w:r>
        <w:rPr>
          <w:rFonts w:ascii="Arial" w:cs="Arial" w:eastAsia="Arial" w:hAnsi="Arial"/>
          <w:sz w:val="18"/>
          <w:szCs w:val="18"/>
          <w:color w:val="auto"/>
        </w:rPr>
        <w:t>The Company will pay you a base semi-monthly salary of $7,291.67 equivalent to a yearly amount of $175,000,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SI-BONE paydays are semi-monthly. Based on your level, you will also be eligible under the 2015 Bonus Plan to receive up to an additional 20% of your base salary based on the achievement of certain corporate and individual goals. This Bonus Plan will be available to you in your first full quarter with the Company and beyond. Reasonable and customary business expenses, including the IRS mandated rate for business automobile mileage, will be reimbursed to you by the Company.</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Relocation Allowance. </w:t>
      </w:r>
      <w:r>
        <w:rPr>
          <w:rFonts w:ascii="Arial" w:cs="Arial" w:eastAsia="Arial" w:hAnsi="Arial"/>
          <w:sz w:val="18"/>
          <w:szCs w:val="18"/>
          <w:color w:val="auto"/>
        </w:rPr>
        <w:t>The Company will provide you with reasonable relocation assistance to aid in your move. The relocation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package offered will be available during the first thirty days of your employment. SI-BONE, Inc. will fund actual, reasonable and customary moving expenses (e.g. flights and shipment of household goods) that are submitted for reimbursement up to a maximum of $10,000. You must be fully relocated by April 1, 2015.</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You are also eligible to participate in the Company’s Stock Option Plan. Subject to the approval of the Company’s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be granted an initial option to purchase 65,000 shares of the Company’s Common Stock. The Board will determine the per-share exercise price when the option is granted. The option will be subject to the terms and conditions set forth in the Company’s 2008 Stock Plan and in the applicable Stock Option Agreement. You will vest in 25% of the option shares after 12 months of continuous service, and the balance will vest in equal monthly installments over the next 36 months of continuous service as described in the Stock Option Agreement.</w:t>
      </w:r>
    </w:p>
    <w:p>
      <w:pPr>
        <w:spacing w:after="0" w:line="16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As a regular employee of the Company, you will be eligible to participate in a number of Company-sponsored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Company’s Benefits Program is effective on the first day of the month following your date of hire. Human Resources will give you detailed benefits information during your New Hire Orientation.</w:t>
      </w:r>
    </w:p>
    <w:p>
      <w:pPr>
        <w:spacing w:after="0" w:line="1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Proprietary Information and Inventions Agreement. </w:t>
      </w:r>
      <w:r>
        <w:rPr>
          <w:rFonts w:ascii="Arial" w:cs="Arial" w:eastAsia="Arial" w:hAnsi="Arial"/>
          <w:sz w:val="18"/>
          <w:szCs w:val="18"/>
          <w:color w:val="auto"/>
        </w:rPr>
        <w:t>Your employment is contingent upon your agreement to the terms and signing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(“PIIA”), attached. The PIIA must be signed and returned prior to the effective date of your employment.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2" w:right="439" w:bottom="1440" w:gutter="0" w:footer="0" w:header="0"/>
        </w:sectPr>
      </w:pPr>
    </w:p>
    <w:bookmarkStart w:id="335" w:name="page336"/>
    <w:bookmarkEnd w:id="335"/>
    <w:p>
      <w:pPr>
        <w:ind w:right="22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Employment Relationship. </w:t>
      </w:r>
      <w:r>
        <w:rPr>
          <w:rFonts w:ascii="Arial" w:cs="Arial" w:eastAsia="Arial" w:hAnsi="Arial"/>
          <w:sz w:val="16"/>
          <w:szCs w:val="16"/>
          <w:color w:val="auto"/>
        </w:rPr>
        <w:t>Please keep in mind that your employment with SI-BONE is at-will. This means that you are free to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SI-BONE at any time, with or without cause or advance notice. Likewise, SI-BONE has the right to terminate your employment, or otherwise discipline, transfer or demote you at any time, with or without cause, and with or without notice. No one other than the Company CEO or CFO can alter this at-will arrangement and any such agreement must be in writing and must be signed by you and either the CEO or CFO.</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Employment Eligibility Verification. </w:t>
      </w:r>
      <w:r>
        <w:rPr>
          <w:rFonts w:ascii="Arial" w:cs="Arial" w:eastAsia="Arial" w:hAnsi="Arial"/>
          <w:sz w:val="16"/>
          <w:szCs w:val="16"/>
          <w:color w:val="auto"/>
        </w:rPr>
        <w:t>Pursuant to the Immigration and Nationality Act, the Company is required to verify the identity and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hire date. To verify your identity, we have enclosed a list of acceptable documents for the 1-9 which you will complete at the New Hire Orientation. Please note that you will need to bring either</w:t>
      </w:r>
    </w:p>
    <w:p>
      <w:pPr>
        <w:spacing w:after="0" w:line="2" w:lineRule="exact"/>
        <w:rPr>
          <w:sz w:val="20"/>
          <w:szCs w:val="20"/>
          <w:color w:val="auto"/>
        </w:rPr>
      </w:pPr>
    </w:p>
    <w:p>
      <w:pPr>
        <w:ind w:right="20" w:firstLine="4"/>
        <w:spacing w:after="0" w:line="261" w:lineRule="auto"/>
        <w:tabs>
          <w:tab w:leader="none" w:pos="21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one document from List A or (ii) one document from List B and one document from List C. If you anticipate having difficulty producing the required documents, please contact the Human Resources department at (408) 207-0700.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To accept this offer, please sign in the space provided below, and return the signed letter to me by close of business on Friday, February 20, 2015.</w:t>
      </w:r>
    </w:p>
    <w:p>
      <w:pPr>
        <w:spacing w:after="0" w:line="24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This employment offer is also contingent upon your starting work with the Company on March 2, 2015, the completion of an application for employment, satisfactory references and background checks.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Agape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Human Resources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0" w:right="45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3241675" cy="3346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416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5"/>
          <w:szCs w:val="15"/>
          <w:color w:val="auto"/>
        </w:rPr>
        <w:t>OLIN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 JOSE</w:t>
      </w:r>
      <w:r>
        <w:rPr>
          <w:rFonts w:ascii="Arial" w:cs="Arial" w:eastAsia="Arial" w:hAnsi="Arial"/>
          <w:sz w:val="18"/>
          <w:szCs w:val="18"/>
          <w:color w:val="auto"/>
        </w:rPr>
        <w:t xml:space="preserve">, </w:t>
      </w:r>
      <w:r>
        <w:rPr>
          <w:rFonts w:ascii="Arial" w:cs="Arial" w:eastAsia="Arial" w:hAnsi="Arial"/>
          <w:sz w:val="15"/>
          <w:szCs w:val="15"/>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Change of Terms and Conditions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pleased to offer you the position of Vice President of Legal, Corporate Secretary and General Counsel with SI-BONE, Inc. (“SI-BONE” or “the Company”) starting August 1, 2016. In this role, you will report directly to Laura Francis, Chief Financial Officer. As of August 1, 2016, the Company will pay you a semi-monthly base salary of $9,375.00, equivalent to a yearly base of $225,000, subject to applicable withholdings. You will also be eligible to receive up to an additional 30% of your base salary under the Company’s 2016 Bonus Plan (“the Bonus Plan”) based upon the achievement of certain corporate and individual goals in accordance with the terms and conditions of the Bonus Plan.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approval of the Company’s Board of Directors at its next meeting, you will be granted an option to purchase an additional 635,030 shares</w:t>
      </w:r>
      <w:r>
        <w:rPr>
          <w:rFonts w:ascii="Arial" w:cs="Arial" w:eastAsia="Arial" w:hAnsi="Arial"/>
          <w:sz w:val="15"/>
          <w:szCs w:val="15"/>
          <w:color w:val="auto"/>
        </w:rPr>
        <w:t>1</w:t>
      </w:r>
      <w:r>
        <w:rPr>
          <w:rFonts w:ascii="Arial" w:cs="Arial" w:eastAsia="Arial" w:hAnsi="Arial"/>
          <w:sz w:val="18"/>
          <w:szCs w:val="18"/>
          <w:color w:val="auto"/>
        </w:rPr>
        <w:t xml:space="preserve"> of the Company’s Common Stock with an exercise price equal to the fair market value of our Common Stock on the date of grant as determined by the Board of Directors. The shares will vest in equal monthly installments over the 48 months following the date of grant. The option will be subject to the terms and conditions set forth in our 2008 Stock Option Plan and the applicable Stock Option Agreement. In addition, we will recommend to the Company’s Board of Directors that all shares subject to options held by you will include provisions permitting early exercise, including amendment of prior option grants to the extent necessary.</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Your employment with SI-BONE remains at-will. This means that you are free to terminate your employment with SI-BONE at any time, with or without cause or advance notice. Likewise, SI-BONE has the right to terminate your employment, or otherwise discipline, transfer or demote you at any time, with or without cause, and with or without notice. No one other than the Company’s CEO can alter this at-will arrangement and any such agreement must be in writing and must be signed by you and the CEO.</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Notwithstanding the foregoing, and without any impact upon the at-will nature of your employment, you will be eligible to receive the severance benefits outlined on Exhibit A to this letter.</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as is expressly set forth in this letter, the remainder of the terms and conditions of your employment, including those outlined in the offer letter between you and the Company dated February 19, 2015 and the mutual covenants set forth in the Proprietary Information and Inventions Agreement between you and the Company that you signed on February 19, 2015 will remain in full force and effect. To acknowledge receipt and acceptance of this letter and Exhibit A, please sign and date both documents and return them to me on or before June 22,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having you undertake this role, which we hope you will find enjoyable and professionally rewarding.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right="200" w:firstLine="4"/>
        <w:spacing w:after="0" w:line="277" w:lineRule="auto"/>
        <w:tabs>
          <w:tab w:leader="none" w:pos="121" w:val="left"/>
        </w:tabs>
        <w:numPr>
          <w:ilvl w:val="0"/>
          <w:numId w:val="306"/>
        </w:numPr>
        <w:rPr>
          <w:rFonts w:ascii="Arial" w:cs="Arial" w:eastAsia="Arial" w:hAnsi="Arial"/>
          <w:sz w:val="15"/>
          <w:szCs w:val="15"/>
          <w:color w:val="auto"/>
        </w:rPr>
      </w:pPr>
      <w:r>
        <w:rPr>
          <w:rFonts w:ascii="Arial" w:cs="Arial" w:eastAsia="Arial" w:hAnsi="Arial"/>
          <w:sz w:val="18"/>
          <w:szCs w:val="18"/>
          <w:color w:val="auto"/>
        </w:rPr>
        <w:t>This number of option shares includes the option shares you would have otherwise been eligible to receive in connection with the Series 7 employee refresh grants.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have any questions, please let me know.</w:t>
      </w:r>
    </w:p>
    <w:p>
      <w:pPr>
        <w:spacing w:after="0" w:line="3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4"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Francis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7"/>
          <w:szCs w:val="17"/>
          <w:color w:val="auto"/>
        </w:rPr>
        <w:t>Title: Chief Financial Officer</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the terms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Michael Andrew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019"/>
          </w:cols>
          <w:pgMar w:left="440" w:top="273" w:right="1440" w:bottom="1440" w:gutter="0" w:footer="0" w:header="0"/>
        </w:sectPr>
      </w:pPr>
    </w:p>
    <w:bookmarkStart w:id="338" w:name="page339"/>
    <w:bookmarkEnd w:id="33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exhibit contains terms and conditions pertaining to separation payments and benefits that SI-BONE, Inc. (“the Company”) is offering to you.</w:t>
      </w:r>
    </w:p>
    <w:p>
      <w:pPr>
        <w:spacing w:after="0" w:line="260" w:lineRule="exact"/>
        <w:rPr>
          <w:sz w:val="20"/>
          <w:szCs w:val="20"/>
          <w:color w:val="auto"/>
        </w:rPr>
      </w:pPr>
    </w:p>
    <w:p>
      <w:pPr>
        <w:ind w:left="860" w:right="240" w:hanging="424"/>
        <w:spacing w:after="0" w:line="266" w:lineRule="auto"/>
        <w:tabs>
          <w:tab w:leader="none" w:pos="86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lump-sum payment in the amount of $1,900.00.</w:t>
      </w:r>
    </w:p>
    <w:p>
      <w:pPr>
        <w:spacing w:after="0" w:line="248" w:lineRule="exact"/>
        <w:rPr>
          <w:rFonts w:ascii="Arial" w:cs="Arial" w:eastAsia="Arial" w:hAnsi="Arial"/>
          <w:sz w:val="18"/>
          <w:szCs w:val="18"/>
          <w:color w:val="auto"/>
        </w:rPr>
      </w:pPr>
    </w:p>
    <w:p>
      <w:pPr>
        <w:ind w:left="860" w:right="120" w:hanging="424"/>
        <w:spacing w:after="0" w:line="293" w:lineRule="auto"/>
        <w:tabs>
          <w:tab w:leader="none" w:pos="860" w:val="left"/>
        </w:tabs>
        <w:numPr>
          <w:ilvl w:val="0"/>
          <w:numId w:val="307"/>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Cause or if you resign your employment for Good Reason either three</w:t>
      </w:r>
    </w:p>
    <w:p>
      <w:pPr>
        <w:spacing w:after="0" w:line="1" w:lineRule="exact"/>
        <w:rPr>
          <w:rFonts w:ascii="Arial" w:cs="Arial" w:eastAsia="Arial" w:hAnsi="Arial"/>
          <w:sz w:val="16"/>
          <w:szCs w:val="16"/>
          <w:color w:val="auto"/>
        </w:rPr>
      </w:pPr>
    </w:p>
    <w:p>
      <w:pPr>
        <w:ind w:left="860" w:right="540" w:firstLine="8"/>
        <w:spacing w:after="0" w:line="323" w:lineRule="auto"/>
        <w:tabs>
          <w:tab w:leader="none" w:pos="1115" w:val="left"/>
        </w:tabs>
        <w:numPr>
          <w:ilvl w:val="1"/>
          <w:numId w:val="307"/>
        </w:numPr>
        <w:rPr>
          <w:rFonts w:ascii="Arial" w:cs="Arial" w:eastAsia="Arial" w:hAnsi="Arial"/>
          <w:sz w:val="16"/>
          <w:szCs w:val="16"/>
          <w:color w:val="auto"/>
        </w:rPr>
      </w:pPr>
      <w:r>
        <w:rPr>
          <w:rFonts w:ascii="Arial" w:cs="Arial" w:eastAsia="Arial" w:hAnsi="Arial"/>
          <w:sz w:val="16"/>
          <w:szCs w:val="16"/>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44" w:lineRule="exact"/>
        <w:rPr>
          <w:rFonts w:ascii="Arial" w:cs="Arial" w:eastAsia="Arial" w:hAnsi="Arial"/>
          <w:sz w:val="16"/>
          <w:szCs w:val="16"/>
          <w:color w:val="auto"/>
        </w:rPr>
      </w:pPr>
    </w:p>
    <w:p>
      <w:pPr>
        <w:ind w:left="1860" w:hanging="425"/>
        <w:spacing w:after="0"/>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lump-sum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lump-sum payment in the amount of $3,700.00;</w:t>
      </w:r>
    </w:p>
    <w:p>
      <w:pPr>
        <w:spacing w:after="0" w:line="130" w:lineRule="exact"/>
        <w:rPr>
          <w:rFonts w:ascii="Arial" w:cs="Arial" w:eastAsia="Arial" w:hAnsi="Arial"/>
          <w:sz w:val="18"/>
          <w:szCs w:val="18"/>
          <w:color w:val="auto"/>
        </w:rPr>
      </w:pPr>
    </w:p>
    <w:p>
      <w:pPr>
        <w:ind w:left="1860" w:right="260" w:hanging="425"/>
        <w:spacing w:after="0" w:line="277" w:lineRule="auto"/>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248" w:lineRule="exact"/>
        <w:rPr>
          <w:rFonts w:ascii="Arial" w:cs="Arial" w:eastAsia="Arial" w:hAnsi="Arial"/>
          <w:sz w:val="18"/>
          <w:szCs w:val="18"/>
          <w:color w:val="auto"/>
        </w:rPr>
      </w:pPr>
    </w:p>
    <w:p>
      <w:pPr>
        <w:ind w:left="860" w:hanging="424"/>
        <w:spacing w:after="0"/>
        <w:tabs>
          <w:tab w:leader="none" w:pos="86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apply to this Exhibit A:</w:t>
      </w:r>
    </w:p>
    <w:p>
      <w:pPr>
        <w:spacing w:after="0" w:line="134" w:lineRule="exact"/>
        <w:rPr>
          <w:rFonts w:ascii="Arial" w:cs="Arial" w:eastAsia="Arial" w:hAnsi="Arial"/>
          <w:sz w:val="18"/>
          <w:szCs w:val="18"/>
          <w:color w:val="auto"/>
        </w:rPr>
      </w:pPr>
    </w:p>
    <w:p>
      <w:pPr>
        <w:ind w:left="1860" w:hanging="425"/>
        <w:spacing w:after="0" w:line="272" w:lineRule="auto"/>
        <w:tabs>
          <w:tab w:leader="none" w:pos="1860" w:val="left"/>
        </w:tabs>
        <w:numPr>
          <w:ilvl w:val="2"/>
          <w:numId w:val="307"/>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860" w:right="20" w:hanging="425"/>
        <w:spacing w:after="0" w:line="255" w:lineRule="auto"/>
        <w:tabs>
          <w:tab w:leader="none" w:pos="1860" w:val="left"/>
        </w:tabs>
        <w:numPr>
          <w:ilvl w:val="2"/>
          <w:numId w:val="307"/>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3" w:right="459" w:bottom="1440" w:gutter="0" w:footer="0" w:header="0"/>
        </w:sectPr>
      </w:pPr>
    </w:p>
    <w:bookmarkStart w:id="339" w:name="page340"/>
    <w:bookmarkEnd w:id="339"/>
    <w:p>
      <w:pPr>
        <w:ind w:left="1424" w:right="20" w:hanging="425"/>
        <w:spacing w:after="0" w:line="276" w:lineRule="auto"/>
        <w:tabs>
          <w:tab w:leader="none" w:pos="1424"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195" w:lineRule="exact"/>
        <w:rPr>
          <w:rFonts w:ascii="Arial" w:cs="Arial" w:eastAsia="Arial" w:hAnsi="Arial"/>
          <w:sz w:val="17"/>
          <w:szCs w:val="17"/>
          <w:color w:val="auto"/>
        </w:rPr>
      </w:pPr>
    </w:p>
    <w:p>
      <w:pPr>
        <w:ind w:left="424" w:hanging="424"/>
        <w:spacing w:after="0" w:line="295" w:lineRule="auto"/>
        <w:tabs>
          <w:tab w:leader="none" w:pos="424" w:val="left"/>
        </w:tabs>
        <w:numPr>
          <w:ilvl w:val="0"/>
          <w:numId w:val="309"/>
        </w:numPr>
        <w:rPr>
          <w:rFonts w:ascii="Arial" w:cs="Arial" w:eastAsia="Arial" w:hAnsi="Arial"/>
          <w:sz w:val="16"/>
          <w:szCs w:val="16"/>
          <w:color w:val="auto"/>
        </w:rPr>
      </w:pPr>
      <w:r>
        <w:rPr>
          <w:rFonts w:ascii="Arial" w:cs="Arial" w:eastAsia="Arial" w:hAnsi="Arial"/>
          <w:sz w:val="16"/>
          <w:szCs w:val="16"/>
          <w:b w:val="1"/>
          <w:bCs w:val="1"/>
          <w:color w:val="auto"/>
        </w:rPr>
        <w:t>Contingencies for Receipt of Separation Payment(s)</w:t>
      </w:r>
      <w:r>
        <w:rPr>
          <w:rFonts w:ascii="Arial" w:cs="Arial" w:eastAsia="Arial" w:hAnsi="Arial"/>
          <w:sz w:val="16"/>
          <w:szCs w:val="16"/>
          <w:color w:val="auto"/>
        </w:rPr>
        <w:t>. Your receipt of the Severance Benefits or the Change in Control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182" w:lineRule="exact"/>
        <w:rPr>
          <w:rFonts w:ascii="Arial" w:cs="Arial" w:eastAsia="Arial" w:hAnsi="Arial"/>
          <w:sz w:val="16"/>
          <w:szCs w:val="16"/>
          <w:color w:val="auto"/>
        </w:rPr>
      </w:pPr>
    </w:p>
    <w:p>
      <w:pPr>
        <w:ind w:left="424" w:hanging="424"/>
        <w:spacing w:after="0"/>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All benefits referred to in this Exhibit will be subject to applicable tax withholding and deductions.</w:t>
      </w:r>
    </w:p>
    <w:p>
      <w:pPr>
        <w:spacing w:after="0" w:line="130" w:lineRule="exact"/>
        <w:rPr>
          <w:rFonts w:ascii="Arial" w:cs="Arial" w:eastAsia="Arial" w:hAnsi="Arial"/>
          <w:sz w:val="18"/>
          <w:szCs w:val="18"/>
          <w:color w:val="auto"/>
        </w:rPr>
      </w:pPr>
    </w:p>
    <w:p>
      <w:pPr>
        <w:ind w:left="1424" w:hanging="425"/>
        <w:spacing w:after="0" w:line="276" w:lineRule="auto"/>
        <w:tabs>
          <w:tab w:leader="none" w:pos="1424"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xml:space="preserve">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60" w:hanging="425"/>
        <w:spacing w:after="0" w:line="257" w:lineRule="auto"/>
        <w:tabs>
          <w:tab w:leader="none" w:pos="1424"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424" w:right="140" w:hanging="425"/>
        <w:spacing w:after="0" w:line="342" w:lineRule="auto"/>
        <w:tabs>
          <w:tab w:leader="none" w:pos="1424"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xml:space="preserve"> Notwithstanding the foregoing, by your signature below you agree and acknowledge that the Company does not have a duty to tender to you tax advice and has no duty to design compensation policies to minimize your tax liabilities.</w:t>
      </w:r>
    </w:p>
    <w:p>
      <w:pPr>
        <w:spacing w:after="0" w:line="146" w:lineRule="exact"/>
        <w:rPr>
          <w:rFonts w:ascii="Arial" w:cs="Arial" w:eastAsia="Arial" w:hAnsi="Arial"/>
          <w:sz w:val="16"/>
          <w:szCs w:val="16"/>
          <w:color w:val="auto"/>
        </w:rPr>
      </w:pPr>
    </w:p>
    <w:p>
      <w:pPr>
        <w:ind w:left="424" w:right="260" w:hanging="424"/>
        <w:spacing w:after="0" w:line="282"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188" w:lineRule="exact"/>
        <w:rPr>
          <w:rFonts w:ascii="Arial" w:cs="Arial" w:eastAsia="Arial" w:hAnsi="Arial"/>
          <w:sz w:val="18"/>
          <w:szCs w:val="18"/>
          <w:color w:val="auto"/>
        </w:rPr>
      </w:pPr>
    </w:p>
    <w:p>
      <w:pPr>
        <w:ind w:left="424" w:hanging="424"/>
        <w:spacing w:after="0" w:line="258"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Exhibit A expressly supersedes and replaces any prior agreements, representations or understandings, written or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between you and the Company as to the subject matter herein. This Exhibit A may only be modified or amended in a writing signed by both you and a duly-authorized Company officer or member of the Board of Directors. This Exhibit A will bind the heirs, personal representatives, successors and assigns of both you and the Company, and will inure to the benefit of both you and the Company, and your/its heirs, successors and assigns.</w:t>
      </w:r>
    </w:p>
    <w:p>
      <w:pPr>
        <w:sectPr>
          <w:pgSz w:w="11900" w:h="16838" w:orient="portrait"/>
          <w:cols w:equalWidth="0" w:num="1">
            <w:col w:w="10544"/>
          </w:cols>
          <w:pgMar w:left="876" w:top="274" w:right="479" w:bottom="1440" w:gutter="0" w:footer="0" w:header="0"/>
        </w:sectPr>
      </w:pPr>
    </w:p>
    <w:bookmarkStart w:id="340" w:name="page341"/>
    <w:bookmarkEnd w:id="340"/>
    <w:p>
      <w:pPr>
        <w:ind w:left="8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provision of this Exhibit A is determined to be invalid or unenforceable, in whole or in part, this determination will not affect any other provision of this agreement and the provision in question will be modified to be rendered 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 signify your acceptance of these terms and conditions, please sign and return a copy of this Exhibit A to me on or before June 22,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1706880" cy="523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0688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Pisetsky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 Signed:</w:t>
      </w:r>
      <w:r>
        <w:rPr>
          <w:sz w:val="20"/>
          <w:szCs w:val="20"/>
          <w:color w:val="auto"/>
        </w:rPr>
        <w:tab/>
      </w:r>
      <w:r>
        <w:rPr>
          <w:rFonts w:ascii="Arial" w:cs="Arial" w:eastAsia="Arial" w:hAnsi="Arial"/>
          <w:sz w:val="15"/>
          <w:szCs w:val="15"/>
          <w:color w:val="auto"/>
        </w:rPr>
        <w:t>June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14605</wp:posOffset>
            </wp:positionV>
            <wp:extent cx="21012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0680"/>
          </w:cols>
          <w:pgMar w:left="440" w:top="274" w:right="77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172085</wp:posOffset>
            </wp:positionV>
            <wp:extent cx="2975610" cy="2489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9756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3055 O</w:t>
      </w:r>
      <w:r>
        <w:rPr>
          <w:rFonts w:ascii="Arial" w:cs="Arial" w:eastAsia="Arial" w:hAnsi="Arial"/>
          <w:sz w:val="15"/>
          <w:szCs w:val="15"/>
          <w:color w:val="auto"/>
        </w:rPr>
        <w:t>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 JOSE</w:t>
      </w:r>
      <w:r>
        <w:rPr>
          <w:rFonts w:ascii="Arial" w:cs="Arial" w:eastAsia="Arial" w:hAnsi="Arial"/>
          <w:sz w:val="18"/>
          <w:szCs w:val="18"/>
          <w:color w:val="auto"/>
        </w:rPr>
        <w:t xml:space="preserve">, </w:t>
      </w:r>
      <w:r>
        <w:rPr>
          <w:rFonts w:ascii="Arial" w:cs="Arial" w:eastAsia="Arial" w:hAnsi="Arial"/>
          <w:sz w:val="15"/>
          <w:szCs w:val="15"/>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pleased to offer you the position of Chief Financial Officer effective May 26, 2015. We believe that you will bring great value to SI-BONE Inc., and that your knowledge, skills and experience will be an asset to the Company and will offer a mutually beneficial opportunity. We are excited about you joining our team and hope that you will accept our offer.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title will be Chief Financial Officer. This is a full time, exempt position. You will report directly to Jeff Dunn, President and CEO.</w:t>
      </w:r>
    </w:p>
    <w:p>
      <w:pPr>
        <w:spacing w:after="0" w:line="23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base semi-monthly salary of $12,083.34, equivalent to a yearly amount of $290,000,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This salary will be subject to adjustment pursuant to the Company’s employee compensation policies in effect from time to time. SI-BONE paydays are semi-monthly. Based on your level, you will be also be eligible under the 2015 Bonus Plan to receive up to an additional 35% of your base salary based on the achievement of certain corporate and individual goals. This Bonus Plan is available to you in your first full quarter with the Company and beyond.</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You are also eligible to participate in the Company’s Stock Option Plan. Subject to the approval of the Company’s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granted an option to purchase a number of shares of the Company’s Common Stock equal to 1.25% of the Company’s fully diluted capitalization as of your first day of employment. The Board will determine the per-share exercise price when the option is granted. The option will be subject to the terms and conditions set forth in the Company’s 2008 Stock Plan and in the applicable Stock Option Agreement. You will vest in 25% of the option shares after 12 months of continuous service, and the balance will vest in equal monthly installments over the next 36 months of continuous service, as described in the Stock Option Agreement. You will vest in 50% of the remaining unvested option shares if (a) the Company is subject to a Change in Control before your service with the Company terminates and (b) you are subject to an Involuntary Termination within 12 months after that Change in Control.</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purposes of this letter, Change in Control is defined as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7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For purposes of this letter, Involuntary Termination is defined as the termination of your service by reason of: (i) your involuntary discharge by the Company (or the parent or subsidiary employing you) for reasons other than Cause (as defined under “Severance Benefits” below); or (ii) your voluntary resignation for Good Reason.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purposes of this letter, Good Reason is defined as your resignation within 12 months after one of the following conditions has come into existence without your consent: (i) a reduction in your base salary by more than 10%; (ii) a material diminution of your authority, duties or responsibilities; or (iii) a relocation of your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42" w:name="page343"/>
    <w:bookmarkEnd w:id="342"/>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workplace by more than 30 miles. A condition shall not be considered “Good Reason” unless you give the Company written notice of such condition within 90 days after such condition comes into existence and the Company fails to remedy such condition within 30 days after receiving your written notice.</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In the event that you experience a Separation as a result of a termination of your employment by the Company for any reason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for Cause, and provided that you (i) have returned all Company property in your possession and (ii) have executed a general release of all claims that you may have against the Company or persons affiliated with the Company, in the form prescribed by the Company then the Company will tender to you a lump-sum payment equal to three months of your then-current base salary, less tax withholding. Such payment will be made to you within 60 days after your Separation, but only if you have returned the release on or before the date specified in such release (which will in no event be later than 50 days after your Separation) and the release has become effective; however, if such 60-day period spans two calendar years, then the payment will be made in the second calendar year. For the purposes of this letter, Cause is defined as: (a) acts or omissions constituting gross negligence, recklessness or willful misconduct on your part with respect to your obligations or otherwise relating to Company business; (b) your material breach of this Agreement or the Company’s Proprietary Information and Inventions Agreement (c) your conviction of entry of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fraud, misappropriation or embezzlement, or any felony or crime of moral turpitude; (d) your willful neglect of duties as determined in the sale and exclusive discretion of the Company’s CEO or Board of Directors; (e) your failure to perform the essential functions of your position, with or without a reasonable accommodation, due to a mental or physical disability; or (f) your death. For purposes of this letter, Separation is defined as a “separation from service,” as defined in the regulations under Section 409A of the Internal Revenue Code of 1986, as amended (the “Code”). If the Company determines that you are a “specified employee” under Section 409A(a)(2)(B)(i) of the Code at the time of your Separation, then (i) the severance payment under this paragraph, to the extent that it is subject to Section 409A of the Code, will be paid on the first business day following (A) expiration of the six-month period measured from your Separation or (B) the date of your death.</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Company’s Benefits Program is effective on the first day of the month following your date of hire. Human Resources will give you detailed benefits information during your New Hire Orientation.</w:t>
      </w:r>
    </w:p>
    <w:p>
      <w:pPr>
        <w:spacing w:after="0" w:line="17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Your employment is contingent upon your agreement to the terms and signing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(“PIIA”), attached. The PIIA must be signed and returned prior to the effective date of your employment.</w:t>
      </w:r>
    </w:p>
    <w:p>
      <w:pPr>
        <w:spacing w:after="0" w:line="17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Please keep in mind that your employment with SI-BONE is at-will. This means that you are free to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SI-BONE at any time, with or without cause or advance notice. Likewise, SI-BONE has the right to terminate your employment, or otherwise discipline, transfer or demote you at any time, with or without cause, and with or without notice. This is the full and complete agreement between you and the Company on this term, and any contrary representations that may have been made to you are superseded by this letter. No one other than the Company CEO can alter this at-will arrangement and any such agreement must be in writing and must be signed by you and the CEO.</w:t>
      </w:r>
    </w:p>
    <w:p>
      <w:pPr>
        <w:spacing w:after="0" w:line="154"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 All forms of compensation referred to in this letter are subject to reduction to reflect applicable withholding and payroll taxes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While you render services to the Company, you will not engage in any other employment, consulting or other business activity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full-time or part-time) that would create a conflict of interest with the Company. By signing this letter, you confirm to the Company that you have no contractual commitments or other legal obligations that would prohibit you from performing your duties for the Company. This letter and the PIIA supersede and replace any prior agreements, representations or understandings (whether written, oral,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3" w:right="439" w:bottom="1440" w:gutter="0" w:footer="0" w:header="0"/>
        </w:sectPr>
      </w:pPr>
    </w:p>
    <w:bookmarkStart w:id="343" w:name="page344"/>
    <w:bookmarkEnd w:id="34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California in connection with any Dispute or any claim related to any Dispute.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Employment Eligibility Verification</w:t>
      </w:r>
      <w:r>
        <w:rPr>
          <w:rFonts w:ascii="Arial" w:cs="Arial" w:eastAsia="Arial" w:hAnsi="Arial"/>
          <w:sz w:val="16"/>
          <w:szCs w:val="16"/>
          <w:color w:val="auto"/>
        </w:rPr>
        <w:t>. Pursuant to the immigration and Nationality Act, the Company is required to verify the identity and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hire date. To verify your identity, we have enclosed a list of acceptable documents for the I-9 which you will complete at the New Hire Orientation. Please note that you will need to bring either</w:t>
      </w:r>
    </w:p>
    <w:p>
      <w:pPr>
        <w:spacing w:after="0" w:line="2" w:lineRule="exact"/>
        <w:rPr>
          <w:sz w:val="20"/>
          <w:szCs w:val="20"/>
          <w:color w:val="auto"/>
        </w:rPr>
      </w:pPr>
    </w:p>
    <w:p>
      <w:pPr>
        <w:ind w:right="40" w:firstLine="4"/>
        <w:spacing w:after="0" w:line="261" w:lineRule="auto"/>
        <w:tabs>
          <w:tab w:leader="none" w:pos="21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one document from List A or (ii) one document from List B and one document from List C. If you anticipate having difficulty producing the required documents, please contact the Human Resources department at (408) 207-0700.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accept this offer, please sign in the space provided below, and return the signed letter to me by close of business on April 30, 2015.</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employment offer is also contingent upon your starting work with the Company on May 26, 2015, and the completion of an application for employment, satisfactory references and background checks.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 W. Dunn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CEO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4/28/15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20"/>
          </w:cols>
          <w:pgMar w:left="440" w:top="273" w:right="4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Laura 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letter contains terms and conditions pertaining to separation payments and benefits that SI-BONE, Inc. (“the Company”) is offering to you.</w:t>
      </w:r>
    </w:p>
    <w:p>
      <w:pPr>
        <w:spacing w:after="0" w:line="150" w:lineRule="exact"/>
        <w:rPr>
          <w:sz w:val="20"/>
          <w:szCs w:val="20"/>
          <w:color w:val="auto"/>
        </w:rPr>
      </w:pPr>
    </w:p>
    <w:p>
      <w:pPr>
        <w:ind w:left="860" w:right="280" w:hanging="424"/>
        <w:spacing w:after="0" w:line="266" w:lineRule="auto"/>
        <w:tabs>
          <w:tab w:leader="none" w:pos="860"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that the Company terminates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jc w:val="both"/>
        <w:ind w:left="860" w:right="240" w:hanging="424"/>
        <w:spacing w:after="0" w:line="303" w:lineRule="auto"/>
        <w:tabs>
          <w:tab w:leader="none" w:pos="860" w:val="left"/>
        </w:tabs>
        <w:numPr>
          <w:ilvl w:val="0"/>
          <w:numId w:val="311"/>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for Cause or if you resign your employment for Good Reason either three (3) 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0" w:lineRule="exact"/>
        <w:rPr>
          <w:rFonts w:ascii="Arial" w:cs="Arial" w:eastAsia="Arial" w:hAnsi="Arial"/>
          <w:sz w:val="16"/>
          <w:szCs w:val="16"/>
          <w:color w:val="auto"/>
        </w:rPr>
      </w:pPr>
    </w:p>
    <w:p>
      <w:pPr>
        <w:ind w:left="1860" w:hanging="425"/>
        <w:spacing w:after="0"/>
        <w:tabs>
          <w:tab w:leader="none" w:pos="1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5" w:name="page346"/>
    <w:bookmarkEnd w:id="345"/>
    <w:p>
      <w:pPr>
        <w:ind w:left="424" w:hanging="424"/>
        <w:spacing w:after="0"/>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color w:val="auto"/>
        </w:rPr>
        <w:t>. The following definitions apply to this letter agreement:</w:t>
      </w:r>
    </w:p>
    <w:p>
      <w:pPr>
        <w:spacing w:after="0" w:line="134" w:lineRule="exact"/>
        <w:rPr>
          <w:rFonts w:ascii="Arial" w:cs="Arial" w:eastAsia="Arial" w:hAnsi="Arial"/>
          <w:sz w:val="18"/>
          <w:szCs w:val="18"/>
          <w:color w:val="auto"/>
        </w:rPr>
      </w:pPr>
    </w:p>
    <w:p>
      <w:pPr>
        <w:ind w:left="1424" w:right="20" w:hanging="425"/>
        <w:spacing w:after="0" w:line="272" w:lineRule="auto"/>
        <w:tabs>
          <w:tab w:leader="none" w:pos="1424"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424" w:hanging="425"/>
        <w:spacing w:after="0" w:line="255" w:lineRule="auto"/>
        <w:tabs>
          <w:tab w:leader="none" w:pos="1424"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(1)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nolo contendere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424" w:right="60" w:hanging="425"/>
        <w:spacing w:after="0" w:line="276" w:lineRule="auto"/>
        <w:tabs>
          <w:tab w:leader="none" w:pos="1424"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424" w:right="40" w:hanging="424"/>
        <w:spacing w:after="0" w:line="258" w:lineRule="auto"/>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0" w:right="439" w:bottom="1440" w:gutter="0" w:footer="0" w:header="0"/>
        </w:sectPr>
      </w:pPr>
    </w:p>
    <w:bookmarkStart w:id="346" w:name="page347"/>
    <w:bookmarkEnd w:id="346"/>
    <w:p>
      <w:pPr>
        <w:ind w:left="44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your employment set forth in that agreement; and (d) your execution and non-revocation of a standard form release of claims against the Company in a form proscribed by the Company.</w:t>
      </w:r>
    </w:p>
    <w:p>
      <w:pPr>
        <w:spacing w:after="0" w:line="315" w:lineRule="exact"/>
        <w:rPr>
          <w:sz w:val="20"/>
          <w:szCs w:val="20"/>
          <w:color w:val="auto"/>
        </w:rPr>
      </w:pPr>
    </w:p>
    <w:p>
      <w:pPr>
        <w:ind w:left="424" w:hanging="424"/>
        <w:spacing w:after="0"/>
        <w:tabs>
          <w:tab w:leader="none" w:pos="424"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24" w:hanging="425"/>
        <w:spacing w:after="0" w:line="276" w:lineRule="auto"/>
        <w:tabs>
          <w:tab w:leader="none" w:pos="1424" w:val="left"/>
        </w:tabs>
        <w:numPr>
          <w:ilvl w:val="1"/>
          <w:numId w:val="313"/>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60" w:hanging="425"/>
        <w:spacing w:after="0" w:line="257" w:lineRule="auto"/>
        <w:tabs>
          <w:tab w:leader="none" w:pos="1424"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424" w:right="140" w:hanging="425"/>
        <w:spacing w:after="0" w:line="342" w:lineRule="auto"/>
        <w:tabs>
          <w:tab w:leader="none" w:pos="1424"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424" w:right="260" w:hanging="424"/>
        <w:spacing w:after="0" w:line="282" w:lineRule="auto"/>
        <w:tabs>
          <w:tab w:leader="none" w:pos="424"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424" w:right="20" w:hanging="424"/>
        <w:spacing w:after="0" w:line="295" w:lineRule="auto"/>
        <w:tabs>
          <w:tab w:leader="none" w:pos="424" w:val="left"/>
        </w:tabs>
        <w:numPr>
          <w:ilvl w:val="0"/>
          <w:numId w:val="313"/>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letter agreement expressly supersedes and replaces any prior agreements, representations or understandings, written or</w:t>
      </w:r>
      <w:r>
        <w:rPr>
          <w:rFonts w:ascii="Arial" w:cs="Arial" w:eastAsia="Arial" w:hAnsi="Arial"/>
          <w:sz w:val="16"/>
          <w:szCs w:val="16"/>
          <w:b w:val="1"/>
          <w:bCs w:val="1"/>
          <w:color w:val="auto"/>
        </w:rPr>
        <w:t xml:space="preserve"> </w:t>
      </w:r>
      <w:r>
        <w:rPr>
          <w:rFonts w:ascii="Arial" w:cs="Arial" w:eastAsia="Arial" w:hAnsi="Arial"/>
          <w:sz w:val="16"/>
          <w:szCs w:val="16"/>
          <w:color w:val="auto"/>
        </w:rPr>
        <w:t>oral or express or implied, between you and the Company as to the subject matter herein, including without limitation the Offer Letter dated April 27, 2015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 representatives, successors and assigns of both you and the Company, and will inure to the benefit of both you and the Company, and</w:t>
      </w:r>
    </w:p>
    <w:p>
      <w:pPr>
        <w:spacing w:after="0" w:line="9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4" w:right="479" w:bottom="1440" w:gutter="0" w:footer="0" w:header="0"/>
        </w:sectPr>
      </w:pPr>
    </w:p>
    <w:bookmarkStart w:id="347" w:name="page348"/>
    <w:bookmarkEnd w:id="347"/>
    <w:p>
      <w:pPr>
        <w:jc w:val="both"/>
        <w:ind w:left="8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Laura A.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3/16/16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440" w:top="273" w:right="6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95128</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Amendment and Restatement of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Reference is made to that certain Letter Agreement (the “</w:t>
      </w:r>
      <w:r>
        <w:rPr>
          <w:rFonts w:ascii="Arial" w:cs="Arial" w:eastAsia="Arial" w:hAnsi="Arial"/>
          <w:sz w:val="18"/>
          <w:szCs w:val="18"/>
          <w:u w:val="single" w:color="auto"/>
          <w:color w:val="auto"/>
        </w:rPr>
        <w:t>Previous Letter Agreement</w:t>
      </w:r>
      <w:r>
        <w:rPr>
          <w:rFonts w:ascii="Arial" w:cs="Arial" w:eastAsia="Arial" w:hAnsi="Arial"/>
          <w:sz w:val="18"/>
          <w:szCs w:val="18"/>
          <w:color w:val="auto"/>
        </w:rPr>
        <w:t>”) dated August 10, 2015 between you and SI-BONE,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this Amended and Restated Letter Agreement, you are eligible to earn a bonus if the Company completes a Qualified IPO, as more fully described in this letter agreement.</w:t>
      </w:r>
    </w:p>
    <w:p>
      <w:pPr>
        <w:spacing w:after="0" w:line="181" w:lineRule="exact"/>
        <w:rPr>
          <w:sz w:val="20"/>
          <w:szCs w:val="20"/>
          <w:color w:val="auto"/>
        </w:rPr>
      </w:pPr>
    </w:p>
    <w:p>
      <w:pPr>
        <w:ind w:right="60" w:firstLine="885"/>
        <w:spacing w:after="0" w:line="259" w:lineRule="auto"/>
        <w:tabs>
          <w:tab w:leader="none" w:pos="1236"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Qualified IPO Bonus</w:t>
      </w:r>
      <w:r>
        <w:rPr>
          <w:rFonts w:ascii="Arial" w:cs="Arial" w:eastAsia="Arial" w:hAnsi="Arial"/>
          <w:sz w:val="18"/>
          <w:szCs w:val="18"/>
          <w:color w:val="auto"/>
        </w:rPr>
        <w:t>. If the Company completes a Qualified IPO and you remain an employee of the Company in good standing through the Determination Date, then you will be eligible to receive a bonus of $200,000, which will be paid within sixty (60) days after the Determination Date. Any such payment will be subject to reduction to reflect all applicable federal and state income and employment withholding taxes and other deductions required by law.</w:t>
      </w:r>
    </w:p>
    <w:p>
      <w:pPr>
        <w:spacing w:after="0" w:line="186" w:lineRule="exact"/>
        <w:rPr>
          <w:rFonts w:ascii="Arial" w:cs="Arial" w:eastAsia="Arial" w:hAnsi="Arial"/>
          <w:sz w:val="18"/>
          <w:szCs w:val="18"/>
          <w:color w:val="auto"/>
        </w:rPr>
      </w:pPr>
    </w:p>
    <w:p>
      <w:pPr>
        <w:ind w:right="120" w:firstLine="885"/>
        <w:spacing w:after="0" w:line="277" w:lineRule="auto"/>
        <w:tabs>
          <w:tab w:leader="none" w:pos="1227"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Your employment with the Company will continue to be “at will,” meaning that either you or the Company may terminate your employment at any time and for any reason, with or without cause.</w:t>
      </w:r>
    </w:p>
    <w:p>
      <w:pPr>
        <w:spacing w:after="0" w:line="170" w:lineRule="exact"/>
        <w:rPr>
          <w:rFonts w:ascii="Arial" w:cs="Arial" w:eastAsia="Arial" w:hAnsi="Arial"/>
          <w:sz w:val="18"/>
          <w:szCs w:val="18"/>
          <w:color w:val="auto"/>
        </w:rPr>
      </w:pPr>
    </w:p>
    <w:p>
      <w:pPr>
        <w:jc w:val="both"/>
        <w:ind w:right="80" w:firstLine="885"/>
        <w:spacing w:after="0" w:line="264" w:lineRule="auto"/>
        <w:tabs>
          <w:tab w:leader="none" w:pos="1227"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letter agreement constitutes the complete agreement between you and the Company with respect to the matters set forth herein and supersedes any prior agreements, representations or understandings (whether written, oral or implied), including the Previous Letter Agreement, between you and the Company.</w:t>
      </w:r>
    </w:p>
    <w:p>
      <w:pPr>
        <w:spacing w:after="0" w:line="181" w:lineRule="exact"/>
        <w:rPr>
          <w:rFonts w:ascii="Arial" w:cs="Arial" w:eastAsia="Arial" w:hAnsi="Arial"/>
          <w:sz w:val="18"/>
          <w:szCs w:val="18"/>
          <w:color w:val="auto"/>
        </w:rPr>
      </w:pPr>
    </w:p>
    <w:p>
      <w:pPr>
        <w:ind w:right="660" w:firstLine="885"/>
        <w:spacing w:after="0" w:line="342" w:lineRule="auto"/>
        <w:tabs>
          <w:tab w:leader="none" w:pos="1236"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Source of Payments</w:t>
      </w:r>
      <w:r>
        <w:rPr>
          <w:rFonts w:ascii="Arial" w:cs="Arial" w:eastAsia="Arial" w:hAnsi="Arial"/>
          <w:sz w:val="16"/>
          <w:szCs w:val="16"/>
          <w:color w:val="auto"/>
        </w:rPr>
        <w:t>. The Company will make all payments under this letter agreement from its general assets. The Company’s obligations under this letter agreement are unfunded and unsecured, and you have no rights other than those of general creditors.</w:t>
      </w:r>
    </w:p>
    <w:p>
      <w:pPr>
        <w:spacing w:after="0" w:line="123" w:lineRule="exact"/>
        <w:rPr>
          <w:rFonts w:ascii="Arial" w:cs="Arial" w:eastAsia="Arial" w:hAnsi="Arial"/>
          <w:sz w:val="16"/>
          <w:szCs w:val="16"/>
          <w:color w:val="auto"/>
        </w:rPr>
      </w:pPr>
    </w:p>
    <w:p>
      <w:pPr>
        <w:ind w:right="680" w:firstLine="885"/>
        <w:spacing w:after="0" w:line="264" w:lineRule="auto"/>
        <w:tabs>
          <w:tab w:leader="none" w:pos="1216"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determinations related to this letter agreement will be made by the Company’s Board of Directors or a duly authorized committee of the Company’s Board of Directors. The determinations of the Company’s Board of Directors with regard to this letter agreement will be final, conclusive, and binding on all parties.</w:t>
      </w:r>
    </w:p>
    <w:p>
      <w:pPr>
        <w:sectPr>
          <w:pgSz w:w="11900" w:h="16838" w:orient="portrait"/>
          <w:cols w:equalWidth="0" w:num="1">
            <w:col w:w="11020"/>
          </w:cols>
          <w:pgMar w:left="440" w:top="121" w:right="4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Laura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880"/>
        <w:spacing w:after="0"/>
        <w:tabs>
          <w:tab w:leader="none" w:pos="11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used in this letter agreement have the meaning set forth below.</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date that is thirty (30) trading days after an IPO that results in a Qualified IPO.</w:t>
      </w:r>
    </w:p>
    <w:p>
      <w:pPr>
        <w:spacing w:after="0" w:line="117" w:lineRule="exact"/>
        <w:rPr>
          <w:sz w:val="20"/>
          <w:szCs w:val="20"/>
          <w:color w:val="auto"/>
        </w:rPr>
      </w:pPr>
    </w:p>
    <w:p>
      <w:pPr>
        <w:ind w:left="440" w:right="60" w:firstLine="84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consummation of a firm commitment underwritten public offering pursuant to an effective registration statement under the Securities Act of 1933, as amended, covering the offer and sale by the Company of its equity securities, following which the shares of the Company’s Common Stock are publicly held.</w:t>
      </w:r>
    </w:p>
    <w:p>
      <w:pPr>
        <w:spacing w:after="0" w:line="73" w:lineRule="exact"/>
        <w:rPr>
          <w:sz w:val="20"/>
          <w:szCs w:val="20"/>
          <w:color w:val="auto"/>
        </w:rPr>
      </w:pPr>
    </w:p>
    <w:p>
      <w:pPr>
        <w:ind w:left="440" w:firstLine="8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means an IPO that the Board of Directors of the Company or the Pricing Committee of the Board of Directors of the Company, in its sole discretion, reasonably determines to be satisfactory.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Please indicate your agreement to these terms by signing and dating this amended and restated letter agreement and returning it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INC.</w:t>
      </w:r>
    </w:p>
    <w:p>
      <w:pPr>
        <w:sectPr>
          <w:pgSz w:w="11900" w:h="16838" w:orient="portrait"/>
          <w:cols w:equalWidth="0" w:num="1">
            <w:col w:w="10880"/>
          </w:cols>
          <w:pgMar w:left="440" w:top="27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59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w:t>
      </w:r>
    </w:p>
    <w:p>
      <w:pPr>
        <w:sectPr>
          <w:pgSz w:w="11900" w:h="16838" w:orient="portrait"/>
          <w:cols w:equalWidth="0" w:num="2">
            <w:col w:w="5900" w:space="720"/>
            <w:col w:w="4260"/>
          </w:cols>
          <w:pgMar w:left="440" w:top="274" w:right="579" w:bottom="1440" w:gutter="0" w:footer="0" w:header="0"/>
          <w:type w:val="continuous"/>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171450</wp:posOffset>
            </wp:positionV>
            <wp:extent cx="720090" cy="3175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009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5"/>
          <w:szCs w:val="15"/>
          <w:color w:val="auto"/>
        </w:rPr>
        <w:t>OLIN AVENUE</w:t>
      </w:r>
      <w:r>
        <w:rPr>
          <w:rFonts w:ascii="Arial" w:cs="Arial" w:eastAsia="Arial" w:hAnsi="Arial"/>
          <w:sz w:val="18"/>
          <w:szCs w:val="18"/>
          <w:color w:val="auto"/>
        </w:rPr>
        <w:t xml:space="preserve">, </w:t>
      </w:r>
      <w:r>
        <w:rPr>
          <w:rFonts w:ascii="Arial" w:cs="Arial" w:eastAsia="Arial" w:hAnsi="Arial"/>
          <w:sz w:val="15"/>
          <w:szCs w:val="15"/>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5"/>
          <w:szCs w:val="15"/>
          <w:color w:val="auto"/>
        </w:rPr>
        <w:t>SAN JOSE</w:t>
      </w:r>
      <w:r>
        <w:rPr>
          <w:rFonts w:ascii="Arial" w:cs="Arial" w:eastAsia="Arial" w:hAnsi="Arial"/>
          <w:sz w:val="18"/>
          <w:szCs w:val="18"/>
          <w:color w:val="auto"/>
        </w:rPr>
        <w:t>,</w:t>
      </w:r>
      <w:r>
        <w:rPr>
          <w:rFonts w:ascii="Arial" w:cs="Arial" w:eastAsia="Arial" w:hAnsi="Arial"/>
          <w:sz w:val="15"/>
          <w:szCs w:val="15"/>
          <w:color w:val="auto"/>
        </w:rPr>
        <w:t xml:space="preserve"> CA </w:t>
      </w:r>
      <w:r>
        <w:rPr>
          <w:rFonts w:ascii="Arial" w:cs="Arial" w:eastAsia="Arial" w:hAnsi="Arial"/>
          <w:sz w:val="18"/>
          <w:szCs w:val="18"/>
          <w:color w:val="auto"/>
        </w:rPr>
        <w:t>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 Carlton Reckling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Reckling: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SI-BONE, Inc. (the “Company”) is pleased to offer you employment effective March 5, 2012 on the following terms:</w:t>
      </w:r>
    </w:p>
    <w:p>
      <w:pPr>
        <w:spacing w:after="0" w:line="221" w:lineRule="exact"/>
        <w:rPr>
          <w:sz w:val="20"/>
          <w:szCs w:val="20"/>
          <w:color w:val="auto"/>
        </w:rPr>
      </w:pPr>
    </w:p>
    <w:p>
      <w:pPr>
        <w:ind w:right="60" w:firstLine="4"/>
        <w:spacing w:after="0" w:line="274" w:lineRule="auto"/>
        <w:tabs>
          <w:tab w:leader="none" w:pos="315"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initial title will be Vice President of Medical Affairs, and you will initially report to me, Jeff Dunn, President and CEO. This is a full</w:t>
      </w:r>
      <w:r>
        <w:rPr>
          <w:rFonts w:ascii="Arial" w:cs="Arial" w:eastAsia="Arial" w:hAnsi="Arial"/>
          <w:sz w:val="17"/>
          <w:szCs w:val="17"/>
          <w:b w:val="1"/>
          <w:bCs w:val="1"/>
          <w:color w:val="auto"/>
        </w:rPr>
        <w:t xml:space="preserve"> </w:t>
      </w:r>
      <w:r>
        <w:rPr>
          <w:rFonts w:ascii="Arial" w:cs="Arial" w:eastAsia="Arial" w:hAnsi="Arial"/>
          <w:sz w:val="17"/>
          <w:szCs w:val="17"/>
          <w:color w:val="auto"/>
        </w:rPr>
        <w:t>time position. While you render services to the Company you will not engage in any other employment, consulting or other business activity that would create a conflict of interest with the Company. The only exceptions to this are 1) as specified in Exhibit D regarding the transition from your current medical practice, and 2) for any general orthopedic activities consulting or business activities that you participate in that do not relate directly to lower back and/or SI joint conditions. By signing this letter agreement, you confirm to the Company that you have no contractual commitments or other legal obligations that would prohibit you from performing your duties for the Company.</w:t>
      </w:r>
    </w:p>
    <w:p>
      <w:pPr>
        <w:spacing w:after="0" w:line="173" w:lineRule="exact"/>
        <w:rPr>
          <w:rFonts w:ascii="Arial" w:cs="Arial" w:eastAsia="Arial" w:hAnsi="Arial"/>
          <w:sz w:val="17"/>
          <w:szCs w:val="17"/>
          <w:b w:val="1"/>
          <w:bCs w:val="1"/>
          <w:color w:val="auto"/>
        </w:rPr>
      </w:pPr>
    </w:p>
    <w:p>
      <w:pPr>
        <w:ind w:firstLine="4"/>
        <w:spacing w:after="0" w:line="291" w:lineRule="auto"/>
        <w:tabs>
          <w:tab w:leader="none" w:pos="315"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base salary at the rate of $225,000 per year, payable in accordance with the Company’s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schedule. This salary will be subject to adjustment pursuant to the Company’s employee compensation policies in effect from time to time. Reasonable and customary business expenses, including the IRS mandated rate for business automobile mileage, will be reimbursed to you by the Company. You will also be reimbursed by the Company for all reasonable subscriptions, dues and Continuing Medical Education in order to maintain your current medical certifications. As well the Company will reimburse you for your attainment of an MBA that is mutually agreed upon. In addition, the Company will reimburse you for a insurance “tail” coverage for your past medical practice, upon mutual agreement of the arrangement between you and the Company. The estimate of these non-salary costs are summarized in the attached Exhibit E and reimbursement will be within these 10% of these estimates or the excess must be approved by the Company’s Compensation Committee of the Board of Directors.</w:t>
      </w:r>
    </w:p>
    <w:p>
      <w:pPr>
        <w:spacing w:after="0" w:line="160" w:lineRule="exact"/>
        <w:rPr>
          <w:rFonts w:ascii="Arial" w:cs="Arial" w:eastAsia="Arial" w:hAnsi="Arial"/>
          <w:sz w:val="16"/>
          <w:szCs w:val="16"/>
          <w:b w:val="1"/>
          <w:bCs w:val="1"/>
          <w:color w:val="auto"/>
        </w:rPr>
      </w:pPr>
    </w:p>
    <w:p>
      <w:pPr>
        <w:ind w:right="120" w:firstLine="4"/>
        <w:spacing w:after="0" w:line="266" w:lineRule="auto"/>
        <w:tabs>
          <w:tab w:leader="none" w:pos="315"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then be eligible for SI¬Bone, Inc. Medical and Dental Benefits on April 1, 2012. In addition, you will be entitled to paid vacation in accordance with the Company’s vacation policy, as in effect from time to time.</w:t>
      </w:r>
    </w:p>
    <w:p>
      <w:pPr>
        <w:sectPr>
          <w:pgSz w:w="11900" w:h="16838" w:orient="portrait"/>
          <w:cols w:equalWidth="0" w:num="1">
            <w:col w:w="11020"/>
          </w:cols>
          <w:pgMar w:left="440" w:top="121" w:right="439" w:bottom="1440" w:gutter="0" w:footer="0" w:header="0"/>
        </w:sectPr>
      </w:pPr>
    </w:p>
    <w:bookmarkStart w:id="351" w:name="page352"/>
    <w:bookmarkEnd w:id="351"/>
    <w:p>
      <w:pPr>
        <w:ind w:left="-4" w:firstLine="4"/>
        <w:spacing w:after="0" w:line="347" w:lineRule="auto"/>
        <w:tabs>
          <w:tab w:leader="none" w:pos="311"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 and Inventions Agreement</w:t>
      </w:r>
      <w:r>
        <w:rPr>
          <w:rFonts w:ascii="Arial" w:cs="Arial" w:eastAsia="Arial" w:hAnsi="Arial"/>
          <w:sz w:val="16"/>
          <w:szCs w:val="16"/>
          <w:color w:val="auto"/>
        </w:rPr>
        <w:t>. Like all Company employees, you will be required, as a condition of your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to sign the Company’s standard Proprietary Information and Inventions Agreement, a copy of which is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116" w:lineRule="exact"/>
        <w:rPr>
          <w:rFonts w:ascii="Arial" w:cs="Arial" w:eastAsia="Arial" w:hAnsi="Arial"/>
          <w:sz w:val="16"/>
          <w:szCs w:val="16"/>
          <w:b w:val="1"/>
          <w:bCs w:val="1"/>
          <w:color w:val="auto"/>
        </w:rPr>
      </w:pPr>
    </w:p>
    <w:p>
      <w:pPr>
        <w:ind w:left="-4" w:right="240" w:firstLine="4"/>
        <w:spacing w:after="0" w:line="256" w:lineRule="auto"/>
        <w:tabs>
          <w:tab w:leader="none" w:pos="311"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 “at</w:t>
      </w:r>
      <w:r>
        <w:rPr>
          <w:rFonts w:ascii="Arial" w:cs="Arial" w:eastAsia="Arial" w:hAnsi="Arial"/>
          <w:sz w:val="18"/>
          <w:szCs w:val="18"/>
          <w:b w:val="1"/>
          <w:bCs w:val="1"/>
          <w:color w:val="auto"/>
        </w:rPr>
        <w:t xml:space="preserve"> </w:t>
      </w:r>
      <w:r>
        <w:rPr>
          <w:rFonts w:ascii="Arial" w:cs="Arial" w:eastAsia="Arial" w:hAnsi="Arial"/>
          <w:sz w:val="18"/>
          <w:szCs w:val="18"/>
          <w:color w:val="auto"/>
        </w:rPr>
        <w:t>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b w:val="1"/>
          <w:bCs w:val="1"/>
          <w:color w:val="auto"/>
        </w:rPr>
      </w:pPr>
    </w:p>
    <w:p>
      <w:pPr>
        <w:ind w:left="-4" w:right="20" w:firstLine="4"/>
        <w:spacing w:after="0" w:line="255" w:lineRule="auto"/>
        <w:tabs>
          <w:tab w:leader="none" w:pos="311"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the term of your employment, and for a period of twelve (12) months after termination of your employment, you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(i) endorse, promote, sell, distribute, solicit orders for or otherwise dispose of, directly or indirectly, any products which are similar to or competitive with the products of the Company, (ii) consult with, advise or assist in any way, whether or not for consideration, any person or entity to endorse, promote, sell, distribute, solicit orders for or otherwise dispose of, directly or indirectly, any products which are similar to or competitive with the products of the Company, (iii) induce or attempt to induce any customer or supplier of the Company to reduce the business done by such customer or supplier with the Company and/or (iv) engage in any practice the purpose or result of which is to circumvent the provisions of this covenant not to compete.</w:t>
      </w:r>
    </w:p>
    <w:p>
      <w:pPr>
        <w:spacing w:after="0" w:line="189" w:lineRule="exact"/>
        <w:rPr>
          <w:rFonts w:ascii="Arial" w:cs="Arial" w:eastAsia="Arial" w:hAnsi="Arial"/>
          <w:sz w:val="18"/>
          <w:szCs w:val="18"/>
          <w:b w:val="1"/>
          <w:bCs w:val="1"/>
          <w:color w:val="auto"/>
        </w:rPr>
      </w:pPr>
    </w:p>
    <w:p>
      <w:pPr>
        <w:jc w:val="both"/>
        <w:ind w:left="-4" w:right="40" w:firstLine="4"/>
        <w:spacing w:after="0" w:line="314" w:lineRule="auto"/>
        <w:tabs>
          <w:tab w:leader="none" w:pos="311"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deductions required by law.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250" w:lineRule="exact"/>
        <w:rPr>
          <w:rFonts w:ascii="Arial" w:cs="Arial" w:eastAsia="Arial" w:hAnsi="Arial"/>
          <w:sz w:val="16"/>
          <w:szCs w:val="16"/>
          <w:b w:val="1"/>
          <w:bCs w:val="1"/>
          <w:color w:val="auto"/>
        </w:rPr>
      </w:pPr>
    </w:p>
    <w:p>
      <w:pPr>
        <w:ind w:left="316" w:hanging="316"/>
        <w:spacing w:after="0"/>
        <w:tabs>
          <w:tab w:leader="none" w:pos="316"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4" w:right="220" w:firstLine="444"/>
        <w:spacing w:after="0" w:line="259" w:lineRule="auto"/>
        <w:tabs>
          <w:tab w:leader="none" w:pos="75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Indemnification of Expenses. Subject to the provisions of Section 8(b) below, the Company shall indemnify You for Expenses to the fullest extent permitted by law if You were or are or become a party to or witness or other participant in, or are threatened to be made a party to or witness or other participant in, any Claim (whether by reason of or arising in part out of a Covered Event), including all interest, assessments and other charges paid or payable in connection with or in respect of such Expenses.</w:t>
      </w:r>
    </w:p>
    <w:p>
      <w:pPr>
        <w:spacing w:after="0" w:line="186" w:lineRule="exact"/>
        <w:rPr>
          <w:rFonts w:ascii="Arial" w:cs="Arial" w:eastAsia="Arial" w:hAnsi="Arial"/>
          <w:sz w:val="18"/>
          <w:szCs w:val="18"/>
          <w:color w:val="auto"/>
        </w:rPr>
      </w:pPr>
    </w:p>
    <w:p>
      <w:pPr>
        <w:ind w:left="-4" w:right="660" w:firstLine="444"/>
        <w:spacing w:after="0" w:line="277" w:lineRule="auto"/>
        <w:tabs>
          <w:tab w:leader="none" w:pos="76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Exceptions. Notwithstanding any other provision of this Agreement, the Company shall not be obligated pursuant to the terms of this Agreement:</w:t>
      </w:r>
    </w:p>
    <w:p>
      <w:pPr>
        <w:spacing w:after="0" w:line="170" w:lineRule="exact"/>
        <w:rPr>
          <w:rFonts w:ascii="Arial" w:cs="Arial" w:eastAsia="Arial" w:hAnsi="Arial"/>
          <w:sz w:val="18"/>
          <w:szCs w:val="18"/>
          <w:color w:val="auto"/>
        </w:rPr>
      </w:pPr>
    </w:p>
    <w:p>
      <w:pPr>
        <w:ind w:left="-4" w:right="560" w:firstLine="885"/>
        <w:spacing w:after="0" w:line="277" w:lineRule="auto"/>
        <w:tabs>
          <w:tab w:leader="none" w:pos="1208" w:val="left"/>
        </w:tabs>
        <w:numPr>
          <w:ilvl w:val="2"/>
          <w:numId w:val="316"/>
        </w:numPr>
        <w:rPr>
          <w:rFonts w:ascii="Arial" w:cs="Arial" w:eastAsia="Arial" w:hAnsi="Arial"/>
          <w:sz w:val="18"/>
          <w:szCs w:val="18"/>
          <w:color w:val="auto"/>
        </w:rPr>
      </w:pPr>
      <w:r>
        <w:rPr>
          <w:rFonts w:ascii="Arial" w:cs="Arial" w:eastAsia="Arial" w:hAnsi="Arial"/>
          <w:sz w:val="18"/>
          <w:szCs w:val="18"/>
          <w:color w:val="auto"/>
        </w:rPr>
        <w:t>Excluded Action or Omissions. To indemnify You for Expenses resulting from acts, omissions or transactions for which You are prohibited from receiving indemnification under this letter agreement or applicable law.</w:t>
      </w:r>
    </w:p>
    <w:p>
      <w:pPr>
        <w:sectPr>
          <w:pgSz w:w="11900" w:h="16838" w:orient="portrait"/>
          <w:cols w:equalWidth="0" w:num="1">
            <w:col w:w="11016"/>
          </w:cols>
          <w:pgMar w:left="444" w:top="270" w:right="439" w:bottom="1440" w:gutter="0" w:footer="0" w:header="0"/>
        </w:sectPr>
      </w:pPr>
    </w:p>
    <w:bookmarkStart w:id="352" w:name="page353"/>
    <w:bookmarkEnd w:id="352"/>
    <w:p>
      <w:pPr>
        <w:ind w:left="-4" w:firstLine="885"/>
        <w:spacing w:after="0" w:line="272" w:lineRule="auto"/>
        <w:tabs>
          <w:tab w:leader="none" w:pos="1208" w:val="left"/>
        </w:tabs>
        <w:numPr>
          <w:ilvl w:val="2"/>
          <w:numId w:val="3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Initiated by You. To indemnify or make Expense advances to You with respect to Claims initiated or brought voluntarily by You and not by way of defense., counterclaim or cross claim, except (i) with respect to actions or proceedings brought to establish or enforce a right to indemnification under this letter agreement or any other agreement or insurance policy or under the Company’s charter documents relating to Claims for Covered Events, (ii) in specific cases if the Board of Directors has approved the initiation or bringing of such Claim, (iii) as otherwise required under Section 145 of the Delaware General Corporation Law (relating to indemnification of officers, directors, employees and agents); and (iv) with respect to actions or proceedings under any insurance policies maintained by the Company to enforce any of the terms thereof, regardless of whether You ultimately are determined to be entitled to such indemnification or insurance recovery, as the case may be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4" w:right="20" w:firstLine="885"/>
        <w:spacing w:after="0" w:line="302" w:lineRule="auto"/>
        <w:tabs>
          <w:tab w:leader="none" w:pos="1208" w:val="left"/>
        </w:tabs>
        <w:numPr>
          <w:ilvl w:val="2"/>
          <w:numId w:val="317"/>
        </w:numPr>
        <w:rPr>
          <w:rFonts w:ascii="Arial" w:cs="Arial" w:eastAsia="Arial" w:hAnsi="Arial"/>
          <w:sz w:val="16"/>
          <w:szCs w:val="16"/>
          <w:color w:val="auto"/>
        </w:rPr>
      </w:pPr>
      <w:r>
        <w:rPr>
          <w:rFonts w:ascii="Arial" w:cs="Arial" w:eastAsia="Arial" w:hAnsi="Arial"/>
          <w:sz w:val="16"/>
          <w:szCs w:val="16"/>
          <w:u w:val="single" w:color="auto"/>
          <w:color w:val="auto"/>
        </w:rPr>
        <w:t>Lack of Good Faith. To indemnify You for any Expenses incurred by You with respect to any action instituted (i) by You to enforce or interpret this letter agreement, if a court having jurisdiction over such action determines that each of the material assertions made by You as a basis for such action was not made in good faith or was frivolous, or (ii) by or in the name of the Company to enforce or interpret this letter agreement, if a court having jurisdiction over such action determines that each of the material defenses asserted by You in such action was made in bad faith or was frivolous</w:t>
      </w:r>
      <w:r>
        <w:rPr>
          <w:rFonts w:ascii="Arial" w:cs="Arial" w:eastAsia="Arial" w:hAnsi="Arial"/>
          <w:sz w:val="16"/>
          <w:szCs w:val="16"/>
          <w:color w:val="auto"/>
        </w:rPr>
        <w:t>.</w:t>
      </w:r>
    </w:p>
    <w:p>
      <w:pPr>
        <w:spacing w:after="0" w:line="262" w:lineRule="exact"/>
        <w:rPr>
          <w:rFonts w:ascii="Arial" w:cs="Arial" w:eastAsia="Arial" w:hAnsi="Arial"/>
          <w:sz w:val="16"/>
          <w:szCs w:val="16"/>
          <w:color w:val="auto"/>
        </w:rPr>
      </w:pPr>
    </w:p>
    <w:p>
      <w:pPr>
        <w:ind w:left="756" w:hanging="316"/>
        <w:spacing w:after="0"/>
        <w:tabs>
          <w:tab w:leader="none" w:pos="756" w:val="left"/>
        </w:tabs>
        <w:numPr>
          <w:ilvl w:val="1"/>
          <w:numId w:val="31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jc w:val="both"/>
        <w:ind w:left="-4" w:right="100" w:firstLine="885"/>
        <w:spacing w:after="0" w:line="312" w:lineRule="auto"/>
        <w:tabs>
          <w:tab w:leader="none" w:pos="1208" w:val="left"/>
        </w:tabs>
        <w:numPr>
          <w:ilvl w:val="2"/>
          <w:numId w:val="318"/>
        </w:numPr>
        <w:rPr>
          <w:rFonts w:ascii="Arial" w:cs="Arial" w:eastAsia="Arial" w:hAnsi="Arial"/>
          <w:sz w:val="16"/>
          <w:szCs w:val="16"/>
          <w:color w:val="auto"/>
        </w:rPr>
      </w:pPr>
      <w:r>
        <w:rPr>
          <w:rFonts w:ascii="Arial" w:cs="Arial" w:eastAsia="Arial" w:hAnsi="Arial"/>
          <w:sz w:val="16"/>
          <w:szCs w:val="16"/>
          <w:color w:val="auto"/>
        </w:rPr>
        <w:t>“Claim” shall mean with respect to a Covered Event (as defined below): any threatened, pending or completed action, suit, proceeding or alternative dispute resolution mechanism, or any hearing, inquiry or investigation that You in good faith believes might lead to the institution of any such action, suit, proceeding or alternative dispute resolution mechanism, whether civil, criminal, administrative, investigative or other.</w:t>
      </w:r>
    </w:p>
    <w:p>
      <w:pPr>
        <w:spacing w:after="0" w:line="146" w:lineRule="exact"/>
        <w:rPr>
          <w:rFonts w:ascii="Arial" w:cs="Arial" w:eastAsia="Arial" w:hAnsi="Arial"/>
          <w:sz w:val="16"/>
          <w:szCs w:val="16"/>
          <w:color w:val="auto"/>
        </w:rPr>
      </w:pPr>
    </w:p>
    <w:p>
      <w:pPr>
        <w:ind w:left="-4" w:right="180" w:firstLine="885"/>
        <w:spacing w:after="0" w:line="259" w:lineRule="auto"/>
        <w:tabs>
          <w:tab w:leader="none" w:pos="1208" w:val="left"/>
        </w:tabs>
        <w:numPr>
          <w:ilvl w:val="2"/>
          <w:numId w:val="318"/>
        </w:numPr>
        <w:rPr>
          <w:rFonts w:ascii="Arial" w:cs="Arial" w:eastAsia="Arial" w:hAnsi="Arial"/>
          <w:sz w:val="18"/>
          <w:szCs w:val="18"/>
          <w:color w:val="auto"/>
        </w:rPr>
      </w:pPr>
      <w:r>
        <w:rPr>
          <w:rFonts w:ascii="Arial" w:cs="Arial" w:eastAsia="Arial" w:hAnsi="Arial"/>
          <w:sz w:val="18"/>
          <w:szCs w:val="18"/>
          <w:color w:val="auto"/>
        </w:rPr>
        <w:t>“Covered Event” shall mean any event or occurrence related to the fact that You are or were an, officer, employee, agent and/or fiduciary of the Company, or any subsidiary of the Company, or is or was serving at the request of the Company as a director, officer, employee, agent and/or fiduciary of another corporation, partnership, joint venture, trust or other enterprise, or by reason of any action or inaction on Your part while serving in such capacity.</w:t>
      </w:r>
    </w:p>
    <w:p>
      <w:pPr>
        <w:spacing w:after="0" w:line="186" w:lineRule="exact"/>
        <w:rPr>
          <w:rFonts w:ascii="Arial" w:cs="Arial" w:eastAsia="Arial" w:hAnsi="Arial"/>
          <w:sz w:val="18"/>
          <w:szCs w:val="18"/>
          <w:color w:val="auto"/>
        </w:rPr>
      </w:pPr>
    </w:p>
    <w:p>
      <w:pPr>
        <w:ind w:left="-4" w:right="100" w:firstLine="885"/>
        <w:spacing w:after="0" w:line="273" w:lineRule="auto"/>
        <w:tabs>
          <w:tab w:leader="none" w:pos="1208" w:val="left"/>
        </w:tabs>
        <w:numPr>
          <w:ilvl w:val="2"/>
          <w:numId w:val="318"/>
        </w:numPr>
        <w:rPr>
          <w:rFonts w:ascii="Arial" w:cs="Arial" w:eastAsia="Arial" w:hAnsi="Arial"/>
          <w:sz w:val="17"/>
          <w:szCs w:val="17"/>
          <w:color w:val="auto"/>
        </w:rPr>
      </w:pPr>
      <w:r>
        <w:rPr>
          <w:rFonts w:ascii="Arial" w:cs="Arial" w:eastAsia="Arial" w:hAnsi="Arial"/>
          <w:sz w:val="17"/>
          <w:szCs w:val="17"/>
          <w:color w:val="auto"/>
        </w:rPr>
        <w:t>“Expenses” shall mean any and all expenses (including attorneys’ fees and all other costs, expenses and obligations incurred in connection with investigating, defending, being a party to or witness in or participating in (including on appeal), or preparing to defend, to be a party to or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conditioned or delayed), actually and reasonably incurred, of any Claim and any federal, state, local or foreign taxes imposed on You as a result of the actual or deemed receipt of any payments under this letter agreement.</w:t>
      </w:r>
    </w:p>
    <w:p>
      <w:pPr>
        <w:spacing w:after="0" w:line="174" w:lineRule="exact"/>
        <w:rPr>
          <w:rFonts w:ascii="Arial" w:cs="Arial" w:eastAsia="Arial" w:hAnsi="Arial"/>
          <w:sz w:val="17"/>
          <w:szCs w:val="17"/>
          <w:color w:val="auto"/>
        </w:rPr>
      </w:pPr>
    </w:p>
    <w:p>
      <w:pPr>
        <w:ind w:left="-4" w:right="460" w:firstLine="4"/>
        <w:spacing w:after="0" w:line="282" w:lineRule="auto"/>
        <w:tabs>
          <w:tab w:leader="none" w:pos="311"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Amendment and Enforcement</w:t>
      </w:r>
      <w:r>
        <w:rPr>
          <w:rFonts w:ascii="Arial" w:cs="Arial" w:eastAsia="Arial" w:hAnsi="Arial"/>
          <w:sz w:val="18"/>
          <w:szCs w:val="18"/>
          <w:color w:val="auto"/>
        </w:rPr>
        <w:t>. This letter agreement and Exhibit A constitute the complete agreement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contain all of the terms of</w:t>
      </w:r>
    </w:p>
    <w:p>
      <w:pPr>
        <w:sectPr>
          <w:pgSz w:w="11900" w:h="16838" w:orient="portrait"/>
          <w:cols w:equalWidth="0" w:num="1">
            <w:col w:w="10996"/>
          </w:cols>
          <w:pgMar w:left="444" w:top="273" w:right="459" w:bottom="1440" w:gutter="0" w:footer="0" w:header="0"/>
        </w:sectPr>
      </w:pPr>
    </w:p>
    <w:bookmarkStart w:id="353" w:name="page354"/>
    <w:bookmarkEnd w:id="35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OS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law_ You and the Company submit to the exclusive personal jurisdiction of the federal and state courts located in California in connection with any Dispute or any claim related to any Dispute.</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oiler by signing and dating both the enclosed duplicate original of this letter agreement and the enclosed Proprietary information and Inventions Agreement and returning them to me. This offer, if not accepted, will expire at the close of business on 1; February 13, 2012, As required by law, your employment with the Company is contingent upon your providing legal proof of your identity and authorisation to work in the United States, as well as the satisfactory completion of background checks, which you approve of through the acceptance of this offer. Your employment is also contingent upon your starting work with the Company on March 5, 2012.</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 Carlton Reckling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2012</w:t>
      </w:r>
    </w:p>
    <w:p>
      <w:pPr>
        <w:sectPr>
          <w:pgSz w:w="11900" w:h="16838" w:orient="portrait"/>
          <w:cols w:equalWidth="0" w:num="1">
            <w:col w:w="10920"/>
          </w:cols>
          <w:pgMar w:left="440" w:top="274" w:right="5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California Labor Code Section 2870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Prior Matter</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D — Transition Plan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known and understood by both parties that Dr. Reckling will transition to the Position at SI-BONE from his current medical practice as follows and be paid his base salary at the percentage applicable:</w:t>
      </w:r>
    </w:p>
    <w:p>
      <w:pPr>
        <w:spacing w:after="0" w:line="76" w:lineRule="exact"/>
        <w:rPr>
          <w:sz w:val="20"/>
          <w:szCs w:val="20"/>
          <w:color w:val="auto"/>
        </w:rPr>
      </w:pPr>
    </w:p>
    <w:p>
      <w:pPr>
        <w:ind w:left="1420" w:hanging="538"/>
        <w:spacing w:after="0"/>
        <w:tabs>
          <w:tab w:leader="none" w:pos="14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Month One: 12 business days out of 20 (60 % of the time for SI-BONE).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Month Two: 12 business days out of 20 (60 % of the time for SI-BONE).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Month Three and Forward; Full-time with SI-BONE.</w:t>
      </w:r>
    </w:p>
    <w:p>
      <w:pPr>
        <w:sectPr>
          <w:pgSz w:w="11900" w:h="16838" w:orient="portrait"/>
          <w:cols w:equalWidth="0" w:num="1">
            <w:col w:w="10940"/>
          </w:cols>
          <w:pgMar w:left="440" w:top="270" w:right="5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171450</wp:posOffset>
            </wp:positionV>
            <wp:extent cx="934720" cy="3771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34720" cy="3771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 Carlton Reckling,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Carlton: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ind w:left="860" w:right="140" w:hanging="424"/>
        <w:spacing w:after="0" w:line="266" w:lineRule="auto"/>
        <w:tabs>
          <w:tab w:leader="none" w:pos="86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that the Company terminates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ind w:left="860" w:right="120" w:hanging="424"/>
        <w:spacing w:after="0" w:line="303" w:lineRule="auto"/>
        <w:tabs>
          <w:tab w:leader="none" w:pos="86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for Cause or if you resign your employment for Good Reason either three (3) 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0" w:lineRule="exact"/>
        <w:rPr>
          <w:rFonts w:ascii="Arial" w:cs="Arial" w:eastAsia="Arial" w:hAnsi="Arial"/>
          <w:sz w:val="16"/>
          <w:szCs w:val="16"/>
          <w:color w:val="auto"/>
        </w:rPr>
      </w:pPr>
    </w:p>
    <w:p>
      <w:pPr>
        <w:ind w:left="1860" w:hanging="425"/>
        <w:spacing w:after="0"/>
        <w:tabs>
          <w:tab w:leader="none" w:pos="1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fallowing definitions apply to this letter agreement:</w:t>
      </w:r>
    </w:p>
    <w:p>
      <w:pPr>
        <w:spacing w:after="0" w:line="134" w:lineRule="exact"/>
        <w:rPr>
          <w:rFonts w:ascii="Arial" w:cs="Arial" w:eastAsia="Arial" w:hAnsi="Arial"/>
          <w:sz w:val="18"/>
          <w:szCs w:val="18"/>
          <w:color w:val="auto"/>
        </w:rPr>
      </w:pPr>
    </w:p>
    <w:p>
      <w:pPr>
        <w:ind w:left="1860" w:right="20" w:hanging="425"/>
        <w:spacing w:after="0" w:line="272" w:lineRule="auto"/>
        <w:tabs>
          <w:tab w:leader="none" w:pos="1860"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6" w:name="page357"/>
    <w:bookmarkEnd w:id="356"/>
    <w:p>
      <w:pPr>
        <w:ind w:left="1424" w:hanging="425"/>
        <w:spacing w:after="0" w:line="255" w:lineRule="auto"/>
        <w:tabs>
          <w:tab w:leader="none" w:pos="1424"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424" w:right="20" w:hanging="425"/>
        <w:spacing w:after="0" w:line="276" w:lineRule="auto"/>
        <w:tabs>
          <w:tab w:leader="none" w:pos="1424"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424" w:hanging="424"/>
        <w:spacing w:after="0" w:line="295" w:lineRule="auto"/>
        <w:tabs>
          <w:tab w:leader="none" w:pos="424" w:val="left"/>
        </w:tabs>
        <w:numPr>
          <w:ilvl w:val="0"/>
          <w:numId w:val="323"/>
        </w:numPr>
        <w:rPr>
          <w:rFonts w:ascii="Arial" w:cs="Arial" w:eastAsia="Arial" w:hAnsi="Arial"/>
          <w:sz w:val="16"/>
          <w:szCs w:val="16"/>
          <w:color w:val="auto"/>
        </w:rPr>
      </w:pPr>
      <w:r>
        <w:rPr>
          <w:rFonts w:ascii="Arial" w:cs="Arial" w:eastAsia="Arial" w:hAnsi="Arial"/>
          <w:sz w:val="16"/>
          <w:szCs w:val="16"/>
          <w:b w:val="1"/>
          <w:bCs w:val="1"/>
          <w:color w:val="auto"/>
        </w:rPr>
        <w:t>Contingencies for Receipt of Separation Payment(s)</w:t>
      </w:r>
      <w:r>
        <w:rPr>
          <w:rFonts w:ascii="Arial" w:cs="Arial" w:eastAsia="Arial" w:hAnsi="Arial"/>
          <w:sz w:val="16"/>
          <w:szCs w:val="16"/>
          <w:color w:val="auto"/>
        </w:rPr>
        <w:t>. Your receipt of the Severance Benefits or the Change in Control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304" w:lineRule="exact"/>
        <w:rPr>
          <w:rFonts w:ascii="Arial" w:cs="Arial" w:eastAsia="Arial" w:hAnsi="Arial"/>
          <w:sz w:val="16"/>
          <w:szCs w:val="16"/>
          <w:color w:val="auto"/>
        </w:rPr>
      </w:pPr>
    </w:p>
    <w:p>
      <w:pPr>
        <w:ind w:left="424" w:hanging="424"/>
        <w:spacing w:after="0"/>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24" w:hanging="425"/>
        <w:spacing w:after="0" w:line="276" w:lineRule="auto"/>
        <w:tabs>
          <w:tab w:leader="none" w:pos="1424"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60" w:hanging="425"/>
        <w:spacing w:after="0" w:line="257" w:lineRule="auto"/>
        <w:tabs>
          <w:tab w:leader="none" w:pos="1424"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424" w:right="140" w:hanging="425"/>
        <w:spacing w:after="0" w:line="342" w:lineRule="auto"/>
        <w:tabs>
          <w:tab w:leader="none" w:pos="1424"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5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4"/>
          </w:cols>
          <w:pgMar w:left="876" w:top="274" w:right="479" w:bottom="1440" w:gutter="0" w:footer="0" w:header="0"/>
        </w:sectPr>
      </w:pPr>
    </w:p>
    <w:bookmarkStart w:id="357" w:name="page358"/>
    <w:bookmarkEnd w:id="357"/>
    <w:p>
      <w:pPr>
        <w:ind w:left="1860" w:right="300" w:hanging="425"/>
        <w:spacing w:after="0" w:line="282" w:lineRule="auto"/>
        <w:tabs>
          <w:tab w:leader="none" w:pos="186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At-Will Employment</w:t>
      </w:r>
      <w:r>
        <w:rPr>
          <w:rFonts w:ascii="Arial" w:cs="Arial" w:eastAsia="Arial" w:hAnsi="Arial"/>
          <w:sz w:val="18"/>
          <w:szCs w:val="18"/>
          <w:color w:val="auto"/>
        </w:rPr>
        <w:t>. Your employment with the Company remains at-will, which means that either you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end your employment at any time, with or without reason, notice, or cause.</w:t>
      </w:r>
    </w:p>
    <w:p>
      <w:pPr>
        <w:spacing w:after="0" w:line="67" w:lineRule="exact"/>
        <w:rPr>
          <w:rFonts w:ascii="Arial" w:cs="Arial" w:eastAsia="Arial" w:hAnsi="Arial"/>
          <w:sz w:val="18"/>
          <w:szCs w:val="18"/>
          <w:color w:val="auto"/>
        </w:rPr>
      </w:pPr>
    </w:p>
    <w:p>
      <w:pPr>
        <w:ind w:left="1860" w:hanging="425"/>
        <w:spacing w:after="0" w:line="270" w:lineRule="auto"/>
        <w:tabs>
          <w:tab w:leader="none" w:pos="1860" w:val="left"/>
        </w:tabs>
        <w:numPr>
          <w:ilvl w:val="0"/>
          <w:numId w:val="324"/>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This letter agreement expressly supersedes and replaces any prior agreements,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understandings, written or oral or express or implied, between you and the Company as to the subject matter herein, including without limitation the Offer Letter dated February 7, 2012, the Severance Letter dated June 28, 2013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 representatives, successors and assigns of both you and the Company, and will inure to the benefit of both you and the Company, and 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Agape Eleftheriadis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 Carlton Reckling,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Carlton Reckling, 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4/8/16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172085</wp:posOffset>
            </wp:positionV>
            <wp:extent cx="934720" cy="3771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47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3055 OLIN AVENUE, SUITE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JOSE, CA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 Carlton Reckling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Carlton: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 SI-BONE, Inc. (the company) it is our pleasure to offer you a promotion effective February 1, 2017 on the following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Chief Medical Officer and VP of Medical Affairs and you will continually report to me.</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base semi-monthly salary of $12,500 equivalent to a yearly amount of $300,000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SI-BONE paydays are semi-monthly.</w:t>
      </w:r>
    </w:p>
    <w:p>
      <w:pPr>
        <w:spacing w:after="0" w:line="162"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The remainder of the terms and conditions of your employment with the Company, including without limitation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at-will nature of your employment, will remain as set forth in the offer letter between you and the Company dated February 7, 2012.</w:t>
      </w:r>
    </w:p>
    <w:p>
      <w:pPr>
        <w:spacing w:after="0" w:line="1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Carlton, we hope that you will accept this offer of promotion to assume this position within the Company. Please indicate your acceptance by signing this document below and retuning a signed copy at your earliest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CEO and 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 Dr. W. Carlton Reckling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Dr. W. Carlton Reckling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2/22/2017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172085</wp:posOffset>
            </wp:positionV>
            <wp:extent cx="934720" cy="3771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347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w:t>
      </w:r>
      <w:r>
        <w:rPr>
          <w:rFonts w:ascii="Arial" w:cs="Arial" w:eastAsia="Arial" w:hAnsi="Arial"/>
          <w:sz w:val="15"/>
          <w:szCs w:val="15"/>
          <w:color w:val="auto"/>
        </w:rPr>
        <w:t>OUTH</w:t>
      </w:r>
      <w:r>
        <w:rPr>
          <w:rFonts w:ascii="Arial" w:cs="Arial" w:eastAsia="Arial" w:hAnsi="Arial"/>
          <w:sz w:val="18"/>
          <w:szCs w:val="18"/>
          <w:color w:val="auto"/>
        </w:rPr>
        <w:t xml:space="preserve"> W</w:t>
      </w:r>
      <w:r>
        <w:rPr>
          <w:rFonts w:ascii="Arial" w:cs="Arial" w:eastAsia="Arial" w:hAnsi="Arial"/>
          <w:sz w:val="15"/>
          <w:szCs w:val="15"/>
          <w:color w:val="auto"/>
        </w:rPr>
        <w:t>INCHESTER</w:t>
      </w:r>
      <w:r>
        <w:rPr>
          <w:rFonts w:ascii="Arial" w:cs="Arial" w:eastAsia="Arial" w:hAnsi="Arial"/>
          <w:sz w:val="18"/>
          <w:szCs w:val="18"/>
          <w:color w:val="auto"/>
        </w:rPr>
        <w:t xml:space="preserve"> B</w:t>
      </w:r>
      <w:r>
        <w:rPr>
          <w:rFonts w:ascii="Arial" w:cs="Arial" w:eastAsia="Arial" w:hAnsi="Arial"/>
          <w:sz w:val="15"/>
          <w:szCs w:val="15"/>
          <w:color w:val="auto"/>
        </w:rPr>
        <w:t>LVD</w:t>
      </w:r>
      <w:r>
        <w:rPr>
          <w:rFonts w:ascii="Arial" w:cs="Arial" w:eastAsia="Arial" w:hAnsi="Arial"/>
          <w:sz w:val="18"/>
          <w:szCs w:val="18"/>
          <w:color w:val="auto"/>
        </w:rPr>
        <w:t>., S</w:t>
      </w:r>
      <w:r>
        <w:rPr>
          <w:rFonts w:ascii="Arial" w:cs="Arial" w:eastAsia="Arial" w:hAnsi="Arial"/>
          <w:sz w:val="15"/>
          <w:szCs w:val="15"/>
          <w:color w:val="auto"/>
        </w:rPr>
        <w:t>UITE</w:t>
      </w:r>
      <w:r>
        <w:rPr>
          <w:rFonts w:ascii="Arial" w:cs="Arial" w:eastAsia="Arial" w:hAnsi="Arial"/>
          <w:sz w:val="18"/>
          <w:szCs w:val="18"/>
          <w:color w:val="auto"/>
        </w:rPr>
        <w:t xml:space="preserve"> 620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AN</w:t>
      </w:r>
      <w:r>
        <w:rPr>
          <w:rFonts w:ascii="Arial" w:cs="Arial" w:eastAsia="Arial" w:hAnsi="Arial"/>
          <w:sz w:val="18"/>
          <w:szCs w:val="18"/>
          <w:color w:val="auto"/>
        </w:rPr>
        <w:t xml:space="preserve"> J</w:t>
      </w:r>
      <w:r>
        <w:rPr>
          <w:rFonts w:ascii="Arial" w:cs="Arial" w:eastAsia="Arial" w:hAnsi="Arial"/>
          <w:sz w:val="15"/>
          <w:szCs w:val="15"/>
          <w:color w:val="auto"/>
        </w:rPr>
        <w:t>OSE</w:t>
      </w:r>
      <w:r>
        <w:rPr>
          <w:rFonts w:ascii="Arial" w:cs="Arial" w:eastAsia="Arial" w:hAnsi="Arial"/>
          <w:sz w:val="18"/>
          <w:szCs w:val="18"/>
          <w:color w:val="auto"/>
        </w:rPr>
        <w:t>, CA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Yerby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SI-BONE, Inc. (the “Company”) is pleased to offer you employment effective January 17, 2011 on the following terms:</w:t>
      </w:r>
    </w:p>
    <w:p>
      <w:pPr>
        <w:spacing w:after="0" w:line="221" w:lineRule="exact"/>
        <w:rPr>
          <w:sz w:val="20"/>
          <w:szCs w:val="20"/>
          <w:color w:val="auto"/>
        </w:rPr>
      </w:pPr>
    </w:p>
    <w:p>
      <w:pPr>
        <w:ind w:right="20" w:firstLine="885"/>
        <w:spacing w:after="0" w:line="258"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Your initial title will be Vice President and Chief Technology Officer, and you will initially report to Jeffrey Dunn,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CEO. This is a full-time position. While you render services to the Company, you will not engage in any other employment, consulting or other business activity (whether fall-time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3" w:lineRule="exact"/>
        <w:rPr>
          <w:rFonts w:ascii="Arial" w:cs="Arial" w:eastAsia="Arial" w:hAnsi="Arial"/>
          <w:sz w:val="18"/>
          <w:szCs w:val="18"/>
          <w:color w:val="auto"/>
        </w:rPr>
      </w:pPr>
    </w:p>
    <w:p>
      <w:pPr>
        <w:ind w:right="300" w:firstLine="885"/>
        <w:spacing w:after="0" w:line="266"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$180,000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18"/>
          <w:szCs w:val="18"/>
          <w:color w:val="auto"/>
        </w:rPr>
      </w:pPr>
    </w:p>
    <w:p>
      <w:pPr>
        <w:ind w:right="120" w:firstLine="885"/>
        <w:spacing w:after="0" w:line="266"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You will be eligible for Medical and Dental Benefits on February 1, 2011. In addition, you will be entitled to paid vacation in accordance with the Company’s vacation policy, as in effect from time to time.</w:t>
      </w:r>
    </w:p>
    <w:p>
      <w:pPr>
        <w:spacing w:after="0" w:line="176" w:lineRule="exact"/>
        <w:rPr>
          <w:rFonts w:ascii="Arial" w:cs="Arial" w:eastAsia="Arial" w:hAnsi="Arial"/>
          <w:sz w:val="18"/>
          <w:szCs w:val="18"/>
          <w:color w:val="auto"/>
        </w:rPr>
      </w:pPr>
    </w:p>
    <w:p>
      <w:pPr>
        <w:ind w:firstLine="885"/>
        <w:spacing w:after="0" w:line="255" w:lineRule="auto"/>
        <w:tabs>
          <w:tab w:leader="none" w:pos="1196"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Subject to the approval of the Company’s Board of Directors or its Compensation Committee, you will be granted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purchase 1,166,556 shares of the Company’s Common Stock, which currently represents 1.015% of fully diluted shares outstanding. The exercise price per share will be determined by the Board of Directors or the Compensation Committee when the option is granted. The option will be subject to the terms and conditions applicable to options granted under the Company’s 2008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In addition, if the Company is subject to a Change in Control (as defined below), before your service with the Company terminates, the Option will vest an additional 50% of the unvested shares at that time.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60" w:name="page361"/>
    <w:bookmarkEnd w:id="360"/>
    <w:p>
      <w:pPr>
        <w:ind w:right="120" w:firstLine="88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89" w:lineRule="exact"/>
        <w:rPr>
          <w:sz w:val="20"/>
          <w:szCs w:val="20"/>
          <w:color w:val="auto"/>
        </w:rPr>
      </w:pPr>
    </w:p>
    <w:p>
      <w:pPr>
        <w:ind w:right="120" w:firstLine="885"/>
        <w:spacing w:after="0" w:line="266" w:lineRule="auto"/>
        <w:tabs>
          <w:tab w:leader="none" w:pos="1196"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firstLine="885"/>
        <w:spacing w:after="0" w:line="256" w:lineRule="auto"/>
        <w:tabs>
          <w:tab w:leader="none" w:pos="1196"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color w:val="auto"/>
        </w:rPr>
      </w:pPr>
    </w:p>
    <w:p>
      <w:pPr>
        <w:ind w:right="120" w:firstLine="885"/>
        <w:spacing w:after="0" w:line="261" w:lineRule="auto"/>
        <w:tabs>
          <w:tab w:leader="none" w:pos="1196"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forms of compensation referred to in this letter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0" w:lineRule="exact"/>
        <w:rPr>
          <w:rFonts w:ascii="Arial" w:cs="Arial" w:eastAsia="Arial" w:hAnsi="Arial"/>
          <w:sz w:val="18"/>
          <w:szCs w:val="18"/>
          <w:color w:val="auto"/>
        </w:rPr>
      </w:pPr>
    </w:p>
    <w:p>
      <w:pPr>
        <w:ind w:right="20" w:firstLine="885"/>
        <w:spacing w:after="0" w:line="272" w:lineRule="auto"/>
        <w:tabs>
          <w:tab w:leader="none" w:pos="1196"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constitute the complete agreement between you</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0"/>
          </w:cols>
          <w:pgMar w:left="440" w:top="273" w:right="459" w:bottom="1440" w:gutter="0" w:footer="0" w:header="0"/>
        </w:sectPr>
      </w:pPr>
    </w:p>
    <w:bookmarkStart w:id="361" w:name="page362"/>
    <w:bookmarkEnd w:id="361"/>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 * * *</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December 21, 2010. As required by law, your employment with the Company is contingent upon your providing legal proof of your identity and authorization to work in the United States. Your employment is also contingent upon your starting work with the Company on January 17, 2011.</w:t>
      </w:r>
    </w:p>
    <w:p>
      <w:pPr>
        <w:spacing w:after="0" w:line="18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If you have any questions, please call me at 408-207-0700 x2201.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Yerby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12-16-10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California Labor Code Section 2870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Prior Matter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740"/>
          </w:cols>
          <w:pgMar w:left="440" w:top="274" w:right="71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Yerby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ind w:left="860" w:right="80" w:hanging="424"/>
        <w:spacing w:after="0" w:line="266" w:lineRule="auto"/>
        <w:tabs>
          <w:tab w:leader="none" w:pos="860"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 xml:space="preserve">Benefits upon Separation from Employment </w:t>
      </w:r>
      <w:r>
        <w:rPr>
          <w:rFonts w:ascii="Arial" w:cs="Arial" w:eastAsia="Arial" w:hAnsi="Arial"/>
          <w:sz w:val="18"/>
          <w:szCs w:val="18"/>
          <w:color w:val="auto"/>
        </w:rPr>
        <w:t>- No Change in Control.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jc w:val="both"/>
        <w:ind w:left="860" w:right="240" w:hanging="424"/>
        <w:spacing w:after="0" w:line="303" w:lineRule="auto"/>
        <w:tabs>
          <w:tab w:leader="none" w:pos="860" w:val="left"/>
        </w:tabs>
        <w:numPr>
          <w:ilvl w:val="0"/>
          <w:numId w:val="327"/>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for Cause or if you resign your employment for Good Reason either three (3) 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0" w:lineRule="exact"/>
        <w:rPr>
          <w:rFonts w:ascii="Arial" w:cs="Arial" w:eastAsia="Arial" w:hAnsi="Arial"/>
          <w:sz w:val="16"/>
          <w:szCs w:val="16"/>
          <w:color w:val="auto"/>
        </w:rPr>
      </w:pPr>
    </w:p>
    <w:p>
      <w:pPr>
        <w:ind w:left="1860" w:hanging="425"/>
        <w:spacing w:after="0"/>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3" w:name="page364"/>
    <w:bookmarkEnd w:id="363"/>
    <w:p>
      <w:pPr>
        <w:ind w:left="424" w:hanging="424"/>
        <w:spacing w:after="0"/>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Arial" w:cs="Arial" w:eastAsia="Arial" w:hAnsi="Arial"/>
          <w:sz w:val="18"/>
          <w:szCs w:val="18"/>
          <w:color w:val="auto"/>
        </w:rPr>
        <w:t>. The following definitions apply to this letter agreement:</w:t>
      </w:r>
    </w:p>
    <w:p>
      <w:pPr>
        <w:spacing w:after="0" w:line="134" w:lineRule="exact"/>
        <w:rPr>
          <w:rFonts w:ascii="Arial" w:cs="Arial" w:eastAsia="Arial" w:hAnsi="Arial"/>
          <w:sz w:val="18"/>
          <w:szCs w:val="18"/>
          <w:color w:val="auto"/>
        </w:rPr>
      </w:pPr>
    </w:p>
    <w:p>
      <w:pPr>
        <w:ind w:left="1424" w:hanging="425"/>
        <w:spacing w:after="0" w:line="272" w:lineRule="auto"/>
        <w:tabs>
          <w:tab w:leader="none" w:pos="1424"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424" w:right="20" w:hanging="425"/>
        <w:spacing w:after="0" w:line="255" w:lineRule="auto"/>
        <w:tabs>
          <w:tab w:leader="none" w:pos="1424"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nolo contendere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424" w:right="40" w:hanging="425"/>
        <w:spacing w:after="0" w:line="276" w:lineRule="auto"/>
        <w:tabs>
          <w:tab w:leader="none" w:pos="1424"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424" w:right="20" w:hanging="424"/>
        <w:spacing w:after="0" w:line="258"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w:t>
      </w:r>
    </w:p>
    <w:p>
      <w:pPr>
        <w:spacing w:after="0" w:line="12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4"/>
          </w:cols>
          <w:pgMar w:left="876" w:top="270" w:right="459" w:bottom="1440" w:gutter="0" w:footer="0" w:header="0"/>
        </w:sectPr>
      </w:pPr>
    </w:p>
    <w:bookmarkStart w:id="364" w:name="page365"/>
    <w:bookmarkEnd w:id="364"/>
    <w:p>
      <w:pPr>
        <w:ind w:left="44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your employment set forth in that agreement; and (d) your execution and non-revocation of a standard form release of claims against the Company in a form proscribed by the Company.</w:t>
      </w:r>
    </w:p>
    <w:p>
      <w:pPr>
        <w:spacing w:after="0" w:line="315" w:lineRule="exact"/>
        <w:rPr>
          <w:sz w:val="20"/>
          <w:szCs w:val="20"/>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25"/>
        <w:spacing w:after="0"/>
        <w:tabs>
          <w:tab w:leader="none" w:pos="1424"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24" w:right="40" w:hanging="425"/>
        <w:spacing w:after="0" w:line="276" w:lineRule="auto"/>
        <w:tabs>
          <w:tab w:leader="none" w:pos="1424"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424" w:right="120" w:hanging="425"/>
        <w:spacing w:after="0" w:line="257" w:lineRule="auto"/>
        <w:tabs>
          <w:tab w:leader="none" w:pos="1424" w:val="left"/>
        </w:tabs>
        <w:numPr>
          <w:ilvl w:val="1"/>
          <w:numId w:val="32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(0 six (6) months following your separation date; or (ii) the date of your death.</w:t>
      </w:r>
    </w:p>
    <w:p>
      <w:pPr>
        <w:spacing w:after="0" w:line="93" w:lineRule="exact"/>
        <w:rPr>
          <w:rFonts w:ascii="Arial" w:cs="Arial" w:eastAsia="Arial" w:hAnsi="Arial"/>
          <w:sz w:val="18"/>
          <w:szCs w:val="18"/>
          <w:color w:val="auto"/>
        </w:rPr>
      </w:pPr>
    </w:p>
    <w:p>
      <w:pPr>
        <w:ind w:left="1424" w:right="180" w:hanging="425"/>
        <w:spacing w:after="0" w:line="342" w:lineRule="auto"/>
        <w:tabs>
          <w:tab w:leader="none" w:pos="1424" w:val="left"/>
        </w:tabs>
        <w:numPr>
          <w:ilvl w:val="1"/>
          <w:numId w:val="329"/>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424" w:right="300" w:hanging="424"/>
        <w:spacing w:after="0" w:line="282" w:lineRule="auto"/>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424" w:hanging="424"/>
        <w:spacing w:after="0" w:line="256" w:lineRule="auto"/>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letter agreement expressly supersedes and replaces any prior agreements, representations or understandings, written or</w:t>
      </w:r>
      <w:r>
        <w:rPr>
          <w:rFonts w:ascii="Arial" w:cs="Arial" w:eastAsia="Arial" w:hAnsi="Arial"/>
          <w:sz w:val="18"/>
          <w:szCs w:val="18"/>
          <w:b w:val="1"/>
          <w:bCs w:val="1"/>
          <w:color w:val="auto"/>
        </w:rPr>
        <w:t xml:space="preserve"> </w:t>
      </w:r>
      <w:r>
        <w:rPr>
          <w:rFonts w:ascii="Arial" w:cs="Arial" w:eastAsia="Arial" w:hAnsi="Arial"/>
          <w:sz w:val="18"/>
          <w:szCs w:val="18"/>
          <w:color w:val="auto"/>
        </w:rPr>
        <w:t>oral or express or implied, between you and the Company as to the subject matter herein, including without limitation the Offer Letter dated December 16, 2010, the Severance Letter dated June 28, 2013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876" w:top="274" w:right="439" w:bottom="1440" w:gutter="0" w:footer="0" w:header="0"/>
        </w:sectPr>
      </w:pPr>
    </w:p>
    <w:bookmarkStart w:id="365" w:name="page366"/>
    <w:bookmarkEnd w:id="365"/>
    <w:p>
      <w:pPr>
        <w:ind w:left="8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successors and assigns of both you and the Company, and will inure to the benefit of both you and the Company, and 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Agape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Yerby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Yerby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March 16, 2016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440" w:top="273" w:right="6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188595</wp:posOffset>
            </wp:positionV>
            <wp:extent cx="2975610" cy="2489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756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3055 OLIN AVENUE, SUITE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AN JOSE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CA</w:t>
      </w:r>
      <w:r>
        <w:rPr>
          <w:rFonts w:ascii="Arial" w:cs="Arial" w:eastAsia="Arial" w:hAnsi="Arial"/>
          <w:sz w:val="18"/>
          <w:szCs w:val="18"/>
          <w:b w:val="1"/>
          <w:bCs w:val="1"/>
          <w:color w:val="auto"/>
        </w:rPr>
        <w:t xml:space="preserve"> 95128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June 19,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Anthony J. Recupero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Tony:</w:t>
      </w:r>
    </w:p>
    <w:p>
      <w:pPr>
        <w:spacing w:after="0" w:line="15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We are pleased to offer you the position of Chief Commercial Officer with SI-BONE, Inc. (“</w:t>
      </w:r>
      <w:r>
        <w:rPr>
          <w:rFonts w:ascii="Arial" w:cs="Arial" w:eastAsia="Arial" w:hAnsi="Arial"/>
          <w:sz w:val="18"/>
          <w:szCs w:val="18"/>
          <w:b w:val="1"/>
          <w:bCs w:val="1"/>
          <w:color w:val="auto"/>
        </w:rPr>
        <w:t>SI-BONE</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We believe that you will bring great value to SI-BONE and that your knowledge, skills and experience will be an asset to the Company and will offer a mutually beneficial opportunity. We are excited about you joining our team and hope that you will accept our offer.</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title will be Chief Commercial Officer. This is a full time, exempt position. You will report directly to Jeffrey Dunn, President and CEO.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your start date will be July 5, 2016 or a mutually agreed upon date.</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semi-monthly base salary of $13,125, equivalent to a yearly base of $315,000, subject to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withholdings. This salary will be subject to adjustment in the Company’s sole discretion. SI-BONE paydays are semi-monthly. Based on your role, you will be also be eligible under the Company’s 2016 Bonus Plan (“the </w:t>
      </w:r>
      <w:r>
        <w:rPr>
          <w:rFonts w:ascii="Arial" w:cs="Arial" w:eastAsia="Arial" w:hAnsi="Arial"/>
          <w:sz w:val="16"/>
          <w:szCs w:val="16"/>
          <w:b w:val="1"/>
          <w:bCs w:val="1"/>
          <w:color w:val="auto"/>
        </w:rPr>
        <w:t>Bonus Plan</w:t>
      </w:r>
      <w:r>
        <w:rPr>
          <w:rFonts w:ascii="Arial" w:cs="Arial" w:eastAsia="Arial" w:hAnsi="Arial"/>
          <w:sz w:val="16"/>
          <w:szCs w:val="16"/>
          <w:color w:val="auto"/>
        </w:rPr>
        <w:t>”) to receive up to an additional 40% of your base salary based on the achievement of certain corporate and individual goals. This Bonus Plan is available to you in your first full quarter with the Company and beyond. In the event of a dispute between the terms and conditions of this offer letter and the Bonus Plan, the Bonus Plan shall control.</w:t>
      </w:r>
    </w:p>
    <w:p>
      <w:pPr>
        <w:spacing w:after="0" w:line="8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You are also eligible to participate in the Company’s 2008 Stock Option Plan. Subject to the approval of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you will be granted an option to purchase a number of shares of the Company’s Common Stock equal to 0.7% of the Company’s fully diluted capitalization as of your first day of employment, with an exercise price equal to the fair market value of our Common Stock on the date of grant as determined by the Board of Directors. Subject in each case to your continuous service to the Company, you will vest in 25% of the shares on the one-year anniversary of your Start Date, and the balance of the shares will vest In equal monthly installments over the following 36 months. The option will be subject to the terms and conditions set forth in our 2008 Stock Option Plan and the applicable Stock Option Agreement.</w:t>
      </w:r>
    </w:p>
    <w:p>
      <w:pPr>
        <w:spacing w:after="0" w:line="88"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As a regular employee of the Company, you will be eligible to participate in a number of Company-sponsored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Company’s benefits programs are generally effective on the first day of the month following your date of hire, subject to the terms and conditions of specific benefit plan documentation. Human Resources will give you detailed benefits information during your new hire orientation.</w:t>
      </w:r>
    </w:p>
    <w:p>
      <w:pPr>
        <w:spacing w:after="0" w:line="6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Your employment is contingent upon your execution of the Company’s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Inventions Agreement (“PIIA”), which is enclosed and should be signed and returned with this letter.</w:t>
      </w:r>
    </w:p>
    <w:p>
      <w:pPr>
        <w:spacing w:after="0" w:line="9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Please keep in mind that your employment with SI-BONE is at-will. This means that you are free to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SI-BONE at any time, with or without cause or advance notice. Likewise, SI-BONE has the right to terminate your employment, or otherwise discipline, transfer or demote you at any time, with or without cause, and with or without notice. This is the full and complete agreement between you and the Company on this term, and any contrary representations that may have been made to you are superseded by this letter. No one other than the Company CEO can alter this at-will arrangement and any such agreement must be in writing and must be signed by you and the CEO.</w:t>
      </w:r>
    </w:p>
    <w:p>
      <w:pPr>
        <w:spacing w:after="0" w:line="8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Severance</w:t>
      </w:r>
      <w:r>
        <w:rPr>
          <w:rFonts w:ascii="Arial" w:cs="Arial" w:eastAsia="Arial" w:hAnsi="Arial"/>
          <w:sz w:val="18"/>
          <w:szCs w:val="18"/>
          <w:color w:val="auto"/>
        </w:rPr>
        <w:t>. Notwithstanding the foregoing, you will be eligible for the severance benefits set forth on Exhibit A to this Agreement,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that Exhibit A, which is hereby incorporated by reference.</w:t>
      </w:r>
    </w:p>
    <w:p>
      <w:pPr>
        <w:spacing w:after="0" w:line="81"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 All forms of compensation referred to in this letter are subject to reduction to reflect applicable withholding and payroll taxes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required by law. You are encouraged to obtain your own tax advice regarding your compensation from the Company.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367" w:name="page368"/>
    <w:bookmarkEnd w:id="367"/>
    <w:p>
      <w:pPr>
        <w:ind w:right="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7"/>
          <w:szCs w:val="17"/>
          <w:color w:val="auto"/>
        </w:rPr>
        <w:t>. While you render services to the Company, you will not engage in any other employment, consulting or other business activity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full-time or part-time) that would create a conflict of interest with the Company. By signing this letter, you confirm to the Company that you have no contractual commitments or other legal obligations that would prohibit you from performing your duties for the Company.</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Complete Agreement</w:t>
      </w:r>
      <w:r>
        <w:rPr>
          <w:rFonts w:ascii="Arial" w:cs="Arial" w:eastAsia="Arial" w:hAnsi="Arial"/>
          <w:sz w:val="18"/>
          <w:szCs w:val="18"/>
          <w:color w:val="auto"/>
        </w:rPr>
        <w:t>. This letter, inclusive of Exhibit A and the PlIA, supersedes and replaces any prior agreements, representations or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written, oral, implied or otherwise) between you and the Company and constitutes the complete agreement between you and the Company regarding the subject matter set forth herein. This letter may not be amended or modified except by an express written agreement signed by both you and a duly-authorized officer of the Company.</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Employment Eligibility Verification</w:t>
      </w:r>
      <w:r>
        <w:rPr>
          <w:rFonts w:ascii="Arial" w:cs="Arial" w:eastAsia="Arial" w:hAnsi="Arial"/>
          <w:sz w:val="18"/>
          <w:szCs w:val="18"/>
          <w:color w:val="auto"/>
        </w:rPr>
        <w:t>. Pursuant to the immigration and Nationality Act, the Company is required to verify the identity and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start date. This employment offer is also contingent upon your starting work with the Company on July 1, 2016 and the completion of an application for employment, satisfactory references and background checks.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accept this offer, please sign in the space provided below and in the space set forth on Exhibit A and return the signed letter, Exhibit and PIIA to me by close of business on June 22,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408-718-9027.</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0" w:right="439" w:bottom="1440" w:gutter="0" w:footer="0" w:header="0"/>
        </w:sectPr>
      </w:pPr>
    </w:p>
    <w:bookmarkStart w:id="368" w:name="page369"/>
    <w:bookmarkEnd w:id="36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exhibit contains terms and conditions pertaining to separation payments and benefits that SI-BONE, Inc. (“the Company”) is offering to you.</w:t>
      </w:r>
    </w:p>
    <w:p>
      <w:pPr>
        <w:spacing w:after="0" w:line="138" w:lineRule="exact"/>
        <w:rPr>
          <w:sz w:val="20"/>
          <w:szCs w:val="20"/>
          <w:color w:val="auto"/>
        </w:rPr>
      </w:pPr>
    </w:p>
    <w:p>
      <w:pPr>
        <w:ind w:left="860" w:right="60" w:hanging="424"/>
        <w:spacing w:after="0" w:line="266" w:lineRule="auto"/>
        <w:tabs>
          <w:tab w:leader="none" w:pos="86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No Change in Control</w:t>
      </w:r>
      <w:r>
        <w:rPr>
          <w:rFonts w:ascii="Arial" w:cs="Arial" w:eastAsia="Arial" w:hAnsi="Arial"/>
          <w:sz w:val="18"/>
          <w:szCs w:val="18"/>
          <w:color w:val="auto"/>
        </w:rPr>
        <w:t>.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860" w:hanging="425"/>
        <w:spacing w:after="0"/>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 lump-sum payment in the amount of $4,000.00</w:t>
      </w:r>
    </w:p>
    <w:p>
      <w:pPr>
        <w:spacing w:after="0" w:line="126" w:lineRule="exact"/>
        <w:rPr>
          <w:rFonts w:ascii="Arial" w:cs="Arial" w:eastAsia="Arial" w:hAnsi="Arial"/>
          <w:sz w:val="18"/>
          <w:szCs w:val="18"/>
          <w:color w:val="auto"/>
        </w:rPr>
      </w:pPr>
    </w:p>
    <w:p>
      <w:pPr>
        <w:ind w:left="860" w:right="120" w:hanging="424"/>
        <w:spacing w:after="0" w:line="293" w:lineRule="auto"/>
        <w:tabs>
          <w:tab w:leader="none" w:pos="860" w:val="left"/>
        </w:tabs>
        <w:numPr>
          <w:ilvl w:val="0"/>
          <w:numId w:val="330"/>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terminates your employment for any reason other than Cause or if you resign your employment for Good Reason either three</w:t>
      </w:r>
    </w:p>
    <w:p>
      <w:pPr>
        <w:spacing w:after="0" w:line="1" w:lineRule="exact"/>
        <w:rPr>
          <w:rFonts w:ascii="Arial" w:cs="Arial" w:eastAsia="Arial" w:hAnsi="Arial"/>
          <w:sz w:val="16"/>
          <w:szCs w:val="16"/>
          <w:color w:val="auto"/>
        </w:rPr>
      </w:pPr>
    </w:p>
    <w:p>
      <w:pPr>
        <w:ind w:left="860" w:right="540" w:firstLine="8"/>
        <w:spacing w:after="0" w:line="323" w:lineRule="auto"/>
        <w:tabs>
          <w:tab w:leader="none" w:pos="1115" w:val="left"/>
        </w:tabs>
        <w:numPr>
          <w:ilvl w:val="1"/>
          <w:numId w:val="330"/>
        </w:numPr>
        <w:rPr>
          <w:rFonts w:ascii="Arial" w:cs="Arial" w:eastAsia="Arial" w:hAnsi="Arial"/>
          <w:sz w:val="16"/>
          <w:szCs w:val="16"/>
          <w:color w:val="auto"/>
        </w:rPr>
      </w:pPr>
      <w:r>
        <w:rPr>
          <w:rFonts w:ascii="Arial" w:cs="Arial" w:eastAsia="Arial" w:hAnsi="Arial"/>
          <w:sz w:val="16"/>
          <w:szCs w:val="16"/>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44" w:lineRule="exact"/>
        <w:rPr>
          <w:rFonts w:ascii="Arial" w:cs="Arial" w:eastAsia="Arial" w:hAnsi="Arial"/>
          <w:sz w:val="16"/>
          <w:szCs w:val="16"/>
          <w:color w:val="auto"/>
        </w:rPr>
      </w:pPr>
    </w:p>
    <w:p>
      <w:pPr>
        <w:ind w:left="1860" w:hanging="425"/>
        <w:spacing w:after="0"/>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 lump-sum equal to six (6) months of your then-current base salary;</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 lump-sum payment in the amount of $8,000.00;</w:t>
      </w:r>
    </w:p>
    <w:p>
      <w:pPr>
        <w:spacing w:after="0" w:line="130" w:lineRule="exact"/>
        <w:rPr>
          <w:rFonts w:ascii="Arial" w:cs="Arial" w:eastAsia="Arial" w:hAnsi="Arial"/>
          <w:sz w:val="18"/>
          <w:szCs w:val="18"/>
          <w:color w:val="auto"/>
        </w:rPr>
      </w:pPr>
    </w:p>
    <w:p>
      <w:pPr>
        <w:ind w:left="1860" w:right="260" w:hanging="425"/>
        <w:spacing w:after="0" w:line="277" w:lineRule="auto"/>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apply to this Exhibit A:</w:t>
      </w:r>
    </w:p>
    <w:p>
      <w:pPr>
        <w:spacing w:after="0" w:line="134" w:lineRule="exact"/>
        <w:rPr>
          <w:rFonts w:ascii="Arial" w:cs="Arial" w:eastAsia="Arial" w:hAnsi="Arial"/>
          <w:sz w:val="18"/>
          <w:szCs w:val="18"/>
          <w:color w:val="auto"/>
        </w:rPr>
      </w:pPr>
    </w:p>
    <w:p>
      <w:pPr>
        <w:ind w:left="1860" w:hanging="425"/>
        <w:spacing w:after="0" w:line="272" w:lineRule="auto"/>
        <w:tabs>
          <w:tab w:leader="none" w:pos="1860" w:val="left"/>
        </w:tabs>
        <w:numPr>
          <w:ilvl w:val="2"/>
          <w:numId w:val="33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3" w:lineRule="exact"/>
        <w:rPr>
          <w:rFonts w:ascii="Arial" w:cs="Arial" w:eastAsia="Arial" w:hAnsi="Arial"/>
          <w:sz w:val="17"/>
          <w:szCs w:val="17"/>
          <w:color w:val="auto"/>
        </w:rPr>
      </w:pPr>
    </w:p>
    <w:p>
      <w:pPr>
        <w:ind w:left="1860" w:right="20" w:hanging="425"/>
        <w:spacing w:after="0" w:line="255" w:lineRule="auto"/>
        <w:tabs>
          <w:tab w:leader="none" w:pos="1860" w:val="left"/>
        </w:tabs>
        <w:numPr>
          <w:ilvl w:val="2"/>
          <w:numId w:val="33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94" w:lineRule="exact"/>
        <w:rPr>
          <w:rFonts w:ascii="Arial" w:cs="Arial" w:eastAsia="Arial" w:hAnsi="Arial"/>
          <w:sz w:val="18"/>
          <w:szCs w:val="18"/>
          <w:color w:val="auto"/>
        </w:rPr>
      </w:pPr>
    </w:p>
    <w:p>
      <w:pPr>
        <w:ind w:left="1860" w:right="40" w:hanging="425"/>
        <w:spacing w:after="0" w:line="276" w:lineRule="auto"/>
        <w:tabs>
          <w:tab w:leader="none" w:pos="1860" w:val="left"/>
        </w:tabs>
        <w:numPr>
          <w:ilvl w:val="2"/>
          <w:numId w:val="330"/>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3" w:lineRule="exact"/>
        <w:rPr>
          <w:rFonts w:ascii="Arial" w:cs="Arial" w:eastAsia="Arial" w:hAnsi="Arial"/>
          <w:sz w:val="17"/>
          <w:szCs w:val="17"/>
          <w:color w:val="auto"/>
        </w:rPr>
      </w:pPr>
    </w:p>
    <w:p>
      <w:pPr>
        <w:ind w:left="860" w:right="20" w:hanging="424"/>
        <w:spacing w:after="0" w:line="261" w:lineRule="auto"/>
        <w:tabs>
          <w:tab w:leader="none" w:pos="86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4" w:right="459" w:bottom="1440" w:gutter="0" w:footer="0" w:header="0"/>
        </w:sectPr>
      </w:pPr>
    </w:p>
    <w:bookmarkStart w:id="369" w:name="page370"/>
    <w:bookmarkEnd w:id="369"/>
    <w:p>
      <w:pPr>
        <w:jc w:val="both"/>
        <w:ind w:left="880"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326" w:lineRule="exact"/>
        <w:rPr>
          <w:sz w:val="20"/>
          <w:szCs w:val="20"/>
          <w:color w:val="auto"/>
        </w:rPr>
      </w:pPr>
    </w:p>
    <w:p>
      <w:pPr>
        <w:ind w:left="860" w:hanging="424"/>
        <w:spacing w:after="0"/>
        <w:tabs>
          <w:tab w:leader="none" w:pos="8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134" w:lineRule="exact"/>
        <w:rPr>
          <w:rFonts w:ascii="Arial" w:cs="Arial" w:eastAsia="Arial" w:hAnsi="Arial"/>
          <w:sz w:val="18"/>
          <w:szCs w:val="18"/>
          <w:color w:val="auto"/>
        </w:rPr>
      </w:pPr>
    </w:p>
    <w:p>
      <w:pPr>
        <w:ind w:left="1860" w:hanging="425"/>
        <w:spacing w:after="0"/>
        <w:tabs>
          <w:tab w:leader="none" w:pos="1860"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benefits referred to in this Exhibit will be subject to applicable tax withholding and deductions.</w:t>
      </w:r>
    </w:p>
    <w:p>
      <w:pPr>
        <w:spacing w:after="0" w:line="130" w:lineRule="exact"/>
        <w:rPr>
          <w:rFonts w:ascii="Arial" w:cs="Arial" w:eastAsia="Arial" w:hAnsi="Arial"/>
          <w:sz w:val="18"/>
          <w:szCs w:val="18"/>
          <w:color w:val="auto"/>
        </w:rPr>
      </w:pPr>
    </w:p>
    <w:p>
      <w:pPr>
        <w:ind w:left="1860" w:right="20" w:hanging="425"/>
        <w:spacing w:after="0" w:line="276" w:lineRule="auto"/>
        <w:tabs>
          <w:tab w:leader="none" w:pos="1860" w:val="left"/>
        </w:tabs>
        <w:numPr>
          <w:ilvl w:val="1"/>
          <w:numId w:val="331"/>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77" w:lineRule="exact"/>
        <w:rPr>
          <w:rFonts w:ascii="Arial" w:cs="Arial" w:eastAsia="Arial" w:hAnsi="Arial"/>
          <w:sz w:val="17"/>
          <w:szCs w:val="17"/>
          <w:color w:val="auto"/>
        </w:rPr>
      </w:pPr>
    </w:p>
    <w:p>
      <w:pPr>
        <w:ind w:left="1860" w:right="120" w:hanging="425"/>
        <w:spacing w:after="0" w:line="257" w:lineRule="auto"/>
        <w:tabs>
          <w:tab w:leader="none" w:pos="1860"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93" w:lineRule="exact"/>
        <w:rPr>
          <w:rFonts w:ascii="Arial" w:cs="Arial" w:eastAsia="Arial" w:hAnsi="Arial"/>
          <w:sz w:val="18"/>
          <w:szCs w:val="18"/>
          <w:color w:val="auto"/>
        </w:rPr>
      </w:pPr>
    </w:p>
    <w:p>
      <w:pPr>
        <w:ind w:left="1860" w:right="160" w:hanging="425"/>
        <w:spacing w:after="0" w:line="342" w:lineRule="auto"/>
        <w:tabs>
          <w:tab w:leader="none" w:pos="1860"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860" w:right="240" w:hanging="424"/>
        <w:spacing w:after="0" w:line="282" w:lineRule="auto"/>
        <w:tabs>
          <w:tab w:leader="none" w:pos="8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860" w:hanging="424"/>
        <w:spacing w:after="0" w:line="255" w:lineRule="auto"/>
        <w:tabs>
          <w:tab w:leader="none" w:pos="8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Exhibit A expressly supersedes and replaces any prior agreements, representations or understandings, written or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between you and the Company as to the subject matter herein. This Exhibit A may only be modified or amended in a writing signed by both you and a duly-authorized Company officer or member of the Board of Directors. This Exhibit A will bind the heirs, personal representatives, successors and assigns of both you and the Company, and will inure to the benefit of both you and the Company, and your/its heirs, successors and assigns. if any provision of this Exhibit A is determined to be invalid or unenforceable, in whole or in part, this determination will not affect any other provision of this agreement and the provision in question will be modified to be rendered 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To signify your acceptance of these terms and conditions, please sign and return a copy of this Exhibit A to me on or before June 22, 2016.</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J. Recupero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June 20,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00"/>
          </w:cols>
          <w:pgMar w:left="440" w:top="274" w:right="45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2, 2016</w:t>
      </w:r>
    </w:p>
    <w:p>
      <w:pPr>
        <w:sectPr>
          <w:pgSz w:w="11900" w:h="16838" w:orient="portrait"/>
          <w:cols w:equalWidth="0" w:num="1">
            <w:col w:w="10020"/>
          </w:cols>
          <w:pgMar w:left="1440" w:top="121" w:right="43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6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56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560" w:type="dxa"/>
            <w:vAlign w:val="bottom"/>
          </w:tcPr>
          <w:p>
            <w:pPr>
              <w:ind w:left="160"/>
              <w:spacing w:after="0"/>
              <w:rPr>
                <w:sz w:val="20"/>
                <w:szCs w:val="20"/>
                <w:color w:val="auto"/>
              </w:rPr>
            </w:pPr>
            <w:r>
              <w:rPr>
                <w:rFonts w:ascii="Arial" w:cs="Arial" w:eastAsia="Arial" w:hAnsi="Arial"/>
                <w:sz w:val="18"/>
                <w:szCs w:val="18"/>
                <w:color w:val="auto"/>
              </w:rPr>
              <w:t>Request for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560" w:type="dxa"/>
            <w:vAlign w:val="bottom"/>
          </w:tcPr>
          <w:p>
            <w:pPr>
              <w:ind w:left="160"/>
              <w:spacing w:after="0"/>
              <w:rPr>
                <w:sz w:val="20"/>
                <w:szCs w:val="20"/>
                <w:color w:val="auto"/>
              </w:rPr>
            </w:pPr>
            <w:r>
              <w:rPr>
                <w:rFonts w:ascii="Arial" w:cs="Arial" w:eastAsia="Arial" w:hAnsi="Arial"/>
                <w:sz w:val="18"/>
                <w:szCs w:val="18"/>
                <w:color w:val="auto"/>
              </w:rPr>
              <w:t>Company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560" w:type="dxa"/>
            <w:vAlign w:val="bottom"/>
          </w:tcPr>
          <w:p>
            <w:pPr>
              <w:ind w:left="160"/>
              <w:spacing w:after="0"/>
              <w:rPr>
                <w:sz w:val="20"/>
                <w:szCs w:val="20"/>
                <w:color w:val="auto"/>
              </w:rPr>
            </w:pPr>
            <w:r>
              <w:rPr>
                <w:rFonts w:ascii="Arial" w:cs="Arial" w:eastAsia="Arial" w:hAnsi="Arial"/>
                <w:sz w:val="18"/>
                <w:szCs w:val="18"/>
                <w:color w:val="auto"/>
              </w:rPr>
              <w:t>Form S-3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560" w:type="dxa"/>
            <w:vAlign w:val="bottom"/>
          </w:tcPr>
          <w:p>
            <w:pPr>
              <w:ind w:left="160"/>
              <w:spacing w:after="0"/>
              <w:rPr>
                <w:sz w:val="20"/>
                <w:szCs w:val="20"/>
                <w:color w:val="auto"/>
              </w:rPr>
            </w:pPr>
            <w:r>
              <w:rPr>
                <w:rFonts w:ascii="Arial" w:cs="Arial" w:eastAsia="Arial" w:hAnsi="Arial"/>
                <w:sz w:val="18"/>
                <w:szCs w:val="18"/>
                <w:color w:val="auto"/>
              </w:rPr>
              <w:t>Obligations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560" w:type="dxa"/>
            <w:vAlign w:val="bottom"/>
          </w:tcPr>
          <w:p>
            <w:pPr>
              <w:ind w:left="160"/>
              <w:spacing w:after="0"/>
              <w:rPr>
                <w:sz w:val="20"/>
                <w:szCs w:val="20"/>
                <w:color w:val="auto"/>
              </w:rPr>
            </w:pPr>
            <w:r>
              <w:rPr>
                <w:rFonts w:ascii="Arial" w:cs="Arial" w:eastAsia="Arial" w:hAnsi="Arial"/>
                <w:sz w:val="18"/>
                <w:szCs w:val="18"/>
                <w:color w:val="auto"/>
              </w:rPr>
              <w:t>Information from Holder</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560" w:type="dxa"/>
            <w:vAlign w:val="bottom"/>
          </w:tcPr>
          <w:p>
            <w:pPr>
              <w:ind w:left="160"/>
              <w:spacing w:after="0"/>
              <w:rPr>
                <w:sz w:val="20"/>
                <w:szCs w:val="20"/>
                <w:color w:val="auto"/>
              </w:rPr>
            </w:pPr>
            <w:r>
              <w:rPr>
                <w:rFonts w:ascii="Arial" w:cs="Arial" w:eastAsia="Arial" w:hAnsi="Arial"/>
                <w:sz w:val="18"/>
                <w:szCs w:val="18"/>
                <w:color w:val="auto"/>
              </w:rPr>
              <w:t>Delay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56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560" w:type="dxa"/>
            <w:vAlign w:val="bottom"/>
          </w:tcPr>
          <w:p>
            <w:pPr>
              <w:ind w:left="160"/>
              <w:spacing w:after="0"/>
              <w:rPr>
                <w:sz w:val="20"/>
                <w:szCs w:val="20"/>
                <w:color w:val="auto"/>
              </w:rPr>
            </w:pPr>
            <w:r>
              <w:rPr>
                <w:rFonts w:ascii="Arial" w:cs="Arial" w:eastAsia="Arial" w:hAnsi="Arial"/>
                <w:sz w:val="18"/>
                <w:szCs w:val="18"/>
                <w:color w:val="auto"/>
              </w:rPr>
              <w:t>Reports Under the 1934 Act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560" w:type="dxa"/>
            <w:vAlign w:val="bottom"/>
          </w:tcPr>
          <w:p>
            <w:pPr>
              <w:ind w:left="160"/>
              <w:spacing w:after="0"/>
              <w:rPr>
                <w:sz w:val="20"/>
                <w:szCs w:val="20"/>
                <w:color w:val="auto"/>
              </w:rPr>
            </w:pPr>
            <w:r>
              <w:rPr>
                <w:rFonts w:ascii="Arial" w:cs="Arial" w:eastAsia="Arial" w:hAnsi="Arial"/>
                <w:sz w:val="18"/>
                <w:szCs w:val="18"/>
                <w:color w:val="auto"/>
              </w:rPr>
              <w:t>Assignment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1.12</w:t>
            </w:r>
          </w:p>
        </w:tc>
        <w:tc>
          <w:tcPr>
            <w:tcW w:w="7560" w:type="dxa"/>
            <w:vAlign w:val="bottom"/>
          </w:tcPr>
          <w:p>
            <w:pPr>
              <w:ind w:left="160"/>
              <w:spacing w:after="0"/>
              <w:rPr>
                <w:sz w:val="20"/>
                <w:szCs w:val="20"/>
                <w:color w:val="auto"/>
              </w:rPr>
            </w:pPr>
            <w:r>
              <w:rPr>
                <w:rFonts w:ascii="Arial" w:cs="Arial" w:eastAsia="Arial" w:hAnsi="Arial"/>
                <w:sz w:val="18"/>
                <w:szCs w:val="18"/>
                <w:color w:val="auto"/>
              </w:rPr>
              <w:t>Limitations on Subsequent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1.13</w:t>
            </w:r>
          </w:p>
        </w:tc>
        <w:tc>
          <w:tcPr>
            <w:tcW w:w="7560" w:type="dxa"/>
            <w:vAlign w:val="bottom"/>
          </w:tcPr>
          <w:p>
            <w:pPr>
              <w:ind w:left="160"/>
              <w:spacing w:after="0"/>
              <w:rPr>
                <w:sz w:val="20"/>
                <w:szCs w:val="20"/>
                <w:color w:val="auto"/>
              </w:rPr>
            </w:pPr>
            <w:r>
              <w:rPr>
                <w:rFonts w:ascii="Arial" w:cs="Arial" w:eastAsia="Arial" w:hAnsi="Arial"/>
                <w:sz w:val="18"/>
                <w:szCs w:val="18"/>
                <w:color w:val="auto"/>
              </w:rPr>
              <w:t>“Market Stand-Off”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1.14</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COVENANTS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560" w:type="dxa"/>
            <w:vAlign w:val="bottom"/>
          </w:tcPr>
          <w:p>
            <w:pPr>
              <w:ind w:left="160"/>
              <w:spacing w:after="0"/>
              <w:rPr>
                <w:sz w:val="20"/>
                <w:szCs w:val="20"/>
                <w:color w:val="auto"/>
              </w:rPr>
            </w:pPr>
            <w:r>
              <w:rPr>
                <w:rFonts w:ascii="Arial" w:cs="Arial" w:eastAsia="Arial" w:hAnsi="Arial"/>
                <w:sz w:val="18"/>
                <w:szCs w:val="18"/>
                <w:color w:val="auto"/>
              </w:rPr>
              <w:t>Delivery of Financial Statements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560" w:type="dxa"/>
            <w:vAlign w:val="bottom"/>
          </w:tcPr>
          <w:p>
            <w:pPr>
              <w:ind w:left="160"/>
              <w:spacing w:after="0"/>
              <w:rPr>
                <w:sz w:val="20"/>
                <w:szCs w:val="20"/>
                <w:color w:val="auto"/>
              </w:rPr>
            </w:pPr>
            <w:r>
              <w:rPr>
                <w:rFonts w:ascii="Arial" w:cs="Arial" w:eastAsia="Arial" w:hAnsi="Arial"/>
                <w:sz w:val="18"/>
                <w:szCs w:val="18"/>
                <w:color w:val="auto"/>
              </w:rPr>
              <w:t>Inspection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Information and Inspection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560" w:type="dxa"/>
            <w:vAlign w:val="bottom"/>
          </w:tcPr>
          <w:p>
            <w:pPr>
              <w:ind w:left="160"/>
              <w:spacing w:after="0"/>
              <w:rPr>
                <w:sz w:val="20"/>
                <w:szCs w:val="20"/>
                <w:color w:val="auto"/>
              </w:rPr>
            </w:pPr>
            <w:r>
              <w:rPr>
                <w:rFonts w:ascii="Arial" w:cs="Arial" w:eastAsia="Arial" w:hAnsi="Arial"/>
                <w:sz w:val="18"/>
                <w:szCs w:val="18"/>
                <w:color w:val="auto"/>
              </w:rPr>
              <w:t>Right of First Offer</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560" w:type="dxa"/>
            <w:vAlign w:val="bottom"/>
          </w:tcPr>
          <w:p>
            <w:pPr>
              <w:ind w:left="160"/>
              <w:spacing w:after="0"/>
              <w:rPr>
                <w:sz w:val="20"/>
                <w:szCs w:val="20"/>
                <w:color w:val="auto"/>
              </w:rPr>
            </w:pPr>
            <w:r>
              <w:rPr>
                <w:rFonts w:ascii="Arial" w:cs="Arial" w:eastAsia="Arial" w:hAnsi="Arial"/>
                <w:sz w:val="18"/>
                <w:szCs w:val="18"/>
                <w:color w:val="auto"/>
              </w:rPr>
              <w:t>D&amp;O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560" w:type="dxa"/>
            <w:vAlign w:val="bottom"/>
          </w:tcPr>
          <w:p>
            <w:pPr>
              <w:ind w:left="160"/>
              <w:spacing w:after="0"/>
              <w:rPr>
                <w:sz w:val="20"/>
                <w:szCs w:val="20"/>
                <w:color w:val="auto"/>
              </w:rPr>
            </w:pPr>
            <w:r>
              <w:rPr>
                <w:rFonts w:ascii="Arial" w:cs="Arial" w:eastAsia="Arial" w:hAnsi="Arial"/>
                <w:sz w:val="18"/>
                <w:szCs w:val="18"/>
                <w:color w:val="auto"/>
              </w:rPr>
              <w:t>Proprietary Information and Inventions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560" w:type="dxa"/>
            <w:vAlign w:val="bottom"/>
          </w:tcPr>
          <w:p>
            <w:pPr>
              <w:ind w:left="160"/>
              <w:spacing w:after="0"/>
              <w:rPr>
                <w:sz w:val="20"/>
                <w:szCs w:val="20"/>
                <w:color w:val="auto"/>
              </w:rPr>
            </w:pPr>
            <w:r>
              <w:rPr>
                <w:rFonts w:ascii="Arial" w:cs="Arial" w:eastAsia="Arial" w:hAnsi="Arial"/>
                <w:sz w:val="18"/>
                <w:szCs w:val="18"/>
                <w:color w:val="auto"/>
              </w:rPr>
              <w:t>Employee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560" w:type="dxa"/>
            <w:vAlign w:val="bottom"/>
          </w:tcPr>
          <w:p>
            <w:pPr>
              <w:ind w:left="160"/>
              <w:spacing w:after="0"/>
              <w:rPr>
                <w:sz w:val="20"/>
                <w:szCs w:val="20"/>
                <w:color w:val="auto"/>
              </w:rPr>
            </w:pPr>
            <w:r>
              <w:rPr>
                <w:rFonts w:ascii="Arial" w:cs="Arial" w:eastAsia="Arial" w:hAnsi="Arial"/>
                <w:sz w:val="18"/>
                <w:szCs w:val="18"/>
                <w:color w:val="auto"/>
              </w:rPr>
              <w:t>Preservation of Qualified Small Business Stock Status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560" w:type="dxa"/>
            <w:vAlign w:val="bottom"/>
          </w:tcPr>
          <w:p>
            <w:pPr>
              <w:ind w:left="160"/>
              <w:spacing w:after="0"/>
              <w:rPr>
                <w:sz w:val="20"/>
                <w:szCs w:val="20"/>
                <w:color w:val="auto"/>
              </w:rPr>
            </w:pPr>
            <w:r>
              <w:rPr>
                <w:rFonts w:ascii="Arial" w:cs="Arial" w:eastAsia="Arial" w:hAnsi="Arial"/>
                <w:sz w:val="18"/>
                <w:szCs w:val="18"/>
                <w:color w:val="auto"/>
              </w:rPr>
              <w:t>Board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560" w:type="dxa"/>
            <w:vAlign w:val="bottom"/>
          </w:tcPr>
          <w:p>
            <w:pPr>
              <w:ind w:left="160"/>
              <w:spacing w:after="0"/>
              <w:rPr>
                <w:sz w:val="20"/>
                <w:szCs w:val="20"/>
                <w:color w:val="auto"/>
              </w:rPr>
            </w:pPr>
            <w:r>
              <w:rPr>
                <w:rFonts w:ascii="Arial" w:cs="Arial" w:eastAsia="Arial" w:hAnsi="Arial"/>
                <w:sz w:val="18"/>
                <w:szCs w:val="18"/>
                <w:color w:val="auto"/>
              </w:rPr>
              <w:t>Board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Certain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5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5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5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56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5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3.7</w:t>
            </w:r>
          </w:p>
        </w:tc>
        <w:tc>
          <w:tcPr>
            <w:tcW w:w="7560" w:type="dxa"/>
            <w:vAlign w:val="bottom"/>
          </w:tcPr>
          <w:p>
            <w:pPr>
              <w:ind w:left="160"/>
              <w:spacing w:after="0"/>
              <w:rPr>
                <w:sz w:val="20"/>
                <w:szCs w:val="20"/>
                <w:color w:val="auto"/>
              </w:rPr>
            </w:pPr>
            <w:r>
              <w:rPr>
                <w:rFonts w:ascii="Arial" w:cs="Arial" w:eastAsia="Arial" w:hAnsi="Arial"/>
                <w:sz w:val="18"/>
                <w:szCs w:val="18"/>
                <w:color w:val="auto"/>
              </w:rPr>
              <w:t>Entire Agreement; 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3.8</w:t>
            </w:r>
          </w:p>
        </w:tc>
        <w:tc>
          <w:tcPr>
            <w:tcW w:w="75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3.9</w:t>
            </w:r>
          </w:p>
        </w:tc>
        <w:tc>
          <w:tcPr>
            <w:tcW w:w="7560" w:type="dxa"/>
            <w:vAlign w:val="bottom"/>
          </w:tcPr>
          <w:p>
            <w:pPr>
              <w:ind w:left="160"/>
              <w:spacing w:after="0"/>
              <w:rPr>
                <w:sz w:val="20"/>
                <w:szCs w:val="20"/>
                <w:color w:val="auto"/>
              </w:rPr>
            </w:pPr>
            <w:r>
              <w:rPr>
                <w:rFonts w:ascii="Arial" w:cs="Arial" w:eastAsia="Arial" w:hAnsi="Arial"/>
                <w:sz w:val="18"/>
                <w:szCs w:val="18"/>
                <w:color w:val="auto"/>
              </w:rPr>
              <w:t>Aggregation of Stock</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3.10</w:t>
            </w:r>
          </w:p>
        </w:tc>
        <w:tc>
          <w:tcPr>
            <w:tcW w:w="7560" w:type="dxa"/>
            <w:vAlign w:val="bottom"/>
          </w:tcPr>
          <w:p>
            <w:pPr>
              <w:ind w:left="160"/>
              <w:spacing w:after="0"/>
              <w:rPr>
                <w:sz w:val="20"/>
                <w:szCs w:val="20"/>
                <w:color w:val="auto"/>
              </w:rPr>
            </w:pPr>
            <w:r>
              <w:rPr>
                <w:rFonts w:ascii="Arial" w:cs="Arial" w:eastAsia="Arial" w:hAnsi="Arial"/>
                <w:sz w:val="18"/>
                <w:szCs w:val="18"/>
                <w:color w:val="auto"/>
              </w:rPr>
              <w:t>Limitation of Liability; Freedom to Operate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3.11</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Prior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3.12</w:t>
            </w:r>
          </w:p>
        </w:tc>
        <w:tc>
          <w:tcPr>
            <w:tcW w:w="7560" w:type="dxa"/>
            <w:vAlign w:val="bottom"/>
          </w:tcPr>
          <w:p>
            <w:pPr>
              <w:ind w:left="160"/>
              <w:spacing w:after="0"/>
              <w:rPr>
                <w:sz w:val="20"/>
                <w:szCs w:val="20"/>
                <w:color w:val="auto"/>
              </w:rPr>
            </w:pPr>
            <w:r>
              <w:rPr>
                <w:rFonts w:ascii="Arial" w:cs="Arial" w:eastAsia="Arial" w:hAnsi="Arial"/>
                <w:sz w:val="18"/>
                <w:szCs w:val="18"/>
                <w:color w:val="auto"/>
              </w:rPr>
              <w:t>Preemptive Rights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69" w:right="479"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INVESTORS’ RIGHTS AGREEMENT</w:t>
      </w:r>
    </w:p>
    <w:p>
      <w:pPr>
        <w:spacing w:after="0" w:line="229" w:lineRule="exact"/>
        <w:rPr>
          <w:sz w:val="20"/>
          <w:szCs w:val="20"/>
          <w:color w:val="auto"/>
        </w:rPr>
      </w:pPr>
    </w:p>
    <w:p>
      <w:pPr>
        <w:jc w:val="both"/>
        <w:ind w:right="140" w:firstLine="881"/>
        <w:spacing w:after="0" w:line="264" w:lineRule="auto"/>
        <w:rPr>
          <w:sz w:val="20"/>
          <w:szCs w:val="20"/>
          <w:color w:val="auto"/>
        </w:rPr>
      </w:pPr>
      <w:r>
        <w:rPr>
          <w:rFonts w:ascii="Arial" w:cs="Arial" w:eastAsia="Arial" w:hAnsi="Arial"/>
          <w:sz w:val="18"/>
          <w:szCs w:val="18"/>
          <w:color w:val="auto"/>
        </w:rPr>
        <w:t>THIS AMENDED AND RESTATED INVESTORS’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2nd day of June, 2016, by and among SI-BONE,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herein referred to as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u w:val="single" w:color="auto"/>
          <w:color w:val="auto"/>
        </w:rPr>
        <w:t>Prior Investors</w:t>
      </w:r>
      <w:r>
        <w:rPr>
          <w:rFonts w:ascii="Arial" w:cs="Arial" w:eastAsia="Arial" w:hAnsi="Arial"/>
          <w:sz w:val="18"/>
          <w:szCs w:val="18"/>
          <w:color w:val="auto"/>
        </w:rPr>
        <w:t>”) have previously entered into that certain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Investors’ Rights Agreement dated as of April 21, 2014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 pursuant to which the Company granted the Prior Investors certain rights;</w:t>
      </w:r>
    </w:p>
    <w:p>
      <w:pPr>
        <w:spacing w:after="0" w:line="176" w:lineRule="exact"/>
        <w:rPr>
          <w:sz w:val="20"/>
          <w:szCs w:val="20"/>
          <w:color w:val="auto"/>
        </w:rPr>
      </w:pPr>
    </w:p>
    <w:p>
      <w:pPr>
        <w:ind w:right="8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may be amended, and any provision therein waived, with the consent of the Company and the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a majority of the voting power of the Company’s Series 1, 2, 3, 4, 5 and 6 Preferred Stock (collectively with the Series 7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outstanding (voting together as a single class and on an as-converted to common basis);</w:t>
      </w:r>
    </w:p>
    <w:p>
      <w:pPr>
        <w:spacing w:after="0" w:line="176" w:lineRule="exact"/>
        <w:rPr>
          <w:sz w:val="20"/>
          <w:szCs w:val="20"/>
          <w:color w:val="auto"/>
        </w:rPr>
      </w:pPr>
    </w:p>
    <w:p>
      <w:pPr>
        <w:ind w:right="240" w:firstLine="88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certain of the Investors (the “</w:t>
      </w:r>
      <w:r>
        <w:rPr>
          <w:rFonts w:ascii="Arial" w:cs="Arial" w:eastAsia="Arial" w:hAnsi="Arial"/>
          <w:sz w:val="16"/>
          <w:szCs w:val="16"/>
          <w:u w:val="single" w:color="auto"/>
          <w:color w:val="auto"/>
        </w:rPr>
        <w:t>Series 7 Investors</w:t>
      </w:r>
      <w:r>
        <w:rPr>
          <w:rFonts w:ascii="Arial" w:cs="Arial" w:eastAsia="Arial" w:hAnsi="Arial"/>
          <w:sz w:val="16"/>
          <w:szCs w:val="16"/>
          <w:color w:val="auto"/>
        </w:rPr>
        <w:t>”) are parties to that certain Series 7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Agreement of even date herewith (the “</w:t>
      </w:r>
      <w:r>
        <w:rPr>
          <w:rFonts w:ascii="Arial" w:cs="Arial" w:eastAsia="Arial" w:hAnsi="Arial"/>
          <w:sz w:val="16"/>
          <w:szCs w:val="16"/>
          <w:u w:val="single" w:color="auto"/>
          <w:color w:val="auto"/>
        </w:rPr>
        <w:t>Series 7 Purchase Agreement</w:t>
      </w:r>
      <w:r>
        <w:rPr>
          <w:rFonts w:ascii="Arial" w:cs="Arial" w:eastAsia="Arial" w:hAnsi="Arial"/>
          <w:sz w:val="16"/>
          <w:szCs w:val="16"/>
          <w:color w:val="auto"/>
        </w:rPr>
        <w:t>”) by and among the Company and certain of the Investors, pursuant to which the Series 7 Investors are purchasing shares of the Company’s Series 7 Preferred Stock (the “</w:t>
      </w:r>
      <w:r>
        <w:rPr>
          <w:rFonts w:ascii="Arial" w:cs="Arial" w:eastAsia="Arial" w:hAnsi="Arial"/>
          <w:sz w:val="16"/>
          <w:szCs w:val="16"/>
          <w:u w:val="single" w:color="auto"/>
          <w:color w:val="auto"/>
        </w:rPr>
        <w:t>Series 7 Preferred Stock</w:t>
      </w:r>
      <w:r>
        <w:rPr>
          <w:rFonts w:ascii="Arial" w:cs="Arial" w:eastAsia="Arial" w:hAnsi="Arial"/>
          <w:sz w:val="16"/>
          <w:szCs w:val="16"/>
          <w:color w:val="auto"/>
        </w:rPr>
        <w:t>”); and</w:t>
      </w:r>
    </w:p>
    <w:p>
      <w:pPr>
        <w:spacing w:after="0" w:line="142"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Series 7 Investors to purchase Series 7 Preferred Stock pursuant to the Series 7 Purchase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Investors and the Company hereby agree that this Agreement shall govern certain rights of the Investors as they relate to the shares Common Stock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or issuable to them, including registration rights, financial information rights, rights of first refusal, and certain other matters as set forth herein.</w:t>
      </w:r>
    </w:p>
    <w:p>
      <w:pPr>
        <w:spacing w:after="0" w:line="180" w:lineRule="exact"/>
        <w:rPr>
          <w:sz w:val="20"/>
          <w:szCs w:val="20"/>
          <w:color w:val="auto"/>
        </w:rPr>
      </w:pPr>
    </w:p>
    <w:p>
      <w:pPr>
        <w:ind w:right="60" w:firstLine="881"/>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the Prior Investors and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the Prior Agreement shall be superseded and replaced in its entirety by this Agreement, and the parties hereto further agree as follows:</w:t>
      </w:r>
    </w:p>
    <w:p>
      <w:pPr>
        <w:spacing w:after="0" w:line="120" w:lineRule="exact"/>
        <w:rPr>
          <w:sz w:val="20"/>
          <w:szCs w:val="20"/>
          <w:color w:val="auto"/>
        </w:rPr>
      </w:pPr>
    </w:p>
    <w:p>
      <w:pPr>
        <w:ind w:left="760" w:hanging="316"/>
        <w:spacing w:after="0"/>
        <w:tabs>
          <w:tab w:leader="none" w:pos="76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620" w:firstLine="1436"/>
        <w:spacing w:after="0" w:line="342" w:lineRule="auto"/>
        <w:tabs>
          <w:tab w:leader="none" w:pos="181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specified person, including, without limitation, any general partner,</w:t>
      </w:r>
    </w:p>
    <w:p>
      <w:pPr>
        <w:sectPr>
          <w:pgSz w:w="11900" w:h="16838" w:orient="portrait"/>
          <w:cols w:equalWidth="0" w:num="1">
            <w:col w:w="11020"/>
          </w:cols>
          <w:pgMar w:left="440" w:top="270" w:right="439" w:bottom="1440" w:gutter="0" w:footer="0" w:header="0"/>
        </w:sectPr>
      </w:pPr>
    </w:p>
    <w:bookmarkStart w:id="373" w:name="page374"/>
    <w:bookmarkEnd w:id="37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director or manager of such person and any venture capital fund now or hereafter existing that is controlled by one or more general partners or managing members of, or is under common investment management with, such person.</w:t>
      </w:r>
    </w:p>
    <w:p>
      <w:pPr>
        <w:spacing w:after="0" w:line="170" w:lineRule="exact"/>
        <w:rPr>
          <w:sz w:val="20"/>
          <w:szCs w:val="20"/>
          <w:color w:val="auto"/>
        </w:rPr>
      </w:pPr>
    </w:p>
    <w:p>
      <w:pPr>
        <w:ind w:right="360" w:firstLine="1436"/>
        <w:spacing w:after="0" w:line="264" w:lineRule="auto"/>
        <w:tabs>
          <w:tab w:leader="none" w:pos="1809"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Form S-3</w:t>
      </w:r>
      <w:r>
        <w:rPr>
          <w:rFonts w:ascii="Arial" w:cs="Arial" w:eastAsia="Arial" w:hAnsi="Arial"/>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81" w:lineRule="exact"/>
        <w:rPr>
          <w:rFonts w:ascii="Arial" w:cs="Arial" w:eastAsia="Arial" w:hAnsi="Arial"/>
          <w:sz w:val="18"/>
          <w:szCs w:val="18"/>
          <w:color w:val="auto"/>
        </w:rPr>
      </w:pPr>
    </w:p>
    <w:p>
      <w:pPr>
        <w:ind w:left="1820" w:hanging="384"/>
        <w:spacing w:after="0"/>
        <w:tabs>
          <w:tab w:leader="none" w:pos="18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 free-writing prospectus, as defined in Rule 405.</w:t>
      </w:r>
    </w:p>
    <w:p>
      <w:pPr>
        <w:spacing w:after="0" w:line="225" w:lineRule="exact"/>
        <w:rPr>
          <w:rFonts w:ascii="Arial" w:cs="Arial" w:eastAsia="Arial" w:hAnsi="Arial"/>
          <w:sz w:val="18"/>
          <w:szCs w:val="18"/>
          <w:color w:val="auto"/>
        </w:rPr>
      </w:pPr>
    </w:p>
    <w:p>
      <w:pPr>
        <w:ind w:right="240" w:firstLine="1436"/>
        <w:spacing w:after="0" w:line="277" w:lineRule="auto"/>
        <w:tabs>
          <w:tab w:leader="none" w:pos="1809"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1.11 hereof.</w:t>
      </w:r>
    </w:p>
    <w:p>
      <w:pPr>
        <w:spacing w:after="0" w:line="170" w:lineRule="exact"/>
        <w:rPr>
          <w:rFonts w:ascii="Arial" w:cs="Arial" w:eastAsia="Arial" w:hAnsi="Arial"/>
          <w:sz w:val="18"/>
          <w:szCs w:val="18"/>
          <w:color w:val="auto"/>
        </w:rPr>
      </w:pPr>
    </w:p>
    <w:p>
      <w:pPr>
        <w:ind w:left="1800" w:hanging="364"/>
        <w:spacing w:after="0"/>
        <w:tabs>
          <w:tab w:leader="none" w:pos="180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Initial Offering</w:t>
      </w:r>
      <w:r>
        <w:rPr>
          <w:rFonts w:ascii="Arial" w:cs="Arial" w:eastAsia="Arial" w:hAnsi="Arial"/>
          <w:sz w:val="17"/>
          <w:szCs w:val="17"/>
          <w:color w:val="auto"/>
        </w:rPr>
        <w:t>” means the Company’s first firm commitment underwritten public offering of its Common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under the Act.</w:t>
      </w:r>
    </w:p>
    <w:p>
      <w:pPr>
        <w:spacing w:after="0" w:line="210" w:lineRule="exact"/>
        <w:rPr>
          <w:rFonts w:ascii="Arial" w:cs="Arial" w:eastAsia="Arial" w:hAnsi="Arial"/>
          <w:sz w:val="17"/>
          <w:szCs w:val="17"/>
          <w:color w:val="auto"/>
        </w:rPr>
      </w:pPr>
    </w:p>
    <w:p>
      <w:pPr>
        <w:ind w:left="1820" w:hanging="384"/>
        <w:spacing w:after="0"/>
        <w:tabs>
          <w:tab w:leader="none" w:pos="18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140" w:firstLine="1436"/>
        <w:spacing w:after="0" w:line="342" w:lineRule="auto"/>
        <w:tabs>
          <w:tab w:leader="none" w:pos="1819" w:val="left"/>
        </w:tabs>
        <w:numPr>
          <w:ilvl w:val="1"/>
          <w:numId w:val="333"/>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23" w:lineRule="exact"/>
        <w:rPr>
          <w:rFonts w:ascii="Arial" w:cs="Arial" w:eastAsia="Arial" w:hAnsi="Arial"/>
          <w:sz w:val="16"/>
          <w:szCs w:val="16"/>
          <w:color w:val="auto"/>
        </w:rPr>
      </w:pPr>
    </w:p>
    <w:p>
      <w:pPr>
        <w:ind w:left="1780" w:hanging="344"/>
        <w:spacing w:after="0"/>
        <w:tabs>
          <w:tab w:leader="none" w:pos="17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Common Stock issuable or issued upon conversion of the Preferred Stock and</w:t>
      </w:r>
    </w:p>
    <w:p>
      <w:pPr>
        <w:spacing w:after="0" w:line="46" w:lineRule="exact"/>
        <w:rPr>
          <w:rFonts w:ascii="Arial" w:cs="Arial" w:eastAsia="Arial" w:hAnsi="Arial"/>
          <w:sz w:val="16"/>
          <w:szCs w:val="16"/>
          <w:color w:val="auto"/>
        </w:rPr>
      </w:pPr>
    </w:p>
    <w:p>
      <w:pPr>
        <w:ind w:firstLine="4"/>
        <w:spacing w:after="0" w:line="292" w:lineRule="auto"/>
        <w:tabs>
          <w:tab w:leader="none" w:pos="26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62" w:lineRule="exact"/>
        <w:rPr>
          <w:rFonts w:ascii="Arial" w:cs="Arial" w:eastAsia="Arial" w:hAnsi="Arial"/>
          <w:sz w:val="16"/>
          <w:szCs w:val="16"/>
          <w:color w:val="auto"/>
        </w:rPr>
      </w:pPr>
    </w:p>
    <w:p>
      <w:pPr>
        <w:ind w:left="1780" w:hanging="344"/>
        <w:spacing w:after="0"/>
        <w:tabs>
          <w:tab w:leader="none" w:pos="17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mean the Company’s Restated Certificate of Incorporation, as amended and/or restated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10" w:lineRule="exact"/>
        <w:rPr>
          <w:rFonts w:ascii="Arial" w:cs="Arial" w:eastAsia="Arial" w:hAnsi="Arial"/>
          <w:sz w:val="16"/>
          <w:szCs w:val="16"/>
          <w:color w:val="auto"/>
        </w:rPr>
      </w:pPr>
    </w:p>
    <w:p>
      <w:pPr>
        <w:ind w:left="1820" w:hanging="384"/>
        <w:spacing w:after="0"/>
        <w:tabs>
          <w:tab w:leader="none" w:pos="18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Act.</w:t>
      </w:r>
    </w:p>
    <w:p>
      <w:pPr>
        <w:spacing w:after="0" w:line="225" w:lineRule="exact"/>
        <w:rPr>
          <w:rFonts w:ascii="Arial" w:cs="Arial" w:eastAsia="Arial" w:hAnsi="Arial"/>
          <w:sz w:val="18"/>
          <w:szCs w:val="18"/>
          <w:color w:val="auto"/>
        </w:rPr>
      </w:pPr>
    </w:p>
    <w:p>
      <w:pPr>
        <w:ind w:right="140" w:firstLine="1436"/>
        <w:spacing w:after="0" w:line="277" w:lineRule="auto"/>
        <w:tabs>
          <w:tab w:leader="none" w:pos="177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144(b)(1)(i)</w:t>
      </w:r>
      <w:r>
        <w:rPr>
          <w:rFonts w:ascii="Arial" w:cs="Arial" w:eastAsia="Arial" w:hAnsi="Arial"/>
          <w:sz w:val="18"/>
          <w:szCs w:val="18"/>
          <w:color w:val="auto"/>
        </w:rPr>
        <w:t>” shall mean subsection (b)(1)(i) of Rule 144 under the Act as it applies to persons who have held shares for more than one (1) year.</w:t>
      </w:r>
    </w:p>
    <w:p>
      <w:pPr>
        <w:spacing w:after="0" w:line="170" w:lineRule="exact"/>
        <w:rPr>
          <w:rFonts w:ascii="Arial" w:cs="Arial" w:eastAsia="Arial" w:hAnsi="Arial"/>
          <w:sz w:val="18"/>
          <w:szCs w:val="18"/>
          <w:color w:val="auto"/>
        </w:rPr>
      </w:pPr>
    </w:p>
    <w:p>
      <w:pPr>
        <w:ind w:left="1880" w:hanging="444"/>
        <w:spacing w:after="0"/>
        <w:tabs>
          <w:tab w:leader="none" w:pos="18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405</w:t>
      </w:r>
      <w:r>
        <w:rPr>
          <w:rFonts w:ascii="Arial" w:cs="Arial" w:eastAsia="Arial" w:hAnsi="Arial"/>
          <w:sz w:val="18"/>
          <w:szCs w:val="18"/>
          <w:color w:val="auto"/>
        </w:rPr>
        <w:t>” shall mean Rule 405 under the 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74" w:name="page375"/>
    <w:bookmarkEnd w:id="374"/>
    <w:p>
      <w:pPr>
        <w:ind w:left="144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u w:val="single" w:color="auto"/>
          <w:color w:val="auto"/>
        </w:rPr>
        <w:t>SEC</w:t>
      </w:r>
      <w:r>
        <w:rPr>
          <w:rFonts w:ascii="Arial" w:cs="Arial" w:eastAsia="Arial" w:hAnsi="Arial"/>
          <w:sz w:val="16"/>
          <w:szCs w:val="16"/>
          <w:color w:val="auto"/>
        </w:rPr>
        <w:t>” shall mean the Securities and Exchange Commission.</w:t>
      </w:r>
    </w:p>
    <w:p>
      <w:pPr>
        <w:spacing w:after="0" w:line="33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90" w:lineRule="auto"/>
        <w:tabs>
          <w:tab w:leader="none" w:pos="181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Subject to the conditions of this Section 1.2, if the Company shall receive at any time after the earlier of (i) five (5) years after the date of this Agreement or (ii) one hundred eighty (180) days after the effective date of the Initial Offering, a written request from the Holders of forty percent (40%) or more of the Registrable Securities then outstanding (for purposes of this Section 1.2,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that the Company file a registration statement under the Act covering the registration of at least twenty percent (20%) of the then outstanding Registrable Securities (or a lesser percentage provided that the anticipated aggregate offering price is at least $10,000,000 (net of any underwriters’ discounts or commissions)),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66" w:lineRule="exact"/>
        <w:rPr>
          <w:rFonts w:ascii="Arial" w:cs="Arial" w:eastAsia="Arial" w:hAnsi="Arial"/>
          <w:sz w:val="16"/>
          <w:szCs w:val="16"/>
          <w:color w:val="auto"/>
        </w:rPr>
      </w:pPr>
    </w:p>
    <w:p>
      <w:pPr>
        <w:ind w:right="100" w:firstLine="1436"/>
        <w:spacing w:after="0" w:line="286" w:lineRule="auto"/>
        <w:tabs>
          <w:tab w:leader="none" w:pos="1823"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 majority of the Registrable Securities held by all Initiating Holders (which underwriter or underwriters shall be reasonably acceptable to the Company).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74" w:lineRule="exact"/>
        <w:rPr>
          <w:rFonts w:ascii="Arial" w:cs="Arial" w:eastAsia="Arial" w:hAnsi="Arial"/>
          <w:sz w:val="16"/>
          <w:szCs w:val="16"/>
          <w:color w:val="auto"/>
        </w:rPr>
      </w:pPr>
    </w:p>
    <w:p>
      <w:pPr>
        <w:ind w:left="1820" w:hanging="384"/>
        <w:spacing w:after="0"/>
        <w:tabs>
          <w:tab w:leader="none" w:pos="18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Notwithstanding the foregoing, the Company shall not be required to effect a registration pursuant to this Section 1.2:</w:t>
      </w:r>
    </w:p>
    <w:p>
      <w:pPr>
        <w:spacing w:after="0" w:line="236" w:lineRule="exact"/>
        <w:rPr>
          <w:rFonts w:ascii="Arial" w:cs="Arial" w:eastAsia="Arial" w:hAnsi="Arial"/>
          <w:sz w:val="17"/>
          <w:szCs w:val="17"/>
          <w:color w:val="auto"/>
        </w:rPr>
      </w:pPr>
    </w:p>
    <w:p>
      <w:pPr>
        <w:ind w:right="60" w:firstLine="2318"/>
        <w:spacing w:after="0" w:line="264" w:lineRule="auto"/>
        <w:tabs>
          <w:tab w:leader="none" w:pos="266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75" w:name="page376"/>
    <w:bookmarkEnd w:id="375"/>
    <w:p>
      <w:pPr>
        <w:ind w:left="2720" w:hanging="402"/>
        <w:spacing w:after="0"/>
        <w:tabs>
          <w:tab w:leader="none" w:pos="27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Company has effected two (2) registration pursuant to this Section 1.2, and such registrations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declared or ordered effective; or</w:t>
      </w:r>
    </w:p>
    <w:p>
      <w:pPr>
        <w:spacing w:after="0" w:line="210" w:lineRule="exact"/>
        <w:rPr>
          <w:rFonts w:ascii="Arial" w:cs="Arial" w:eastAsia="Arial" w:hAnsi="Arial"/>
          <w:sz w:val="16"/>
          <w:szCs w:val="16"/>
          <w:color w:val="auto"/>
        </w:rPr>
      </w:pPr>
    </w:p>
    <w:p>
      <w:pPr>
        <w:jc w:val="both"/>
        <w:ind w:right="200" w:firstLine="2318"/>
        <w:spacing w:after="0" w:line="259" w:lineRule="auto"/>
        <w:tabs>
          <w:tab w:leader="none" w:pos="276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during the period starting with the date sixty (60) days prior to the Company’s good faith estimate of the date of the filing of and ending on a date one hundred eighty (180) days following the effective date of a Company initiated registration subject to Section 1.3 below, provided that the Company is actively employing in good faith all commercially reasonable efforts to cause such registration statement to become effective; or</w:t>
      </w:r>
    </w:p>
    <w:p>
      <w:pPr>
        <w:spacing w:after="0" w:line="186" w:lineRule="exact"/>
        <w:rPr>
          <w:rFonts w:ascii="Arial" w:cs="Arial" w:eastAsia="Arial" w:hAnsi="Arial"/>
          <w:sz w:val="18"/>
          <w:szCs w:val="18"/>
          <w:color w:val="auto"/>
        </w:rPr>
      </w:pPr>
    </w:p>
    <w:p>
      <w:pPr>
        <w:ind w:left="2760" w:hanging="442"/>
        <w:spacing w:after="0"/>
        <w:tabs>
          <w:tab w:leader="none" w:pos="27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if the Initiating Holders propose to dispose of Registrable Securities that may be registered on Form S 3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Section 1.4 hereof;</w:t>
      </w:r>
    </w:p>
    <w:p>
      <w:pPr>
        <w:spacing w:after="0" w:line="210" w:lineRule="exact"/>
        <w:rPr>
          <w:rFonts w:ascii="Arial" w:cs="Arial" w:eastAsia="Arial" w:hAnsi="Arial"/>
          <w:sz w:val="16"/>
          <w:szCs w:val="16"/>
          <w:color w:val="auto"/>
        </w:rPr>
      </w:pPr>
    </w:p>
    <w:p>
      <w:pPr>
        <w:ind w:right="40" w:firstLine="2318"/>
        <w:spacing w:after="0" w:line="270" w:lineRule="auto"/>
        <w:tabs>
          <w:tab w:leader="none" w:pos="2704" w:val="left"/>
        </w:tabs>
        <w:numPr>
          <w:ilvl w:val="0"/>
          <w:numId w:val="336"/>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statement pursuant to this Section 1.2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or</w:t>
      </w:r>
    </w:p>
    <w:p>
      <w:pPr>
        <w:spacing w:after="0" w:line="177" w:lineRule="exact"/>
        <w:rPr>
          <w:rFonts w:ascii="Arial" w:cs="Arial" w:eastAsia="Arial" w:hAnsi="Arial"/>
          <w:sz w:val="17"/>
          <w:szCs w:val="17"/>
          <w:color w:val="auto"/>
        </w:rPr>
      </w:pPr>
    </w:p>
    <w:p>
      <w:pPr>
        <w:ind w:firstLine="2318"/>
        <w:spacing w:after="0" w:line="257" w:lineRule="auto"/>
        <w:tabs>
          <w:tab w:leader="none" w:pos="275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the Company, within thirty (30) days of receipt of the request for registration pursuant to this Section 1.2, gives notice to the requesting Holders of its bona fide intention to effect the filing of a registration statement with the SEC within ninety (90) days of receipt of such request (other than a registration effected solely to qualify an employee benefit plan or to effect a business combination pursuant to Rule 145), provided that the Company is actively employing in good faith all commercially reasonable efforts to cause such registration statement to become effective.</w:t>
      </w:r>
    </w:p>
    <w:p>
      <w:pPr>
        <w:spacing w:after="0" w:line="296"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w:t>
      </w:r>
    </w:p>
    <w:p>
      <w:pPr>
        <w:spacing w:after="0" w:line="117" w:lineRule="exact"/>
        <w:rPr>
          <w:sz w:val="20"/>
          <w:szCs w:val="20"/>
          <w:color w:val="auto"/>
        </w:rPr>
      </w:pPr>
    </w:p>
    <w:p>
      <w:pPr>
        <w:ind w:right="140" w:firstLine="1436"/>
        <w:spacing w:after="0" w:line="259" w:lineRule="auto"/>
        <w:tabs>
          <w:tab w:leader="none" w:pos="181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1.2 or (ii) a registration relating solely to the sale of securities of participants in a Company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376" w:name="page377"/>
    <w:bookmarkEnd w:id="376"/>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In such event, if the Company intends to distribute the securities covered by the registration by means of an underwriting,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held by all Initiating Holders). Upon the written request of each Holder given within twenty (20) days after mailing of such notice by the Company in accordance with Section 3.5, the Company shall, subject to the provisions of Section 1.3(c), use all commercially reasonable efforts to cause to be registered under the Act all of the Registrable Securities that each such Holder requests to be registered.</w:t>
      </w:r>
    </w:p>
    <w:p>
      <w:pPr>
        <w:spacing w:after="0" w:line="188" w:lineRule="exact"/>
        <w:rPr>
          <w:sz w:val="20"/>
          <w:szCs w:val="20"/>
          <w:color w:val="auto"/>
        </w:rPr>
      </w:pPr>
    </w:p>
    <w:p>
      <w:pPr>
        <w:ind w:right="100" w:firstLine="1436"/>
        <w:spacing w:after="0" w:line="286" w:lineRule="auto"/>
        <w:tabs>
          <w:tab w:leader="none" w:pos="1822"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65" w:lineRule="exact"/>
        <w:rPr>
          <w:rFonts w:ascii="Arial" w:cs="Arial" w:eastAsia="Arial" w:hAnsi="Arial"/>
          <w:sz w:val="17"/>
          <w:szCs w:val="17"/>
          <w:color w:val="auto"/>
        </w:rPr>
      </w:pPr>
    </w:p>
    <w:p>
      <w:pPr>
        <w:ind w:firstLine="1436"/>
        <w:spacing w:after="0" w:line="268" w:lineRule="auto"/>
        <w:tabs>
          <w:tab w:leader="none" w:pos="1812"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Underwriting Requirements</w:t>
      </w:r>
      <w:r>
        <w:rPr>
          <w:rFonts w:ascii="Arial" w:cs="Arial" w:eastAsia="Arial" w:hAnsi="Arial"/>
          <w:sz w:val="17"/>
          <w:szCs w:val="17"/>
          <w:color w:val="auto"/>
        </w:rPr>
        <w:t>.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fifteen percent (15%) of the total amount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77" w:name="page378"/>
    <w:bookmarkEnd w:id="377"/>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included in such offering, unless such offering is the Initial Offering, in which case the selling Holders may be excluded if the underwriters make the determination described above and no other stockholder’s securities (other than the Initiating Holders) are included in such offering. For purposes of the preceding sentence concerning apportionment, for any selling stockholder that is a Holder of Registrable Securities and that is a venture capital fund, partnership or corporation, the affiliated venture capital funds, partners, retired partners and stockholders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178"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After the Initial Offering, the Company shall use its commercially reasonable efforts to qualify for registration on Form S-3 or any comparable or successor form or forms. In case the Company shall receive from the Holders of at least 5,000,000 Registrable Securities (for purposes of this Section 1.4, the “</w:t>
      </w:r>
      <w:r>
        <w:rPr>
          <w:rFonts w:ascii="Arial" w:cs="Arial" w:eastAsia="Arial" w:hAnsi="Arial"/>
          <w:sz w:val="18"/>
          <w:szCs w:val="18"/>
          <w:u w:val="single" w:color="auto"/>
          <w:color w:val="auto"/>
        </w:rPr>
        <w:t>S-3 Initiating Holders</w:t>
      </w:r>
      <w:r>
        <w:rPr>
          <w:rFonts w:ascii="Arial" w:cs="Arial" w:eastAsia="Arial" w:hAnsi="Arial"/>
          <w:sz w:val="18"/>
          <w:szCs w:val="18"/>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188" w:lineRule="exact"/>
        <w:rPr>
          <w:sz w:val="20"/>
          <w:szCs w:val="20"/>
          <w:color w:val="auto"/>
        </w:rPr>
      </w:pPr>
    </w:p>
    <w:p>
      <w:pPr>
        <w:ind w:left="1820" w:hanging="384"/>
        <w:spacing w:after="0"/>
        <w:tabs>
          <w:tab w:leader="none" w:pos="18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and</w:t>
      </w:r>
    </w:p>
    <w:p>
      <w:pPr>
        <w:spacing w:after="0" w:line="248" w:lineRule="exact"/>
        <w:rPr>
          <w:rFonts w:ascii="Arial" w:cs="Arial" w:eastAsia="Arial" w:hAnsi="Arial"/>
          <w:sz w:val="16"/>
          <w:szCs w:val="16"/>
          <w:color w:val="auto"/>
        </w:rPr>
      </w:pPr>
    </w:p>
    <w:p>
      <w:pPr>
        <w:ind w:right="120" w:firstLine="1436"/>
        <w:spacing w:after="0" w:line="276" w:lineRule="auto"/>
        <w:tabs>
          <w:tab w:leader="none" w:pos="1823"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use all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effect any such registration, qualification or compliance, pursuant to this Section 1.4:</w:t>
      </w:r>
    </w:p>
    <w:p>
      <w:pPr>
        <w:spacing w:after="0" w:line="172" w:lineRule="exact"/>
        <w:rPr>
          <w:rFonts w:ascii="Arial" w:cs="Arial" w:eastAsia="Arial" w:hAnsi="Arial"/>
          <w:sz w:val="17"/>
          <w:szCs w:val="17"/>
          <w:color w:val="auto"/>
        </w:rPr>
      </w:pPr>
    </w:p>
    <w:p>
      <w:pPr>
        <w:ind w:left="2220" w:hanging="343"/>
        <w:spacing w:after="0"/>
        <w:tabs>
          <w:tab w:leader="none" w:pos="222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color w:val="auto"/>
        </w:rPr>
      </w:pPr>
    </w:p>
    <w:p>
      <w:pPr>
        <w:ind w:right="60" w:firstLine="1877"/>
        <w:spacing w:after="0" w:line="264" w:lineRule="auto"/>
        <w:tabs>
          <w:tab w:leader="none" w:pos="2273"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w:t>
      </w:r>
    </w:p>
    <w:p>
      <w:pPr>
        <w:spacing w:after="0" w:line="181" w:lineRule="exact"/>
        <w:rPr>
          <w:rFonts w:ascii="Arial" w:cs="Arial" w:eastAsia="Arial" w:hAnsi="Arial"/>
          <w:sz w:val="18"/>
          <w:szCs w:val="18"/>
          <w:color w:val="auto"/>
        </w:rPr>
      </w:pPr>
    </w:p>
    <w:p>
      <w:pPr>
        <w:ind w:firstLine="1877"/>
        <w:spacing w:after="0" w:line="297" w:lineRule="auto"/>
        <w:tabs>
          <w:tab w:leader="none" w:pos="2323" w:val="left"/>
        </w:tabs>
        <w:numPr>
          <w:ilvl w:val="1"/>
          <w:numId w:val="339"/>
        </w:numPr>
        <w:rPr>
          <w:rFonts w:ascii="Arial" w:cs="Arial" w:eastAsia="Arial" w:hAnsi="Arial"/>
          <w:sz w:val="16"/>
          <w:szCs w:val="16"/>
          <w:color w:val="auto"/>
        </w:rPr>
      </w:pPr>
      <w:r>
        <w:rPr>
          <w:rFonts w:ascii="Arial" w:cs="Arial" w:eastAsia="Arial" w:hAnsi="Arial"/>
          <w:sz w:val="16"/>
          <w:szCs w:val="16"/>
          <w:color w:val="auto"/>
        </w:rPr>
        <w:t xml:space="preserve">if the Company shall furnish to all Holders requesting a registration statement pursuant to this Section 1.4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shall be exercised by the Company not more than once in any twelve (12) month period and </w:t>
      </w:r>
      <w:r>
        <w:rPr>
          <w:rFonts w:ascii="Arial" w:cs="Arial" w:eastAsia="Arial" w:hAnsi="Arial"/>
          <w:sz w:val="16"/>
          <w:szCs w:val="16"/>
          <w:u w:val="single" w:color="auto"/>
          <w:color w:val="auto"/>
        </w:rPr>
        <w:t>provided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378" w:name="page379"/>
    <w:bookmarkEnd w:id="378"/>
    <w:p>
      <w:pPr>
        <w:ind w:right="40"/>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73" w:lineRule="exact"/>
        <w:rPr>
          <w:sz w:val="20"/>
          <w:szCs w:val="20"/>
          <w:color w:val="auto"/>
        </w:rPr>
      </w:pPr>
    </w:p>
    <w:p>
      <w:pPr>
        <w:ind w:left="2320" w:hanging="443"/>
        <w:spacing w:after="0"/>
        <w:tabs>
          <w:tab w:leader="none" w:pos="2320" w:val="left"/>
        </w:tabs>
        <w:numPr>
          <w:ilvl w:val="2"/>
          <w:numId w:val="340"/>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one</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registration on Form S-3 pursuant to this Section 1.4;</w:t>
      </w:r>
    </w:p>
    <w:p>
      <w:pPr>
        <w:spacing w:after="0" w:line="210" w:lineRule="exact"/>
        <w:rPr>
          <w:rFonts w:ascii="Arial" w:cs="Arial" w:eastAsia="Arial" w:hAnsi="Arial"/>
          <w:sz w:val="18"/>
          <w:szCs w:val="18"/>
          <w:color w:val="auto"/>
        </w:rPr>
      </w:pPr>
    </w:p>
    <w:p>
      <w:pPr>
        <w:ind w:right="200" w:firstLine="1877"/>
        <w:spacing w:after="0" w:line="277" w:lineRule="auto"/>
        <w:tabs>
          <w:tab w:leader="none" w:pos="2263" w:val="left"/>
        </w:tabs>
        <w:numPr>
          <w:ilvl w:val="2"/>
          <w:numId w:val="341"/>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rFonts w:ascii="Arial" w:cs="Arial" w:eastAsia="Arial" w:hAnsi="Arial"/>
          <w:sz w:val="18"/>
          <w:szCs w:val="18"/>
          <w:color w:val="auto"/>
        </w:rPr>
      </w:pPr>
    </w:p>
    <w:p>
      <w:pPr>
        <w:ind w:right="200" w:firstLine="1877"/>
        <w:spacing w:after="0" w:line="279" w:lineRule="auto"/>
        <w:tabs>
          <w:tab w:leader="none" w:pos="2313" w:val="left"/>
        </w:tabs>
        <w:numPr>
          <w:ilvl w:val="2"/>
          <w:numId w:val="341"/>
        </w:numPr>
        <w:rPr>
          <w:rFonts w:ascii="Arial" w:cs="Arial" w:eastAsia="Arial" w:hAnsi="Arial"/>
          <w:sz w:val="17"/>
          <w:szCs w:val="17"/>
          <w:color w:val="auto"/>
        </w:rPr>
      </w:pPr>
      <w:r>
        <w:rPr>
          <w:rFonts w:ascii="Arial" w:cs="Arial" w:eastAsia="Arial" w:hAnsi="Arial"/>
          <w:sz w:val="17"/>
          <w:szCs w:val="17"/>
          <w:color w:val="auto"/>
        </w:rPr>
        <w:t xml:space="preserve">if the Company, within thirty (30) days of receipt of the request of such S-3 Initiating Holders, gives notice of its bona fide intention to effect the filing of a registration statement with the SEC within ninety (90) days of receipt of such request (other than a registration effected solely to qualify an employee benefit plan or to effect a business combination pursuant to Rule 145),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all commercially reasonable efforts to cause such registration statement to become effective; or</w:t>
      </w:r>
    </w:p>
    <w:p>
      <w:pPr>
        <w:spacing w:after="0" w:line="171" w:lineRule="exact"/>
        <w:rPr>
          <w:rFonts w:ascii="Arial" w:cs="Arial" w:eastAsia="Arial" w:hAnsi="Arial"/>
          <w:sz w:val="17"/>
          <w:szCs w:val="17"/>
          <w:color w:val="auto"/>
        </w:rPr>
      </w:pPr>
    </w:p>
    <w:p>
      <w:pPr>
        <w:jc w:val="both"/>
        <w:ind w:right="280" w:firstLine="1877"/>
        <w:spacing w:after="0" w:line="312" w:lineRule="auto"/>
        <w:tabs>
          <w:tab w:leader="none" w:pos="2363" w:val="left"/>
        </w:tabs>
        <w:numPr>
          <w:ilvl w:val="2"/>
          <w:numId w:val="341"/>
        </w:numPr>
        <w:rPr>
          <w:rFonts w:ascii="Arial" w:cs="Arial" w:eastAsia="Arial" w:hAnsi="Arial"/>
          <w:sz w:val="16"/>
          <w:szCs w:val="16"/>
          <w:color w:val="auto"/>
        </w:rPr>
      </w:pPr>
      <w:r>
        <w:rPr>
          <w:rFonts w:ascii="Arial" w:cs="Arial" w:eastAsia="Arial" w:hAnsi="Arial"/>
          <w:sz w:val="16"/>
          <w:szCs w:val="16"/>
          <w:color w:val="auto"/>
        </w:rPr>
        <w:t xml:space="preserve">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w:t>
      </w:r>
    </w:p>
    <w:p>
      <w:pPr>
        <w:spacing w:after="0" w:line="146" w:lineRule="exact"/>
        <w:rPr>
          <w:rFonts w:ascii="Arial" w:cs="Arial" w:eastAsia="Arial" w:hAnsi="Arial"/>
          <w:sz w:val="16"/>
          <w:szCs w:val="16"/>
          <w:color w:val="auto"/>
        </w:rPr>
      </w:pPr>
    </w:p>
    <w:p>
      <w:pPr>
        <w:ind w:right="120" w:firstLine="1436"/>
        <w:spacing w:after="0" w:line="259" w:lineRule="auto"/>
        <w:tabs>
          <w:tab w:leader="none" w:pos="181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w:t>
      </w:r>
    </w:p>
    <w:p>
      <w:pPr>
        <w:spacing w:after="0" w:line="186" w:lineRule="exact"/>
        <w:rPr>
          <w:rFonts w:ascii="Arial" w:cs="Arial" w:eastAsia="Arial" w:hAnsi="Arial"/>
          <w:sz w:val="18"/>
          <w:szCs w:val="18"/>
          <w:color w:val="auto"/>
        </w:rPr>
      </w:pPr>
    </w:p>
    <w:p>
      <w:pPr>
        <w:ind w:firstLine="1436"/>
        <w:spacing w:after="0" w:line="277" w:lineRule="auto"/>
        <w:tabs>
          <w:tab w:leader="none" w:pos="1823" w:val="left"/>
        </w:tabs>
        <w:numPr>
          <w:ilvl w:val="1"/>
          <w:numId w:val="341"/>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S-3 Initiating Holders.</w:t>
      </w:r>
    </w:p>
    <w:p>
      <w:pPr>
        <w:spacing w:after="0" w:line="170"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1 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right="400" w:firstLine="1436"/>
        <w:spacing w:after="0" w:line="277" w:lineRule="auto"/>
        <w:tabs>
          <w:tab w:leader="none" w:pos="181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all commercially reasonable efforts to cause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79" w:name="page380"/>
    <w:bookmarkEnd w:id="379"/>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w:t>
      </w:r>
    </w:p>
    <w:p>
      <w:pPr>
        <w:spacing w:after="0" w:line="181" w:lineRule="exact"/>
        <w:rPr>
          <w:sz w:val="20"/>
          <w:szCs w:val="20"/>
          <w:color w:val="auto"/>
        </w:rPr>
      </w:pPr>
    </w:p>
    <w:p>
      <w:pPr>
        <w:ind w:right="60" w:firstLine="1436"/>
        <w:spacing w:after="0" w:line="264" w:lineRule="auto"/>
        <w:tabs>
          <w:tab w:leader="none" w:pos="182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81" w:lineRule="exact"/>
        <w:rPr>
          <w:rFonts w:ascii="Arial" w:cs="Arial" w:eastAsia="Arial" w:hAnsi="Arial"/>
          <w:sz w:val="18"/>
          <w:szCs w:val="18"/>
          <w:color w:val="auto"/>
        </w:rPr>
      </w:pPr>
    </w:p>
    <w:p>
      <w:pPr>
        <w:ind w:right="660" w:firstLine="1436"/>
        <w:spacing w:after="0" w:line="264" w:lineRule="auto"/>
        <w:tabs>
          <w:tab w:leader="none" w:pos="181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81" w:lineRule="exact"/>
        <w:rPr>
          <w:rFonts w:ascii="Arial" w:cs="Arial" w:eastAsia="Arial" w:hAnsi="Arial"/>
          <w:sz w:val="18"/>
          <w:szCs w:val="18"/>
          <w:color w:val="auto"/>
        </w:rPr>
      </w:pPr>
    </w:p>
    <w:p>
      <w:pPr>
        <w:jc w:val="both"/>
        <w:ind w:right="100" w:firstLine="1436"/>
        <w:spacing w:after="0" w:line="259" w:lineRule="auto"/>
        <w:tabs>
          <w:tab w:leader="none" w:pos="182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use all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86" w:lineRule="exact"/>
        <w:rPr>
          <w:rFonts w:ascii="Arial" w:cs="Arial" w:eastAsia="Arial" w:hAnsi="Arial"/>
          <w:sz w:val="18"/>
          <w:szCs w:val="18"/>
          <w:color w:val="auto"/>
        </w:rPr>
      </w:pPr>
    </w:p>
    <w:p>
      <w:pPr>
        <w:ind w:right="340" w:firstLine="1436"/>
        <w:spacing w:after="0" w:line="277" w:lineRule="auto"/>
        <w:tabs>
          <w:tab w:leader="none" w:pos="181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w:t>
      </w:r>
    </w:p>
    <w:p>
      <w:pPr>
        <w:spacing w:after="0" w:line="170" w:lineRule="exact"/>
        <w:rPr>
          <w:rFonts w:ascii="Arial" w:cs="Arial" w:eastAsia="Arial" w:hAnsi="Arial"/>
          <w:sz w:val="18"/>
          <w:szCs w:val="18"/>
          <w:color w:val="auto"/>
        </w:rPr>
      </w:pPr>
    </w:p>
    <w:p>
      <w:pPr>
        <w:ind w:firstLine="1436"/>
        <w:spacing w:after="0" w:line="290" w:lineRule="auto"/>
        <w:tabs>
          <w:tab w:leader="none" w:pos="179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66" w:lineRule="exact"/>
        <w:rPr>
          <w:rFonts w:ascii="Arial" w:cs="Arial" w:eastAsia="Arial" w:hAnsi="Arial"/>
          <w:sz w:val="16"/>
          <w:szCs w:val="16"/>
          <w:color w:val="auto"/>
        </w:rPr>
      </w:pPr>
    </w:p>
    <w:p>
      <w:pPr>
        <w:ind w:right="120" w:firstLine="1436"/>
        <w:spacing w:after="0" w:line="277" w:lineRule="auto"/>
        <w:tabs>
          <w:tab w:leader="none" w:pos="182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Section 1 to be listed on a national exchange or trading system and on each securities exchange and trading system on which similar securities issued by the Company are then listed;</w:t>
      </w:r>
    </w:p>
    <w:p>
      <w:pPr>
        <w:spacing w:after="0" w:line="170" w:lineRule="exact"/>
        <w:rPr>
          <w:rFonts w:ascii="Arial" w:cs="Arial" w:eastAsia="Arial" w:hAnsi="Arial"/>
          <w:sz w:val="18"/>
          <w:szCs w:val="18"/>
          <w:color w:val="auto"/>
        </w:rPr>
      </w:pPr>
    </w:p>
    <w:p>
      <w:pPr>
        <w:ind w:right="100" w:firstLine="1436"/>
        <w:spacing w:after="0" w:line="277" w:lineRule="auto"/>
        <w:tabs>
          <w:tab w:leader="none" w:pos="182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80" w:name="page381"/>
    <w:bookmarkEnd w:id="380"/>
    <w:p>
      <w:pPr>
        <w:ind w:right="80" w:firstLine="1436"/>
        <w:spacing w:after="0" w:line="297" w:lineRule="auto"/>
        <w:tabs>
          <w:tab w:leader="none" w:pos="1783" w:val="left"/>
        </w:tabs>
        <w:numPr>
          <w:ilvl w:val="0"/>
          <w:numId w:val="3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all reasonable efforts to prevent the issuance of any stop order (“</w:t>
      </w:r>
      <w:r>
        <w:rPr>
          <w:rFonts w:ascii="Arial" w:cs="Arial" w:eastAsia="Arial" w:hAnsi="Arial"/>
          <w:sz w:val="16"/>
          <w:szCs w:val="16"/>
          <w:u w:val="single" w:color="auto"/>
          <w:color w:val="auto"/>
        </w:rPr>
        <w:t>Stop Order</w:t>
      </w:r>
      <w:r>
        <w:rPr>
          <w:rFonts w:ascii="Arial" w:cs="Arial" w:eastAsia="Arial" w:hAnsi="Arial"/>
          <w:sz w:val="16"/>
          <w:szCs w:val="16"/>
          <w:color w:val="auto"/>
        </w:rPr>
        <w:t>”) suspending the effectiveness of a registration statement, or of any order suspending or preventing the use of any related prospectus or suspending the qualification of any securities included in such registration statement for sale in any jurisdiction, and, in the event of such issuance, the Company shall immediately notify the Holders of Registrable Securities covered by such registration statement of the receipt by the Company of such notification and shall use all reasonable efforts promptly to obtain the withdrawal of such order, and, in the event of the withdrawal of such order, the Company shall immediately notify such Holders thereof;</w:t>
      </w:r>
    </w:p>
    <w:p>
      <w:pPr>
        <w:spacing w:after="0" w:line="158" w:lineRule="exact"/>
        <w:rPr>
          <w:rFonts w:ascii="Arial" w:cs="Arial" w:eastAsia="Arial" w:hAnsi="Arial"/>
          <w:sz w:val="16"/>
          <w:szCs w:val="16"/>
          <w:color w:val="auto"/>
        </w:rPr>
      </w:pPr>
    </w:p>
    <w:p>
      <w:pPr>
        <w:ind w:firstLine="1436"/>
        <w:spacing w:after="0" w:line="279" w:lineRule="auto"/>
        <w:tabs>
          <w:tab w:leader="none" w:pos="1783" w:val="left"/>
        </w:tabs>
        <w:numPr>
          <w:ilvl w:val="0"/>
          <w:numId w:val="344"/>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 as the Holders holding a majority of the Registrable Securities being sold reasonably request;</w:t>
      </w:r>
    </w:p>
    <w:p>
      <w:pPr>
        <w:spacing w:after="0" w:line="171" w:lineRule="exact"/>
        <w:rPr>
          <w:rFonts w:ascii="Arial" w:cs="Arial" w:eastAsia="Arial" w:hAnsi="Arial"/>
          <w:sz w:val="17"/>
          <w:szCs w:val="17"/>
          <w:color w:val="auto"/>
        </w:rPr>
      </w:pPr>
    </w:p>
    <w:p>
      <w:pPr>
        <w:ind w:firstLine="1436"/>
        <w:spacing w:after="0" w:line="255" w:lineRule="auto"/>
        <w:tabs>
          <w:tab w:leader="none" w:pos="182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use its commercially reasonable efforts to provide, at the request of any Holder participating in such registration, on the date such securities are delivered to the underwriters for sale pursuant to such registration or, if such securities are not being sold through underwriters, on the date the registration statement with respect to such securities becomes effective, a legal opinion of the Company’s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189" w:lineRule="exact"/>
        <w:rPr>
          <w:rFonts w:ascii="Arial" w:cs="Arial" w:eastAsia="Arial" w:hAnsi="Arial"/>
          <w:sz w:val="18"/>
          <w:szCs w:val="18"/>
          <w:color w:val="auto"/>
        </w:rPr>
      </w:pPr>
    </w:p>
    <w:p>
      <w:pPr>
        <w:ind w:right="140" w:firstLine="1436"/>
        <w:spacing w:after="0" w:line="257" w:lineRule="auto"/>
        <w:tabs>
          <w:tab w:leader="none" w:pos="178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the extent the Company is a well-known seasoned issuer (as defined in Rule 405) (a “</w:t>
      </w:r>
      <w:r>
        <w:rPr>
          <w:rFonts w:ascii="Arial" w:cs="Arial" w:eastAsia="Arial" w:hAnsi="Arial"/>
          <w:sz w:val="18"/>
          <w:szCs w:val="18"/>
          <w:u w:val="single" w:color="auto"/>
          <w:color w:val="auto"/>
        </w:rPr>
        <w:t>WKSI</w:t>
      </w:r>
      <w:r>
        <w:rPr>
          <w:rFonts w:ascii="Arial" w:cs="Arial" w:eastAsia="Arial" w:hAnsi="Arial"/>
          <w:sz w:val="18"/>
          <w:szCs w:val="18"/>
          <w:color w:val="auto"/>
        </w:rPr>
        <w:t>”) at the time any request for registration is submitted to the Company in accordance with Section 1.4, (i) if so requested, file an automatic shelf registration statement (as defined in Rule 405) (an “</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to effect such registration, and (ii) remain a WKSI (and not become an ineligible issuer (as defined in Rule 405)) during the period during which such Automatic Shelf Registration Statement is required to remain effective in accordance with this Agreement;</w:t>
      </w:r>
    </w:p>
    <w:p>
      <w:pPr>
        <w:spacing w:after="0" w:line="188" w:lineRule="exact"/>
        <w:rPr>
          <w:rFonts w:ascii="Arial" w:cs="Arial" w:eastAsia="Arial" w:hAnsi="Arial"/>
          <w:sz w:val="18"/>
          <w:szCs w:val="18"/>
          <w:color w:val="auto"/>
        </w:rPr>
      </w:pPr>
    </w:p>
    <w:p>
      <w:pPr>
        <w:ind w:right="40" w:firstLine="1436"/>
        <w:spacing w:after="0" w:line="297" w:lineRule="auto"/>
        <w:tabs>
          <w:tab w:leader="none" w:pos="1873"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at any time when the Company is required to re-evaluate its WKSI status for purposes of an Automatic Shelf Registration Statement used to effect a request for registration in accordance with Section 1.4 (i) the Company determines that it is not a WKSI, (ii) the registration statement is required to be kept effective in accordance with this Agreement and (iii) the registration rights of the applicable Holders have not terminated, promptly amend the registration statement onto a form the Company is then eligible to use or file a new registration statement on such form, and keep such registration statement effective in accordance with the requirements otherwise applicable under this Agreement; and</w:t>
      </w:r>
    </w:p>
    <w:p>
      <w:pPr>
        <w:spacing w:after="0" w:line="158" w:lineRule="exact"/>
        <w:rPr>
          <w:rFonts w:ascii="Arial" w:cs="Arial" w:eastAsia="Arial" w:hAnsi="Arial"/>
          <w:sz w:val="16"/>
          <w:szCs w:val="16"/>
          <w:color w:val="auto"/>
        </w:rPr>
      </w:pPr>
    </w:p>
    <w:p>
      <w:pPr>
        <w:ind w:right="440" w:firstLine="1436"/>
        <w:spacing w:after="0" w:line="342" w:lineRule="auto"/>
        <w:tabs>
          <w:tab w:leader="none" w:pos="1823"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(A) a registration made pursuant to a shelf registration statement is required to be kept effective in accordance with this Agreement after the third anniversary of the initial effective date of the shelf registration statement and (B) the registration rights of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3" w:right="439" w:bottom="1440" w:gutter="0" w:footer="0" w:header="0"/>
        </w:sectPr>
      </w:pPr>
    </w:p>
    <w:bookmarkStart w:id="381" w:name="page382"/>
    <w:bookmarkEnd w:id="38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Holders have not terminated, file a new registration statement with respect to any unsold Registrable Securities subject to the original request for registration prior to the end of the three (3) year period after the initial effective date of the shelf registration statement, and keep such registration statement effective in accordance with the requirements otherwise applicable under this Agreement.</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Notwithstanding the provisions of this Section 1, the Company shall be entitled to postpone or suspend, for a reasonable period of time, not to exceed ninety (90) days in any one (1) year period, the filing, effectiveness or use of, or trading under, any registration statement if the Company shall determine that any such filing or the sale of any securities pursuant to such registration statement would in the good faith judgment of the Board of Directors of the Company:</w:t>
      </w:r>
    </w:p>
    <w:p>
      <w:pPr>
        <w:spacing w:after="0" w:line="187" w:lineRule="exact"/>
        <w:rPr>
          <w:sz w:val="20"/>
          <w:szCs w:val="20"/>
          <w:color w:val="auto"/>
        </w:rPr>
      </w:pPr>
    </w:p>
    <w:p>
      <w:pPr>
        <w:ind w:right="560" w:firstLine="1877"/>
        <w:spacing w:after="0" w:line="342" w:lineRule="auto"/>
        <w:tabs>
          <w:tab w:leader="none" w:pos="2223" w:val="left"/>
        </w:tabs>
        <w:numPr>
          <w:ilvl w:val="0"/>
          <w:numId w:val="345"/>
        </w:numPr>
        <w:rPr>
          <w:rFonts w:ascii="Arial" w:cs="Arial" w:eastAsia="Arial" w:hAnsi="Arial"/>
          <w:sz w:val="16"/>
          <w:szCs w:val="16"/>
          <w:color w:val="auto"/>
        </w:rPr>
      </w:pPr>
      <w:r>
        <w:rPr>
          <w:rFonts w:ascii="Arial" w:cs="Arial" w:eastAsia="Arial" w:hAnsi="Arial"/>
          <w:sz w:val="16"/>
          <w:szCs w:val="16"/>
          <w:color w:val="auto"/>
        </w:rPr>
        <w:t>materially impede, delay or interfere with any material pending or proposed financing, acquisition, corporate reorganization or other similar transaction involving the Company for which the Board of Directors of the Company has authorized negotiations;</w:t>
      </w:r>
    </w:p>
    <w:p>
      <w:pPr>
        <w:spacing w:after="0" w:line="123" w:lineRule="exact"/>
        <w:rPr>
          <w:rFonts w:ascii="Arial" w:cs="Arial" w:eastAsia="Arial" w:hAnsi="Arial"/>
          <w:sz w:val="16"/>
          <w:szCs w:val="16"/>
          <w:color w:val="auto"/>
        </w:rPr>
      </w:pPr>
    </w:p>
    <w:p>
      <w:pPr>
        <w:ind w:left="2280" w:hanging="403"/>
        <w:spacing w:after="0"/>
        <w:tabs>
          <w:tab w:leader="none" w:pos="228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materially adversely impair the consummation of any pending or proposed material offering or sale of any class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by the Company; or</w:t>
      </w:r>
    </w:p>
    <w:p>
      <w:pPr>
        <w:spacing w:after="0" w:line="210" w:lineRule="exact"/>
        <w:rPr>
          <w:rFonts w:ascii="Arial" w:cs="Arial" w:eastAsia="Arial" w:hAnsi="Arial"/>
          <w:sz w:val="17"/>
          <w:szCs w:val="17"/>
          <w:color w:val="auto"/>
        </w:rPr>
      </w:pPr>
    </w:p>
    <w:p>
      <w:pPr>
        <w:jc w:val="both"/>
        <w:ind w:right="160" w:firstLine="1877"/>
        <w:spacing w:after="0" w:line="286" w:lineRule="auto"/>
        <w:tabs>
          <w:tab w:leader="none" w:pos="2323"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require disclosure of material nonpublic information that, if disclosed at such time, would be materially harmful to the interests of the Company and its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during any such period all executive officers and directors of the Company are also prohibited from selling securities of the Company (or any security of any of the Company’s subsidiaries or affiliates).</w:t>
      </w:r>
    </w:p>
    <w:p>
      <w:pPr>
        <w:spacing w:after="0" w:line="166" w:lineRule="exact"/>
        <w:rPr>
          <w:sz w:val="20"/>
          <w:szCs w:val="20"/>
          <w:color w:val="auto"/>
        </w:rPr>
      </w:pPr>
    </w:p>
    <w:p>
      <w:pPr>
        <w:jc w:val="both"/>
        <w:ind w:right="160" w:firstLine="881"/>
        <w:spacing w:after="0" w:line="264" w:lineRule="auto"/>
        <w:rPr>
          <w:sz w:val="20"/>
          <w:szCs w:val="20"/>
          <w:color w:val="auto"/>
        </w:rPr>
      </w:pPr>
      <w:r>
        <w:rPr>
          <w:rFonts w:ascii="Arial" w:cs="Arial" w:eastAsia="Arial" w:hAnsi="Arial"/>
          <w:sz w:val="18"/>
          <w:szCs w:val="18"/>
          <w:color w:val="auto"/>
        </w:rPr>
        <w:t>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w:t>
      </w:r>
    </w:p>
    <w:p>
      <w:pPr>
        <w:spacing w:after="0" w:line="181" w:lineRule="exact"/>
        <w:rPr>
          <w:sz w:val="20"/>
          <w:szCs w:val="20"/>
          <w:color w:val="auto"/>
        </w:rPr>
      </w:pPr>
    </w:p>
    <w:p>
      <w:pPr>
        <w:ind w:right="380" w:firstLine="881"/>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Information from Holder</w:t>
      </w:r>
      <w:r>
        <w:rPr>
          <w:rFonts w:ascii="Arial" w:cs="Arial" w:eastAsia="Arial" w:hAnsi="Arial"/>
          <w:sz w:val="18"/>
          <w:szCs w:val="18"/>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7" w:lineRule="exact"/>
        <w:rPr>
          <w:sz w:val="20"/>
          <w:szCs w:val="20"/>
          <w:color w:val="auto"/>
        </w:rPr>
      </w:pPr>
    </w:p>
    <w:p>
      <w:pPr>
        <w:ind w:right="180" w:firstLine="881"/>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 filings or qualifications of (i) up to two (2) registrations pursuant to Section 1.2, (ii) all registrations pursuant to Section 1.3 and (ii) up to four</w:t>
      </w:r>
    </w:p>
    <w:p>
      <w:pPr>
        <w:jc w:val="both"/>
        <w:ind w:right="140" w:firstLine="4"/>
        <w:spacing w:after="0" w:line="254" w:lineRule="auto"/>
        <w:tabs>
          <w:tab w:leader="none" w:pos="2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registrations pursuant to Section 1.4, including, without limitation, all registration, filing and qualification fees, printers’ and accounting fees, fees and disbursements of counsel for the Company and the reasonable fees and disbursements of one counsel for the selling Holders shall be borne by the Company. Notwithstanding the foregoing, the Company shall not be required to pay for any expenses of any registration proceeding begun pursuant to Sections 1.2</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82" w:name="page383"/>
    <w:bookmarkEnd w:id="38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1.4.</w:t>
      </w:r>
    </w:p>
    <w:p>
      <w:pPr>
        <w:spacing w:after="0" w:line="167" w:lineRule="exact"/>
        <w:rPr>
          <w:sz w:val="20"/>
          <w:szCs w:val="20"/>
          <w:color w:val="auto"/>
        </w:rPr>
      </w:pPr>
    </w:p>
    <w:p>
      <w:pPr>
        <w:ind w:right="460" w:firstLine="881"/>
        <w:spacing w:after="0" w:line="30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Delay of Registration</w:t>
      </w:r>
      <w:r>
        <w:rPr>
          <w:rFonts w:ascii="Arial" w:cs="Arial" w:eastAsia="Arial" w:hAnsi="Arial"/>
          <w:sz w:val="17"/>
          <w:szCs w:val="17"/>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7"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 this Section 1:</w:t>
      </w:r>
    </w:p>
    <w:p>
      <w:pPr>
        <w:spacing w:after="0" w:line="225" w:lineRule="exact"/>
        <w:rPr>
          <w:sz w:val="20"/>
          <w:szCs w:val="20"/>
          <w:color w:val="auto"/>
        </w:rPr>
      </w:pPr>
    </w:p>
    <w:p>
      <w:pPr>
        <w:ind w:right="40" w:firstLine="1436"/>
        <w:spacing w:after="0" w:line="283" w:lineRule="auto"/>
        <w:tabs>
          <w:tab w:leader="none" w:pos="1809"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w:t>
      </w:r>
    </w:p>
    <w:p>
      <w:pPr>
        <w:spacing w:after="0" w:line="6" w:lineRule="exact"/>
        <w:rPr>
          <w:rFonts w:ascii="Arial" w:cs="Arial" w:eastAsia="Arial" w:hAnsi="Arial"/>
          <w:sz w:val="16"/>
          <w:szCs w:val="16"/>
          <w:color w:val="auto"/>
        </w:rPr>
      </w:pPr>
    </w:p>
    <w:p>
      <w:pPr>
        <w:ind w:firstLine="4"/>
        <w:spacing w:after="0" w:line="268" w:lineRule="auto"/>
        <w:tabs>
          <w:tab w:leader="none" w:pos="26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subsection l.8(a)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3" w:right="519" w:bottom="1440" w:gutter="0" w:footer="0" w:header="0"/>
        </w:sectPr>
      </w:pPr>
    </w:p>
    <w:bookmarkStart w:id="383" w:name="page384"/>
    <w:bookmarkEnd w:id="383"/>
    <w:p>
      <w:pPr>
        <w:ind w:left="-20" w:right="60" w:firstLine="1436"/>
        <w:spacing w:after="0" w:line="286" w:lineRule="auto"/>
        <w:tabs>
          <w:tab w:leader="none" w:pos="1799" w:val="left"/>
        </w:tabs>
        <w:numPr>
          <w:ilvl w:val="0"/>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l.8(b) for any legal or other expenses reasonably incurred by such person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l.8(b)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indemnity under this subsection l.8(b) exceed the gross proceeds from the offering received by such Holder.</w:t>
      </w:r>
    </w:p>
    <w:p>
      <w:pPr>
        <w:spacing w:after="0" w:line="174" w:lineRule="exact"/>
        <w:rPr>
          <w:rFonts w:ascii="Arial" w:cs="Arial" w:eastAsia="Arial" w:hAnsi="Arial"/>
          <w:sz w:val="16"/>
          <w:szCs w:val="16"/>
          <w:color w:val="auto"/>
        </w:rPr>
      </w:pPr>
    </w:p>
    <w:p>
      <w:pPr>
        <w:ind w:left="-20" w:firstLine="1436"/>
        <w:spacing w:after="0" w:line="269" w:lineRule="auto"/>
        <w:tabs>
          <w:tab w:leader="none" w:pos="1792"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1.8 of notice of the commencement of any action (including any governmental action) for which a party may be entitled to indemnification, such indemnified party will, if a claim in respect thereof is to be made against any indemnifying party under this Section 1.8,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1.8 to the extent of such prejudice, but the omission to so deliver written notice to the indemnifying party will not relieve it of any liability that it may have to any indemnified party otherwise than under this Section 1.8.</w:t>
      </w:r>
    </w:p>
    <w:p>
      <w:pPr>
        <w:spacing w:after="0" w:line="179" w:lineRule="exact"/>
        <w:rPr>
          <w:rFonts w:ascii="Arial" w:cs="Arial" w:eastAsia="Arial" w:hAnsi="Arial"/>
          <w:sz w:val="17"/>
          <w:szCs w:val="17"/>
          <w:color w:val="auto"/>
        </w:rPr>
      </w:pPr>
    </w:p>
    <w:p>
      <w:pPr>
        <w:ind w:left="-20" w:right="520" w:firstLine="1436"/>
        <w:spacing w:after="0" w:line="308" w:lineRule="auto"/>
        <w:tabs>
          <w:tab w:leader="none" w:pos="1803"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1.8 is held by a court of competent jurisdiction to be unavailable to an indemnified party with respect to any loss, liability, claim, damage or expense referred to herein, then the indemnifying party, in lieu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384" w:name="page385"/>
    <w:bookmarkEnd w:id="38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no contribution by any Holder, when combined with any amounts paid by such Holder pursuant to Section 1.8(b), shall exceed the gross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Section 1.8(d), when combined with the amounts paid or payable by such Holder pursuant to Section 1.8(b),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80" w:lineRule="exact"/>
        <w:rPr>
          <w:sz w:val="20"/>
          <w:szCs w:val="20"/>
          <w:color w:val="auto"/>
        </w:rPr>
      </w:pPr>
    </w:p>
    <w:p>
      <w:pPr>
        <w:ind w:right="160" w:firstLine="1436"/>
        <w:spacing w:after="0" w:line="264" w:lineRule="auto"/>
        <w:tabs>
          <w:tab w:leader="none" w:pos="181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right="100" w:firstLine="1436"/>
        <w:spacing w:after="0" w:line="277" w:lineRule="auto"/>
        <w:tabs>
          <w:tab w:leader="none" w:pos="178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1.8 shall survive the completion of any offering of Registrable Securities in a registration statement under this Section 1 and otherwise.</w:t>
      </w:r>
    </w:p>
    <w:p>
      <w:pPr>
        <w:spacing w:after="0" w:line="170"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81" w:lineRule="exact"/>
        <w:rPr>
          <w:sz w:val="20"/>
          <w:szCs w:val="20"/>
          <w:color w:val="auto"/>
        </w:rPr>
      </w:pPr>
    </w:p>
    <w:p>
      <w:pPr>
        <w:ind w:right="520" w:firstLine="1436"/>
        <w:spacing w:after="0" w:line="277" w:lineRule="auto"/>
        <w:tabs>
          <w:tab w:leader="none" w:pos="181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effective date of the Initial Offering;</w:t>
      </w:r>
    </w:p>
    <w:p>
      <w:pPr>
        <w:spacing w:after="0" w:line="170" w:lineRule="exact"/>
        <w:rPr>
          <w:rFonts w:ascii="Arial" w:cs="Arial" w:eastAsia="Arial" w:hAnsi="Arial"/>
          <w:sz w:val="18"/>
          <w:szCs w:val="18"/>
          <w:color w:val="auto"/>
        </w:rPr>
      </w:pPr>
    </w:p>
    <w:p>
      <w:pPr>
        <w:ind w:left="1820" w:hanging="384"/>
        <w:spacing w:after="0"/>
        <w:tabs>
          <w:tab w:leader="none" w:pos="18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0" w:firstLine="1436"/>
        <w:spacing w:after="0" w:line="255" w:lineRule="auto"/>
        <w:tabs>
          <w:tab w:leader="none" w:pos="181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85" w:name="page386"/>
    <w:bookmarkEnd w:id="385"/>
    <w:p>
      <w:pPr>
        <w:ind w:right="60" w:firstLine="88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to cause the Company to register Registrable Securities pursuant to this Section 1 may be assigned (but only with all related obligations) by a Holder to a transferee or assignee of such securities that (a) is an Affiliate, subsidiary, parent, partner, limited partner, retired partner or stockholder of a Holder, (b) is a Holder’s family member or trust for the benefit of an individual Holder, or</w:t>
      </w:r>
    </w:p>
    <w:p>
      <w:pPr>
        <w:ind w:right="40" w:firstLine="4"/>
        <w:spacing w:after="0" w:line="270" w:lineRule="auto"/>
        <w:tabs>
          <w:tab w:leader="none" w:pos="24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after such assignment or transfer, holds at least one million (1,000,000) shares of Registrable Securities (appropriately adjusted for any stock split, dividend, combination or other recapitalization), </w:t>
      </w:r>
      <w:r>
        <w:rPr>
          <w:rFonts w:ascii="Arial" w:cs="Arial" w:eastAsia="Arial" w:hAnsi="Arial"/>
          <w:sz w:val="17"/>
          <w:szCs w:val="17"/>
          <w:u w:val="single" w:color="auto"/>
          <w:color w:val="auto"/>
        </w:rPr>
        <w:t>provided</w:t>
      </w:r>
      <w:r>
        <w:rPr>
          <w:rFonts w:ascii="Arial" w:cs="Arial" w:eastAsia="Arial" w:hAnsi="Arial"/>
          <w:sz w:val="17"/>
          <w:szCs w:val="17"/>
          <w:color w:val="auto"/>
        </w:rPr>
        <w:t>: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1.12 below; and (iii) such assignment shall be effective only if immediately following such transfer the further disposition of such securities by the transferee or assignee is restricted under the Act.</w:t>
      </w:r>
    </w:p>
    <w:p>
      <w:pPr>
        <w:spacing w:after="0" w:line="17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holding a majority of the voting power (as determined in accordance with Section IV(B)(5)(a) of the Restated Certificate) represented by the Registrable Securities then held by all Holders (voting together as a single class and on an as-converted basis), enter into any agreement with any holder or prospective holder of any securities of the Company that would allow such holder or prospective holder (a) any registration rights the terms of which are equal to or more favorable than the registration rights granted to Holders hereunder or (b) to demand registration of their securities.</w:t>
      </w:r>
    </w:p>
    <w:p>
      <w:pPr>
        <w:spacing w:after="0" w:line="301"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w:t>
      </w:r>
    </w:p>
    <w:p>
      <w:pPr>
        <w:spacing w:after="0" w:line="117" w:lineRule="exact"/>
        <w:rPr>
          <w:sz w:val="20"/>
          <w:szCs w:val="20"/>
          <w:color w:val="auto"/>
        </w:rPr>
      </w:pPr>
    </w:p>
    <w:p>
      <w:pPr>
        <w:ind w:firstLine="1436"/>
        <w:spacing w:after="0" w:line="269" w:lineRule="auto"/>
        <w:tabs>
          <w:tab w:leader="none" w:pos="1812" w:val="left"/>
        </w:tabs>
        <w:numPr>
          <w:ilvl w:val="0"/>
          <w:numId w:val="353"/>
        </w:numPr>
        <w:rPr>
          <w:rFonts w:ascii="Arial" w:cs="Arial" w:eastAsia="Arial" w:hAnsi="Arial"/>
          <w:sz w:val="17"/>
          <w:szCs w:val="17"/>
          <w:color w:val="auto"/>
        </w:rPr>
      </w:pPr>
      <w:r>
        <w:rPr>
          <w:rFonts w:ascii="Arial" w:cs="Arial" w:eastAsia="Arial" w:hAnsi="Arial"/>
          <w:sz w:val="17"/>
          <w:szCs w:val="17"/>
          <w:color w:val="auto"/>
        </w:rPr>
        <w:t>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(l80)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of equity securities, shall not apply to the sale of any shares to an underwriter pursuant to an underwriting agreement, and shall only be applicable to the Holders if all officers, directors and greater than one percent (1%) stockholders of the Company enter into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386" w:name="page387"/>
    <w:bookmarkEnd w:id="386"/>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58"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In order to enforce the foregoing covenant, the Company may impose stop transfer instructions with respect to the Registrable Securities of each Holder (and the shares or securities of every other person subject to the foregoing restriction) until the end of such period. Notwithstanding the foregoing, in the event the Company is not an “emerging growth company” as defined in Section 101 of the Jumpstart Our Business Startups Act of 2012, and, if (i) during the last seventeen (17) days of the one hundred eighty (180)-day restricted period, the Company issues an earnings release or material news or a material event relating to the Company occurs; or (ii) prior to the expiration of the one hundred eighty (180)-day restricted period, the Company announces that it will release earnings results during the sixteen (16)-day period beginning on the last day of the one hundred eighty (180)-day period, the restrictions imposed by this Section 1.13 shall continue to apply until the expiration of the eighteen (18)-day period beginning on the issuance of the earnings release or the occurrence of the material news or material event.</w:t>
      </w:r>
    </w:p>
    <w:p>
      <w:pPr>
        <w:spacing w:after="0" w:line="179" w:lineRule="exact"/>
        <w:rPr>
          <w:sz w:val="20"/>
          <w:szCs w:val="20"/>
          <w:color w:val="auto"/>
        </w:rPr>
      </w:pPr>
    </w:p>
    <w:p>
      <w:pPr>
        <w:ind w:right="80" w:firstLine="1436"/>
        <w:spacing w:after="0" w:line="308" w:lineRule="auto"/>
        <w:tabs>
          <w:tab w:leader="none" w:pos="1823" w:val="left"/>
        </w:tabs>
        <w:numPr>
          <w:ilvl w:val="0"/>
          <w:numId w:val="354"/>
        </w:numPr>
        <w:rPr>
          <w:rFonts w:ascii="Arial" w:cs="Arial" w:eastAsia="Arial" w:hAnsi="Arial"/>
          <w:sz w:val="17"/>
          <w:szCs w:val="17"/>
          <w:color w:val="auto"/>
        </w:rPr>
      </w:pPr>
      <w:r>
        <w:rPr>
          <w:rFonts w:ascii="Arial" w:cs="Arial" w:eastAsia="Arial" w:hAnsi="Arial"/>
          <w:sz w:val="17"/>
          <w:szCs w:val="17"/>
          <w:color w:val="auto"/>
        </w:rPr>
        <w:t>Each Holder agrees that a legend reading substantially as follows shall be placed on all certificates representing all Registrable Securities of each Holder (and the shares or securities of every other person subject to the restriction contained in this Section 1.13):</w:t>
      </w:r>
    </w:p>
    <w:p>
      <w:pPr>
        <w:spacing w:after="0" w:line="38" w:lineRule="exact"/>
        <w:rPr>
          <w:sz w:val="20"/>
          <w:szCs w:val="20"/>
          <w:color w:val="auto"/>
        </w:rPr>
      </w:pPr>
    </w:p>
    <w:p>
      <w:pPr>
        <w:ind w:left="440" w:right="260"/>
        <w:spacing w:after="0" w:line="279" w:lineRule="auto"/>
        <w:rPr>
          <w:sz w:val="20"/>
          <w:szCs w:val="20"/>
          <w:color w:val="auto"/>
        </w:rPr>
      </w:pPr>
      <w:r>
        <w:rPr>
          <w:rFonts w:ascii="Arial" w:cs="Arial" w:eastAsia="Arial" w:hAnsi="Arial"/>
          <w:sz w:val="17"/>
          <w:szCs w:val="17"/>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71"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 Holder shall be entitled to exercise any right provided for in this Section 1 (a) after four (4)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87" w:name="page388"/>
    <w:bookmarkEnd w:id="387"/>
    <w:p>
      <w:pPr>
        <w:ind w:left="1200" w:hanging="315"/>
        <w:spacing w:after="0"/>
        <w:tabs>
          <w:tab w:leader="none" w:pos="120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Company</w:t>
      </w:r>
      <w:r>
        <w:rPr>
          <w:rFonts w:ascii="Arial" w:cs="Arial" w:eastAsia="Arial" w:hAnsi="Arial"/>
          <w:sz w:val="18"/>
          <w:szCs w:val="18"/>
          <w:color w:val="auto"/>
        </w:rPr>
        <w:t>.</w:t>
      </w:r>
    </w:p>
    <w:p>
      <w:pPr>
        <w:spacing w:after="0" w:line="117" w:lineRule="exact"/>
        <w:rPr>
          <w:sz w:val="20"/>
          <w:szCs w:val="20"/>
          <w:color w:val="auto"/>
        </w:rPr>
      </w:pPr>
    </w:p>
    <w:p>
      <w:pPr>
        <w:ind w:right="60" w:firstLine="1433"/>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upon request, deliver to each Investor (or transferee of an Investor) that holds at least 4,000,000 shares of Registrable Securities (appropriately adjusted for any stock split, dividend, combination or other recapitalization) (a “</w:t>
      </w:r>
      <w:r>
        <w:rPr>
          <w:rFonts w:ascii="Arial" w:cs="Arial" w:eastAsia="Arial" w:hAnsi="Arial"/>
          <w:sz w:val="18"/>
          <w:szCs w:val="18"/>
          <w:u w:val="single" w:color="auto"/>
          <w:color w:val="auto"/>
        </w:rPr>
        <w:t>Major Investor</w:t>
      </w:r>
      <w:r>
        <w:rPr>
          <w:rFonts w:ascii="Arial" w:cs="Arial" w:eastAsia="Arial" w:hAnsi="Arial"/>
          <w:sz w:val="18"/>
          <w:szCs w:val="18"/>
          <w:color w:val="auto"/>
        </w:rPr>
        <w:t>”):</w:t>
      </w:r>
    </w:p>
    <w:p>
      <w:pPr>
        <w:spacing w:after="0" w:line="181" w:lineRule="exact"/>
        <w:rPr>
          <w:sz w:val="20"/>
          <w:szCs w:val="20"/>
          <w:color w:val="auto"/>
        </w:rPr>
      </w:pPr>
    </w:p>
    <w:p>
      <w:pPr>
        <w:ind w:right="100" w:firstLine="1877"/>
        <w:spacing w:after="0" w:line="297" w:lineRule="auto"/>
        <w:tabs>
          <w:tab w:leader="none" w:pos="2253" w:val="left"/>
        </w:tabs>
        <w:numPr>
          <w:ilvl w:val="1"/>
          <w:numId w:val="356"/>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and setting forth in each case in comparative form the figures for the previous fiscal year, all in reasonable detail, and audited and certified by independent public accountants of nationally recognized standing selected by the Company;</w:t>
      </w:r>
    </w:p>
    <w:p>
      <w:pPr>
        <w:spacing w:after="0" w:line="158" w:lineRule="exact"/>
        <w:rPr>
          <w:rFonts w:ascii="Arial" w:cs="Arial" w:eastAsia="Arial" w:hAnsi="Arial"/>
          <w:sz w:val="16"/>
          <w:szCs w:val="16"/>
          <w:color w:val="auto"/>
        </w:rPr>
      </w:pPr>
    </w:p>
    <w:p>
      <w:pPr>
        <w:ind w:right="20" w:firstLine="1877"/>
        <w:spacing w:after="0" w:line="279" w:lineRule="auto"/>
        <w:tabs>
          <w:tab w:leader="none" w:pos="2263" w:val="left"/>
        </w:tabs>
        <w:numPr>
          <w:ilvl w:val="1"/>
          <w:numId w:val="356"/>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an unaudited income statement,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1" w:lineRule="exact"/>
        <w:rPr>
          <w:rFonts w:ascii="Arial" w:cs="Arial" w:eastAsia="Arial" w:hAnsi="Arial"/>
          <w:sz w:val="17"/>
          <w:szCs w:val="17"/>
          <w:color w:val="auto"/>
        </w:rPr>
      </w:pPr>
    </w:p>
    <w:p>
      <w:pPr>
        <w:ind w:right="180" w:firstLine="1436"/>
        <w:spacing w:after="0" w:line="259" w:lineRule="auto"/>
        <w:tabs>
          <w:tab w:leader="none" w:pos="181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 with a comparison to plan;</w:t>
      </w:r>
    </w:p>
    <w:p>
      <w:pPr>
        <w:spacing w:after="0" w:line="186" w:lineRule="exact"/>
        <w:rPr>
          <w:rFonts w:ascii="Arial" w:cs="Arial" w:eastAsia="Arial" w:hAnsi="Arial"/>
          <w:sz w:val="18"/>
          <w:szCs w:val="18"/>
          <w:color w:val="auto"/>
        </w:rPr>
      </w:pPr>
    </w:p>
    <w:p>
      <w:pPr>
        <w:jc w:val="both"/>
        <w:ind w:right="100" w:firstLine="1877"/>
        <w:spacing w:after="0" w:line="264" w:lineRule="auto"/>
        <w:tabs>
          <w:tab w:leader="none" w:pos="2263"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as soon as practicable, but in any event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 and</w:t>
      </w:r>
    </w:p>
    <w:p>
      <w:pPr>
        <w:spacing w:after="0" w:line="181" w:lineRule="exact"/>
        <w:rPr>
          <w:rFonts w:ascii="Arial" w:cs="Arial" w:eastAsia="Arial" w:hAnsi="Arial"/>
          <w:sz w:val="18"/>
          <w:szCs w:val="18"/>
          <w:color w:val="auto"/>
        </w:rPr>
      </w:pPr>
    </w:p>
    <w:p>
      <w:pPr>
        <w:ind w:firstLine="1877"/>
        <w:spacing w:after="0" w:line="255" w:lineRule="auto"/>
        <w:tabs>
          <w:tab w:leader="none" w:pos="2253"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recipient to calculate their respective percentage equity ownership in the Company.</w:t>
      </w:r>
    </w:p>
    <w:p>
      <w:pPr>
        <w:spacing w:after="0" w:line="193" w:lineRule="exact"/>
        <w:rPr>
          <w:sz w:val="20"/>
          <w:szCs w:val="20"/>
          <w:color w:val="auto"/>
        </w:rPr>
      </w:pPr>
    </w:p>
    <w:p>
      <w:pPr>
        <w:ind w:right="180" w:firstLine="143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3" w:right="459" w:bottom="1440" w:gutter="0" w:footer="0" w:header="0"/>
        </w:sectPr>
      </w:pPr>
    </w:p>
    <w:bookmarkStart w:id="388" w:name="page389"/>
    <w:bookmarkEnd w:id="388"/>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information that it reasonably considers to be a trade secret or similar confidential information until the Major Investor signs a confidentiality agreement in a form reasonably acceptable to the Company.</w:t>
      </w:r>
    </w:p>
    <w:p>
      <w:pPr>
        <w:spacing w:after="0" w:line="170" w:lineRule="exact"/>
        <w:rPr>
          <w:sz w:val="20"/>
          <w:szCs w:val="20"/>
          <w:color w:val="auto"/>
        </w:rPr>
      </w:pPr>
    </w:p>
    <w:p>
      <w:pPr>
        <w:ind w:firstLine="1433"/>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Termination of Information and Inspection Covenants</w:t>
      </w:r>
      <w:r>
        <w:rPr>
          <w:rFonts w:ascii="Arial" w:cs="Arial" w:eastAsia="Arial" w:hAnsi="Arial"/>
          <w:sz w:val="18"/>
          <w:szCs w:val="18"/>
          <w:color w:val="auto"/>
        </w:rPr>
        <w:t>. The covenants set forth in Sections 2.1 and 2.2 shall terminate and be of no further force or effect upon the earlier to occur of (i) the consummation of a Qualified Public Offering (as defined in the Restated Certificate) or (ii) the consummation of a Liquidation Event, (as defined in Restated Certificate).</w:t>
      </w:r>
    </w:p>
    <w:p>
      <w:pPr>
        <w:spacing w:after="0" w:line="181" w:lineRule="exact"/>
        <w:rPr>
          <w:sz w:val="20"/>
          <w:szCs w:val="20"/>
          <w:color w:val="auto"/>
        </w:rPr>
      </w:pPr>
    </w:p>
    <w:p>
      <w:pPr>
        <w:ind w:right="200" w:firstLine="1433"/>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specified in this Section 2.4, the Company hereby grants to each Major Investor a right of first offer with respect to future sales by the Company of its Shares (as hereinafter defined). For purposes of this Section 2.4, 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includes any general partners and affiliates of a Major Investor. A Major Investor shall be entitled to apportion the right of first offer hereby granted it among itself and its partners and Affiliates in such proportions as it deems appropriate.</w:t>
      </w:r>
    </w:p>
    <w:p>
      <w:pPr>
        <w:spacing w:after="0" w:line="171"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Each time the Company proposes to offer any shares of, or securities convertible into or exchangeable or exercisable for any shares of, its capital stock (including, without limitation, any unit of debt or equity securities)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Investor in accordance with the following provisions:</w:t>
      </w:r>
    </w:p>
    <w:p>
      <w:pPr>
        <w:spacing w:after="0" w:line="181" w:lineRule="exact"/>
        <w:rPr>
          <w:sz w:val="20"/>
          <w:szCs w:val="20"/>
          <w:color w:val="auto"/>
        </w:rPr>
      </w:pPr>
    </w:p>
    <w:p>
      <w:pPr>
        <w:ind w:right="280" w:firstLine="1877"/>
        <w:spacing w:after="0" w:line="342" w:lineRule="auto"/>
        <w:tabs>
          <w:tab w:leader="none" w:pos="225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Company shall deliver a notice in accordance with Section 3.5 (“</w:t>
      </w:r>
      <w:r>
        <w:rPr>
          <w:rFonts w:ascii="Arial" w:cs="Arial" w:eastAsia="Arial" w:hAnsi="Arial"/>
          <w:sz w:val="16"/>
          <w:szCs w:val="16"/>
          <w:u w:val="single" w:color="auto"/>
          <w:color w:val="auto"/>
        </w:rPr>
        <w:t>Notice</w:t>
      </w:r>
      <w:r>
        <w:rPr>
          <w:rFonts w:ascii="Arial" w:cs="Arial" w:eastAsia="Arial" w:hAnsi="Arial"/>
          <w:sz w:val="16"/>
          <w:szCs w:val="16"/>
          <w:color w:val="auto"/>
        </w:rPr>
        <w:t>”) to the Investors stating (i) its bona fide intention to offer such Shares, (ii) the number of such Shares to be offered and (iii) the price and terms upon which it proposes to offer such Shares.</w:t>
      </w:r>
    </w:p>
    <w:p>
      <w:pPr>
        <w:spacing w:after="0" w:line="123" w:lineRule="exact"/>
        <w:rPr>
          <w:rFonts w:ascii="Arial" w:cs="Arial" w:eastAsia="Arial" w:hAnsi="Arial"/>
          <w:sz w:val="16"/>
          <w:szCs w:val="16"/>
          <w:color w:val="auto"/>
        </w:rPr>
      </w:pPr>
    </w:p>
    <w:p>
      <w:pPr>
        <w:ind w:right="20" w:firstLine="1877"/>
        <w:spacing w:after="0" w:line="269" w:lineRule="auto"/>
        <w:tabs>
          <w:tab w:leader="none" w:pos="2263" w:val="left"/>
        </w:tabs>
        <w:numPr>
          <w:ilvl w:val="0"/>
          <w:numId w:val="358"/>
        </w:numPr>
        <w:rPr>
          <w:rFonts w:ascii="Arial" w:cs="Arial" w:eastAsia="Arial" w:hAnsi="Arial"/>
          <w:sz w:val="17"/>
          <w:szCs w:val="17"/>
          <w:color w:val="auto"/>
        </w:rPr>
      </w:pPr>
      <w:r>
        <w:rPr>
          <w:rFonts w:ascii="Arial" w:cs="Arial" w:eastAsia="Arial" w:hAnsi="Arial"/>
          <w:sz w:val="17"/>
          <w:szCs w:val="17"/>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Common Stock issued and held, or issuable upon conversion of Preferred Stock then held, by such Investor bears to the total number of shares of Common Stock of the Company then outstanding (assuming full conversion and exercise of all convertible and exercisable securities then outstanding). The Company shall promptly, in writing, inform each Major Investor that elects to purchase all the shares available to it (a “</w:t>
      </w:r>
      <w:r>
        <w:rPr>
          <w:rFonts w:ascii="Arial" w:cs="Arial" w:eastAsia="Arial" w:hAnsi="Arial"/>
          <w:sz w:val="17"/>
          <w:szCs w:val="17"/>
          <w:u w:val="single" w:color="auto"/>
          <w:color w:val="auto"/>
        </w:rPr>
        <w:t>Fully-Exercising Major Investor</w:t>
      </w:r>
      <w:r>
        <w:rPr>
          <w:rFonts w:ascii="Arial" w:cs="Arial" w:eastAsia="Arial" w:hAnsi="Arial"/>
          <w:sz w:val="17"/>
          <w:szCs w:val="17"/>
          <w:color w:val="auto"/>
        </w:rPr>
        <w:t>”) of any other Major Investor’s failure to do likewise. During the ten (10) day period commencing after such information is given, each Fully-Exercising Major Investor may elect to purchase that portion of the Shares for which Major Investors were entitled to subscribe, but which were not subscribed for by the Major Investors, that is equal to the proportion that the number of shares of Common Stock held by such Fully-Exercising Major Investor (assuming full conversion and exercise of all convertible and exercisable securities then outstanding) bears to the number of shares of Common Stock held by all Fully-Exercising Major Investors (assuming full conversion and exercise of all convertible and exercisable securities then outstanding).</w:t>
      </w:r>
    </w:p>
    <w:p>
      <w:pPr>
        <w:spacing w:after="0" w:line="182" w:lineRule="exact"/>
        <w:rPr>
          <w:rFonts w:ascii="Arial" w:cs="Arial" w:eastAsia="Arial" w:hAnsi="Arial"/>
          <w:sz w:val="17"/>
          <w:szCs w:val="17"/>
          <w:color w:val="auto"/>
        </w:rPr>
      </w:pPr>
    </w:p>
    <w:p>
      <w:pPr>
        <w:ind w:left="2260" w:hanging="383"/>
        <w:spacing w:after="0"/>
        <w:tabs>
          <w:tab w:leader="none" w:pos="226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If all Shares that Major Investors are entitled to obtain pursuant to subsection 2.4(b) are not elected to be obtained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provided in subsection 2.4(b)</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89" w:name="page390"/>
    <w:bookmarkEnd w:id="38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the Company may, during the ninety (90) day period following the expiration of the period provided in subsection 2.4(b) hereof,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88" w:lineRule="exact"/>
        <w:rPr>
          <w:sz w:val="20"/>
          <w:szCs w:val="20"/>
          <w:color w:val="auto"/>
        </w:rPr>
      </w:pPr>
    </w:p>
    <w:p>
      <w:pPr>
        <w:ind w:firstLine="1877"/>
        <w:spacing w:after="0" w:line="285" w:lineRule="auto"/>
        <w:tabs>
          <w:tab w:leader="none" w:pos="226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right of first offer in this Section 2.4 shall not be applicable to (i) the issuance or sale of shares of Common Stock (or options therefor) to employees, directors, consultants and other service providers for the primary purpose of soliciting or retaining their services pursuant to plans or agreements approved by the Company’s Board of Directors (which approval shall include the affirmative vote of the Series 4 Director, Series 5 Director, Series 6 Director or Series 7 Director (each as defined in that certain Amended and Restated Voting Agreement, by and between the Company and certain stockholders, dated as of the date hereof, collectively,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(ii) the issuance of securities pursuant to a bona fide, firmly underwritten public offering of shares of Common Stock registered under the Act, (iii) the issuance of securities pursuant to the conversion or exercise of convertible or exercisable securities outstanding as of the date hereof, (iv) the issuance of securities in connection with a bona fide business acquisition of or by the Company, whether by merger, consolidation, sale of assets, sale or exchange of stock or otherwise, approved by the Company’s Board of Directors (which approval shall include the vote of a Preferred Director), (v) the issuance and sale of Series 7 Preferred Stock pursuant to the Series 7 Purchase Agreement, (vi) the issuance of stock, warrants or other securities or rights to persons or entities with which the Company has business relationships, provided such issuances are primarily for non-equity financing purposes (which approval shall include the affirmative vote of a Preferred Director), or (vii) the issuance of securities to non-Affiliates that are specifically deemed not to be subject to the right of first offer in this Section 2.4 by the written consent or affirmative vote of the Major Investors holding greater than fifty percent (50%) of the Registrable Securities then held by all Major Investors. In addition to the foregoing, the right of first offer in this Section 2.4 shall not be applicable with respect to any Investor in any subsequent offering of Shares if (i) at the time of such offering, the Investor is not an “accredited investor,” as that term is then defined in Rule 501(a) of the Act and (ii) such offering of Shares is otherwise being offered only to accredited investors.</w:t>
      </w:r>
    </w:p>
    <w:p>
      <w:pPr>
        <w:spacing w:after="0" w:line="177" w:lineRule="exact"/>
        <w:rPr>
          <w:rFonts w:ascii="Arial" w:cs="Arial" w:eastAsia="Arial" w:hAnsi="Arial"/>
          <w:sz w:val="16"/>
          <w:szCs w:val="16"/>
          <w:color w:val="auto"/>
        </w:rPr>
      </w:pPr>
    </w:p>
    <w:p>
      <w:pPr>
        <w:ind w:right="320" w:firstLine="1436"/>
        <w:spacing w:after="0" w:line="277" w:lineRule="auto"/>
        <w:tabs>
          <w:tab w:leader="none" w:pos="180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The rights provided in this Section 2.4 may not be assigned or transferred by any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Major Investor that is a venture capital fund may assign or transfer such rights to its Affiliates.</w:t>
      </w:r>
    </w:p>
    <w:p>
      <w:pPr>
        <w:spacing w:after="0" w:line="170" w:lineRule="exact"/>
        <w:rPr>
          <w:rFonts w:ascii="Arial" w:cs="Arial" w:eastAsia="Arial" w:hAnsi="Arial"/>
          <w:sz w:val="18"/>
          <w:szCs w:val="18"/>
          <w:color w:val="auto"/>
        </w:rPr>
      </w:pPr>
    </w:p>
    <w:p>
      <w:pPr>
        <w:ind w:right="220" w:firstLine="1436"/>
        <w:spacing w:after="0" w:line="277" w:lineRule="auto"/>
        <w:tabs>
          <w:tab w:leader="none" w:pos="178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covenants set forth in this Section 2.4 shall terminate and be of no further force or effect upon the consummation of (i) a Qualified Public Offering or (ii) a Liquidation Event.</w:t>
      </w:r>
    </w:p>
    <w:p>
      <w:pPr>
        <w:spacing w:after="0" w:line="170"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shall have in place at all times at least $5,000,000 in directors and officers insurance policies or an amount approved by the Board of Directors, including a majority of the Preferred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90" w:name="page391"/>
    <w:bookmarkEnd w:id="390"/>
    <w:p>
      <w:pPr>
        <w:ind w:right="68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181" w:lineRule="exact"/>
        <w:rPr>
          <w:sz w:val="20"/>
          <w:szCs w:val="20"/>
          <w:color w:val="auto"/>
        </w:rPr>
      </w:pPr>
    </w:p>
    <w:p>
      <w:pPr>
        <w:ind w:right="200" w:firstLine="881"/>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Unless approved by the Board of Directors of the Company,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w:t>
      </w:r>
    </w:p>
    <w:p>
      <w:pPr>
        <w:spacing w:after="0" w:line="2" w:lineRule="exact"/>
        <w:rPr>
          <w:sz w:val="20"/>
          <w:szCs w:val="20"/>
          <w:color w:val="auto"/>
        </w:rPr>
      </w:pPr>
    </w:p>
    <w:p>
      <w:pPr>
        <w:ind w:right="60" w:firstLine="4"/>
        <w:spacing w:after="0" w:line="267" w:lineRule="auto"/>
        <w:tabs>
          <w:tab w:leader="none" w:pos="34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months thereafter and (b) a one hundred and eighty (180)-day lockup period (plus an additional period of up to eighteen (18) days) in connection with the Company’s initial public offering; provided, however, that all future equity issuances to current employees of the Company may vest in equal monthly installments over a forty eight (48) month period; provided further, however, that all future equity issuances to current employees of the Company that have not provided twelve (12) months of continued employment or services to the Company shall provide for vesting of shares over a four (4) year period with the first twenty five percent (25%) of such shares following twelve (12) months of continued employment or services. The Company shall retain a right of first refusal on transfers until the Company’s initial public offering and the right to repurchase unvested shares at cost. Notwithstanding the foregoing, any future grants of Common Stock equivalents to Jeffrey Dunn, Leonard Rudolf or Mark Reiley (collectively, the “</w:t>
      </w:r>
      <w:r>
        <w:rPr>
          <w:rFonts w:ascii="Arial" w:cs="Arial" w:eastAsia="Arial" w:hAnsi="Arial"/>
          <w:sz w:val="17"/>
          <w:szCs w:val="17"/>
          <w:u w:val="single" w:color="auto"/>
          <w:color w:val="auto"/>
        </w:rPr>
        <w:t>Founders</w:t>
      </w:r>
      <w:r>
        <w:rPr>
          <w:rFonts w:ascii="Arial" w:cs="Arial" w:eastAsia="Arial" w:hAnsi="Arial"/>
          <w:sz w:val="17"/>
          <w:szCs w:val="17"/>
          <w:color w:val="auto"/>
        </w:rPr>
        <w:t>”) shall provide that all of such unvested Common Stock equivalents held by a Founder shall vest immediately upon a change of control transaction where the stockholders of the Company immediately prior to the consummation of such transaction do not own 50% of the shares of capital stock of the surviving entity, provided that the Founder agrees to work for the acquirer or the surviving entity to facilitate an integration of the Company into the acquirer or surviving entity for a period not to exceed six (6) months unless otherwise agreed to by the Founder, the Company and the acquirer or surviving entity.</w:t>
      </w:r>
    </w:p>
    <w:p>
      <w:pPr>
        <w:spacing w:after="0" w:line="185" w:lineRule="exact"/>
        <w:rPr>
          <w:sz w:val="20"/>
          <w:szCs w:val="20"/>
          <w:color w:val="auto"/>
        </w:rPr>
      </w:pPr>
    </w:p>
    <w:p>
      <w:pPr>
        <w:ind w:firstLine="1433"/>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Preservation of Qualified Small Business Stock Status</w:t>
      </w:r>
      <w:r>
        <w:rPr>
          <w:rFonts w:ascii="Arial" w:cs="Arial" w:eastAsia="Arial" w:hAnsi="Arial"/>
          <w:sz w:val="16"/>
          <w:szCs w:val="16"/>
          <w:color w:val="auto"/>
        </w:rPr>
        <w:t>. The Company shall use commercially reasonable efforts to not take, or fail to take, any action which would cause the Preferred Stock (or Common Stock issuable upon conversion of Preferred Stock (the “</w:t>
      </w:r>
      <w:r>
        <w:rPr>
          <w:rFonts w:ascii="Arial" w:cs="Arial" w:eastAsia="Arial" w:hAnsi="Arial"/>
          <w:sz w:val="16"/>
          <w:szCs w:val="16"/>
          <w:u w:val="single" w:color="auto"/>
          <w:color w:val="auto"/>
        </w:rPr>
        <w:t>IOC Common</w:t>
      </w:r>
      <w:r>
        <w:rPr>
          <w:rFonts w:ascii="Arial" w:cs="Arial" w:eastAsia="Arial" w:hAnsi="Arial"/>
          <w:sz w:val="16"/>
          <w:szCs w:val="16"/>
          <w:color w:val="auto"/>
        </w:rPr>
        <w:t>”)) to fail to qualify as “qualified small business stock” within the meaning of Sections 1045 and 1202 of the Code and Sections 18152.5 and 18038.5 of the California Revenue and Taxation Code; provided that, notwithstanding the foregoing, the Company shall not be obligated to take any action, or refrain from any action, which the Board of Directors, including at least one Preferred Director, approves after taking into consideration the relevant “qualified small business stock” issues. In the event that the Company is or becomes aware that the Preferred Stock and/or IOC Common will or may fail to qualify as “qualified small business stock” within the meaning of Sections 1045 and 1202 of the Code or Sections 18152.5 and 18038.5 of the California Revenue and Taxation Code, the Company will promptly notify the holders of the Preferred Stock and/or IOC Common and will take such action as may be reasonably requested by such holders to avoid any loss of benefit attributable to such 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91" w:name="page392"/>
    <w:bookmarkEnd w:id="391"/>
    <w:p>
      <w:pPr>
        <w:ind w:right="140" w:firstLine="143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8"/>
          <w:szCs w:val="18"/>
          <w:u w:val="single" w:color="auto"/>
          <w:color w:val="auto"/>
        </w:rPr>
        <w:t>Board Expenses</w:t>
      </w:r>
      <w:r>
        <w:rPr>
          <w:rFonts w:ascii="Arial" w:cs="Arial" w:eastAsia="Arial" w:hAnsi="Arial"/>
          <w:sz w:val="18"/>
          <w:szCs w:val="18"/>
          <w:color w:val="auto"/>
        </w:rPr>
        <w:t>. The Company shall reimburse the nonemployee directors for all reasonable out-of-pocket expenses incurred in connection with attending meetings of the Board of Directors.</w:t>
      </w:r>
    </w:p>
    <w:p>
      <w:pPr>
        <w:spacing w:after="0" w:line="170" w:lineRule="exact"/>
        <w:rPr>
          <w:sz w:val="20"/>
          <w:szCs w:val="20"/>
          <w:color w:val="auto"/>
        </w:rPr>
      </w:pPr>
    </w:p>
    <w:p>
      <w:pPr>
        <w:ind w:right="80" w:firstLine="1433"/>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Board Committees</w:t>
      </w:r>
      <w:r>
        <w:rPr>
          <w:rFonts w:ascii="Arial" w:cs="Arial" w:eastAsia="Arial" w:hAnsi="Arial"/>
          <w:sz w:val="18"/>
          <w:szCs w:val="18"/>
          <w:color w:val="auto"/>
        </w:rPr>
        <w:t>. The Series 7 Director (as defined in that certain Amended and Restated Voting Agreement, by and between the Company and certain stockholders, dated as of the date hereof) shall be entitled in such person’s discretion to be a member of any Board of Directors committee.</w:t>
      </w:r>
    </w:p>
    <w:p>
      <w:pPr>
        <w:spacing w:after="0" w:line="181"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of Certain Covenants</w:t>
      </w:r>
      <w:r>
        <w:rPr>
          <w:rFonts w:ascii="Arial" w:cs="Arial" w:eastAsia="Arial" w:hAnsi="Arial"/>
          <w:sz w:val="18"/>
          <w:szCs w:val="18"/>
          <w:color w:val="auto"/>
        </w:rPr>
        <w:t>. The covenants set forth in Sections 2.5, 2.6, 2.7, 2.8, 2.9 and 2.10 shall terminate and be of no further force or effect upon the consummation of (i) a Qualified Public Offering or (ii) a Liquidation Event.</w:t>
      </w:r>
    </w:p>
    <w:p>
      <w:pPr>
        <w:spacing w:after="0" w:line="279" w:lineRule="exact"/>
        <w:rPr>
          <w:sz w:val="20"/>
          <w:szCs w:val="20"/>
          <w:color w:val="auto"/>
        </w:rPr>
      </w:pPr>
    </w:p>
    <w:p>
      <w:pPr>
        <w:ind w:left="1200" w:hanging="315"/>
        <w:spacing w:after="0"/>
        <w:tabs>
          <w:tab w:leader="none" w:pos="12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20" w:firstLine="1433"/>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terms and conditions of this Agreement shall inure to the benefit of and be binding upon the respective successors and assigns of the parties (including transferees of any shares of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54" w:lineRule="exact"/>
        <w:rPr>
          <w:sz w:val="20"/>
          <w:szCs w:val="20"/>
          <w:color w:val="auto"/>
        </w:rPr>
      </w:pPr>
    </w:p>
    <w:p>
      <w:pPr>
        <w:ind w:right="360" w:firstLine="1433"/>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as applied to agreements among Delaware residents entered into and to be performed entirely within Delaware.</w:t>
      </w:r>
    </w:p>
    <w:p>
      <w:pPr>
        <w:spacing w:after="0" w:line="170" w:lineRule="exact"/>
        <w:rPr>
          <w:sz w:val="20"/>
          <w:szCs w:val="20"/>
          <w:color w:val="auto"/>
        </w:rPr>
      </w:pPr>
    </w:p>
    <w:p>
      <w:pPr>
        <w:ind w:right="20" w:firstLine="1433"/>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100" w:firstLine="1433"/>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1440"/>
        <w:spacing w:after="0"/>
        <w:tabs>
          <w:tab w:leader="none" w:pos="18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hereto shall be in writing and shall be deemed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effectively given: (i) upon personal delivery to the party to be notified, (ii) when sent by confirmed electronic mail or facsimile if sent during normal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business hours of the recipient; if not, then on the next business day, (iii) five (5) days after having been sent by registered or certified mail, return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receipt requested, postage prepaid, or (iv) one (1) business day after deposit with a nationally recognized overnight courier, specifying next day delivery,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written verification of receipt and (ii) for persons located outside the United States, two (2) business days after deposit with an internationally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overnight courier, with written verification of receipt. All communications shall be sent to the respective parties at the addresses set forth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signature pages attached hereto (or at such other addresses as shall be specified by notice given in accordance with this Section 3.5).</w:t>
      </w:r>
    </w:p>
    <w:p>
      <w:pPr>
        <w:spacing w:after="0" w:line="211" w:lineRule="exact"/>
        <w:rPr>
          <w:sz w:val="20"/>
          <w:szCs w:val="20"/>
          <w:color w:val="auto"/>
        </w:rPr>
      </w:pPr>
    </w:p>
    <w:p>
      <w:pPr>
        <w:ind w:right="80" w:firstLine="1433"/>
        <w:spacing w:after="0" w:line="34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92" w:name="page393"/>
    <w:bookmarkEnd w:id="392"/>
    <w:p>
      <w:pPr>
        <w:ind w:left="1440"/>
        <w:spacing w:after="0"/>
        <w:tabs>
          <w:tab w:leader="none" w:pos="1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Arial" w:cs="Arial" w:eastAsia="Arial" w:hAnsi="Arial"/>
          <w:sz w:val="16"/>
          <w:szCs w:val="16"/>
          <w:u w:val="single" w:color="auto"/>
          <w:color w:val="auto"/>
        </w:rPr>
        <w:t>Entire Agreement; Amendments and Waivers</w:t>
      </w:r>
      <w:r>
        <w:rPr>
          <w:rFonts w:ascii="Arial" w:cs="Arial" w:eastAsia="Arial" w:hAnsi="Arial"/>
          <w:sz w:val="16"/>
          <w:szCs w:val="16"/>
          <w:color w:val="auto"/>
        </w:rPr>
        <w:t>. This Agreement (including the Exhibits hereto, if any) constitutes the full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entire understanding and agreement among the parties with regard to the subjects hereof and thereof. Any term of this Agreement (other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 Section 2.2, Section 2.3, Section 2.4 and 3.10) may be amended and the observance of any term of this Agreement may be waived (either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or in a particular instance and either retroactively or prospectively) only with the written consent of the Company and the holders of at least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(as determined in accordance with Section IV(B)(5)(a) of the Restated Certificate) of Preferred Stock outstanding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as a single class and on an as-converted to common basis). The provisions of Section 2.1, Section 2.2, Section 2.3 and Section 2.4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or waived (either generally or in a particular instance and either retroactively or prospectively) only with the written consent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holders of at least a majority of the voting power (as determined in accordance with Section IV(B)(5)(a) of the Restated Certificate) of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outstanding that is held by all of the Major Investors (voting together as a single class and on an as-converted to common basis).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3.10 may be amended or waived (either generally or in a particular instance and either retroactively or prospectively) only with the written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consent of Novo A/S. Notwithstanding the foregoing, this Agreement may not be amended or terminated and the observance of any term hereof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waived with respect to any Major Investor without the written consent of such Major Investor, unless such amendment, termination, or waiver applies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all Major Investors in the same fashion (it being agreed that (i) a waiver of the provisions of Section 2.4 with respect to a particular transaction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deemed to apply to all Major Investors in the same fashion if such waiver does so by its terms, notwithstanding the fact that certain Major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nonetheless, by agreement with the Company, purchase securities in such transaction and (ii) any amendment of the definition of Major Investor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would result in any Major Investor losing its status as a Major Investor shall require the consent of such adversely impacted Major Investor).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amendment or waiver effected in accordance with this paragraph shall be binding upon each holder of any securities, each future holder of all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the Company. Notwithstanding this Section 3.7, no consent shall be necessary to add holders of the Company’s Preferred Stock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signatories to this Agreement and to update Schedule A accordingly.</w:t>
      </w:r>
    </w:p>
    <w:p>
      <w:pPr>
        <w:spacing w:after="0" w:line="211" w:lineRule="exact"/>
        <w:rPr>
          <w:sz w:val="20"/>
          <w:szCs w:val="20"/>
          <w:color w:val="auto"/>
        </w:rPr>
      </w:pPr>
    </w:p>
    <w:p>
      <w:pPr>
        <w:ind w:right="100" w:firstLine="1433"/>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provision(s) shall be excluded from this Agreement and the balance of the Agreement shall be interpreted as if such provision(s) were so excluded and shall be enforceable in accordance with its terms.</w:t>
      </w:r>
    </w:p>
    <w:p>
      <w:pPr>
        <w:spacing w:after="0" w:line="181"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securities held or acquired by affiliated entities (including affiliated venture capital funds) or persons shall be aggregated together for the purpose of determining the availability of any rights under this Agreement.</w:t>
      </w:r>
    </w:p>
    <w:p>
      <w:pPr>
        <w:spacing w:after="0" w:line="170" w:lineRule="exact"/>
        <w:rPr>
          <w:sz w:val="20"/>
          <w:szCs w:val="20"/>
          <w:color w:val="auto"/>
        </w:rPr>
      </w:pPr>
    </w:p>
    <w:p>
      <w:pPr>
        <w:jc w:val="both"/>
        <w:ind w:right="260" w:firstLine="1433"/>
        <w:spacing w:after="0" w:line="26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 of Liability; Freedom to Operate Affiliates</w:t>
      </w:r>
      <w:r>
        <w:rPr>
          <w:rFonts w:ascii="Arial" w:cs="Arial" w:eastAsia="Arial" w:hAnsi="Arial"/>
          <w:sz w:val="18"/>
          <w:szCs w:val="18"/>
          <w:color w:val="auto"/>
        </w:rPr>
        <w:t>. The total 3.10 liability, in the aggregate, of any of Novo A/S and its respective officers, directors, employees and agents, for any and all monetary claims, losses, costs or damages, including attorneys’ and accountants’ fees and expenses and costs of any nature whatsoever or claims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3" w:right="439" w:bottom="1440" w:gutter="0" w:footer="0" w:header="0"/>
        </w:sectPr>
      </w:pPr>
    </w:p>
    <w:bookmarkStart w:id="393" w:name="page394"/>
    <w:bookmarkEnd w:id="39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resulting from or in any way related to this Agreement from any cause or causes shall be several and not joint with the other Stockholders and shall not exceed the aggregate purchase price paid to the Company by Novo A/S for securities of the Company, under the Series 7 Purchase Agreement or any other contract. It is intended that this limitation apply to any and all monetary liabilities or causes of action however alleged or arising, unless otherwise prohibited by law; provided, however, that this Section 3.10 shall in no way limit the Company’s right to equitable relief, including injunctive relief and specific performance from Novo A/S. Nothing in this Agreement or the Ancillary Agreements (as defined in the Purchase Agreement) shall restrict Novo A/S’s freedom to operate any of its affiliates (including any such affiliate that is a potential competitor of the Company).</w:t>
      </w:r>
    </w:p>
    <w:p>
      <w:pPr>
        <w:spacing w:after="0" w:line="165" w:lineRule="exact"/>
        <w:rPr>
          <w:sz w:val="20"/>
          <w:szCs w:val="20"/>
          <w:color w:val="auto"/>
        </w:rPr>
      </w:pPr>
    </w:p>
    <w:p>
      <w:pPr>
        <w:ind w:right="140" w:firstLine="1433"/>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Termination of Prior Agreement</w:t>
      </w:r>
      <w:r>
        <w:rPr>
          <w:rFonts w:ascii="Arial" w:cs="Arial" w:eastAsia="Arial" w:hAnsi="Arial"/>
          <w:sz w:val="18"/>
          <w:szCs w:val="18"/>
          <w:color w:val="auto"/>
        </w:rPr>
        <w:t>. Upon the effectiveness of this Agreement, the Prior Rights Agreement shall terminate and be of no further force and effect, and shall be superseded and replaced in its entirety by this Agreement.</w:t>
      </w:r>
    </w:p>
    <w:p>
      <w:pPr>
        <w:spacing w:after="0" w:line="170" w:lineRule="exact"/>
        <w:rPr>
          <w:sz w:val="20"/>
          <w:szCs w:val="20"/>
          <w:color w:val="auto"/>
        </w:rPr>
      </w:pPr>
    </w:p>
    <w:p>
      <w:pPr>
        <w:ind w:firstLine="1433"/>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Preemptive Rights Waiver</w:t>
      </w:r>
      <w:r>
        <w:rPr>
          <w:rFonts w:ascii="Arial" w:cs="Arial" w:eastAsia="Arial" w:hAnsi="Arial"/>
          <w:sz w:val="17"/>
          <w:szCs w:val="17"/>
          <w:color w:val="auto"/>
        </w:rPr>
        <w:t>. Each Investor hereby waives any rights to notice of and any rights to participate in the issuance of shares of Series 7 Preferred Stock pursuant to the Series 7 Purchase Agreement that such Investor may have, and, furthermore, each Investor, on its behalf and on behalf of all Major Investors (as such term is defined in the Prior Rights Agreement), hereby waives all rights set forth in Section 2.4 of the Prior Rights Agreement with respect to the transactions contemplated by the Series 7 Purchase Agreement.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94" w:name="page395"/>
    <w:bookmarkEnd w:id="39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/s/ Jeffrey Dunn</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8"/>
                <w:szCs w:val="18"/>
                <w:color w:val="auto"/>
              </w:rPr>
            </w:pPr>
          </w:p>
        </w:tc>
        <w:tc>
          <w:tcPr>
            <w:tcW w:w="3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Jeffrey Dunn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395" w:name="page396"/>
    <w:bookmarkEnd w:id="39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7"/>
          <w:szCs w:val="17"/>
          <w:b w:val="1"/>
          <w:bCs w:val="1"/>
          <w:color w:val="auto"/>
        </w:rPr>
        <w:t>SKYLINE VENTURE PARTNERS V, L.P.</w:t>
      </w: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Skyline Venture Management V, LLC</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John G. Freund</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Its: 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14605</wp:posOffset>
            </wp:positionV>
            <wp:extent cx="23241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169545</wp:posOffset>
            </wp:positionV>
            <wp:extent cx="23241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396" w:name="page397"/>
    <w:bookmarkEnd w:id="39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MONTREUX EQUITY PARTNERS IV, LP</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1320" w:type="dxa"/>
            <w:vAlign w:val="bottom"/>
          </w:tcPr>
          <w:p>
            <w:pPr>
              <w:ind w:left="740"/>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1320" w:type="dxa"/>
            <w:vAlign w:val="bottom"/>
          </w:tcPr>
          <w:p>
            <w:pPr>
              <w:ind w:left="740"/>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1320" w:type="dxa"/>
            <w:vAlign w:val="bottom"/>
          </w:tcPr>
          <w:p>
            <w:pPr>
              <w:ind w:left="740"/>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tcPr>
          <w:p>
            <w:pPr>
              <w:spacing w:after="0"/>
              <w:rPr>
                <w:sz w:val="24"/>
                <w:szCs w:val="24"/>
                <w:color w:val="auto"/>
              </w:rPr>
            </w:pPr>
          </w:p>
        </w:tc>
      </w:tr>
    </w:tbl>
    <w:p>
      <w:pPr>
        <w:spacing w:after="0" w:line="20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Montreux Equity Partners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One Ferry Building</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Suite 255</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San Francisco, CA 94111</w:t>
      </w:r>
    </w:p>
    <w:p>
      <w:pPr>
        <w:spacing w:after="0" w:line="20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MONTREUX IV ASSOCIATES, LLC</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0"/>
                <w:szCs w:val="20"/>
                <w:color w:val="auto"/>
              </w:rPr>
            </w:pPr>
            <w:r>
              <w:rPr>
                <w:rFonts w:ascii="Arial" w:cs="Arial" w:eastAsia="Arial" w:hAnsi="Arial"/>
                <w:sz w:val="18"/>
                <w:szCs w:val="18"/>
                <w:color w:val="auto"/>
                <w:w w:val="99"/>
              </w:rPr>
              <w:t>Montreux Equity Management IV, LLC,</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397" w:name="page398"/>
    <w:bookmarkEnd w:id="397"/>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MONTREUX IV ASSOCIATES IV, LLC</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398" w:name="page399"/>
    <w:bookmarkEnd w:id="398"/>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NOVO A/S</w:t>
      </w:r>
    </w:p>
    <w:p>
      <w:pPr>
        <w:spacing w:after="0" w:line="229" w:lineRule="exact"/>
        <w:rPr>
          <w:sz w:val="20"/>
          <w:szCs w:val="20"/>
          <w:color w:val="auto"/>
        </w:rPr>
      </w:pPr>
    </w:p>
    <w:tbl>
      <w:tblPr>
        <w:tblLayout w:type="fixed"/>
        <w:tblInd w:w="6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Dyrberg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Thomas Dyrberg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Partner Novo Ventures</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297815</wp:posOffset>
            </wp:positionV>
            <wp:extent cx="23241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040"/>
          </w:cols>
          <w:pgMar w:left="1440" w:top="269" w:right="419" w:bottom="1440" w:gutter="0" w:footer="0" w:header="0"/>
        </w:sectPr>
      </w:pPr>
    </w:p>
    <w:bookmarkStart w:id="399" w:name="page400"/>
    <w:bookmarkEnd w:id="399"/>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KEITH VALENTINE</w:t>
      </w:r>
    </w:p>
    <w:p>
      <w:pPr>
        <w:spacing w:after="0" w:line="229"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14605</wp:posOffset>
            </wp:positionV>
            <wp:extent cx="195516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K. Valentine</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297815</wp:posOffset>
            </wp:positionV>
            <wp:extent cx="23241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9019"/>
          </w:cols>
          <w:pgMar w:left="1440" w:top="270" w:right="1440" w:bottom="1440" w:gutter="0" w:footer="0" w:header="0"/>
        </w:sectPr>
      </w:pPr>
    </w:p>
    <w:bookmarkStart w:id="400" w:name="page401"/>
    <w:bookmarkEnd w:id="40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OrbiMed Private Investments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Capital GP V LLC,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Jonathan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14605</wp:posOffset>
            </wp:positionV>
            <wp:extent cx="23837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Jonathan Silverstein</w:t>
      </w:r>
    </w:p>
    <w:p>
      <w:pPr>
        <w:spacing w:after="0" w:line="9" w:lineRule="exact"/>
        <w:rPr>
          <w:sz w:val="20"/>
          <w:szCs w:val="20"/>
          <w:color w:val="auto"/>
        </w:rPr>
      </w:pPr>
    </w:p>
    <w:p>
      <w:pPr>
        <w:ind w:left="7260"/>
        <w:spacing w:after="0"/>
        <w:tabs>
          <w:tab w:leader="none" w:pos="7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01" w:name="page402"/>
    <w:bookmarkEnd w:id="40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Redline Capital Management S.A.</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Buyanov 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Buyanov 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02" w:name="page403"/>
    <w:bookmarkEnd w:id="40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Arboretum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Arboretum Investment Manager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060" w:val="left"/>
        </w:tabs>
        <w:rPr>
          <w:sz w:val="20"/>
          <w:szCs w:val="20"/>
          <w:color w:val="auto"/>
        </w:rPr>
      </w:pPr>
      <w:r>
        <w:rPr>
          <w:rFonts w:ascii="Arial" w:cs="Arial" w:eastAsia="Arial" w:hAnsi="Arial"/>
          <w:sz w:val="18"/>
          <w:szCs w:val="18"/>
          <w:color w:val="auto"/>
        </w:rPr>
        <w:t>By</w:t>
        <w:tab/>
        <w:t>/s/ Timothy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14605</wp:posOffset>
            </wp:positionV>
            <wp:extent cx="26244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Timothy Petersen</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Its Managing Director</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03" w:name="page404"/>
    <w:bookmarkEnd w:id="40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Gregory K. Hinckley and Mary C. Hinckley as</w:t>
      </w:r>
    </w:p>
    <w:p>
      <w:pPr>
        <w:spacing w:after="0" w:line="50"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Community Property with the Right of</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Survivorship</w:t>
      </w:r>
    </w:p>
    <w:p>
      <w:pPr>
        <w:spacing w:after="0" w:line="211"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14605</wp:posOffset>
            </wp:positionV>
            <wp:extent cx="195516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Mary C.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5715</wp:posOffset>
            </wp:positionV>
            <wp:extent cx="23241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Gregory K. Hinckley and Mary 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Hinckley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940"/>
          </w:cols>
          <w:pgMar w:left="440" w:top="273" w:right="519" w:bottom="1440" w:gutter="0" w:footer="0" w:header="0"/>
        </w:sectPr>
      </w:pPr>
    </w:p>
    <w:bookmarkStart w:id="404" w:name="page405"/>
    <w:bookmarkEnd w:id="40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Dennis M. Vaughan Revocable Trust</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Vaughan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Dennis M. Vaughan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05" w:name="page406"/>
    <w:bookmarkEnd w:id="40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STEPHEN COOPER M.D. INC. 401K</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PROFIT SHARING PENSION PLAN</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Cooper, M.D.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Stephen Cooper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06" w:name="page407"/>
    <w:bookmarkEnd w:id="40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JONATHAN B. ELLMAN</w:t>
      </w:r>
    </w:p>
    <w:p>
      <w:pPr>
        <w:spacing w:after="0" w:line="22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Jonathan B. 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07" w:name="page408"/>
    <w:bookmarkEnd w:id="407"/>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ISAAC APPLBAUM</w:t>
      </w:r>
    </w:p>
    <w:p>
      <w:pPr>
        <w:spacing w:after="0" w:line="22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Isaac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08" w:name="page409"/>
    <w:bookmarkEnd w:id="40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JAY CHATHAM</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Jay Chatham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3" w:right="819" w:bottom="1440" w:gutter="0" w:footer="0" w:header="0"/>
        </w:sectPr>
      </w:pPr>
    </w:p>
    <w:bookmarkStart w:id="409" w:name="page410"/>
    <w:bookmarkEnd w:id="409"/>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G&amp;H PARTNERS</w:t>
      </w:r>
    </w:p>
    <w:p>
      <w:pPr>
        <w:spacing w:after="0" w:line="229" w:lineRule="exact"/>
        <w:rPr>
          <w:sz w:val="20"/>
          <w:szCs w:val="20"/>
          <w:color w:val="auto"/>
        </w:rPr>
      </w:pPr>
    </w:p>
    <w:tbl>
      <w:tblPr>
        <w:tblLayout w:type="fixed"/>
        <w:tblInd w:w="72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J. Palmer Jr.</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220" w:type="dxa"/>
            <w:vAlign w:val="bottom"/>
          </w:tcPr>
          <w:p>
            <w:pPr>
              <w:spacing w:after="0"/>
              <w:rPr>
                <w:sz w:val="20"/>
                <w:szCs w:val="20"/>
                <w:color w:val="auto"/>
              </w:rPr>
            </w:pPr>
            <w:r>
              <w:rPr>
                <w:rFonts w:ascii="Arial" w:cs="Arial" w:eastAsia="Arial" w:hAnsi="Arial"/>
                <w:sz w:val="18"/>
                <w:szCs w:val="18"/>
                <w:color w:val="auto"/>
              </w:rPr>
              <w:t>Stefan J. Palmer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spacing w:after="0"/>
              <w:rPr>
                <w:sz w:val="20"/>
                <w:szCs w:val="20"/>
                <w:color w:val="auto"/>
              </w:rPr>
            </w:pPr>
            <w:r>
              <w:rPr>
                <w:rFonts w:ascii="Arial" w:cs="Arial" w:eastAsia="Arial" w:hAnsi="Arial"/>
                <w:sz w:val="18"/>
                <w:szCs w:val="18"/>
                <w:color w:val="auto"/>
                <w:w w:val="90"/>
              </w:rPr>
              <w:t>General Partner and Director of Investments</w:t>
            </w:r>
          </w:p>
        </w:tc>
      </w:tr>
    </w:tbl>
    <w:p>
      <w:pPr>
        <w:spacing w:after="0" w:line="20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10" w:name="page411"/>
    <w:bookmarkEnd w:id="41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MATTHEW HOWARD DAHNKE</w:t>
      </w:r>
    </w:p>
    <w:p>
      <w:pPr>
        <w:spacing w:after="0" w:line="22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Matthew Howard Dahnke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11" w:name="page412"/>
    <w:bookmarkEnd w:id="41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MIN UNG YOON</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Min Ung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12" w:name="page413"/>
    <w:bookmarkEnd w:id="41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ANNETTE BLANDFORD &amp; TERESA</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JOHNSON</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Annette Blandford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Annette Blandford/Teresa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Owners</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413" w:name="page414"/>
    <w:bookmarkEnd w:id="41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LORNA W. STROTZ AND CHARLES R.</w:t>
      </w:r>
    </w:p>
    <w:p>
      <w:pPr>
        <w:spacing w:after="0" w:line="27" w:lineRule="exact"/>
        <w:rPr>
          <w:sz w:val="20"/>
          <w:szCs w:val="20"/>
          <w:color w:val="auto"/>
        </w:rPr>
      </w:pPr>
    </w:p>
    <w:p>
      <w:pPr>
        <w:jc w:val="right"/>
        <w:ind w:right="400"/>
        <w:spacing w:after="0"/>
        <w:rPr>
          <w:sz w:val="20"/>
          <w:szCs w:val="20"/>
          <w:color w:val="auto"/>
        </w:rPr>
      </w:pPr>
      <w:r>
        <w:rPr>
          <w:rFonts w:ascii="Arial" w:cs="Arial" w:eastAsia="Arial" w:hAnsi="Arial"/>
          <w:sz w:val="18"/>
          <w:szCs w:val="18"/>
          <w:b w:val="1"/>
          <w:bCs w:val="1"/>
          <w:color w:val="auto"/>
        </w:rPr>
        <w:t>STROTZ, TRUSTEES STROTZ FAMILY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LIVING TRUST UNDER AGREEMENT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DATED 10/15/2002</w:t>
      </w:r>
    </w:p>
    <w:p>
      <w:pPr>
        <w:spacing w:after="0" w:line="211"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Lorna Strotz /s/ C.R. Strotz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spacing w:after="0"/>
              <w:rPr>
                <w:sz w:val="20"/>
                <w:szCs w:val="20"/>
                <w:color w:val="auto"/>
              </w:rPr>
            </w:pPr>
            <w:r>
              <w:rPr>
                <w:rFonts w:ascii="Arial" w:cs="Arial" w:eastAsia="Arial" w:hAnsi="Arial"/>
                <w:sz w:val="18"/>
                <w:szCs w:val="18"/>
                <w:color w:val="auto"/>
              </w:rPr>
              <w:t>Lorna Strotz and C.R. Strotz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Trustees</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3" w:right="419" w:bottom="1440" w:gutter="0" w:footer="0" w:header="0"/>
        </w:sectPr>
      </w:pPr>
    </w:p>
    <w:bookmarkStart w:id="414" w:name="page415"/>
    <w:bookmarkEnd w:id="41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SYLVIE RUDOLF</w:t>
      </w:r>
    </w:p>
    <w:p>
      <w:pPr>
        <w:spacing w:after="0" w:line="22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Sylvie Rudolf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14605</wp:posOffset>
            </wp:positionV>
            <wp:extent cx="231521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169545</wp:posOffset>
            </wp:positionV>
            <wp:extent cx="231521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640"/>
          </w:cols>
          <w:pgMar w:left="440" w:top="274" w:right="819" w:bottom="1440" w:gutter="0" w:footer="0" w:header="0"/>
        </w:sectPr>
      </w:pPr>
    </w:p>
    <w:bookmarkStart w:id="415" w:name="page416"/>
    <w:bookmarkEnd w:id="41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THE 1996 KLISZEWSKI FAMILY TRUST</w:t>
      </w:r>
    </w:p>
    <w:p>
      <w:pPr>
        <w:spacing w:after="0" w:line="229" w:lineRule="exact"/>
        <w:rPr>
          <w:sz w:val="20"/>
          <w:szCs w:val="20"/>
          <w:color w:val="auto"/>
        </w:rPr>
      </w:pPr>
    </w:p>
    <w:tbl>
      <w:tblPr>
        <w:tblLayout w:type="fixed"/>
        <w:tblInd w:w="7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Trustor</w:t>
            </w:r>
          </w:p>
        </w:tc>
      </w:tr>
    </w:tbl>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[Address intentionally omitted.]</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1040"/>
          </w:cols>
          <w:pgMar w:left="440" w:top="274" w:right="419" w:bottom="1440" w:gutter="0" w:footer="0" w:header="0"/>
        </w:sectPr>
      </w:pPr>
    </w:p>
    <w:bookmarkStart w:id="416" w:name="page417"/>
    <w:bookmarkEnd w:id="416"/>
    <w:p>
      <w:pPr>
        <w:ind w:left="51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23" w:lineRule="exact"/>
        <w:rPr>
          <w:sz w:val="20"/>
          <w:szCs w:val="20"/>
          <w:color w:val="auto"/>
        </w:rPr>
      </w:pPr>
    </w:p>
    <w:p>
      <w:pPr>
        <w:ind w:right="4539"/>
        <w:spacing w:after="0" w:line="250" w:lineRule="auto"/>
        <w:rPr>
          <w:sz w:val="20"/>
          <w:szCs w:val="20"/>
          <w:color w:val="auto"/>
        </w:rPr>
      </w:pPr>
      <w:r>
        <w:rPr>
          <w:rFonts w:ascii="Arial" w:cs="Arial" w:eastAsia="Arial" w:hAnsi="Arial"/>
          <w:sz w:val="18"/>
          <w:szCs w:val="18"/>
          <w:color w:val="auto"/>
        </w:rPr>
        <w:t>Berkeley Orthopaedic Medical Profit Sharing Plan, F.B.O. Charles R. Strotz Barry Jacobson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Shirin &amp; Dave Kollar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Ross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Judd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Todd True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Annette Blandford &amp; Teresa E.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T. &amp; Janet A. Mattson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 Ung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Min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Leslie Kennedy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William L. Brizendine and Emily L. Brizendine, Trustees of the William and Emily Brizendine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Terry Hensle &amp; Elizabeth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JPMCC fbo Terry W. Hensle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H. Dahnke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Chatham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&amp; Dana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B. Ellman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Rosalie Auster &amp; Simon Auster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Scherkenbach and Kimberly McGovern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Peterschmidt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Jayshree Desai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and Christine Guidici</w:t>
      </w:r>
    </w:p>
    <w:p>
      <w:pPr>
        <w:spacing w:after="0" w:line="9" w:lineRule="exact"/>
        <w:rPr>
          <w:sz w:val="20"/>
          <w:szCs w:val="20"/>
          <w:color w:val="auto"/>
        </w:rPr>
      </w:pPr>
    </w:p>
    <w:p>
      <w:pPr>
        <w:ind w:right="4699"/>
        <w:spacing w:after="0" w:line="250" w:lineRule="auto"/>
        <w:rPr>
          <w:sz w:val="20"/>
          <w:szCs w:val="20"/>
          <w:color w:val="auto"/>
        </w:rPr>
      </w:pPr>
      <w:r>
        <w:rPr>
          <w:rFonts w:ascii="Arial" w:cs="Arial" w:eastAsia="Arial" w:hAnsi="Arial"/>
          <w:sz w:val="18"/>
          <w:szCs w:val="18"/>
          <w:color w:val="auto"/>
        </w:rPr>
        <w:t>Joseph and Elena Caselle TTEEs of the Caselle Family Trust DTD 6/6/03 IRA Services Trust Company custodian FBO Joseph Caselle Matthew A. Reiley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Richard W. Dunn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Isaac Applbaum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Braxton Robert Richardson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P.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Floyd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Skyline Venture Partners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G&amp;H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Hinckley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Gregory K. Hinckley and Mary C. Hinckley as Community Property with the Right of Survivorship</w:t>
      </w:r>
    </w:p>
    <w:p>
      <w:pPr>
        <w:spacing w:after="0" w:line="15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019"/>
          </w:cols>
          <w:pgMar w:left="440" w:top="274" w:right="1440" w:bottom="1440" w:gutter="0" w:footer="0" w:header="0"/>
        </w:sectPr>
      </w:pPr>
    </w:p>
    <w:bookmarkStart w:id="417" w:name="page418"/>
    <w:bookmarkEnd w:id="4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Citigroup Global Markets Inc. as IRA Rollover Custodian FBO Landis Dibble, ACCT #240-66176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Joseph Caselle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 FBO Frederick Dibble SEP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Barry McKinley &amp; Gail G. McKinley, The McKinley Family Trust U/A Dated 1/24/97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Lily Chen,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J. Redmond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Sheldon C. Brown &amp; Janet Roth Brown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 M.D. Inc. 401k Profit Sharing Pension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Equity Partners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Novo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Redline Capital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Shea Ventures Opportunity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Chase Trustee of the Andrew Chase 2005 Revocable Trust UAD 3/29/05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Tatiana Evtushenkova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McHardy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Bengala Investment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Alastair Cookson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Dickie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Spector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Dennis M. Vaughan Revocable Trust, Dennis M. Vaughan 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Mattson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Arboretum Ventures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 Valentine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19"/>
          </w:cols>
          <w:pgMar w:left="440" w:top="273" w:right="1440"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Dated as of October 13, 2017</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BIOPHARMA CREDIT INVESTMENTS IV SUB LP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w:t>
      </w:r>
    </w:p>
    <w:p>
      <w:pPr>
        <w:sectPr>
          <w:pgSz w:w="11900" w:h="16838" w:orient="portrait"/>
          <w:cols w:equalWidth="0" w:num="1">
            <w:col w:w="10020"/>
          </w:cols>
          <w:pgMar w:left="1440" w:top="121" w:right="4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1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20"/>
                <w:szCs w:val="20"/>
                <w:color w:val="auto"/>
              </w:rPr>
            </w:pPr>
          </w:p>
        </w:tc>
      </w:tr>
      <w:tr>
        <w:trPr>
          <w:trHeight w:val="407"/>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ACCOUNTING AND OTHER TERMS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LOANS AND TERMS OF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2.1.</w:t>
            </w:r>
          </w:p>
        </w:tc>
        <w:tc>
          <w:tcPr>
            <w:tcW w:w="8180" w:type="dxa"/>
            <w:vAlign w:val="bottom"/>
          </w:tcPr>
          <w:p>
            <w:pPr>
              <w:ind w:left="200"/>
              <w:spacing w:after="0"/>
              <w:rPr>
                <w:sz w:val="20"/>
                <w:szCs w:val="20"/>
                <w:color w:val="auto"/>
              </w:rPr>
            </w:pPr>
            <w:r>
              <w:rPr>
                <w:rFonts w:ascii="Arial" w:cs="Arial" w:eastAsia="Arial" w:hAnsi="Arial"/>
                <w:sz w:val="18"/>
                <w:szCs w:val="18"/>
                <w:color w:val="auto"/>
              </w:rPr>
              <w:t>Promise to Pay</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2.2.</w:t>
            </w:r>
          </w:p>
        </w:tc>
        <w:tc>
          <w:tcPr>
            <w:tcW w:w="8180" w:type="dxa"/>
            <w:vAlign w:val="bottom"/>
          </w:tcPr>
          <w:p>
            <w:pPr>
              <w:ind w:left="200"/>
              <w:spacing w:after="0"/>
              <w:rPr>
                <w:sz w:val="20"/>
                <w:szCs w:val="20"/>
                <w:color w:val="auto"/>
              </w:rPr>
            </w:pPr>
            <w:r>
              <w:rPr>
                <w:rFonts w:ascii="Arial" w:cs="Arial" w:eastAsia="Arial" w:hAnsi="Arial"/>
                <w:sz w:val="18"/>
                <w:szCs w:val="18"/>
                <w:color w:val="auto"/>
              </w:rPr>
              <w:t>Term Loans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2.3.</w:t>
            </w:r>
          </w:p>
        </w:tc>
        <w:tc>
          <w:tcPr>
            <w:tcW w:w="8180" w:type="dxa"/>
            <w:vAlign w:val="bottom"/>
          </w:tcPr>
          <w:p>
            <w:pPr>
              <w:ind w:left="200"/>
              <w:spacing w:after="0"/>
              <w:rPr>
                <w:sz w:val="20"/>
                <w:szCs w:val="20"/>
                <w:color w:val="auto"/>
              </w:rPr>
            </w:pPr>
            <w:r>
              <w:rPr>
                <w:rFonts w:ascii="Arial" w:cs="Arial" w:eastAsia="Arial" w:hAnsi="Arial"/>
                <w:sz w:val="18"/>
                <w:szCs w:val="18"/>
                <w:color w:val="auto"/>
              </w:rPr>
              <w:t>Payment of Interest on the Credit Extension</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2.4.</w:t>
            </w:r>
          </w:p>
        </w:tc>
        <w:tc>
          <w:tcPr>
            <w:tcW w:w="81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2.5.</w:t>
            </w:r>
          </w:p>
        </w:tc>
        <w:tc>
          <w:tcPr>
            <w:tcW w:w="8180" w:type="dxa"/>
            <w:vAlign w:val="bottom"/>
          </w:tcPr>
          <w:p>
            <w:pPr>
              <w:ind w:left="200"/>
              <w:spacing w:after="0"/>
              <w:rPr>
                <w:sz w:val="20"/>
                <w:szCs w:val="20"/>
                <w:color w:val="auto"/>
              </w:rPr>
            </w:pPr>
            <w:r>
              <w:rPr>
                <w:rFonts w:ascii="Arial" w:cs="Arial" w:eastAsia="Arial" w:hAnsi="Arial"/>
                <w:sz w:val="18"/>
                <w:szCs w:val="18"/>
                <w:color w:val="auto"/>
              </w:rPr>
              <w:t>Requirements of Law; Increased Costs; Mitigation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2.6.</w:t>
            </w:r>
          </w:p>
        </w:tc>
        <w:tc>
          <w:tcPr>
            <w:tcW w:w="8180" w:type="dxa"/>
            <w:vAlign w:val="bottom"/>
          </w:tcPr>
          <w:p>
            <w:pPr>
              <w:ind w:left="200"/>
              <w:spacing w:after="0"/>
              <w:rPr>
                <w:sz w:val="20"/>
                <w:szCs w:val="20"/>
                <w:color w:val="auto"/>
              </w:rPr>
            </w:pPr>
            <w:r>
              <w:rPr>
                <w:rFonts w:ascii="Arial" w:cs="Arial" w:eastAsia="Arial" w:hAnsi="Arial"/>
                <w:sz w:val="18"/>
                <w:szCs w:val="18"/>
                <w:color w:val="auto"/>
              </w:rPr>
              <w:t>Taxes; Withholding, etc.</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2.7.</w:t>
            </w:r>
          </w:p>
        </w:tc>
        <w:tc>
          <w:tcPr>
            <w:tcW w:w="8180" w:type="dxa"/>
            <w:vAlign w:val="bottom"/>
          </w:tcPr>
          <w:p>
            <w:pPr>
              <w:ind w:left="200"/>
              <w:spacing w:after="0"/>
              <w:rPr>
                <w:sz w:val="20"/>
                <w:szCs w:val="20"/>
                <w:color w:val="auto"/>
              </w:rPr>
            </w:pPr>
            <w:r>
              <w:rPr>
                <w:rFonts w:ascii="Arial" w:cs="Arial" w:eastAsia="Arial" w:hAnsi="Arial"/>
                <w:sz w:val="18"/>
                <w:szCs w:val="18"/>
                <w:color w:val="auto"/>
              </w:rPr>
              <w:t>Additional Consideration</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2.8.</w:t>
            </w:r>
          </w:p>
        </w:tc>
        <w:tc>
          <w:tcPr>
            <w:tcW w:w="8180" w:type="dxa"/>
            <w:vAlign w:val="bottom"/>
          </w:tcPr>
          <w:p>
            <w:pPr>
              <w:ind w:left="200"/>
              <w:spacing w:after="0"/>
              <w:rPr>
                <w:sz w:val="20"/>
                <w:szCs w:val="20"/>
                <w:color w:val="auto"/>
              </w:rPr>
            </w:pPr>
            <w:r>
              <w:rPr>
                <w:rFonts w:ascii="Arial" w:cs="Arial" w:eastAsia="Arial" w:hAnsi="Arial"/>
                <w:sz w:val="18"/>
                <w:szCs w:val="18"/>
                <w:color w:val="auto"/>
              </w:rPr>
              <w:t>Evidence of Debt; Register; Lender’s Books and Records; Term Loan Note</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CONDITIONS OF LOANS</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3.1.</w:t>
            </w:r>
          </w:p>
        </w:tc>
        <w:tc>
          <w:tcPr>
            <w:tcW w:w="8180" w:type="dxa"/>
            <w:vAlign w:val="bottom"/>
          </w:tcPr>
          <w:p>
            <w:pPr>
              <w:ind w:left="200"/>
              <w:spacing w:after="0"/>
              <w:rPr>
                <w:sz w:val="20"/>
                <w:szCs w:val="20"/>
                <w:color w:val="auto"/>
              </w:rPr>
            </w:pPr>
            <w:r>
              <w:rPr>
                <w:rFonts w:ascii="Arial" w:cs="Arial" w:eastAsia="Arial" w:hAnsi="Arial"/>
                <w:sz w:val="18"/>
                <w:szCs w:val="18"/>
                <w:color w:val="auto"/>
              </w:rPr>
              <w:t>Conditions Precedent to Tranche A Loan</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3.2.</w:t>
            </w:r>
          </w:p>
        </w:tc>
        <w:tc>
          <w:tcPr>
            <w:tcW w:w="8180" w:type="dxa"/>
            <w:vAlign w:val="bottom"/>
          </w:tcPr>
          <w:p>
            <w:pPr>
              <w:ind w:left="200"/>
              <w:spacing w:after="0"/>
              <w:rPr>
                <w:sz w:val="20"/>
                <w:szCs w:val="20"/>
                <w:color w:val="auto"/>
              </w:rPr>
            </w:pPr>
            <w:r>
              <w:rPr>
                <w:rFonts w:ascii="Arial" w:cs="Arial" w:eastAsia="Arial" w:hAnsi="Arial"/>
                <w:sz w:val="18"/>
                <w:szCs w:val="18"/>
                <w:color w:val="auto"/>
              </w:rPr>
              <w:t>Conditions Precedent to Tranche B Loan</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3.3.</w:t>
            </w:r>
          </w:p>
        </w:tc>
        <w:tc>
          <w:tcPr>
            <w:tcW w:w="8180" w:type="dxa"/>
            <w:vAlign w:val="bottom"/>
          </w:tcPr>
          <w:p>
            <w:pPr>
              <w:ind w:left="200"/>
              <w:spacing w:after="0"/>
              <w:rPr>
                <w:sz w:val="20"/>
                <w:szCs w:val="20"/>
                <w:color w:val="auto"/>
              </w:rPr>
            </w:pPr>
            <w:r>
              <w:rPr>
                <w:rFonts w:ascii="Arial" w:cs="Arial" w:eastAsia="Arial" w:hAnsi="Arial"/>
                <w:sz w:val="18"/>
                <w:szCs w:val="18"/>
                <w:color w:val="auto"/>
              </w:rPr>
              <w:t>Additional Conditions Precedent to Term Loans</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3.4.</w:t>
            </w:r>
          </w:p>
        </w:tc>
        <w:tc>
          <w:tcPr>
            <w:tcW w:w="8180" w:type="dxa"/>
            <w:vAlign w:val="bottom"/>
          </w:tcPr>
          <w:p>
            <w:pPr>
              <w:ind w:left="200"/>
              <w:spacing w:after="0"/>
              <w:rPr>
                <w:sz w:val="20"/>
                <w:szCs w:val="20"/>
                <w:color w:val="auto"/>
              </w:rPr>
            </w:pPr>
            <w:r>
              <w:rPr>
                <w:rFonts w:ascii="Arial" w:cs="Arial" w:eastAsia="Arial" w:hAnsi="Arial"/>
                <w:sz w:val="18"/>
                <w:szCs w:val="18"/>
                <w:color w:val="auto"/>
              </w:rPr>
              <w:t>Covenant to Deliver</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3.5.</w:t>
            </w:r>
          </w:p>
        </w:tc>
        <w:tc>
          <w:tcPr>
            <w:tcW w:w="8180" w:type="dxa"/>
            <w:vAlign w:val="bottom"/>
          </w:tcPr>
          <w:p>
            <w:pPr>
              <w:ind w:left="200"/>
              <w:spacing w:after="0"/>
              <w:rPr>
                <w:sz w:val="20"/>
                <w:szCs w:val="20"/>
                <w:color w:val="auto"/>
              </w:rPr>
            </w:pPr>
            <w:r>
              <w:rPr>
                <w:rFonts w:ascii="Arial" w:cs="Arial" w:eastAsia="Arial" w:hAnsi="Arial"/>
                <w:sz w:val="18"/>
                <w:szCs w:val="18"/>
                <w:color w:val="auto"/>
              </w:rPr>
              <w:t>Procedures for Borrowing</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REPRESENTATIONS AND WARRANTIES</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w:t>
            </w:r>
          </w:p>
        </w:tc>
        <w:tc>
          <w:tcPr>
            <w:tcW w:w="8180" w:type="dxa"/>
            <w:vAlign w:val="bottom"/>
          </w:tcPr>
          <w:p>
            <w:pPr>
              <w:ind w:left="200"/>
              <w:spacing w:after="0"/>
              <w:rPr>
                <w:sz w:val="20"/>
                <w:szCs w:val="20"/>
                <w:color w:val="auto"/>
              </w:rPr>
            </w:pPr>
            <w:r>
              <w:rPr>
                <w:rFonts w:ascii="Arial" w:cs="Arial" w:eastAsia="Arial" w:hAnsi="Arial"/>
                <w:sz w:val="18"/>
                <w:szCs w:val="18"/>
                <w:color w:val="auto"/>
              </w:rPr>
              <w:t>Due Organization, Authorization; Power and Authority</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w:t>
            </w:r>
          </w:p>
        </w:tc>
        <w:tc>
          <w:tcPr>
            <w:tcW w:w="8180" w:type="dxa"/>
            <w:vAlign w:val="bottom"/>
          </w:tcPr>
          <w:p>
            <w:pPr>
              <w:ind w:left="200"/>
              <w:spacing w:after="0"/>
              <w:rPr>
                <w:sz w:val="20"/>
                <w:szCs w:val="20"/>
                <w:color w:val="auto"/>
              </w:rPr>
            </w:pPr>
            <w:r>
              <w:rPr>
                <w:rFonts w:ascii="Arial" w:cs="Arial" w:eastAsia="Arial" w:hAnsi="Arial"/>
                <w:sz w:val="18"/>
                <w:szCs w:val="18"/>
                <w:color w:val="auto"/>
              </w:rPr>
              <w:t>Equity Interests and Ownership</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4.3.</w:t>
            </w:r>
          </w:p>
        </w:tc>
        <w:tc>
          <w:tcPr>
            <w:tcW w:w="8180" w:type="dxa"/>
            <w:vAlign w:val="bottom"/>
          </w:tcPr>
          <w:p>
            <w:pPr>
              <w:ind w:left="200"/>
              <w:spacing w:after="0"/>
              <w:rPr>
                <w:sz w:val="20"/>
                <w:szCs w:val="20"/>
                <w:color w:val="auto"/>
              </w:rPr>
            </w:pPr>
            <w:r>
              <w:rPr>
                <w:rFonts w:ascii="Arial" w:cs="Arial" w:eastAsia="Arial" w:hAnsi="Arial"/>
                <w:sz w:val="18"/>
                <w:szCs w:val="18"/>
                <w:color w:val="auto"/>
              </w:rPr>
              <w:t>No Conflict; Government Consents</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4.4.</w:t>
            </w:r>
          </w:p>
        </w:tc>
        <w:tc>
          <w:tcPr>
            <w:tcW w:w="8180" w:type="dxa"/>
            <w:vAlign w:val="bottom"/>
          </w:tcPr>
          <w:p>
            <w:pPr>
              <w:ind w:left="200"/>
              <w:spacing w:after="0"/>
              <w:rPr>
                <w:sz w:val="20"/>
                <w:szCs w:val="20"/>
                <w:color w:val="auto"/>
              </w:rPr>
            </w:pPr>
            <w:r>
              <w:rPr>
                <w:rFonts w:ascii="Arial" w:cs="Arial" w:eastAsia="Arial" w:hAnsi="Arial"/>
                <w:sz w:val="18"/>
                <w:szCs w:val="18"/>
                <w:color w:val="auto"/>
              </w:rPr>
              <w:t>Binding Obligation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4.5.</w:t>
            </w:r>
          </w:p>
        </w:tc>
        <w:tc>
          <w:tcPr>
            <w:tcW w:w="8180" w:type="dxa"/>
            <w:vAlign w:val="bottom"/>
          </w:tcPr>
          <w:p>
            <w:pPr>
              <w:ind w:left="200"/>
              <w:spacing w:after="0"/>
              <w:rPr>
                <w:sz w:val="20"/>
                <w:szCs w:val="20"/>
                <w:color w:val="auto"/>
              </w:rPr>
            </w:pPr>
            <w:r>
              <w:rPr>
                <w:rFonts w:ascii="Arial" w:cs="Arial" w:eastAsia="Arial" w:hAnsi="Arial"/>
                <w:sz w:val="18"/>
                <w:szCs w:val="18"/>
                <w:color w:val="auto"/>
              </w:rPr>
              <w:t>Collateral; Intellectual Property</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4.6.</w:t>
            </w:r>
          </w:p>
        </w:tc>
        <w:tc>
          <w:tcPr>
            <w:tcW w:w="8180" w:type="dxa"/>
            <w:vAlign w:val="bottom"/>
          </w:tcPr>
          <w:p>
            <w:pPr>
              <w:ind w:left="200"/>
              <w:spacing w:after="0"/>
              <w:rPr>
                <w:sz w:val="20"/>
                <w:szCs w:val="20"/>
                <w:color w:val="auto"/>
              </w:rPr>
            </w:pPr>
            <w:r>
              <w:rPr>
                <w:rFonts w:ascii="Arial" w:cs="Arial" w:eastAsia="Arial" w:hAnsi="Arial"/>
                <w:sz w:val="18"/>
                <w:szCs w:val="18"/>
                <w:color w:val="auto"/>
              </w:rPr>
              <w:t>Adverse Proceedings, etc.</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4.7.</w:t>
            </w:r>
          </w:p>
        </w:tc>
        <w:tc>
          <w:tcPr>
            <w:tcW w:w="8180" w:type="dxa"/>
            <w:vAlign w:val="bottom"/>
          </w:tcPr>
          <w:p>
            <w:pPr>
              <w:ind w:left="200"/>
              <w:spacing w:after="0"/>
              <w:rPr>
                <w:sz w:val="20"/>
                <w:szCs w:val="20"/>
                <w:color w:val="auto"/>
              </w:rPr>
            </w:pPr>
            <w:r>
              <w:rPr>
                <w:rFonts w:ascii="Arial" w:cs="Arial" w:eastAsia="Arial" w:hAnsi="Arial"/>
                <w:sz w:val="18"/>
                <w:szCs w:val="18"/>
                <w:color w:val="auto"/>
              </w:rPr>
              <w:t>Financial Statements; Material Contracts; No Material Adverse Change; Books and Records</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4.8.</w:t>
            </w:r>
          </w:p>
        </w:tc>
        <w:tc>
          <w:tcPr>
            <w:tcW w:w="8180" w:type="dxa"/>
            <w:vAlign w:val="bottom"/>
          </w:tcPr>
          <w:p>
            <w:pPr>
              <w:ind w:left="200"/>
              <w:spacing w:after="0"/>
              <w:rPr>
                <w:sz w:val="20"/>
                <w:szCs w:val="20"/>
                <w:color w:val="auto"/>
              </w:rPr>
            </w:pPr>
            <w:r>
              <w:rPr>
                <w:rFonts w:ascii="Arial" w:cs="Arial" w:eastAsia="Arial" w:hAnsi="Arial"/>
                <w:sz w:val="18"/>
                <w:szCs w:val="18"/>
                <w:color w:val="auto"/>
              </w:rPr>
              <w:t>Solvency</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4.9.</w:t>
            </w:r>
          </w:p>
        </w:tc>
        <w:tc>
          <w:tcPr>
            <w:tcW w:w="8180" w:type="dxa"/>
            <w:vAlign w:val="bottom"/>
          </w:tcPr>
          <w:p>
            <w:pPr>
              <w:ind w:left="200"/>
              <w:spacing w:after="0"/>
              <w:rPr>
                <w:sz w:val="20"/>
                <w:szCs w:val="20"/>
                <w:color w:val="auto"/>
              </w:rPr>
            </w:pPr>
            <w:r>
              <w:rPr>
                <w:rFonts w:ascii="Arial" w:cs="Arial" w:eastAsia="Arial" w:hAnsi="Arial"/>
                <w:sz w:val="18"/>
                <w:szCs w:val="18"/>
                <w:color w:val="auto"/>
              </w:rPr>
              <w:t>Payment of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4.10.</w:t>
            </w:r>
          </w:p>
        </w:tc>
        <w:tc>
          <w:tcPr>
            <w:tcW w:w="818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4.11.</w:t>
            </w:r>
          </w:p>
        </w:tc>
        <w:tc>
          <w:tcPr>
            <w:tcW w:w="8180" w:type="dxa"/>
            <w:vAlign w:val="bottom"/>
          </w:tcPr>
          <w:p>
            <w:pPr>
              <w:ind w:left="200"/>
              <w:spacing w:after="0"/>
              <w:rPr>
                <w:sz w:val="20"/>
                <w:szCs w:val="20"/>
                <w:color w:val="auto"/>
              </w:rPr>
            </w:pPr>
            <w:r>
              <w:rPr>
                <w:rFonts w:ascii="Arial" w:cs="Arial" w:eastAsia="Arial" w:hAnsi="Arial"/>
                <w:sz w:val="18"/>
                <w:szCs w:val="18"/>
                <w:color w:val="auto"/>
              </w:rPr>
              <w:t>Material 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4.12.</w:t>
            </w:r>
          </w:p>
        </w:tc>
        <w:tc>
          <w:tcPr>
            <w:tcW w:w="8180" w:type="dxa"/>
            <w:vAlign w:val="bottom"/>
          </w:tcPr>
          <w:p>
            <w:pPr>
              <w:ind w:left="200"/>
              <w:spacing w:after="0"/>
              <w:rPr>
                <w:sz w:val="20"/>
                <w:szCs w:val="20"/>
                <w:color w:val="auto"/>
              </w:rPr>
            </w:pPr>
            <w:r>
              <w:rPr>
                <w:rFonts w:ascii="Arial" w:cs="Arial" w:eastAsia="Arial" w:hAnsi="Arial"/>
                <w:sz w:val="18"/>
                <w:szCs w:val="18"/>
                <w:color w:val="auto"/>
              </w:rPr>
              <w:t>Regulatory Compliance</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4.13.</w:t>
            </w:r>
          </w:p>
        </w:tc>
        <w:tc>
          <w:tcPr>
            <w:tcW w:w="8180" w:type="dxa"/>
            <w:vAlign w:val="bottom"/>
          </w:tcPr>
          <w:p>
            <w:pPr>
              <w:ind w:left="200"/>
              <w:spacing w:after="0"/>
              <w:rPr>
                <w:sz w:val="20"/>
                <w:szCs w:val="20"/>
                <w:color w:val="auto"/>
              </w:rPr>
            </w:pPr>
            <w:r>
              <w:rPr>
                <w:rFonts w:ascii="Arial" w:cs="Arial" w:eastAsia="Arial" w:hAnsi="Arial"/>
                <w:sz w:val="18"/>
                <w:szCs w:val="18"/>
                <w:color w:val="auto"/>
              </w:rPr>
              <w:t>Margin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4.14.</w:t>
            </w:r>
          </w:p>
        </w:tc>
        <w:tc>
          <w:tcPr>
            <w:tcW w:w="8180" w:type="dxa"/>
            <w:vAlign w:val="bottom"/>
          </w:tcPr>
          <w:p>
            <w:pPr>
              <w:ind w:left="200"/>
              <w:spacing w:after="0"/>
              <w:rPr>
                <w:sz w:val="20"/>
                <w:szCs w:val="20"/>
                <w:color w:val="auto"/>
              </w:rPr>
            </w:pPr>
            <w:r>
              <w:rPr>
                <w:rFonts w:ascii="Arial" w:cs="Arial" w:eastAsia="Arial" w:hAnsi="Arial"/>
                <w:sz w:val="18"/>
                <w:szCs w:val="18"/>
                <w:color w:val="auto"/>
              </w:rPr>
              <w:t>Subsidiaries; Investments; Affiliate Transactions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4.15.</w:t>
            </w:r>
          </w:p>
        </w:tc>
        <w:tc>
          <w:tcPr>
            <w:tcW w:w="8180" w:type="dxa"/>
            <w:vAlign w:val="bottom"/>
          </w:tcPr>
          <w:p>
            <w:pPr>
              <w:ind w:left="200"/>
              <w:spacing w:after="0"/>
              <w:rPr>
                <w:sz w:val="20"/>
                <w:szCs w:val="20"/>
                <w:color w:val="auto"/>
              </w:rPr>
            </w:pPr>
            <w:r>
              <w:rPr>
                <w:rFonts w:ascii="Arial" w:cs="Arial" w:eastAsia="Arial" w:hAnsi="Arial"/>
                <w:sz w:val="18"/>
                <w:szCs w:val="18"/>
                <w:color w:val="auto"/>
              </w:rPr>
              <w:t>Employee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4.16.</w:t>
            </w:r>
          </w:p>
        </w:tc>
        <w:tc>
          <w:tcPr>
            <w:tcW w:w="81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4.17.</w:t>
            </w:r>
          </w:p>
        </w:tc>
        <w:tc>
          <w:tcPr>
            <w:tcW w:w="8180" w:type="dxa"/>
            <w:vAlign w:val="bottom"/>
          </w:tcPr>
          <w:p>
            <w:pPr>
              <w:ind w:left="200"/>
              <w:spacing w:after="0"/>
              <w:rPr>
                <w:sz w:val="20"/>
                <w:szCs w:val="20"/>
                <w:color w:val="auto"/>
              </w:rPr>
            </w:pPr>
            <w:r>
              <w:rPr>
                <w:rFonts w:ascii="Arial" w:cs="Arial" w:eastAsia="Arial" w:hAnsi="Arial"/>
                <w:sz w:val="18"/>
                <w:szCs w:val="18"/>
                <w:color w:val="auto"/>
              </w:rPr>
              <w:t>Full Disclosure</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80" w:type="dxa"/>
            <w:vAlign w:val="bottom"/>
          </w:tcPr>
          <w:p>
            <w:pPr>
              <w:ind w:left="4240"/>
              <w:spacing w:after="0"/>
              <w:rPr>
                <w:sz w:val="20"/>
                <w:szCs w:val="20"/>
                <w:color w:val="auto"/>
              </w:rPr>
            </w:pPr>
            <w:r>
              <w:rPr>
                <w:rFonts w:ascii="Arial" w:cs="Arial" w:eastAsia="Arial" w:hAnsi="Arial"/>
                <w:sz w:val="18"/>
                <w:szCs w:val="18"/>
                <w:color w:val="auto"/>
              </w:rPr>
              <w:t>-i-</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0" w:name="page421"/>
    <w:bookmarkEnd w:id="420"/>
    <w:tbl>
      <w:tblPr>
        <w:tblLayout w:type="fixed"/>
        <w:tblInd w:w="0" w:type="dxa"/>
        <w:tblCellMar>
          <w:top w:w="0" w:type="dxa"/>
          <w:left w:w="0" w:type="dxa"/>
          <w:bottom w:w="0" w:type="dxa"/>
          <w:right w:w="0" w:type="dxa"/>
        </w:tblCellMar>
      </w:tblPr>
      <w:tr>
        <w:trPr>
          <w:trHeight w:val="220"/>
        </w:trPr>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6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Table of Contents</w:t>
            </w:r>
          </w:p>
        </w:tc>
        <w:tc>
          <w:tcPr>
            <w:tcW w:w="2540" w:type="dxa"/>
            <w:vAlign w:val="bottom"/>
          </w:tcPr>
          <w:p>
            <w:pPr>
              <w:spacing w:after="0"/>
              <w:rPr>
                <w:sz w:val="19"/>
                <w:szCs w:val="19"/>
                <w:color w:val="auto"/>
              </w:rPr>
            </w:pPr>
          </w:p>
        </w:tc>
      </w:tr>
      <w:tr>
        <w:trPr>
          <w:trHeight w:val="230"/>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tcPr>
          <w:p>
            <w:pPr>
              <w:jc w:val="center"/>
              <w:ind w:left="1310"/>
              <w:spacing w:after="0"/>
              <w:rPr>
                <w:sz w:val="20"/>
                <w:szCs w:val="20"/>
                <w:color w:val="auto"/>
              </w:rPr>
            </w:pPr>
            <w:r>
              <w:rPr>
                <w:rFonts w:ascii="Arial" w:cs="Arial" w:eastAsia="Arial" w:hAnsi="Arial"/>
                <w:sz w:val="18"/>
                <w:szCs w:val="18"/>
                <w:color w:val="auto"/>
                <w:w w:val="91"/>
              </w:rPr>
              <w:t>(continued)</w:t>
            </w:r>
          </w:p>
        </w:tc>
        <w:tc>
          <w:tcPr>
            <w:tcW w:w="2540" w:type="dxa"/>
            <w:vAlign w:val="bottom"/>
          </w:tcPr>
          <w:p>
            <w:pPr>
              <w:spacing w:after="0"/>
              <w:rPr>
                <w:sz w:val="20"/>
                <w:szCs w:val="20"/>
                <w:color w:val="auto"/>
              </w:rPr>
            </w:pPr>
          </w:p>
        </w:tc>
      </w:tr>
      <w:tr>
        <w:trPr>
          <w:trHeight w:val="312"/>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4.18.</w:t>
            </w:r>
          </w:p>
        </w:tc>
        <w:tc>
          <w:tcPr>
            <w:tcW w:w="7260" w:type="dxa"/>
            <w:vAlign w:val="bottom"/>
          </w:tcPr>
          <w:p>
            <w:pPr>
              <w:ind w:left="200"/>
              <w:spacing w:after="0"/>
              <w:rPr>
                <w:sz w:val="20"/>
                <w:szCs w:val="20"/>
                <w:color w:val="auto"/>
              </w:rPr>
            </w:pPr>
            <w:r>
              <w:rPr>
                <w:rFonts w:ascii="Arial" w:cs="Arial" w:eastAsia="Arial" w:hAnsi="Arial"/>
                <w:sz w:val="18"/>
                <w:szCs w:val="18"/>
                <w:color w:val="auto"/>
              </w:rPr>
              <w:t>FCPA; Patriot Act; OFAC</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4.19.</w:t>
            </w:r>
          </w:p>
        </w:tc>
        <w:tc>
          <w:tcPr>
            <w:tcW w:w="726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4.20.</w:t>
            </w:r>
          </w:p>
        </w:tc>
        <w:tc>
          <w:tcPr>
            <w:tcW w:w="7260" w:type="dxa"/>
            <w:vAlign w:val="bottom"/>
          </w:tcPr>
          <w:p>
            <w:pPr>
              <w:ind w:left="200"/>
              <w:spacing w:after="0"/>
              <w:rPr>
                <w:sz w:val="20"/>
                <w:szCs w:val="20"/>
                <w:color w:val="auto"/>
              </w:rPr>
            </w:pPr>
            <w:r>
              <w:rPr>
                <w:rFonts w:ascii="Arial" w:cs="Arial" w:eastAsia="Arial" w:hAnsi="Arial"/>
                <w:sz w:val="18"/>
                <w:szCs w:val="18"/>
                <w:color w:val="auto"/>
              </w:rPr>
              <w:t>Health Care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4.21.</w:t>
            </w:r>
          </w:p>
        </w:tc>
        <w:tc>
          <w:tcPr>
            <w:tcW w:w="7260" w:type="dxa"/>
            <w:vAlign w:val="bottom"/>
          </w:tcPr>
          <w:p>
            <w:pPr>
              <w:ind w:left="200"/>
              <w:spacing w:after="0"/>
              <w:rPr>
                <w:sz w:val="20"/>
                <w:szCs w:val="20"/>
                <w:color w:val="auto"/>
              </w:rPr>
            </w:pPr>
            <w:r>
              <w:rPr>
                <w:rFonts w:ascii="Arial" w:cs="Arial" w:eastAsia="Arial" w:hAnsi="Arial"/>
                <w:sz w:val="18"/>
                <w:szCs w:val="18"/>
                <w:color w:val="auto"/>
              </w:rPr>
              <w:t>Regulatory Approvals.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4.22.</w:t>
            </w:r>
          </w:p>
        </w:tc>
        <w:tc>
          <w:tcPr>
            <w:tcW w:w="7260" w:type="dxa"/>
            <w:vAlign w:val="bottom"/>
          </w:tcPr>
          <w:p>
            <w:pPr>
              <w:ind w:left="200"/>
              <w:spacing w:after="0"/>
              <w:rPr>
                <w:sz w:val="20"/>
                <w:szCs w:val="20"/>
                <w:color w:val="auto"/>
              </w:rPr>
            </w:pPr>
            <w:r>
              <w:rPr>
                <w:rFonts w:ascii="Arial" w:cs="Arial" w:eastAsia="Arial" w:hAnsi="Arial"/>
                <w:sz w:val="18"/>
                <w:szCs w:val="18"/>
                <w:color w:val="auto"/>
              </w:rPr>
              <w:t>Supply and Manufacturing</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4.23.</w:t>
            </w:r>
          </w:p>
        </w:tc>
        <w:tc>
          <w:tcPr>
            <w:tcW w:w="7260" w:type="dxa"/>
            <w:vAlign w:val="bottom"/>
          </w:tcPr>
          <w:p>
            <w:pPr>
              <w:ind w:left="200"/>
              <w:spacing w:after="0"/>
              <w:rPr>
                <w:sz w:val="20"/>
                <w:szCs w:val="20"/>
                <w:color w:val="auto"/>
              </w:rPr>
            </w:pPr>
            <w:r>
              <w:rPr>
                <w:rFonts w:ascii="Arial" w:cs="Arial" w:eastAsia="Arial" w:hAnsi="Arial"/>
                <w:sz w:val="18"/>
                <w:szCs w:val="18"/>
                <w:color w:val="auto"/>
              </w:rPr>
              <w:t>Additional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AFFIRMATIVE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w:t>
            </w:r>
          </w:p>
        </w:tc>
        <w:tc>
          <w:tcPr>
            <w:tcW w:w="7260" w:type="dxa"/>
            <w:vAlign w:val="bottom"/>
          </w:tcPr>
          <w:p>
            <w:pPr>
              <w:ind w:left="200"/>
              <w:spacing w:after="0"/>
              <w:rPr>
                <w:sz w:val="20"/>
                <w:szCs w:val="20"/>
                <w:color w:val="auto"/>
              </w:rPr>
            </w:pPr>
            <w:r>
              <w:rPr>
                <w:rFonts w:ascii="Arial" w:cs="Arial" w:eastAsia="Arial" w:hAnsi="Arial"/>
                <w:sz w:val="18"/>
                <w:szCs w:val="18"/>
                <w:color w:val="auto"/>
              </w:rPr>
              <w:t>Government Compliance</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5.2.</w:t>
            </w:r>
          </w:p>
        </w:tc>
        <w:tc>
          <w:tcPr>
            <w:tcW w:w="7260" w:type="dxa"/>
            <w:vAlign w:val="bottom"/>
          </w:tcPr>
          <w:p>
            <w:pPr>
              <w:ind w:left="200"/>
              <w:spacing w:after="0"/>
              <w:rPr>
                <w:sz w:val="20"/>
                <w:szCs w:val="20"/>
                <w:color w:val="auto"/>
              </w:rPr>
            </w:pPr>
            <w:r>
              <w:rPr>
                <w:rFonts w:ascii="Arial" w:cs="Arial" w:eastAsia="Arial" w:hAnsi="Arial"/>
                <w:sz w:val="18"/>
                <w:szCs w:val="18"/>
                <w:color w:val="auto"/>
              </w:rPr>
              <w:t>Financial Statements, Compliance Certificates; Notices; Reports</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5.3.</w:t>
            </w:r>
          </w:p>
        </w:tc>
        <w:tc>
          <w:tcPr>
            <w:tcW w:w="7260" w:type="dxa"/>
            <w:vAlign w:val="bottom"/>
          </w:tcPr>
          <w:p>
            <w:pPr>
              <w:ind w:left="200"/>
              <w:spacing w:after="0"/>
              <w:rPr>
                <w:sz w:val="20"/>
                <w:szCs w:val="20"/>
                <w:color w:val="auto"/>
              </w:rPr>
            </w:pPr>
            <w:r>
              <w:rPr>
                <w:rFonts w:ascii="Arial" w:cs="Arial" w:eastAsia="Arial" w:hAnsi="Arial"/>
                <w:sz w:val="18"/>
                <w:szCs w:val="18"/>
                <w:color w:val="auto"/>
              </w:rPr>
              <w:t>Inventory; Returns; Maintenance of Properties</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5.4.</w:t>
            </w:r>
          </w:p>
        </w:tc>
        <w:tc>
          <w:tcPr>
            <w:tcW w:w="7260" w:type="dxa"/>
            <w:vAlign w:val="bottom"/>
          </w:tcPr>
          <w:p>
            <w:pPr>
              <w:ind w:left="200"/>
              <w:spacing w:after="0"/>
              <w:rPr>
                <w:sz w:val="20"/>
                <w:szCs w:val="20"/>
                <w:color w:val="auto"/>
              </w:rPr>
            </w:pPr>
            <w:r>
              <w:rPr>
                <w:rFonts w:ascii="Arial" w:cs="Arial" w:eastAsia="Arial" w:hAnsi="Arial"/>
                <w:sz w:val="18"/>
                <w:szCs w:val="18"/>
                <w:color w:val="auto"/>
              </w:rPr>
              <w:t>Taxes; Pensions</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5.5.</w:t>
            </w:r>
          </w:p>
        </w:tc>
        <w:tc>
          <w:tcPr>
            <w:tcW w:w="72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5.6.</w:t>
            </w:r>
          </w:p>
        </w:tc>
        <w:tc>
          <w:tcPr>
            <w:tcW w:w="7260" w:type="dxa"/>
            <w:vAlign w:val="bottom"/>
          </w:tcPr>
          <w:p>
            <w:pPr>
              <w:ind w:left="200"/>
              <w:spacing w:after="0"/>
              <w:rPr>
                <w:sz w:val="20"/>
                <w:szCs w:val="20"/>
                <w:color w:val="auto"/>
              </w:rPr>
            </w:pPr>
            <w:r>
              <w:rPr>
                <w:rFonts w:ascii="Arial" w:cs="Arial" w:eastAsia="Arial" w:hAnsi="Arial"/>
                <w:sz w:val="18"/>
                <w:szCs w:val="18"/>
                <w:color w:val="auto"/>
              </w:rPr>
              <w:t>Operating Accounts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5.7.</w:t>
            </w:r>
          </w:p>
        </w:tc>
        <w:tc>
          <w:tcPr>
            <w:tcW w:w="7260" w:type="dxa"/>
            <w:vAlign w:val="bottom"/>
          </w:tcPr>
          <w:p>
            <w:pPr>
              <w:ind w:left="200"/>
              <w:spacing w:after="0"/>
              <w:rPr>
                <w:sz w:val="20"/>
                <w:szCs w:val="20"/>
                <w:color w:val="auto"/>
              </w:rPr>
            </w:pPr>
            <w:r>
              <w:rPr>
                <w:rFonts w:ascii="Arial" w:cs="Arial" w:eastAsia="Arial" w:hAnsi="Arial"/>
                <w:sz w:val="18"/>
                <w:szCs w:val="18"/>
                <w:color w:val="auto"/>
              </w:rPr>
              <w:t>Protection of Intellectual Property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5.8.</w:t>
            </w:r>
          </w:p>
        </w:tc>
        <w:tc>
          <w:tcPr>
            <w:tcW w:w="7260" w:type="dxa"/>
            <w:vAlign w:val="bottom"/>
          </w:tcPr>
          <w:p>
            <w:pPr>
              <w:ind w:left="200"/>
              <w:spacing w:after="0"/>
              <w:rPr>
                <w:sz w:val="20"/>
                <w:szCs w:val="20"/>
                <w:color w:val="auto"/>
              </w:rPr>
            </w:pPr>
            <w:r>
              <w:rPr>
                <w:rFonts w:ascii="Arial" w:cs="Arial" w:eastAsia="Arial" w:hAnsi="Arial"/>
                <w:sz w:val="18"/>
                <w:szCs w:val="18"/>
                <w:color w:val="auto"/>
              </w:rPr>
              <w:t>Litigation Cooperation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5.9.</w:t>
            </w:r>
          </w:p>
        </w:tc>
        <w:tc>
          <w:tcPr>
            <w:tcW w:w="7260" w:type="dxa"/>
            <w:vAlign w:val="bottom"/>
          </w:tcPr>
          <w:p>
            <w:pPr>
              <w:ind w:left="200"/>
              <w:spacing w:after="0"/>
              <w:rPr>
                <w:sz w:val="20"/>
                <w:szCs w:val="20"/>
                <w:color w:val="auto"/>
              </w:rPr>
            </w:pPr>
            <w:r>
              <w:rPr>
                <w:rFonts w:ascii="Arial" w:cs="Arial" w:eastAsia="Arial" w:hAnsi="Arial"/>
                <w:sz w:val="18"/>
                <w:szCs w:val="18"/>
                <w:color w:val="auto"/>
              </w:rPr>
              <w:t>Access to Collateral; Books and Records; Audits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5.10.</w:t>
            </w:r>
          </w:p>
        </w:tc>
        <w:tc>
          <w:tcPr>
            <w:tcW w:w="72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5.11.</w:t>
            </w:r>
          </w:p>
        </w:tc>
        <w:tc>
          <w:tcPr>
            <w:tcW w:w="7260" w:type="dxa"/>
            <w:vAlign w:val="bottom"/>
          </w:tcPr>
          <w:p>
            <w:pPr>
              <w:ind w:left="200"/>
              <w:spacing w:after="0"/>
              <w:rPr>
                <w:sz w:val="20"/>
                <w:szCs w:val="20"/>
                <w:color w:val="auto"/>
              </w:rPr>
            </w:pPr>
            <w:r>
              <w:rPr>
                <w:rFonts w:ascii="Arial" w:cs="Arial" w:eastAsia="Arial" w:hAnsi="Arial"/>
                <w:sz w:val="18"/>
                <w:szCs w:val="18"/>
                <w:color w:val="auto"/>
              </w:rPr>
              <w:t>Environmental 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5.12.</w:t>
            </w:r>
          </w:p>
        </w:tc>
        <w:tc>
          <w:tcPr>
            <w:tcW w:w="7260" w:type="dxa"/>
            <w:vAlign w:val="bottom"/>
          </w:tcPr>
          <w:p>
            <w:pPr>
              <w:ind w:left="200"/>
              <w:spacing w:after="0"/>
              <w:rPr>
                <w:sz w:val="20"/>
                <w:szCs w:val="20"/>
                <w:color w:val="auto"/>
              </w:rPr>
            </w:pPr>
            <w:r>
              <w:rPr>
                <w:rFonts w:ascii="Arial" w:cs="Arial" w:eastAsia="Arial" w:hAnsi="Arial"/>
                <w:sz w:val="18"/>
                <w:szCs w:val="18"/>
                <w:color w:val="auto"/>
              </w:rPr>
              <w:t>Minimum Liquidity</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5.13.</w:t>
            </w:r>
          </w:p>
        </w:tc>
        <w:tc>
          <w:tcPr>
            <w:tcW w:w="726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5.14.</w:t>
            </w:r>
          </w:p>
        </w:tc>
        <w:tc>
          <w:tcPr>
            <w:tcW w:w="7260" w:type="dxa"/>
            <w:vAlign w:val="bottom"/>
          </w:tcPr>
          <w:p>
            <w:pPr>
              <w:ind w:left="200"/>
              <w:spacing w:after="0"/>
              <w:rPr>
                <w:sz w:val="20"/>
                <w:szCs w:val="20"/>
                <w:color w:val="auto"/>
              </w:rPr>
            </w:pPr>
            <w:r>
              <w:rPr>
                <w:rFonts w:ascii="Arial" w:cs="Arial" w:eastAsia="Arial" w:hAnsi="Arial"/>
                <w:sz w:val="18"/>
                <w:szCs w:val="18"/>
                <w:color w:val="auto"/>
              </w:rPr>
              <w:t>Additional Collateral; Guarantors.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5.15.</w:t>
            </w:r>
          </w:p>
        </w:tc>
        <w:tc>
          <w:tcPr>
            <w:tcW w:w="7260" w:type="dxa"/>
            <w:vAlign w:val="bottom"/>
          </w:tcPr>
          <w:p>
            <w:pPr>
              <w:ind w:left="200"/>
              <w:spacing w:after="0"/>
              <w:rPr>
                <w:sz w:val="20"/>
                <w:szCs w:val="20"/>
                <w:color w:val="auto"/>
              </w:rPr>
            </w:pPr>
            <w:r>
              <w:rPr>
                <w:rFonts w:ascii="Arial" w:cs="Arial" w:eastAsia="Arial" w:hAnsi="Arial"/>
                <w:sz w:val="18"/>
                <w:szCs w:val="18"/>
                <w:color w:val="auto"/>
              </w:rPr>
              <w:t>Formation or Acquisition of Subsidiaries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5.16.</w:t>
            </w:r>
          </w:p>
        </w:tc>
        <w:tc>
          <w:tcPr>
            <w:tcW w:w="7260" w:type="dxa"/>
            <w:vAlign w:val="bottom"/>
          </w:tcPr>
          <w:p>
            <w:pPr>
              <w:ind w:left="200"/>
              <w:spacing w:after="0"/>
              <w:rPr>
                <w:sz w:val="20"/>
                <w:szCs w:val="20"/>
                <w:color w:val="auto"/>
              </w:rPr>
            </w:pPr>
            <w:r>
              <w:rPr>
                <w:rFonts w:ascii="Arial" w:cs="Arial" w:eastAsia="Arial" w:hAnsi="Arial"/>
                <w:sz w:val="18"/>
                <w:szCs w:val="18"/>
                <w:color w:val="auto"/>
              </w:rPr>
              <w:t>Post-Closing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5.17.</w:t>
            </w:r>
          </w:p>
        </w:tc>
        <w:tc>
          <w:tcPr>
            <w:tcW w:w="7260" w:type="dxa"/>
            <w:vAlign w:val="bottom"/>
          </w:tcPr>
          <w:p>
            <w:pPr>
              <w:ind w:left="200"/>
              <w:spacing w:after="0"/>
              <w:rPr>
                <w:sz w:val="20"/>
                <w:szCs w:val="20"/>
                <w:color w:val="auto"/>
              </w:rPr>
            </w:pPr>
            <w:r>
              <w:rPr>
                <w:rFonts w:ascii="Arial" w:cs="Arial" w:eastAsia="Arial" w:hAnsi="Arial"/>
                <w:sz w:val="18"/>
                <w:szCs w:val="18"/>
                <w:color w:val="auto"/>
              </w:rPr>
              <w:t>Commercialization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5.18.</w:t>
            </w:r>
          </w:p>
        </w:tc>
        <w:tc>
          <w:tcPr>
            <w:tcW w:w="7260" w:type="dxa"/>
            <w:vAlign w:val="bottom"/>
          </w:tcPr>
          <w:p>
            <w:pPr>
              <w:ind w:left="200"/>
              <w:spacing w:after="0"/>
              <w:rPr>
                <w:sz w:val="20"/>
                <w:szCs w:val="20"/>
                <w:color w:val="auto"/>
              </w:rPr>
            </w:pPr>
            <w:r>
              <w:rPr>
                <w:rFonts w:ascii="Arial" w:cs="Arial" w:eastAsia="Arial" w:hAnsi="Arial"/>
                <w:sz w:val="18"/>
                <w:szCs w:val="18"/>
                <w:color w:val="auto"/>
              </w:rPr>
              <w:t>Lender Meetings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NEGATIVE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6.1.</w:t>
            </w:r>
          </w:p>
        </w:tc>
        <w:tc>
          <w:tcPr>
            <w:tcW w:w="7260" w:type="dxa"/>
            <w:vAlign w:val="bottom"/>
          </w:tcPr>
          <w:p>
            <w:pPr>
              <w:ind w:left="200"/>
              <w:spacing w:after="0"/>
              <w:rPr>
                <w:sz w:val="20"/>
                <w:szCs w:val="20"/>
                <w:color w:val="auto"/>
              </w:rPr>
            </w:pPr>
            <w:r>
              <w:rPr>
                <w:rFonts w:ascii="Arial" w:cs="Arial" w:eastAsia="Arial" w:hAnsi="Arial"/>
                <w:sz w:val="18"/>
                <w:szCs w:val="18"/>
                <w:color w:val="auto"/>
              </w:rPr>
              <w:t>Dispositions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6.2.</w:t>
            </w:r>
          </w:p>
        </w:tc>
        <w:tc>
          <w:tcPr>
            <w:tcW w:w="7260" w:type="dxa"/>
            <w:vAlign w:val="bottom"/>
          </w:tcPr>
          <w:p>
            <w:pPr>
              <w:ind w:left="200"/>
              <w:spacing w:after="0"/>
              <w:rPr>
                <w:sz w:val="20"/>
                <w:szCs w:val="20"/>
                <w:color w:val="auto"/>
              </w:rPr>
            </w:pPr>
            <w:r>
              <w:rPr>
                <w:rFonts w:ascii="Arial" w:cs="Arial" w:eastAsia="Arial" w:hAnsi="Arial"/>
                <w:sz w:val="18"/>
                <w:szCs w:val="18"/>
                <w:color w:val="auto"/>
              </w:rPr>
              <w:t>Changes in Business, Management or Business Locations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6.3.</w:t>
            </w:r>
          </w:p>
        </w:tc>
        <w:tc>
          <w:tcPr>
            <w:tcW w:w="7260" w:type="dxa"/>
            <w:vAlign w:val="bottom"/>
          </w:tcPr>
          <w:p>
            <w:pPr>
              <w:ind w:left="200"/>
              <w:spacing w:after="0"/>
              <w:rPr>
                <w:sz w:val="20"/>
                <w:szCs w:val="20"/>
                <w:color w:val="auto"/>
              </w:rPr>
            </w:pPr>
            <w:r>
              <w:rPr>
                <w:rFonts w:ascii="Arial" w:cs="Arial" w:eastAsia="Arial" w:hAnsi="Arial"/>
                <w:sz w:val="18"/>
                <w:szCs w:val="18"/>
                <w:color w:val="auto"/>
              </w:rPr>
              <w:t>Mergers, Acquisitions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6.4.</w:t>
            </w:r>
          </w:p>
        </w:tc>
        <w:tc>
          <w:tcPr>
            <w:tcW w:w="726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6.5.</w:t>
            </w:r>
          </w:p>
        </w:tc>
        <w:tc>
          <w:tcPr>
            <w:tcW w:w="7260" w:type="dxa"/>
            <w:vAlign w:val="bottom"/>
          </w:tcPr>
          <w:p>
            <w:pPr>
              <w:ind w:left="200"/>
              <w:spacing w:after="0"/>
              <w:rPr>
                <w:sz w:val="20"/>
                <w:szCs w:val="20"/>
                <w:color w:val="auto"/>
              </w:rPr>
            </w:pPr>
            <w:r>
              <w:rPr>
                <w:rFonts w:ascii="Arial" w:cs="Arial" w:eastAsia="Arial" w:hAnsi="Arial"/>
                <w:sz w:val="18"/>
                <w:szCs w:val="18"/>
                <w:color w:val="auto"/>
              </w:rPr>
              <w:t>Encumbrance</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6.6.</w:t>
            </w:r>
          </w:p>
        </w:tc>
        <w:tc>
          <w:tcPr>
            <w:tcW w:w="7260" w:type="dxa"/>
            <w:vAlign w:val="bottom"/>
          </w:tcPr>
          <w:p>
            <w:pPr>
              <w:ind w:left="200"/>
              <w:spacing w:after="0"/>
              <w:rPr>
                <w:sz w:val="20"/>
                <w:szCs w:val="20"/>
                <w:color w:val="auto"/>
              </w:rPr>
            </w:pPr>
            <w:r>
              <w:rPr>
                <w:rFonts w:ascii="Arial" w:cs="Arial" w:eastAsia="Arial" w:hAnsi="Arial"/>
                <w:sz w:val="18"/>
                <w:szCs w:val="18"/>
                <w:color w:val="auto"/>
              </w:rPr>
              <w:t>No Further Negative Pledges; Negative Pledge</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6.7.</w:t>
            </w:r>
          </w:p>
        </w:tc>
        <w:tc>
          <w:tcPr>
            <w:tcW w:w="7260" w:type="dxa"/>
            <w:vAlign w:val="bottom"/>
          </w:tcPr>
          <w:p>
            <w:pPr>
              <w:ind w:left="200"/>
              <w:spacing w:after="0"/>
              <w:rPr>
                <w:sz w:val="20"/>
                <w:szCs w:val="20"/>
                <w:color w:val="auto"/>
              </w:rPr>
            </w:pPr>
            <w:r>
              <w:rPr>
                <w:rFonts w:ascii="Arial" w:cs="Arial" w:eastAsia="Arial" w:hAnsi="Arial"/>
                <w:sz w:val="18"/>
                <w:szCs w:val="18"/>
                <w:color w:val="auto"/>
              </w:rPr>
              <w:t>Maintenance of Collateral Accounts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6.8.</w:t>
            </w:r>
          </w:p>
        </w:tc>
        <w:tc>
          <w:tcPr>
            <w:tcW w:w="7260" w:type="dxa"/>
            <w:vAlign w:val="bottom"/>
          </w:tcPr>
          <w:p>
            <w:pPr>
              <w:ind w:left="200"/>
              <w:spacing w:after="0"/>
              <w:rPr>
                <w:sz w:val="20"/>
                <w:szCs w:val="20"/>
                <w:color w:val="auto"/>
              </w:rPr>
            </w:pPr>
            <w:r>
              <w:rPr>
                <w:rFonts w:ascii="Arial" w:cs="Arial" w:eastAsia="Arial" w:hAnsi="Arial"/>
                <w:sz w:val="18"/>
                <w:szCs w:val="18"/>
                <w:color w:val="auto"/>
              </w:rPr>
              <w:t>Distributions; Investments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8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6.9.</w:t>
            </w:r>
          </w:p>
        </w:tc>
        <w:tc>
          <w:tcPr>
            <w:tcW w:w="7260" w:type="dxa"/>
            <w:vAlign w:val="bottom"/>
          </w:tcPr>
          <w:p>
            <w:pPr>
              <w:ind w:left="200"/>
              <w:spacing w:after="0"/>
              <w:rPr>
                <w:sz w:val="20"/>
                <w:szCs w:val="20"/>
                <w:color w:val="auto"/>
              </w:rPr>
            </w:pPr>
            <w:r>
              <w:rPr>
                <w:rFonts w:ascii="Arial" w:cs="Arial" w:eastAsia="Arial" w:hAnsi="Arial"/>
                <w:sz w:val="18"/>
                <w:szCs w:val="18"/>
                <w:color w:val="auto"/>
              </w:rPr>
              <w:t>Restrictions on Subsidiary Distributions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65"/>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60" w:type="dxa"/>
            <w:vAlign w:val="bottom"/>
          </w:tcPr>
          <w:p>
            <w:pPr>
              <w:jc w:val="center"/>
              <w:ind w:left="1310"/>
              <w:spacing w:after="0"/>
              <w:rPr>
                <w:sz w:val="20"/>
                <w:szCs w:val="20"/>
                <w:color w:val="auto"/>
              </w:rPr>
            </w:pPr>
            <w:r>
              <w:rPr>
                <w:rFonts w:ascii="Arial" w:cs="Arial" w:eastAsia="Arial" w:hAnsi="Arial"/>
                <w:sz w:val="18"/>
                <w:szCs w:val="18"/>
                <w:color w:val="auto"/>
              </w:rPr>
              <w:t>-ii-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69"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1" w:name="page422"/>
    <w:bookmarkEnd w:id="4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6.10.</w:t>
            </w:r>
          </w:p>
        </w:tc>
        <w:tc>
          <w:tcPr>
            <w:tcW w:w="7060" w:type="dxa"/>
            <w:vAlign w:val="bottom"/>
          </w:tcPr>
          <w:p>
            <w:pPr>
              <w:ind w:left="200"/>
              <w:spacing w:after="0"/>
              <w:rPr>
                <w:sz w:val="20"/>
                <w:szCs w:val="20"/>
                <w:color w:val="auto"/>
              </w:rPr>
            </w:pPr>
            <w:r>
              <w:rPr>
                <w:rFonts w:ascii="Arial" w:cs="Arial" w:eastAsia="Arial" w:hAnsi="Arial"/>
                <w:sz w:val="18"/>
                <w:szCs w:val="18"/>
                <w:color w:val="auto"/>
              </w:rPr>
              <w:t>Transactions with Affiliates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6.11.</w:t>
            </w:r>
          </w:p>
        </w:tc>
        <w:tc>
          <w:tcPr>
            <w:tcW w:w="7060" w:type="dxa"/>
            <w:vAlign w:val="bottom"/>
          </w:tcPr>
          <w:p>
            <w:pPr>
              <w:ind w:left="200"/>
              <w:spacing w:after="0"/>
              <w:rPr>
                <w:sz w:val="20"/>
                <w:szCs w:val="20"/>
                <w:color w:val="auto"/>
              </w:rPr>
            </w:pPr>
            <w:r>
              <w:rPr>
                <w:rFonts w:ascii="Arial" w:cs="Arial" w:eastAsia="Arial" w:hAnsi="Arial"/>
                <w:sz w:val="18"/>
                <w:szCs w:val="18"/>
                <w:color w:val="auto"/>
              </w:rPr>
              <w:t>Subordinated Debt</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6.12.</w:t>
            </w:r>
          </w:p>
        </w:tc>
        <w:tc>
          <w:tcPr>
            <w:tcW w:w="7060" w:type="dxa"/>
            <w:vAlign w:val="bottom"/>
          </w:tcPr>
          <w:p>
            <w:pPr>
              <w:ind w:left="200"/>
              <w:spacing w:after="0"/>
              <w:rPr>
                <w:sz w:val="20"/>
                <w:szCs w:val="20"/>
                <w:color w:val="auto"/>
              </w:rPr>
            </w:pPr>
            <w:r>
              <w:rPr>
                <w:rFonts w:ascii="Arial" w:cs="Arial" w:eastAsia="Arial" w:hAnsi="Arial"/>
                <w:sz w:val="18"/>
                <w:szCs w:val="18"/>
                <w:color w:val="auto"/>
              </w:rPr>
              <w:t>Amendments or Waivers of Organizational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6.13.</w:t>
            </w:r>
          </w:p>
        </w:tc>
        <w:tc>
          <w:tcPr>
            <w:tcW w:w="70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6.14.</w:t>
            </w:r>
          </w:p>
        </w:tc>
        <w:tc>
          <w:tcPr>
            <w:tcW w:w="7060" w:type="dxa"/>
            <w:vAlign w:val="bottom"/>
          </w:tcPr>
          <w:p>
            <w:pPr>
              <w:ind w:left="200"/>
              <w:spacing w:after="0"/>
              <w:rPr>
                <w:sz w:val="20"/>
                <w:szCs w:val="20"/>
                <w:color w:val="auto"/>
              </w:rPr>
            </w:pPr>
            <w:r>
              <w:rPr>
                <w:rFonts w:ascii="Arial" w:cs="Arial" w:eastAsia="Arial" w:hAnsi="Arial"/>
                <w:sz w:val="18"/>
                <w:szCs w:val="18"/>
                <w:color w:val="auto"/>
              </w:rPr>
              <w:t>Compliance</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6.15.</w:t>
            </w:r>
          </w:p>
        </w:tc>
        <w:tc>
          <w:tcPr>
            <w:tcW w:w="7060" w:type="dxa"/>
            <w:vAlign w:val="bottom"/>
          </w:tcPr>
          <w:p>
            <w:pPr>
              <w:ind w:left="200"/>
              <w:spacing w:after="0"/>
              <w:rPr>
                <w:sz w:val="20"/>
                <w:szCs w:val="20"/>
                <w:color w:val="auto"/>
              </w:rPr>
            </w:pPr>
            <w:r>
              <w:rPr>
                <w:rFonts w:ascii="Arial" w:cs="Arial" w:eastAsia="Arial" w:hAnsi="Arial"/>
                <w:sz w:val="18"/>
                <w:szCs w:val="18"/>
                <w:color w:val="auto"/>
              </w:rPr>
              <w:t>Compliance with Anti-Terrorism Laws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6.16.</w:t>
            </w:r>
          </w:p>
        </w:tc>
        <w:tc>
          <w:tcPr>
            <w:tcW w:w="7060" w:type="dxa"/>
            <w:vAlign w:val="bottom"/>
          </w:tcPr>
          <w:p>
            <w:pPr>
              <w:ind w:left="200"/>
              <w:spacing w:after="0"/>
              <w:rPr>
                <w:sz w:val="20"/>
                <w:szCs w:val="20"/>
                <w:color w:val="auto"/>
              </w:rPr>
            </w:pPr>
            <w:r>
              <w:rPr>
                <w:rFonts w:ascii="Arial" w:cs="Arial" w:eastAsia="Arial" w:hAnsi="Arial"/>
                <w:sz w:val="18"/>
                <w:szCs w:val="18"/>
                <w:color w:val="auto"/>
              </w:rPr>
              <w:t>Current Company IP Agreements and Material Contracts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6.17.</w:t>
            </w:r>
          </w:p>
        </w:tc>
        <w:tc>
          <w:tcPr>
            <w:tcW w:w="7060" w:type="dxa"/>
            <w:vAlign w:val="bottom"/>
          </w:tcPr>
          <w:p>
            <w:pPr>
              <w:ind w:left="200"/>
              <w:spacing w:after="0"/>
              <w:rPr>
                <w:sz w:val="20"/>
                <w:szCs w:val="20"/>
                <w:color w:val="auto"/>
              </w:rPr>
            </w:pPr>
            <w:r>
              <w:rPr>
                <w:rFonts w:ascii="Arial" w:cs="Arial" w:eastAsia="Arial" w:hAnsi="Arial"/>
                <w:sz w:val="18"/>
                <w:szCs w:val="18"/>
                <w:color w:val="auto"/>
              </w:rPr>
              <w:t>Minimum Net Sales; Minimum Consolidated EBITDA</w:t>
            </w:r>
          </w:p>
        </w:tc>
        <w:tc>
          <w:tcPr>
            <w:tcW w:w="2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w:t>
            </w:r>
          </w:p>
        </w:tc>
        <w:tc>
          <w:tcPr>
            <w:tcW w:w="7060" w:type="dxa"/>
            <w:vAlign w:val="bottom"/>
          </w:tcPr>
          <w:p>
            <w:pPr>
              <w:ind w:left="200"/>
              <w:spacing w:after="0"/>
              <w:rPr>
                <w:sz w:val="20"/>
                <w:szCs w:val="20"/>
                <w:color w:val="auto"/>
              </w:rPr>
            </w:pPr>
            <w:r>
              <w:rPr>
                <w:rFonts w:ascii="Arial" w:cs="Arial" w:eastAsia="Arial" w:hAnsi="Arial"/>
                <w:sz w:val="18"/>
                <w:szCs w:val="18"/>
                <w:color w:val="auto"/>
              </w:rPr>
              <w:t>Payment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7.2.</w:t>
            </w:r>
          </w:p>
        </w:tc>
        <w:tc>
          <w:tcPr>
            <w:tcW w:w="7060" w:type="dxa"/>
            <w:vAlign w:val="bottom"/>
          </w:tcPr>
          <w:p>
            <w:pPr>
              <w:ind w:left="200"/>
              <w:spacing w:after="0"/>
              <w:rPr>
                <w:sz w:val="20"/>
                <w:szCs w:val="20"/>
                <w:color w:val="auto"/>
              </w:rPr>
            </w:pPr>
            <w:r>
              <w:rPr>
                <w:rFonts w:ascii="Arial" w:cs="Arial" w:eastAsia="Arial" w:hAnsi="Arial"/>
                <w:sz w:val="18"/>
                <w:szCs w:val="18"/>
                <w:color w:val="auto"/>
              </w:rPr>
              <w:t>Covenant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7.3.</w:t>
            </w:r>
          </w:p>
        </w:tc>
        <w:tc>
          <w:tcPr>
            <w:tcW w:w="7060" w:type="dxa"/>
            <w:vAlign w:val="bottom"/>
          </w:tcPr>
          <w:p>
            <w:pPr>
              <w:ind w:left="200"/>
              <w:spacing w:after="0"/>
              <w:rPr>
                <w:sz w:val="20"/>
                <w:szCs w:val="20"/>
                <w:color w:val="auto"/>
              </w:rPr>
            </w:pPr>
            <w:r>
              <w:rPr>
                <w:rFonts w:ascii="Arial" w:cs="Arial" w:eastAsia="Arial" w:hAnsi="Arial"/>
                <w:sz w:val="18"/>
                <w:szCs w:val="18"/>
                <w:color w:val="auto"/>
              </w:rPr>
              <w:t>Material Adverse Change</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7.4.</w:t>
            </w:r>
          </w:p>
        </w:tc>
        <w:tc>
          <w:tcPr>
            <w:tcW w:w="7060" w:type="dxa"/>
            <w:vAlign w:val="bottom"/>
          </w:tcPr>
          <w:p>
            <w:pPr>
              <w:ind w:left="200"/>
              <w:spacing w:after="0"/>
              <w:rPr>
                <w:sz w:val="20"/>
                <w:szCs w:val="20"/>
                <w:color w:val="auto"/>
              </w:rPr>
            </w:pPr>
            <w:r>
              <w:rPr>
                <w:rFonts w:ascii="Arial" w:cs="Arial" w:eastAsia="Arial" w:hAnsi="Arial"/>
                <w:sz w:val="18"/>
                <w:szCs w:val="18"/>
                <w:color w:val="auto"/>
              </w:rPr>
              <w:t>Attachment; Levy; Restraint on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7.5.</w:t>
            </w:r>
          </w:p>
        </w:tc>
        <w:tc>
          <w:tcPr>
            <w:tcW w:w="7060" w:type="dxa"/>
            <w:vAlign w:val="bottom"/>
          </w:tcPr>
          <w:p>
            <w:pPr>
              <w:ind w:left="200"/>
              <w:spacing w:after="0"/>
              <w:rPr>
                <w:sz w:val="20"/>
                <w:szCs w:val="20"/>
                <w:color w:val="auto"/>
              </w:rPr>
            </w:pPr>
            <w:r>
              <w:rPr>
                <w:rFonts w:ascii="Arial" w:cs="Arial" w:eastAsia="Arial" w:hAnsi="Arial"/>
                <w:sz w:val="18"/>
                <w:szCs w:val="18"/>
                <w:color w:val="auto"/>
              </w:rPr>
              <w:t>Insolvency</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7.6.</w:t>
            </w:r>
          </w:p>
        </w:tc>
        <w:tc>
          <w:tcPr>
            <w:tcW w:w="7060" w:type="dxa"/>
            <w:vAlign w:val="bottom"/>
          </w:tcPr>
          <w:p>
            <w:pPr>
              <w:ind w:left="200"/>
              <w:spacing w:after="0"/>
              <w:rPr>
                <w:sz w:val="20"/>
                <w:szCs w:val="20"/>
                <w:color w:val="auto"/>
              </w:rPr>
            </w:pPr>
            <w:r>
              <w:rPr>
                <w:rFonts w:ascii="Arial" w:cs="Arial" w:eastAsia="Arial" w:hAnsi="Arial"/>
                <w:sz w:val="18"/>
                <w:szCs w:val="18"/>
                <w:color w:val="auto"/>
              </w:rPr>
              <w:t>Other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7.7.</w:t>
            </w:r>
          </w:p>
        </w:tc>
        <w:tc>
          <w:tcPr>
            <w:tcW w:w="7060" w:type="dxa"/>
            <w:vAlign w:val="bottom"/>
          </w:tcPr>
          <w:p>
            <w:pPr>
              <w:ind w:left="200"/>
              <w:spacing w:after="0"/>
              <w:rPr>
                <w:sz w:val="20"/>
                <w:szCs w:val="20"/>
                <w:color w:val="auto"/>
              </w:rPr>
            </w:pPr>
            <w:r>
              <w:rPr>
                <w:rFonts w:ascii="Arial" w:cs="Arial" w:eastAsia="Arial" w:hAnsi="Arial"/>
                <w:sz w:val="18"/>
                <w:szCs w:val="18"/>
                <w:color w:val="auto"/>
              </w:rPr>
              <w:t>Judgments</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7.8.</w:t>
            </w:r>
          </w:p>
        </w:tc>
        <w:tc>
          <w:tcPr>
            <w:tcW w:w="7060" w:type="dxa"/>
            <w:vAlign w:val="bottom"/>
          </w:tcPr>
          <w:p>
            <w:pPr>
              <w:ind w:left="200"/>
              <w:spacing w:after="0"/>
              <w:rPr>
                <w:sz w:val="20"/>
                <w:szCs w:val="20"/>
                <w:color w:val="auto"/>
              </w:rPr>
            </w:pPr>
            <w:r>
              <w:rPr>
                <w:rFonts w:ascii="Arial" w:cs="Arial" w:eastAsia="Arial" w:hAnsi="Arial"/>
                <w:sz w:val="18"/>
                <w:szCs w:val="18"/>
                <w:color w:val="auto"/>
              </w:rPr>
              <w:t>Misrepresentations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7.9.</w:t>
            </w:r>
          </w:p>
        </w:tc>
        <w:tc>
          <w:tcPr>
            <w:tcW w:w="7060" w:type="dxa"/>
            <w:vAlign w:val="bottom"/>
          </w:tcPr>
          <w:p>
            <w:pPr>
              <w:ind w:left="200"/>
              <w:spacing w:after="0"/>
              <w:rPr>
                <w:sz w:val="20"/>
                <w:szCs w:val="20"/>
                <w:color w:val="auto"/>
              </w:rPr>
            </w:pPr>
            <w:r>
              <w:rPr>
                <w:rFonts w:ascii="Arial" w:cs="Arial" w:eastAsia="Arial" w:hAnsi="Arial"/>
                <w:sz w:val="18"/>
                <w:szCs w:val="18"/>
                <w:color w:val="auto"/>
              </w:rPr>
              <w:t>Loan Documents; Collateral</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7.10.</w:t>
            </w:r>
          </w:p>
        </w:tc>
        <w:tc>
          <w:tcPr>
            <w:tcW w:w="7060" w:type="dxa"/>
            <w:vAlign w:val="bottom"/>
          </w:tcPr>
          <w:p>
            <w:pPr>
              <w:ind w:left="200"/>
              <w:spacing w:after="0"/>
              <w:rPr>
                <w:sz w:val="20"/>
                <w:szCs w:val="20"/>
                <w:color w:val="auto"/>
              </w:rPr>
            </w:pPr>
            <w:r>
              <w:rPr>
                <w:rFonts w:ascii="Arial" w:cs="Arial" w:eastAsia="Arial" w:hAnsi="Arial"/>
                <w:sz w:val="18"/>
                <w:szCs w:val="18"/>
                <w:color w:val="auto"/>
              </w:rPr>
              <w:t>Subordinated Debt</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7.11.</w:t>
            </w:r>
          </w:p>
        </w:tc>
        <w:tc>
          <w:tcPr>
            <w:tcW w:w="7060" w:type="dxa"/>
            <w:vAlign w:val="bottom"/>
          </w:tcPr>
          <w:p>
            <w:pPr>
              <w:ind w:left="200"/>
              <w:spacing w:after="0"/>
              <w:rPr>
                <w:sz w:val="20"/>
                <w:szCs w:val="20"/>
                <w:color w:val="auto"/>
              </w:rPr>
            </w:pPr>
            <w:r>
              <w:rPr>
                <w:rFonts w:ascii="Arial" w:cs="Arial" w:eastAsia="Arial" w:hAnsi="Arial"/>
                <w:sz w:val="18"/>
                <w:szCs w:val="18"/>
                <w:color w:val="auto"/>
              </w:rPr>
              <w:t>Change in Control</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7.12.</w:t>
            </w:r>
          </w:p>
        </w:tc>
        <w:tc>
          <w:tcPr>
            <w:tcW w:w="7060" w:type="dxa"/>
            <w:vAlign w:val="bottom"/>
          </w:tcPr>
          <w:p>
            <w:pPr>
              <w:ind w:left="200"/>
              <w:spacing w:after="0"/>
              <w:rPr>
                <w:sz w:val="20"/>
                <w:szCs w:val="20"/>
                <w:color w:val="auto"/>
              </w:rPr>
            </w:pPr>
            <w:r>
              <w:rPr>
                <w:rFonts w:ascii="Arial" w:cs="Arial" w:eastAsia="Arial" w:hAnsi="Arial"/>
                <w:sz w:val="18"/>
                <w:szCs w:val="18"/>
                <w:color w:val="auto"/>
              </w:rPr>
              <w:t>ERISA Event</w:t>
            </w:r>
          </w:p>
        </w:tc>
        <w:tc>
          <w:tcPr>
            <w:tcW w:w="2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RIGHTS AND REMEDIES UPON AN EVENT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8.1.</w:t>
            </w:r>
          </w:p>
        </w:tc>
        <w:tc>
          <w:tcPr>
            <w:tcW w:w="7060" w:type="dxa"/>
            <w:vAlign w:val="bottom"/>
          </w:tcPr>
          <w:p>
            <w:pPr>
              <w:ind w:left="200"/>
              <w:spacing w:after="0"/>
              <w:rPr>
                <w:sz w:val="20"/>
                <w:szCs w:val="20"/>
                <w:color w:val="auto"/>
              </w:rPr>
            </w:pPr>
            <w:r>
              <w:rPr>
                <w:rFonts w:ascii="Arial" w:cs="Arial" w:eastAsia="Arial" w:hAnsi="Arial"/>
                <w:sz w:val="18"/>
                <w:szCs w:val="18"/>
                <w:color w:val="auto"/>
              </w:rPr>
              <w:t>Rights and Remedies</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8.2.</w:t>
            </w:r>
          </w:p>
        </w:tc>
        <w:tc>
          <w:tcPr>
            <w:tcW w:w="7060" w:type="dxa"/>
            <w:vAlign w:val="bottom"/>
          </w:tcPr>
          <w:p>
            <w:pPr>
              <w:ind w:left="200"/>
              <w:spacing w:after="0"/>
              <w:rPr>
                <w:sz w:val="20"/>
                <w:szCs w:val="20"/>
                <w:color w:val="auto"/>
              </w:rPr>
            </w:pPr>
            <w:r>
              <w:rPr>
                <w:rFonts w:ascii="Arial" w:cs="Arial" w:eastAsia="Arial" w:hAnsi="Arial"/>
                <w:sz w:val="18"/>
                <w:szCs w:val="18"/>
                <w:color w:val="auto"/>
              </w:rPr>
              <w:t>Power of Attorney</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8.3.</w:t>
            </w:r>
          </w:p>
        </w:tc>
        <w:tc>
          <w:tcPr>
            <w:tcW w:w="7060" w:type="dxa"/>
            <w:vAlign w:val="bottom"/>
          </w:tcPr>
          <w:p>
            <w:pPr>
              <w:ind w:left="200"/>
              <w:spacing w:after="0"/>
              <w:rPr>
                <w:sz w:val="20"/>
                <w:szCs w:val="20"/>
                <w:color w:val="auto"/>
              </w:rPr>
            </w:pPr>
            <w:r>
              <w:rPr>
                <w:rFonts w:ascii="Arial" w:cs="Arial" w:eastAsia="Arial" w:hAnsi="Arial"/>
                <w:sz w:val="18"/>
                <w:szCs w:val="18"/>
                <w:color w:val="auto"/>
              </w:rPr>
              <w:t>[Reserved.]</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8.4.</w:t>
            </w:r>
          </w:p>
        </w:tc>
        <w:tc>
          <w:tcPr>
            <w:tcW w:w="7060" w:type="dxa"/>
            <w:vAlign w:val="bottom"/>
          </w:tcPr>
          <w:p>
            <w:pPr>
              <w:ind w:left="200"/>
              <w:spacing w:after="0"/>
              <w:rPr>
                <w:sz w:val="20"/>
                <w:szCs w:val="20"/>
                <w:color w:val="auto"/>
              </w:rPr>
            </w:pPr>
            <w:r>
              <w:rPr>
                <w:rFonts w:ascii="Arial" w:cs="Arial" w:eastAsia="Arial" w:hAnsi="Arial"/>
                <w:sz w:val="18"/>
                <w:szCs w:val="18"/>
                <w:color w:val="auto"/>
              </w:rPr>
              <w:t>Application of Payments and Proceeds upon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8.5.</w:t>
            </w:r>
          </w:p>
        </w:tc>
        <w:tc>
          <w:tcPr>
            <w:tcW w:w="7060" w:type="dxa"/>
            <w:vAlign w:val="bottom"/>
          </w:tcPr>
          <w:p>
            <w:pPr>
              <w:ind w:left="200"/>
              <w:spacing w:after="0"/>
              <w:rPr>
                <w:sz w:val="20"/>
                <w:szCs w:val="20"/>
                <w:color w:val="auto"/>
              </w:rPr>
            </w:pPr>
            <w:r>
              <w:rPr>
                <w:rFonts w:ascii="Arial" w:cs="Arial" w:eastAsia="Arial" w:hAnsi="Arial"/>
                <w:sz w:val="18"/>
                <w:szCs w:val="18"/>
                <w:color w:val="auto"/>
              </w:rPr>
              <w:t>Lender’s Liability for Collateral</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8.6.</w:t>
            </w:r>
          </w:p>
        </w:tc>
        <w:tc>
          <w:tcPr>
            <w:tcW w:w="7060" w:type="dxa"/>
            <w:vAlign w:val="bottom"/>
          </w:tcPr>
          <w:p>
            <w:pPr>
              <w:ind w:left="200"/>
              <w:spacing w:after="0"/>
              <w:rPr>
                <w:sz w:val="20"/>
                <w:szCs w:val="20"/>
                <w:color w:val="auto"/>
              </w:rPr>
            </w:pPr>
            <w:r>
              <w:rPr>
                <w:rFonts w:ascii="Arial" w:cs="Arial" w:eastAsia="Arial" w:hAnsi="Arial"/>
                <w:sz w:val="18"/>
                <w:szCs w:val="18"/>
                <w:color w:val="auto"/>
              </w:rPr>
              <w:t>No Waiver; Remedies Cumulative</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8.7.</w:t>
            </w:r>
          </w:p>
        </w:tc>
        <w:tc>
          <w:tcPr>
            <w:tcW w:w="7060" w:type="dxa"/>
            <w:vAlign w:val="bottom"/>
          </w:tcPr>
          <w:p>
            <w:pPr>
              <w:ind w:left="200"/>
              <w:spacing w:after="0"/>
              <w:rPr>
                <w:sz w:val="20"/>
                <w:szCs w:val="20"/>
                <w:color w:val="auto"/>
              </w:rPr>
            </w:pPr>
            <w:r>
              <w:rPr>
                <w:rFonts w:ascii="Arial" w:cs="Arial" w:eastAsia="Arial" w:hAnsi="Arial"/>
                <w:sz w:val="18"/>
                <w:szCs w:val="18"/>
                <w:color w:val="auto"/>
              </w:rPr>
              <w:t>Demand Waiver; Makewhole Amount; Prepayment Premium</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CHOICE OF LAW, VENUE AND JURY TRIAL WAIVER</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GENERAL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11.1.</w:t>
            </w:r>
          </w:p>
        </w:tc>
        <w:tc>
          <w:tcPr>
            <w:tcW w:w="70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11.2.</w:t>
            </w:r>
          </w:p>
        </w:tc>
        <w:tc>
          <w:tcPr>
            <w:tcW w:w="7060" w:type="dxa"/>
            <w:vAlign w:val="bottom"/>
          </w:tcPr>
          <w:p>
            <w:pPr>
              <w:ind w:left="200"/>
              <w:spacing w:after="0"/>
              <w:rPr>
                <w:sz w:val="20"/>
                <w:szCs w:val="20"/>
                <w:color w:val="auto"/>
              </w:rPr>
            </w:pPr>
            <w:r>
              <w:rPr>
                <w:rFonts w:ascii="Arial" w:cs="Arial" w:eastAsia="Arial" w:hAnsi="Arial"/>
                <w:sz w:val="18"/>
                <w:szCs w:val="18"/>
                <w:color w:val="auto"/>
              </w:rPr>
              <w:t>Indemnification; Costs and Expenses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11.3.</w:t>
            </w:r>
          </w:p>
        </w:tc>
        <w:tc>
          <w:tcPr>
            <w:tcW w:w="7060" w:type="dxa"/>
            <w:vAlign w:val="bottom"/>
          </w:tcPr>
          <w:p>
            <w:pPr>
              <w:ind w:left="200"/>
              <w:spacing w:after="0"/>
              <w:rPr>
                <w:sz w:val="20"/>
                <w:szCs w:val="20"/>
                <w:color w:val="auto"/>
              </w:rPr>
            </w:pPr>
            <w:r>
              <w:rPr>
                <w:rFonts w:ascii="Arial" w:cs="Arial" w:eastAsia="Arial" w:hAnsi="Arial"/>
                <w:sz w:val="18"/>
                <w:szCs w:val="18"/>
                <w:color w:val="auto"/>
              </w:rPr>
              <w:t>Severability of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tcPr>
          <w:p>
            <w:pPr>
              <w:ind w:left="4200"/>
              <w:spacing w:after="0"/>
              <w:rPr>
                <w:sz w:val="20"/>
                <w:szCs w:val="20"/>
                <w:color w:val="auto"/>
              </w:rPr>
            </w:pPr>
            <w:r>
              <w:rPr>
                <w:rFonts w:ascii="Arial" w:cs="Arial" w:eastAsia="Arial" w:hAnsi="Arial"/>
                <w:sz w:val="18"/>
                <w:szCs w:val="18"/>
                <w:color w:val="auto"/>
              </w:rPr>
              <w:t>-iii-</w:t>
            </w:r>
          </w:p>
        </w:tc>
        <w:tc>
          <w:tcPr>
            <w:tcW w:w="274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422" w:name="page423"/>
    <w:bookmarkEnd w:id="4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540" w:type="dxa"/>
            <w:vAlign w:val="bottom"/>
          </w:tcPr>
          <w:p>
            <w:pPr>
              <w:jc w:val="center"/>
              <w:ind w:right="4291"/>
              <w:spacing w:after="0"/>
              <w:rPr>
                <w:sz w:val="20"/>
                <w:szCs w:val="20"/>
                <w:color w:val="auto"/>
              </w:rPr>
            </w:pPr>
            <w:r>
              <w:rPr>
                <w:rFonts w:ascii="Arial" w:cs="Arial" w:eastAsia="Arial" w:hAnsi="Arial"/>
                <w:sz w:val="18"/>
                <w:szCs w:val="18"/>
                <w:b w:val="1"/>
                <w:bCs w:val="1"/>
                <w:color w:val="auto"/>
                <w:w w:val="89"/>
              </w:rPr>
              <w:t>Table of Contents</w:t>
            </w:r>
          </w:p>
        </w:tc>
      </w:tr>
      <w:tr>
        <w:trPr>
          <w:trHeight w:val="230"/>
        </w:trPr>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540" w:type="dxa"/>
            <w:vAlign w:val="bottom"/>
          </w:tcPr>
          <w:p>
            <w:pPr>
              <w:jc w:val="center"/>
              <w:ind w:right="4311"/>
              <w:spacing w:after="0"/>
              <w:rPr>
                <w:sz w:val="20"/>
                <w:szCs w:val="20"/>
                <w:color w:val="auto"/>
              </w:rPr>
            </w:pPr>
            <w:r>
              <w:rPr>
                <w:rFonts w:ascii="Arial" w:cs="Arial" w:eastAsia="Arial" w:hAnsi="Arial"/>
                <w:sz w:val="18"/>
                <w:szCs w:val="18"/>
                <w:color w:val="auto"/>
                <w:w w:val="91"/>
              </w:rPr>
              <w:t>(continued)</w:t>
            </w:r>
          </w:p>
        </w:tc>
      </w:tr>
      <w:tr>
        <w:trPr>
          <w:trHeight w:val="312"/>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11.4.</w:t>
            </w:r>
          </w:p>
        </w:tc>
        <w:tc>
          <w:tcPr>
            <w:tcW w:w="3220" w:type="dxa"/>
            <w:vAlign w:val="bottom"/>
          </w:tcPr>
          <w:p>
            <w:pPr>
              <w:ind w:left="160"/>
              <w:spacing w:after="0"/>
              <w:rPr>
                <w:sz w:val="20"/>
                <w:szCs w:val="20"/>
                <w:color w:val="auto"/>
              </w:rPr>
            </w:pPr>
            <w:r>
              <w:rPr>
                <w:rFonts w:ascii="Arial" w:cs="Arial" w:eastAsia="Arial" w:hAnsi="Arial"/>
                <w:sz w:val="18"/>
                <w:szCs w:val="18"/>
                <w:color w:val="auto"/>
              </w:rPr>
              <w:t>Correction of Loan Documents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11.5.</w:t>
            </w:r>
          </w:p>
        </w:tc>
        <w:tc>
          <w:tcPr>
            <w:tcW w:w="3220" w:type="dxa"/>
            <w:vAlign w:val="bottom"/>
          </w:tcPr>
          <w:p>
            <w:pPr>
              <w:ind w:left="160"/>
              <w:spacing w:after="0"/>
              <w:rPr>
                <w:sz w:val="20"/>
                <w:szCs w:val="20"/>
                <w:color w:val="auto"/>
              </w:rPr>
            </w:pPr>
            <w:r>
              <w:rPr>
                <w:rFonts w:ascii="Arial" w:cs="Arial" w:eastAsia="Arial" w:hAnsi="Arial"/>
                <w:sz w:val="18"/>
                <w:szCs w:val="18"/>
                <w:color w:val="auto"/>
              </w:rPr>
              <w:t>Amendments; Waivers; Integration</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11.6.</w:t>
            </w:r>
          </w:p>
        </w:tc>
        <w:tc>
          <w:tcPr>
            <w:tcW w:w="32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11.7.</w:t>
            </w:r>
          </w:p>
        </w:tc>
        <w:tc>
          <w:tcPr>
            <w:tcW w:w="3220" w:type="dxa"/>
            <w:vAlign w:val="bottom"/>
          </w:tcPr>
          <w:p>
            <w:pPr>
              <w:ind w:left="160"/>
              <w:spacing w:after="0"/>
              <w:rPr>
                <w:sz w:val="20"/>
                <w:szCs w:val="20"/>
                <w:color w:val="auto"/>
              </w:rPr>
            </w:pPr>
            <w:r>
              <w:rPr>
                <w:rFonts w:ascii="Arial" w:cs="Arial" w:eastAsia="Arial" w:hAnsi="Arial"/>
                <w:sz w:val="18"/>
                <w:szCs w:val="18"/>
                <w:color w:val="auto"/>
              </w:rPr>
              <w:t>Survival</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11.8.</w:t>
            </w:r>
          </w:p>
        </w:tc>
        <w:tc>
          <w:tcPr>
            <w:tcW w:w="32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11.9.</w:t>
            </w:r>
          </w:p>
        </w:tc>
        <w:tc>
          <w:tcPr>
            <w:tcW w:w="3220" w:type="dxa"/>
            <w:vAlign w:val="bottom"/>
          </w:tcPr>
          <w:p>
            <w:pPr>
              <w:ind w:left="160"/>
              <w:spacing w:after="0"/>
              <w:rPr>
                <w:sz w:val="20"/>
                <w:szCs w:val="20"/>
                <w:color w:val="auto"/>
              </w:rPr>
            </w:pPr>
            <w:r>
              <w:rPr>
                <w:rFonts w:ascii="Arial" w:cs="Arial" w:eastAsia="Arial" w:hAnsi="Arial"/>
                <w:sz w:val="18"/>
                <w:szCs w:val="18"/>
                <w:color w:val="auto"/>
              </w:rPr>
              <w:t>Attorneys’ Fees, Costs and Expenses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11.10.</w:t>
            </w:r>
          </w:p>
        </w:tc>
        <w:tc>
          <w:tcPr>
            <w:tcW w:w="322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11.11.</w:t>
            </w:r>
          </w:p>
        </w:tc>
        <w:tc>
          <w:tcPr>
            <w:tcW w:w="3220" w:type="dxa"/>
            <w:vAlign w:val="bottom"/>
          </w:tcPr>
          <w:p>
            <w:pPr>
              <w:ind w:left="160"/>
              <w:spacing w:after="0"/>
              <w:rPr>
                <w:sz w:val="20"/>
                <w:szCs w:val="20"/>
                <w:color w:val="auto"/>
              </w:rPr>
            </w:pPr>
            <w:r>
              <w:rPr>
                <w:rFonts w:ascii="Arial" w:cs="Arial" w:eastAsia="Arial" w:hAnsi="Arial"/>
                <w:sz w:val="18"/>
                <w:szCs w:val="18"/>
                <w:color w:val="auto"/>
              </w:rPr>
              <w:t>Marshalling; Payments Set Aside</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11.12.</w:t>
            </w:r>
          </w:p>
        </w:tc>
        <w:tc>
          <w:tcPr>
            <w:tcW w:w="3220" w:type="dxa"/>
            <w:vAlign w:val="bottom"/>
          </w:tcPr>
          <w:p>
            <w:pPr>
              <w:ind w:left="160"/>
              <w:spacing w:after="0"/>
              <w:rPr>
                <w:sz w:val="20"/>
                <w:szCs w:val="20"/>
                <w:color w:val="auto"/>
              </w:rPr>
            </w:pPr>
            <w:r>
              <w:rPr>
                <w:rFonts w:ascii="Arial" w:cs="Arial" w:eastAsia="Arial" w:hAnsi="Arial"/>
                <w:sz w:val="18"/>
                <w:szCs w:val="18"/>
                <w:color w:val="auto"/>
              </w:rPr>
              <w:t>Electronic Execution of Documents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11.13.</w:t>
            </w:r>
          </w:p>
        </w:tc>
        <w:tc>
          <w:tcPr>
            <w:tcW w:w="3220" w:type="dxa"/>
            <w:vAlign w:val="bottom"/>
          </w:tcPr>
          <w:p>
            <w:pPr>
              <w:ind w:left="160"/>
              <w:spacing w:after="0"/>
              <w:rPr>
                <w:sz w:val="20"/>
                <w:szCs w:val="20"/>
                <w:color w:val="auto"/>
              </w:rPr>
            </w:pPr>
            <w:r>
              <w:rPr>
                <w:rFonts w:ascii="Arial" w:cs="Arial" w:eastAsia="Arial" w:hAnsi="Arial"/>
                <w:sz w:val="18"/>
                <w:szCs w:val="18"/>
                <w:color w:val="auto"/>
              </w:rPr>
              <w:t>Captions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11.14.</w:t>
            </w: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of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11.15.</w:t>
            </w:r>
          </w:p>
        </w:tc>
        <w:tc>
          <w:tcPr>
            <w:tcW w:w="3220" w:type="dxa"/>
            <w:vAlign w:val="bottom"/>
          </w:tcPr>
          <w:p>
            <w:pPr>
              <w:ind w:left="160"/>
              <w:spacing w:after="0"/>
              <w:rPr>
                <w:sz w:val="20"/>
                <w:szCs w:val="20"/>
                <w:color w:val="auto"/>
              </w:rPr>
            </w:pPr>
            <w:r>
              <w:rPr>
                <w:rFonts w:ascii="Arial" w:cs="Arial" w:eastAsia="Arial" w:hAnsi="Arial"/>
                <w:sz w:val="18"/>
                <w:szCs w:val="18"/>
                <w:color w:val="auto"/>
              </w:rPr>
              <w:t>Third Parties</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11.16.</w:t>
            </w:r>
          </w:p>
        </w:tc>
        <w:tc>
          <w:tcPr>
            <w:tcW w:w="3220" w:type="dxa"/>
            <w:vAlign w:val="bottom"/>
          </w:tcPr>
          <w:p>
            <w:pPr>
              <w:ind w:left="160"/>
              <w:spacing w:after="0"/>
              <w:rPr>
                <w:sz w:val="20"/>
                <w:szCs w:val="20"/>
                <w:color w:val="auto"/>
              </w:rPr>
            </w:pPr>
            <w:r>
              <w:rPr>
                <w:rFonts w:ascii="Arial" w:cs="Arial" w:eastAsia="Arial" w:hAnsi="Arial"/>
                <w:sz w:val="18"/>
                <w:szCs w:val="18"/>
                <w:color w:val="auto"/>
              </w:rPr>
              <w:t>No Fiduciary Duty</w:t>
            </w:r>
          </w:p>
        </w:tc>
        <w:tc>
          <w:tcPr>
            <w:tcW w:w="6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12.</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LENDER AGREEMENTS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12.1.</w:t>
            </w:r>
          </w:p>
        </w:tc>
        <w:tc>
          <w:tcPr>
            <w:tcW w:w="3220" w:type="dxa"/>
            <w:vAlign w:val="bottom"/>
          </w:tcPr>
          <w:p>
            <w:pPr>
              <w:ind w:left="160"/>
              <w:spacing w:after="0"/>
              <w:rPr>
                <w:sz w:val="20"/>
                <w:szCs w:val="20"/>
                <w:color w:val="auto"/>
              </w:rPr>
            </w:pPr>
            <w:r>
              <w:rPr>
                <w:rFonts w:ascii="Arial" w:cs="Arial" w:eastAsia="Arial" w:hAnsi="Arial"/>
                <w:sz w:val="18"/>
                <w:szCs w:val="18"/>
                <w:color w:val="auto"/>
              </w:rPr>
              <w:t>Intercreditor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12.2.</w:t>
            </w:r>
          </w:p>
        </w:tc>
        <w:tc>
          <w:tcPr>
            <w:tcW w:w="3220" w:type="dxa"/>
            <w:vAlign w:val="bottom"/>
          </w:tcPr>
          <w:p>
            <w:pPr>
              <w:ind w:left="160"/>
              <w:spacing w:after="0"/>
              <w:rPr>
                <w:sz w:val="20"/>
                <w:szCs w:val="20"/>
                <w:color w:val="auto"/>
              </w:rPr>
            </w:pPr>
            <w:r>
              <w:rPr>
                <w:rFonts w:ascii="Arial" w:cs="Arial" w:eastAsia="Arial" w:hAnsi="Arial"/>
                <w:sz w:val="18"/>
                <w:szCs w:val="18"/>
                <w:color w:val="auto"/>
              </w:rPr>
              <w:t>Non-Disturbance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13.</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DEFINITIONS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4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13.1.</w:t>
            </w:r>
          </w:p>
        </w:tc>
        <w:tc>
          <w:tcPr>
            <w:tcW w:w="32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540" w:type="dxa"/>
            <w:vAlign w:val="bottom"/>
          </w:tcPr>
          <w:p>
            <w:pPr>
              <w:jc w:val="center"/>
              <w:ind w:right="4311"/>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0980"/>
          </w:cols>
          <w:pgMar w:left="440" w:top="269" w:right="479" w:bottom="1440" w:gutter="0" w:footer="0" w:header="0"/>
        </w:sectPr>
      </w:pPr>
    </w:p>
    <w:bookmarkStart w:id="423" w:name="page424"/>
    <w:bookmarkEnd w:id="42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AGREEMENT</w:t>
      </w:r>
    </w:p>
    <w:p>
      <w:pPr>
        <w:spacing w:after="0" w:line="225"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13,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SI-BONE,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and BIOPHARMA CREDIT INVESTMENTS IV SUB LP, a Cayman Islands limited partnership (“</w:t>
      </w:r>
      <w:r>
        <w:rPr>
          <w:rFonts w:ascii="Arial" w:cs="Arial" w:eastAsia="Arial" w:hAnsi="Arial"/>
          <w:sz w:val="18"/>
          <w:szCs w:val="18"/>
          <w:b w:val="1"/>
          <w:bCs w:val="1"/>
          <w:color w:val="auto"/>
        </w:rPr>
        <w:t>Lender</w:t>
      </w:r>
      <w:r>
        <w:rPr>
          <w:rFonts w:ascii="Arial" w:cs="Arial" w:eastAsia="Arial" w:hAnsi="Arial"/>
          <w:sz w:val="18"/>
          <w:szCs w:val="18"/>
          <w:color w:val="auto"/>
        </w:rPr>
        <w:t>”), provides the terms on which Lender shall make, and Borrower shall repay, the Credit Extensions (as hereinafter defined). The parties hereto agree as follows:</w:t>
      </w:r>
    </w:p>
    <w:p>
      <w:pPr>
        <w:spacing w:after="0" w:line="288" w:lineRule="exact"/>
        <w:rPr>
          <w:sz w:val="20"/>
          <w:szCs w:val="20"/>
          <w:color w:val="auto"/>
        </w:rPr>
      </w:pPr>
    </w:p>
    <w:p>
      <w:pPr>
        <w:ind w:left="620" w:hanging="176"/>
        <w:spacing w:after="0"/>
        <w:tabs>
          <w:tab w:leader="none" w:pos="62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Except as otherwise expressly provided herein, all accounting terms not otherwise defined in this Agreement shall have the meanings assigned to them in conformity with Applicable Accounting Standards. Calculations and determinations must be made following Applicable Accounting Standards. No change in the accounting principles used in the preparation of any financial statement hereafter adopted by Borrower (including any change in Applicable Accounting Standards that would require leases that would be classified as operating leases under Applicable Accounting Standards on the Tranche A Closing Date to be reclassified as capital leases, it being understood and agreed by Borrower and Lender that all leases will be accounted for without giving effect to Topic 842 (Leases) of the Financial Accounting Standards Board) shall be given effect for purposes of measuring compliance with any provision 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unless Borrower and Lender agree to modify such provisions to reflect such changes in Applicable Accounting Standards and, unless such provisions are so modified, all financial statements, Compliance Certificates and similar documents provided hereunder shall be provided together with a reconciliation between the calculations and amounts set forth therein before and after giving effect to such change in Applicable Accounting Standards. Capitalized terms not otherwise defined in this Agreement shall have the meanings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All other terms contained in this Agreement, unless otherwise indicated, shall have the meaning provided by the Code to the extent such terms are defined therein. All references to “Dollars” or “$” are United States Dollars, unless otherwise noted.</w:t>
      </w:r>
    </w:p>
    <w:p>
      <w:pPr>
        <w:spacing w:after="0" w:line="165" w:lineRule="exact"/>
        <w:rPr>
          <w:sz w:val="20"/>
          <w:szCs w:val="20"/>
          <w:color w:val="auto"/>
        </w:rPr>
      </w:pPr>
    </w:p>
    <w:p>
      <w:pPr>
        <w:ind w:left="620" w:hanging="176"/>
        <w:spacing w:after="0"/>
        <w:tabs>
          <w:tab w:leader="none" w:pos="62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rFonts w:ascii="Arial" w:cs="Arial" w:eastAsia="Arial" w:hAnsi="Arial"/>
          <w:sz w:val="18"/>
          <w:szCs w:val="18"/>
          <w:b w:val="1"/>
          <w:bCs w:val="1"/>
          <w:color w:val="auto"/>
        </w:rPr>
      </w:pPr>
    </w:p>
    <w:p>
      <w:pPr>
        <w:ind w:left="760" w:hanging="316"/>
        <w:spacing w:after="0"/>
        <w:tabs>
          <w:tab w:leader="none" w:pos="76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Promise to Pay.</w:t>
      </w:r>
    </w:p>
    <w:p>
      <w:pPr>
        <w:spacing w:after="0" w:line="229"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Borrower hereby unconditionally promises to pay Lender, the outstanding principal amount of all of the Term Loans advanced to Borrower by Lender and accrued and unpaid interest thereon and any other amounts due hereunder as and when due in accordance with this Agreement.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Term Loans.</w:t>
      </w:r>
    </w:p>
    <w:p>
      <w:pPr>
        <w:spacing w:after="0" w:line="121" w:lineRule="exact"/>
        <w:rPr>
          <w:sz w:val="20"/>
          <w:szCs w:val="20"/>
          <w:color w:val="auto"/>
        </w:rPr>
      </w:pPr>
    </w:p>
    <w:p>
      <w:pPr>
        <w:ind w:left="1120" w:hanging="235"/>
        <w:spacing w:after="0"/>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(including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20" w:firstLine="851"/>
        <w:spacing w:after="0" w:line="277" w:lineRule="auto"/>
        <w:tabs>
          <w:tab w:leader="none" w:pos="1501"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Tranche A Loan</w:t>
      </w:r>
      <w:r>
        <w:rPr>
          <w:rFonts w:ascii="Arial" w:cs="Arial" w:eastAsia="Arial" w:hAnsi="Arial"/>
          <w:sz w:val="18"/>
          <w:szCs w:val="18"/>
          <w:color w:val="auto"/>
        </w:rPr>
        <w:t>. Lender agrees to make a term loan to Borrower on the Tranche A Closing Date in the principal amount (the “</w:t>
      </w:r>
      <w:r>
        <w:rPr>
          <w:rFonts w:ascii="Arial" w:cs="Arial" w:eastAsia="Arial" w:hAnsi="Arial"/>
          <w:sz w:val="18"/>
          <w:szCs w:val="18"/>
          <w:b w:val="1"/>
          <w:bCs w:val="1"/>
          <w:color w:val="auto"/>
        </w:rPr>
        <w:t>Tranche A Loan Amount</w:t>
      </w:r>
      <w:r>
        <w:rPr>
          <w:rFonts w:ascii="Arial" w:cs="Arial" w:eastAsia="Arial" w:hAnsi="Arial"/>
          <w:sz w:val="18"/>
          <w:szCs w:val="18"/>
          <w:color w:val="auto"/>
        </w:rPr>
        <w:t>”) of Forty Million Dollars ($40,000,000.00) (the “</w:t>
      </w:r>
      <w:r>
        <w:rPr>
          <w:rFonts w:ascii="Arial" w:cs="Arial" w:eastAsia="Arial" w:hAnsi="Arial"/>
          <w:sz w:val="18"/>
          <w:szCs w:val="18"/>
          <w:b w:val="1"/>
          <w:bCs w:val="1"/>
          <w:color w:val="auto"/>
        </w:rPr>
        <w:t>Tranche A Loan</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480" w:firstLine="851"/>
        <w:spacing w:after="0" w:line="277" w:lineRule="auto"/>
        <w:tabs>
          <w:tab w:leader="none" w:pos="1551"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Tranche B Loan</w:t>
      </w:r>
      <w:r>
        <w:rPr>
          <w:rFonts w:ascii="Arial" w:cs="Arial" w:eastAsia="Arial" w:hAnsi="Arial"/>
          <w:sz w:val="18"/>
          <w:szCs w:val="18"/>
          <w:color w:val="auto"/>
        </w:rPr>
        <w:t>. At Borrower’s option, Lender agrees to make a term loan to Borrower on the Tranche B Closing Date in a principal amount equal to the Tranche B Loan Amount (the “</w:t>
      </w:r>
      <w:r>
        <w:rPr>
          <w:rFonts w:ascii="Arial" w:cs="Arial" w:eastAsia="Arial" w:hAnsi="Arial"/>
          <w:sz w:val="18"/>
          <w:szCs w:val="18"/>
          <w:b w:val="1"/>
          <w:bCs w:val="1"/>
          <w:color w:val="auto"/>
        </w:rPr>
        <w:t>Tranche B Loan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repayment, no Term Loan may be re-borrowed.</w:t>
      </w:r>
    </w:p>
    <w:p>
      <w:pPr>
        <w:spacing w:after="0" w:line="225" w:lineRule="exact"/>
        <w:rPr>
          <w:sz w:val="20"/>
          <w:szCs w:val="20"/>
          <w:color w:val="auto"/>
        </w:rPr>
      </w:pPr>
    </w:p>
    <w:p>
      <w:pPr>
        <w:ind w:firstLine="885"/>
        <w:spacing w:after="0" w:line="302" w:lineRule="auto"/>
        <w:tabs>
          <w:tab w:leader="none" w:pos="1136"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nine (9) equal quarterly payments of principal of the Term Loans commencing on the Payment Date that is the 36</w:t>
      </w:r>
      <w:r>
        <w:rPr>
          <w:rFonts w:ascii="Arial" w:cs="Arial" w:eastAsia="Arial" w:hAnsi="Arial"/>
          <w:sz w:val="13"/>
          <w:szCs w:val="13"/>
          <w:color w:val="auto"/>
        </w:rPr>
        <w:t>th</w:t>
      </w:r>
      <w:r>
        <w:rPr>
          <w:rFonts w:ascii="Arial" w:cs="Arial" w:eastAsia="Arial" w:hAnsi="Arial"/>
          <w:sz w:val="16"/>
          <w:szCs w:val="16"/>
          <w:color w:val="auto"/>
        </w:rPr>
        <w:t xml:space="preserve">-month anniversary of the Tranche A Closing Date. All unpaid principal with respect to the Term Loans (and, for the avoidance of doubt, all accrued and unpaid interest, all due and unpaid Lender Expenses and any other amounts payable under the Loan Documents) is due and payable in full on the Term Loan Maturity Date. The Term Loans may be prepaid only in accordance with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120" w:hanging="235"/>
        <w:spacing w:after="0"/>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Prepayment of Term Loans</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424" w:name="page425"/>
    <w:bookmarkEnd w:id="424"/>
    <w:p>
      <w:pPr>
        <w:ind w:left="436" w:firstLine="851"/>
        <w:spacing w:after="0" w:line="273" w:lineRule="auto"/>
        <w:tabs>
          <w:tab w:leader="none" w:pos="1497" w:val="left"/>
        </w:tabs>
        <w:numPr>
          <w:ilvl w:val="3"/>
          <w:numId w:val="3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and after the Tranche A Closing Date, Borrower shall have the option, at any time, to prepay, in whole but not in part, the Term Loans advanced by Lender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Borrower provides written notice to Lender of its election (which shall be irrevocable unless Lender otherwise consents in writing) to prepay all of the Term Loans at least five (5) Business Days prior to such prepayment, in an amount equal to the sum of the unpaid principal amount prepaid and any accrued and unpaid interest on the principal amount prepaid and (B) such prepayment shall be accompanied by any amounts payable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(as applicable) and all other amounts payable or accrued and not yet paid under this Agreement and the other Loan Documents.</w:t>
      </w:r>
    </w:p>
    <w:p>
      <w:pPr>
        <w:spacing w:after="0" w:line="70" w:lineRule="exact"/>
        <w:rPr>
          <w:rFonts w:ascii="Arial" w:cs="Arial" w:eastAsia="Arial" w:hAnsi="Arial"/>
          <w:sz w:val="17"/>
          <w:szCs w:val="17"/>
          <w:color w:val="auto"/>
        </w:rPr>
      </w:pPr>
    </w:p>
    <w:p>
      <w:pPr>
        <w:ind w:left="436" w:right="40" w:firstLine="851"/>
        <w:spacing w:after="0" w:line="286" w:lineRule="auto"/>
        <w:tabs>
          <w:tab w:leader="none" w:pos="1547" w:val="left"/>
        </w:tabs>
        <w:numPr>
          <w:ilvl w:val="3"/>
          <w:numId w:val="368"/>
        </w:numPr>
        <w:rPr>
          <w:rFonts w:ascii="Arial" w:cs="Arial" w:eastAsia="Arial" w:hAnsi="Arial"/>
          <w:sz w:val="16"/>
          <w:szCs w:val="16"/>
          <w:color w:val="auto"/>
        </w:rPr>
      </w:pPr>
      <w:r>
        <w:rPr>
          <w:rFonts w:ascii="Arial" w:cs="Arial" w:eastAsia="Arial" w:hAnsi="Arial"/>
          <w:sz w:val="16"/>
          <w:szCs w:val="16"/>
          <w:color w:val="auto"/>
        </w:rPr>
        <w:t>Upon a Change of Control, Borrower shall promptly, and in any event no later than two (2) Business Days after the consummation of such Change of Control, notify Lender in writing of the occurrence of a Change of Control, which notice shall include reasonable detail as to the nature, timing and other circumstances of such Change of Control (such notice,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Borrower shall prepay all of the Term Loans in full, no later than ten (10) Business Days after delivery to Lender of the Change of Control Notice, in an amount equal to</w:t>
      </w:r>
    </w:p>
    <w:p>
      <w:pPr>
        <w:spacing w:after="0" w:line="1" w:lineRule="exact"/>
        <w:rPr>
          <w:rFonts w:ascii="Arial" w:cs="Arial" w:eastAsia="Arial" w:hAnsi="Arial"/>
          <w:sz w:val="16"/>
          <w:szCs w:val="16"/>
          <w:color w:val="auto"/>
        </w:rPr>
      </w:pPr>
    </w:p>
    <w:p>
      <w:pPr>
        <w:jc w:val="both"/>
        <w:ind w:left="436" w:firstLine="4"/>
        <w:spacing w:after="0" w:line="255" w:lineRule="auto"/>
        <w:tabs>
          <w:tab w:leader="none" w:pos="731"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the sum of all unpaid principal and any accrued and unpaid interest with respect to the Term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any amounts payable pursuant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(as applicable) and all other amounts payable or accrued and not yet paid under this Agreement and the other Loan Documents.</w:t>
      </w:r>
    </w:p>
    <w:p>
      <w:pPr>
        <w:spacing w:after="0" w:line="82" w:lineRule="exact"/>
        <w:rPr>
          <w:rFonts w:ascii="Arial" w:cs="Arial" w:eastAsia="Arial" w:hAnsi="Arial"/>
          <w:sz w:val="18"/>
          <w:szCs w:val="18"/>
          <w:color w:val="auto"/>
        </w:rPr>
      </w:pPr>
    </w:p>
    <w:p>
      <w:pPr>
        <w:ind w:left="-4" w:right="40" w:firstLine="885"/>
        <w:spacing w:after="0" w:line="284" w:lineRule="auto"/>
        <w:tabs>
          <w:tab w:leader="none" w:pos="1132" w:val="left"/>
        </w:tabs>
        <w:numPr>
          <w:ilvl w:val="2"/>
          <w:numId w:val="369"/>
        </w:numPr>
        <w:rPr>
          <w:rFonts w:ascii="Arial" w:cs="Arial" w:eastAsia="Arial" w:hAnsi="Arial"/>
          <w:sz w:val="16"/>
          <w:szCs w:val="16"/>
          <w:color w:val="auto"/>
        </w:rPr>
      </w:pPr>
      <w:r>
        <w:rPr>
          <w:rFonts w:ascii="Arial" w:cs="Arial" w:eastAsia="Arial" w:hAnsi="Arial"/>
          <w:sz w:val="16"/>
          <w:szCs w:val="16"/>
          <w:u w:val="single" w:color="auto"/>
          <w:color w:val="auto"/>
        </w:rPr>
        <w:t>Prepayment Application</w:t>
      </w:r>
      <w:r>
        <w:rPr>
          <w:rFonts w:ascii="Arial" w:cs="Arial" w:eastAsia="Arial" w:hAnsi="Arial"/>
          <w:sz w:val="16"/>
          <w:szCs w:val="16"/>
          <w:color w:val="auto"/>
        </w:rPr>
        <w:t xml:space="preserve">. Any prepayment by Borrower pursuant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shall be accompanied by, and any prepayment by Borrower pursuant to </w:t>
      </w:r>
      <w:r>
        <w:rPr>
          <w:rFonts w:ascii="Arial" w:cs="Arial" w:eastAsia="Arial" w:hAnsi="Arial"/>
          <w:sz w:val="16"/>
          <w:szCs w:val="16"/>
          <w:u w:val="single" w:color="auto"/>
          <w:color w:val="auto"/>
        </w:rPr>
        <w:t>Section 6.1(o)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shall include, accrued and unpaid interest on the principal amount to be prepaid to the date of payment in full. Any prepayment of the Term Loans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(together with the accompanying Makewhole Amount that is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if applicable, and the Prepayment Premium that is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 shall be paid to Lender for application to the Obligations in the following order: (i) first, to due and unpaid Lender Expenses, (ii) second, to accrued and unpaid interest at the Default Rate, (iii) third, to accrued and unpaid interest at the non-Default Rate, (iv) fourth, to the applicable Prepayment Premium;</w:t>
      </w:r>
    </w:p>
    <w:p>
      <w:pPr>
        <w:spacing w:after="0" w:line="4" w:lineRule="exact"/>
        <w:rPr>
          <w:rFonts w:ascii="Arial" w:cs="Arial" w:eastAsia="Arial" w:hAnsi="Arial"/>
          <w:sz w:val="16"/>
          <w:szCs w:val="16"/>
          <w:color w:val="auto"/>
        </w:rPr>
      </w:pPr>
    </w:p>
    <w:p>
      <w:pPr>
        <w:ind w:left="-4" w:right="100" w:firstLine="4"/>
        <w:spacing w:after="0" w:line="261" w:lineRule="auto"/>
        <w:tabs>
          <w:tab w:leader="none" w:pos="25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fifth, to the Makewhole Amount, if applicable, (vi) sixth, to the outstanding principal amount of the Term Loans and (vii) seventh, to any remaining amounts then due and payable hereunder.</w:t>
      </w:r>
    </w:p>
    <w:p>
      <w:pPr>
        <w:spacing w:after="0" w:line="75" w:lineRule="exact"/>
        <w:rPr>
          <w:rFonts w:ascii="Arial" w:cs="Arial" w:eastAsia="Arial" w:hAnsi="Arial"/>
          <w:sz w:val="18"/>
          <w:szCs w:val="18"/>
          <w:color w:val="auto"/>
        </w:rPr>
      </w:pPr>
    </w:p>
    <w:p>
      <w:pPr>
        <w:ind w:left="-4" w:right="100" w:firstLine="885"/>
        <w:spacing w:after="0" w:line="264" w:lineRule="auto"/>
        <w:tabs>
          <w:tab w:leader="none" w:pos="1122" w:val="left"/>
        </w:tabs>
        <w:numPr>
          <w:ilvl w:val="2"/>
          <w:numId w:val="370"/>
        </w:numPr>
        <w:rPr>
          <w:rFonts w:ascii="Arial" w:cs="Arial" w:eastAsia="Arial" w:hAnsi="Arial"/>
          <w:sz w:val="18"/>
          <w:szCs w:val="18"/>
          <w:color w:val="auto"/>
        </w:rPr>
      </w:pPr>
      <w:r>
        <w:rPr>
          <w:rFonts w:ascii="Arial" w:cs="Arial" w:eastAsia="Arial" w:hAnsi="Arial"/>
          <w:sz w:val="18"/>
          <w:szCs w:val="18"/>
          <w:u w:val="single" w:color="auto"/>
          <w:color w:val="auto"/>
        </w:rPr>
        <w:t>Makewhole Amount</w:t>
      </w:r>
      <w:r>
        <w:rPr>
          <w:rFonts w:ascii="Arial" w:cs="Arial" w:eastAsia="Arial" w:hAnsi="Arial"/>
          <w:sz w:val="18"/>
          <w:szCs w:val="18"/>
          <w:color w:val="auto"/>
        </w:rPr>
        <w:t>. Any prepayment of the Term Loans by Borrower occurring on or prior to the 30</w:t>
      </w:r>
      <w:r>
        <w:rPr>
          <w:rFonts w:ascii="Arial" w:cs="Arial" w:eastAsia="Arial" w:hAnsi="Arial"/>
          <w:sz w:val="15"/>
          <w:szCs w:val="15"/>
          <w:color w:val="auto"/>
        </w:rPr>
        <w:t>th</w:t>
      </w:r>
      <w:r>
        <w:rPr>
          <w:rFonts w:ascii="Arial" w:cs="Arial" w:eastAsia="Arial" w:hAnsi="Arial"/>
          <w:sz w:val="18"/>
          <w:szCs w:val="18"/>
          <w:color w:val="auto"/>
        </w:rPr>
        <w:t xml:space="preserve">-month anniversary of the Tranche A Closing Date (i)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or (ii) as a result of the acceleration of the Term Loan Maturity Date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shall, in any such case, be accompanied by payment of the Makewhole Amount.</w:t>
      </w:r>
    </w:p>
    <w:p>
      <w:pPr>
        <w:spacing w:after="0" w:line="73" w:lineRule="exact"/>
        <w:rPr>
          <w:rFonts w:ascii="Arial" w:cs="Arial" w:eastAsia="Arial" w:hAnsi="Arial"/>
          <w:sz w:val="18"/>
          <w:szCs w:val="18"/>
          <w:color w:val="auto"/>
        </w:rPr>
      </w:pPr>
    </w:p>
    <w:p>
      <w:pPr>
        <w:jc w:val="both"/>
        <w:ind w:left="-4" w:right="140" w:firstLine="885"/>
        <w:spacing w:after="0" w:line="264" w:lineRule="auto"/>
        <w:tabs>
          <w:tab w:leader="none" w:pos="1102" w:val="left"/>
        </w:tabs>
        <w:numPr>
          <w:ilvl w:val="2"/>
          <w:numId w:val="370"/>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xml:space="preserve">. Any prepayment of the Term Loans by Borrower (i)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or (ii) as a result of the acceleration of the Term Loan Maturity Date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shall, in any such case, be accompanied by payment of the applicable Prepayment Premium.</w:t>
      </w:r>
    </w:p>
    <w:p>
      <w:pPr>
        <w:spacing w:after="0" w:line="17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2.3. Payment of Interest on the Credit Extension.</w:t>
      </w:r>
    </w:p>
    <w:p>
      <w:pPr>
        <w:spacing w:after="0" w:line="121" w:lineRule="exact"/>
        <w:rPr>
          <w:sz w:val="20"/>
          <w:szCs w:val="20"/>
          <w:color w:val="auto"/>
        </w:rPr>
      </w:pPr>
    </w:p>
    <w:p>
      <w:pPr>
        <w:ind w:left="1116" w:hanging="235"/>
        <w:spacing w:after="0"/>
        <w:tabs>
          <w:tab w:leader="none" w:pos="1116"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Interest Rate; 360 Day Year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300" w:firstLine="851"/>
        <w:spacing w:after="0" w:line="264" w:lineRule="auto"/>
        <w:tabs>
          <w:tab w:leader="none" w:pos="149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the principal amount outstanding under the Term Loans shall accrue interest at a fixed per annum rate equal to eleven and one-half percent (11.50%) per annum (which rate,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shall be fixed for the duration of the Term Loans), which interest shall be payable quarterly in arrears in accordance with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36" w:right="60" w:firstLine="851"/>
        <w:spacing w:after="0" w:line="264" w:lineRule="auto"/>
        <w:tabs>
          <w:tab w:leader="none" w:pos="154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Interest shall accrue on each Term Loan commencing on, and including, the day on which such Term Loan is made, and shall accrue on each Term Loan, or any portion thereof, for the day on which such Term Loan or such portion is paid. Interest shall be computed on the basis of a year of 360 days and the actual number of days elapsed.</w:t>
      </w:r>
    </w:p>
    <w:p>
      <w:pPr>
        <w:spacing w:after="0" w:line="181" w:lineRule="exact"/>
        <w:rPr>
          <w:rFonts w:ascii="Arial" w:cs="Arial" w:eastAsia="Arial" w:hAnsi="Arial"/>
          <w:sz w:val="18"/>
          <w:szCs w:val="18"/>
          <w:color w:val="auto"/>
        </w:rPr>
      </w:pPr>
    </w:p>
    <w:p>
      <w:pPr>
        <w:ind w:left="-4" w:right="60" w:firstLine="885"/>
        <w:spacing w:after="0" w:line="276" w:lineRule="auto"/>
        <w:tabs>
          <w:tab w:leader="none" w:pos="1132"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(and without notice to Borrower or demand by Lender for payment thereof), the Obligations shall bear interest at a rate per annum which is five percentage points (5.00%)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and such interest shall be payable entirely in cash on demand of Lender. Payment or acceptance of the increased interest rate provided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is not a permitted alternative to timely payment and shall not constitute a waiver of any Event of Default or otherwise prejudice or limit any rights or remedies of Lender.</w:t>
      </w:r>
    </w:p>
    <w:p>
      <w:pPr>
        <w:spacing w:after="0" w:line="34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4" w:right="459" w:bottom="1440" w:gutter="0" w:footer="0" w:header="0"/>
        </w:sectPr>
      </w:pPr>
    </w:p>
    <w:bookmarkStart w:id="425" w:name="page426"/>
    <w:bookmarkEnd w:id="425"/>
    <w:p>
      <w:pPr>
        <w:ind w:firstLine="885"/>
        <w:spacing w:after="0" w:line="254" w:lineRule="auto"/>
        <w:tabs>
          <w:tab w:leader="none" w:pos="112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Except as otherwise expressly provided herein, all loan payments by Borrower hereunder shall be made to such bank account of Lender as Lender may designate by notice from time to time to Borrower on the date specified herein. Unless otherwise provided, interest is payable quarterly on the Payment Date of each calendar quarter. Payments of principal or interest received after 2:00 p.m. on such date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spacing w:after="0" w:line="188"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 xml:space="preserve">2.4. Expenses. </w:t>
      </w:r>
      <w:r>
        <w:rPr>
          <w:rFonts w:ascii="Arial" w:cs="Arial" w:eastAsia="Arial" w:hAnsi="Arial"/>
          <w:sz w:val="18"/>
          <w:szCs w:val="18"/>
          <w:color w:val="auto"/>
        </w:rPr>
        <w:t>Borrower shall pay to Lender, all Lender Expenses incurred through and after the Tranche A Closing Date, promptly after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of a written demand therefore setting forth in reasonable detail such Lender Expenses.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2.5. Requirements of Law; Increased Costs; Mitigation</w:t>
      </w:r>
      <w:r>
        <w:rPr>
          <w:rFonts w:ascii="Arial" w:cs="Arial" w:eastAsia="Arial" w:hAnsi="Arial"/>
          <w:sz w:val="18"/>
          <w:szCs w:val="18"/>
          <w:color w:val="auto"/>
        </w:rPr>
        <w:t>. In the event that any applicable Change in Law:</w:t>
      </w:r>
    </w:p>
    <w:p>
      <w:pPr>
        <w:spacing w:after="0" w:line="121" w:lineRule="exact"/>
        <w:rPr>
          <w:sz w:val="20"/>
          <w:szCs w:val="20"/>
          <w:color w:val="auto"/>
        </w:rPr>
      </w:pPr>
    </w:p>
    <w:p>
      <w:pPr>
        <w:ind w:right="340" w:firstLine="885"/>
        <w:spacing w:after="0" w:line="277" w:lineRule="auto"/>
        <w:tabs>
          <w:tab w:leader="none" w:pos="112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Does or shall subject Lender to any Indemnified Tax of any kind whatsoever with respect to this Agreement or any Term Loan made hereunder (except Excluded Taxes, Connection Income Taxes and Other Connection Taxes);</w:t>
      </w:r>
    </w:p>
    <w:p>
      <w:pPr>
        <w:spacing w:after="0" w:line="62"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Does or shall impose, modify or hold applicable any reserve, capital requirement, special deposit, compulsory loan or similar requirements against assets held by, or deposits or other liabilities in or for the account of, advances or loans by, or other credit extended by, or any other acquisition of funds by, Lender; or</w:t>
      </w:r>
    </w:p>
    <w:p>
      <w:pPr>
        <w:spacing w:after="0" w:line="73" w:lineRule="exact"/>
        <w:rPr>
          <w:rFonts w:ascii="Arial" w:cs="Arial" w:eastAsia="Arial" w:hAnsi="Arial"/>
          <w:sz w:val="18"/>
          <w:szCs w:val="18"/>
          <w:color w:val="auto"/>
        </w:rPr>
      </w:pPr>
    </w:p>
    <w:p>
      <w:pPr>
        <w:ind w:firstLine="885"/>
        <w:spacing w:after="0" w:line="312" w:lineRule="auto"/>
        <w:tabs>
          <w:tab w:leader="none" w:pos="112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Does or shall impose on Lender any other condition (other than Taxes); and the result of any of the foregoing is to increase the cost to Lender (as determined by Lender in good faith using calculation methods customary in the industry) of making, renewing or maintaining any Term Loan or to reduce any amount receivable in respect thereof or to reduce the rate of return on the capital of Lender or any Person controlling Lender,</w:t>
      </w:r>
    </w:p>
    <w:p>
      <w:pPr>
        <w:spacing w:after="0" w:line="147"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 xml:space="preserve">then, in any such case, Lender shall promptly notify Borrower in writing of the event by reason of which it has incurred additional costs or has reduced amounts receivable or rate of return, and submit to Borrower a certificate as to such additional costs or has reduced amounts receivable or rate of return containing the calculation thereof in reasonable detail, which shall be conclusive in the absence of manifest error. Lender shall first, prior to Borrower being required to take any action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take commercially reasonable actions to mitigate the additional costs or reduced amounts receivable or rate of return, including assigning all of its rights and delegating and transferring all of its obligations hereunder to an existing Affiliate of Lender that would not be subject to such, or would be subject to less, additional costs or reduced amounts receivable or rate of return, if any. Borrower shall promptly pay to Lender, subject to the terms of this </w:t>
      </w:r>
      <w:r>
        <w:rPr>
          <w:rFonts w:ascii="Arial" w:cs="Arial" w:eastAsia="Arial" w:hAnsi="Arial"/>
          <w:sz w:val="18"/>
          <w:szCs w:val="18"/>
          <w:u w:val="single" w:color="auto"/>
          <w:color w:val="auto"/>
        </w:rPr>
        <w:t>Section 2.5</w:t>
      </w:r>
      <w:r>
        <w:rPr>
          <w:rFonts w:ascii="Arial" w:cs="Arial" w:eastAsia="Arial" w:hAnsi="Arial"/>
          <w:sz w:val="18"/>
          <w:szCs w:val="18"/>
          <w:color w:val="auto"/>
        </w:rPr>
        <w:t>, any undisputed additional amounts necessary to compensate Lender for such additional cost or reduced amounts receivable or rate of return as reasonably determined by Lender with respect to this Agreement or the Term Loans made hereunder.</w:t>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provisions hereof shall survive the termination of this Agreement and payment of the outstanding Term Loans and all other Obligations. Failure or delay on the part of Lender to demand compensation for any increased costs or reduction in amounts received or receivable or reduction in return on capital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not constitute a waiver of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not be under any obligation to compensate Lender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with respect to increased costs or reductions with respect to any period prior to the date that is 180 days prior to the date of the delivery of the notice required pursuant to the foregoing provisions of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limitation shall not apply to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increased costs or reductions arising out of the retroactive application of any Change in Law within such 180-day period.</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426" w:name="page427"/>
    <w:bookmarkEnd w:id="42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 Taxes; Withholding, etc.</w:t>
      </w:r>
    </w:p>
    <w:p>
      <w:pPr>
        <w:spacing w:after="0" w:line="121" w:lineRule="exact"/>
        <w:rPr>
          <w:sz w:val="20"/>
          <w:szCs w:val="20"/>
          <w:color w:val="auto"/>
        </w:rPr>
      </w:pPr>
    </w:p>
    <w:p>
      <w:pPr>
        <w:ind w:right="100" w:firstLine="885"/>
        <w:spacing w:after="0" w:line="257" w:lineRule="auto"/>
        <w:tabs>
          <w:tab w:leader="none" w:pos="1126"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agrees to pay, and shall indemnify and hold Lender harmless from, Other Taxes, and within thirty (30) days after the date of paying such sum, Borrower shall furnish to Lender the original or a certified copy of a receipt evidencing payment thereof.</w:t>
      </w:r>
    </w:p>
    <w:p>
      <w:pPr>
        <w:spacing w:after="0" w:line="80" w:lineRule="exact"/>
        <w:rPr>
          <w:rFonts w:ascii="Arial" w:cs="Arial" w:eastAsia="Arial" w:hAnsi="Arial"/>
          <w:sz w:val="18"/>
          <w:szCs w:val="18"/>
          <w:color w:val="auto"/>
        </w:rPr>
      </w:pPr>
    </w:p>
    <w:p>
      <w:pPr>
        <w:ind w:right="20" w:firstLine="885"/>
        <w:spacing w:after="0" w:line="267" w:lineRule="auto"/>
        <w:tabs>
          <w:tab w:leader="none" w:pos="1136" w:val="left"/>
        </w:tabs>
        <w:numPr>
          <w:ilvl w:val="1"/>
          <w:numId w:val="374"/>
        </w:numPr>
        <w:rPr>
          <w:rFonts w:ascii="Arial" w:cs="Arial" w:eastAsia="Arial" w:hAnsi="Arial"/>
          <w:sz w:val="17"/>
          <w:szCs w:val="17"/>
          <w:color w:val="auto"/>
        </w:rPr>
      </w:pPr>
      <w:r>
        <w:rPr>
          <w:rFonts w:ascii="Arial" w:cs="Arial" w:eastAsia="Arial" w:hAnsi="Arial"/>
          <w:sz w:val="17"/>
          <w:szCs w:val="17"/>
          <w:color w:val="auto"/>
        </w:rPr>
        <w:t xml:space="preserve">If any Credit Party or any other Person is required by Requirements of Law to make any deduction or withholding on account of any Tax from any sum paid or payable by any Credit Party to Lender under any of the Loan Documents: (i) Borrower shall notify Lender in writing of any such requirement or any change in any such requirement promptly after Borrower becomes aware of it; (ii) Borrower shall make any such withholding or deduction; (iii) Borrower shall pay any such Tax before the date on which penalties attach thereto, such payment to be made (if the liability to pay is imposed on any Credit Party) for its own account or (if that liability is imposed on Lender, as the case may be) on behalf of and in the name of Lender in accordance with applicable Law; (iv)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Lender receives on the due date a net sum equal to what it would have received had no such deduction, withholding or payment of Indemnified Tax been required or made; and (v) within thirty (30) days after paying any sum from which it is required by Requirements of Law to make any deduction or withholding, and within thirty (30) days after the due date of payment of any Tax which it is required by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to pay, Borrower shall deliver to Lender evidence reasonably satisfactory to Lender of such deduction, withholding or payment and of the remittance thereof to the relevant taxing or other Governmental Authority. Borrower shall indemnify Lender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paid by Lender and any liability (including penalties, interest and reasonable expenses) arising therefrom or with respect thereto whether or not such Indemnified Taxes were correctly or legally imposed or asserted by the relevant Governmental Authority. Any indemnification payment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made within thirty (30) days from written demand therefor.</w:t>
      </w:r>
    </w:p>
    <w:p>
      <w:pPr>
        <w:spacing w:after="0" w:line="84" w:lineRule="exact"/>
        <w:rPr>
          <w:rFonts w:ascii="Arial" w:cs="Arial" w:eastAsia="Arial" w:hAnsi="Arial"/>
          <w:sz w:val="17"/>
          <w:szCs w:val="17"/>
          <w:color w:val="auto"/>
        </w:rPr>
      </w:pPr>
    </w:p>
    <w:p>
      <w:pPr>
        <w:ind w:left="1140" w:hanging="255"/>
        <w:spacing w:after="0"/>
        <w:tabs>
          <w:tab w:leader="none" w:pos="1140" w:val="left"/>
        </w:tabs>
        <w:numPr>
          <w:ilvl w:val="1"/>
          <w:numId w:val="374"/>
        </w:numPr>
        <w:rPr>
          <w:rFonts w:ascii="Arial" w:cs="Arial" w:eastAsia="Arial" w:hAnsi="Arial"/>
          <w:sz w:val="17"/>
          <w:szCs w:val="17"/>
          <w:color w:val="auto"/>
        </w:rPr>
      </w:pPr>
      <w:r>
        <w:rPr>
          <w:rFonts w:ascii="Arial" w:cs="Arial" w:eastAsia="Arial" w:hAnsi="Arial"/>
          <w:sz w:val="17"/>
          <w:szCs w:val="17"/>
          <w:color w:val="auto"/>
        </w:rPr>
        <w:t>If Lender is organized under the laws of the United States of America or any state thereof, Lender shall deliver to Borrower two</w:t>
      </w:r>
    </w:p>
    <w:p>
      <w:pPr>
        <w:spacing w:after="0" w:line="34" w:lineRule="exact"/>
        <w:rPr>
          <w:rFonts w:ascii="Arial" w:cs="Arial" w:eastAsia="Arial" w:hAnsi="Arial"/>
          <w:sz w:val="17"/>
          <w:szCs w:val="17"/>
          <w:color w:val="auto"/>
        </w:rPr>
      </w:pPr>
    </w:p>
    <w:p>
      <w:pPr>
        <w:ind w:firstLine="4"/>
        <w:spacing w:after="0" w:line="284" w:lineRule="auto"/>
        <w:tabs>
          <w:tab w:leader="none" w:pos="25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copies of Internal Revenue Service Form W-9. If Lender is not a “United States person” (as such term is defined in Section 7701(a)(30) of the IRC) for U.S. federal income Tax purposes, Lender shall deliver, and shall cause each applicable assignee thereof to deliver, to Borrower, on or prior to, the Tranche A Closing Date and, the date on which a Lender Transfer occurs, as applicable, and at such other times as may be necessary in the determination of Borrower (in the reasonable exercise of its discretion), two (2) properly completed and duly executed original copies of Internal Revenue Service Form W-8BEN, W-8BEN-E, W-8ECI or W-8IMY (along with Form W-9, W-8BEN-E or W-8BEN for each beneficial owner that will receive, directly or indirectly, a payment of principal, interest, fees or other amounts payable under any of the Loan Documents), or any successor forms, and such other documentation required under the IRC and reasonably requested by Borrower to establish the appropriate amount of any deduction or withholding of United States federal Tax, if any, with respect to any payments to such Lender of principal, interest, fees or other amounts payable under any of the Loan Documents, including any such additional documentation reasonably requested by Borrower as may be necessary for Borrower to comply with its obligations under FATCA. If Lender is required to deliver any forms, statements, certificates or other evidence with respect to United States federal Tax or backup withholding matters pursuant to this </w:t>
      </w:r>
      <w:r>
        <w:rPr>
          <w:rFonts w:ascii="Arial" w:cs="Arial" w:eastAsia="Arial" w:hAnsi="Arial"/>
          <w:sz w:val="16"/>
          <w:szCs w:val="16"/>
          <w:u w:val="single" w:color="auto"/>
          <w:color w:val="auto"/>
        </w:rPr>
        <w:t>Section 2.6(c)</w:t>
      </w:r>
      <w:r>
        <w:rPr>
          <w:rFonts w:ascii="Arial" w:cs="Arial" w:eastAsia="Arial" w:hAnsi="Arial"/>
          <w:sz w:val="16"/>
          <w:szCs w:val="16"/>
          <w:color w:val="auto"/>
        </w:rPr>
        <w:t>, Lender hereby agrees, from time to time after the initial delivery by Lender of such forms, certificates or other evidence, whenever a lapse in time, change in circumstances or law, or additional guidance by a Governmental Authority renders such forms, certificates or other evidence obsolete or inaccurate in any material respect, to promptly deliver to Borrowers two (2) new original copies of Internal Revenue Service Form W-8BEN, W-8BEN-E W-8ECI, W-9 or W-8IMY (along with Internal Revenue Service Forms W-9, W-8BEN-E or W-8BEN for each beneficial owner for whom it expects to receive a payment), or any successor form,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27" w:name="page428"/>
    <w:bookmarkEnd w:id="42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may be, properly completed and duly executed by Lender, and such other documentation required under the IRC and reasonably requested by Borrower to confirm or establish the extent to which Lender is or is not subject to deduction, backup withholding or withholding of United States federal Tax with respect to payments to Lender under the Loan Documents, or notify Borrowers of its inability under Requirements of Law to deliver any such forms, certificates or other evidence. If Lender is claiming an exemption from United States withholding Tax pursuant to the “portfolio interest exemption”, it shall provide Borrower with the applicable Internal Revenue Service Form W-8 and a certificate as reasonably requested by Borrower certifying Lender’s entitlement thereto. Borrower shall not be required to pay any additional amount to Lender under </w:t>
      </w:r>
      <w:r>
        <w:rPr>
          <w:rFonts w:ascii="Arial" w:cs="Arial" w:eastAsia="Arial" w:hAnsi="Arial"/>
          <w:sz w:val="17"/>
          <w:szCs w:val="17"/>
          <w:u w:val="single" w:color="auto"/>
          <w:color w:val="auto"/>
        </w:rPr>
        <w:t>Section 2.6(b)(iii)</w:t>
      </w:r>
      <w:r>
        <w:rPr>
          <w:rFonts w:ascii="Arial" w:cs="Arial" w:eastAsia="Arial" w:hAnsi="Arial"/>
          <w:sz w:val="17"/>
          <w:szCs w:val="17"/>
          <w:color w:val="auto"/>
        </w:rPr>
        <w:t xml:space="preserve"> if Lender shall have failed (1) to timely deliver to Borrower the forms, certificates or other evidence referred to in this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(each of which shall be complete, accurate and duly executed), or (2) to notify Borrowers of its inability to deliver any such forms, certificates or other evidence,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Lender shall have satisfied the requirements of the first sentence of this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on the Tranche A Closing Date (or on the date such Lender initially acquires an interest in a Term Loan), nothing in this last sentence of this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shall relieve Borrower of its obligations to pay any additional amounts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in the event that, solely as a result of any change in any Requirements of Law or any change in the interpretation, administration or application thereof by any applicable Governmental Authority, Lender is no longer legally entitled to deliver forms, certificates or other evidence at a subsequent date establishing the fact that Lender is not subject to withholding as described herein and in the forms, certificates or other evidence initially provided by Lender.</w:t>
      </w:r>
    </w:p>
    <w:p>
      <w:pPr>
        <w:spacing w:after="0" w:line="77" w:lineRule="exact"/>
        <w:rPr>
          <w:sz w:val="20"/>
          <w:szCs w:val="20"/>
          <w:color w:val="auto"/>
        </w:rPr>
      </w:pPr>
    </w:p>
    <w:p>
      <w:pPr>
        <w:ind w:right="40" w:firstLine="885"/>
        <w:spacing w:after="0" w:line="286" w:lineRule="auto"/>
        <w:tabs>
          <w:tab w:leader="none" w:pos="1136"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If any party hereto determines that it has received a refund of any Taxes or a credit or offset for any Taxes as to which it has been indemnified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it shall pay to the indemnifying party an amount equal to such refund, credit or offset (but only to the extent of indemnity payments made, or additional amounts paid,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the event that such indemnified party is required to repay, credit or offset such refund to such Governmental Authority and the requirement to repay such refund to such Governmental Authority is not due to the indemnified party’s failure to timely provide complete and accurate Internal Revenue Service forms and other documentation required pursuant to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if the payment of such amount would place the indemnified party in a less favorable net after-Tax position than the indemnified party would have been in if the indemnification payments or additional amounts giving rise to such refund had never been paid.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71"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b w:val="1"/>
          <w:bCs w:val="1"/>
          <w:color w:val="auto"/>
        </w:rPr>
        <w:t>2.7. Additional Consideration</w:t>
      </w:r>
      <w:r>
        <w:rPr>
          <w:rFonts w:ascii="Arial" w:cs="Arial" w:eastAsia="Arial" w:hAnsi="Arial"/>
          <w:sz w:val="18"/>
          <w:szCs w:val="18"/>
          <w:color w:val="auto"/>
        </w:rPr>
        <w:t>. As additional consideration for the making of the Term Loans, Borrower shall pay to Lender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w:t>
      </w:r>
      <w:r>
        <w:rPr>
          <w:rFonts w:ascii="Arial" w:cs="Arial" w:eastAsia="Arial" w:hAnsi="Arial"/>
          <w:sz w:val="18"/>
          <w:szCs w:val="18"/>
          <w:b w:val="1"/>
          <w:bCs w:val="1"/>
          <w:color w:val="auto"/>
        </w:rPr>
        <w:t>Additional Consideration</w:t>
      </w:r>
      <w:r>
        <w:rPr>
          <w:rFonts w:ascii="Arial" w:cs="Arial" w:eastAsia="Arial" w:hAnsi="Arial"/>
          <w:sz w:val="18"/>
          <w:szCs w:val="18"/>
          <w:color w:val="auto"/>
        </w:rPr>
        <w:t>”) as follows:</w:t>
      </w:r>
    </w:p>
    <w:p>
      <w:pPr>
        <w:spacing w:after="0" w:line="58" w:lineRule="exact"/>
        <w:rPr>
          <w:sz w:val="20"/>
          <w:szCs w:val="20"/>
          <w:color w:val="auto"/>
        </w:rPr>
      </w:pPr>
    </w:p>
    <w:p>
      <w:pPr>
        <w:ind w:left="1140" w:hanging="255"/>
        <w:spacing w:after="0"/>
        <w:tabs>
          <w:tab w:leader="none" w:pos="11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On the Tranche A Closing Date, Borrower shall pay to Lender an amount equal to the product of the Tranche A Loan Amount and 0.015.</w:t>
      </w:r>
    </w:p>
    <w:p>
      <w:pPr>
        <w:spacing w:after="0" w:line="140" w:lineRule="exact"/>
        <w:rPr>
          <w:rFonts w:ascii="Arial" w:cs="Arial" w:eastAsia="Arial" w:hAnsi="Arial"/>
          <w:sz w:val="16"/>
          <w:szCs w:val="16"/>
          <w:color w:val="auto"/>
        </w:rPr>
      </w:pPr>
    </w:p>
    <w:p>
      <w:pPr>
        <w:ind w:right="520" w:firstLine="885"/>
        <w:spacing w:after="0" w:line="264" w:lineRule="auto"/>
        <w:tabs>
          <w:tab w:leader="none" w:pos="1136"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In the event the Tranche B Loan is made on the Tranche B Closing Date and in addition to the Additional Consideration payable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on the Tranche B Closing Date, Borrower shall pay to Lender an amount equal to the product of the Tranche B Loan Amount and 0.015.</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The obligations of Borrower under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to pay Additional Consideration shall survive any and all prepayments by Borrower.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2.8. Evidence of Debt; Register; Lender’s Books and Records; Term Loan Note</w:t>
      </w:r>
      <w:r>
        <w:rPr>
          <w:rFonts w:ascii="Arial" w:cs="Arial" w:eastAsia="Arial" w:hAnsi="Arial"/>
          <w:sz w:val="18"/>
          <w:szCs w:val="18"/>
          <w:color w:val="auto"/>
        </w:rPr>
        <w:t>.</w:t>
      </w:r>
    </w:p>
    <w:p>
      <w:pPr>
        <w:spacing w:after="0" w:line="121" w:lineRule="exact"/>
        <w:rPr>
          <w:sz w:val="20"/>
          <w:szCs w:val="20"/>
          <w:color w:val="auto"/>
        </w:rPr>
      </w:pPr>
    </w:p>
    <w:p>
      <w:pPr>
        <w:ind w:right="100" w:firstLine="885"/>
        <w:spacing w:after="0" w:line="312" w:lineRule="auto"/>
        <w:tabs>
          <w:tab w:leader="none" w:pos="1126"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Lender’s Evidence of Debt; Register</w:t>
      </w:r>
      <w:r>
        <w:rPr>
          <w:rFonts w:ascii="Arial" w:cs="Arial" w:eastAsia="Arial" w:hAnsi="Arial"/>
          <w:sz w:val="16"/>
          <w:szCs w:val="16"/>
          <w:color w:val="auto"/>
        </w:rPr>
        <w:t>. Notwithstanding anything herein to the contrary, Borrower hereby designates Lender to serve as Borrower’s agent solely for purposes of maintaining at all times at Lender’s principal office a “book entry system” as described in IRC Treasury Regulation Section 5f.103-1(c)(1)(ii) that identifies each beneficial owner that is entitled to a payment of principal and stated interest on the Term Loan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428" w:name="page429"/>
    <w:bookmarkEnd w:id="42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so that the Term Loan is at all times in “registered form” as described in IRC Treasury Regulations Section 5f.103-1(c). Lender is hereby authorized by Borrower to record in the manual or data processing records of Lender, the date and amount of each advance and the amount of the outstanding Obligations and the date and amount of each repayment of principal and each payment of interest or otherwise on account of the Obligations. Absent manifest error, such Lender records shall be conclusive as to the outstanding principal amount of the total outstanding Obligations, and the payment of interest, principal and other sums due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Lender to make any such record entry with respect to any payment shall not limit or otherwise affect the obligations of Borrower under the Loan Documents. The Term Loan: (i) shall,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be also registered as to both principal and any stated interest with Borrower or its agent, and (ii) may be transferred by Lender only by</w:t>
      </w:r>
    </w:p>
    <w:p>
      <w:pPr>
        <w:spacing w:after="0" w:line="2" w:lineRule="exact"/>
        <w:rPr>
          <w:sz w:val="20"/>
          <w:szCs w:val="20"/>
          <w:color w:val="auto"/>
        </w:rPr>
      </w:pPr>
    </w:p>
    <w:p>
      <w:pPr>
        <w:jc w:val="both"/>
        <w:ind w:right="60" w:firstLine="4"/>
        <w:spacing w:after="0" w:line="273" w:lineRule="auto"/>
        <w:tabs>
          <w:tab w:leader="none" w:pos="25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surrender of the old instrument and either (x) the reissuance by Borrower of the old instrument to the new Lender or (y) the issuance by Borrower of a new instrument to the new Lender, or (2) confirmation with Borrower that the right to the principal and stated interest on the Term Loan is maintained through the book entry system kept by Lender. Lender represents that any interest that may become due and owing under this Agreement qualifies for the portfolio interest exception from withholding on interest payments pursuant to IRC Sections 871(h) and 881(c).</w:t>
      </w:r>
    </w:p>
    <w:p>
      <w:pPr>
        <w:spacing w:after="0" w:line="68" w:lineRule="exact"/>
        <w:rPr>
          <w:rFonts w:ascii="Arial" w:cs="Arial" w:eastAsia="Arial" w:hAnsi="Arial"/>
          <w:sz w:val="17"/>
          <w:szCs w:val="17"/>
          <w:color w:val="auto"/>
        </w:rPr>
      </w:pPr>
    </w:p>
    <w:p>
      <w:pPr>
        <w:ind w:right="140" w:firstLine="885"/>
        <w:spacing w:after="0" w:line="264" w:lineRule="auto"/>
        <w:tabs>
          <w:tab w:leader="none" w:pos="1136"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Term Loan Notes</w:t>
      </w:r>
      <w:r>
        <w:rPr>
          <w:rFonts w:ascii="Arial" w:cs="Arial" w:eastAsia="Arial" w:hAnsi="Arial"/>
          <w:sz w:val="18"/>
          <w:szCs w:val="18"/>
          <w:color w:val="auto"/>
        </w:rPr>
        <w:t xml:space="preserve">. Borrower shall execute and deliver to Lender (or, if applicable, to any Person who is an assignee of Lender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to evidence the Term Loans (i) on the Tranche A Closing Date, the Tranche A Note, and (ii) on the Tranche B Closing Date (if any), the Tranche B Note.</w:t>
      </w:r>
    </w:p>
    <w:p>
      <w:pPr>
        <w:spacing w:after="0" w:line="285" w:lineRule="exact"/>
        <w:rPr>
          <w:sz w:val="20"/>
          <w:szCs w:val="20"/>
          <w:color w:val="auto"/>
        </w:rPr>
      </w:pPr>
    </w:p>
    <w:p>
      <w:pPr>
        <w:ind w:left="620" w:hanging="176"/>
        <w:spacing w:after="0"/>
        <w:tabs>
          <w:tab w:leader="none" w:pos="62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3.1. Conditions Precedent to Tranche A Loan</w:t>
      </w:r>
      <w:r>
        <w:rPr>
          <w:rFonts w:ascii="Arial" w:cs="Arial" w:eastAsia="Arial" w:hAnsi="Arial"/>
          <w:sz w:val="18"/>
          <w:szCs w:val="18"/>
          <w:color w:val="auto"/>
        </w:rPr>
        <w:t>. Lender’s obligation to advance the Tranche A Loan is subject to the satisfaction (or waiver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58" w:lineRule="exact"/>
        <w:rPr>
          <w:sz w:val="20"/>
          <w:szCs w:val="20"/>
          <w:color w:val="auto"/>
        </w:rPr>
      </w:pPr>
    </w:p>
    <w:p>
      <w:pPr>
        <w:ind w:firstLine="885"/>
        <w:spacing w:after="0" w:line="257" w:lineRule="auto"/>
        <w:tabs>
          <w:tab w:leader="none" w:pos="1126" w:val="left"/>
        </w:tabs>
        <w:numPr>
          <w:ilvl w:val="1"/>
          <w:numId w:val="381"/>
        </w:numPr>
        <w:rPr>
          <w:rFonts w:ascii="Arial" w:cs="Arial" w:eastAsia="Arial" w:hAnsi="Arial"/>
          <w:sz w:val="18"/>
          <w:szCs w:val="18"/>
          <w:color w:val="auto"/>
        </w:rPr>
      </w:pPr>
      <w:r>
        <w:rPr>
          <w:rFonts w:ascii="Arial" w:cs="Arial" w:eastAsia="Arial" w:hAnsi="Arial"/>
          <w:sz w:val="18"/>
          <w:szCs w:val="18"/>
          <w:color w:val="auto"/>
        </w:rPr>
        <w:t xml:space="preserve">copies of the Loan Documents (other than Loan Documents described in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of the Disclosure Letter) executed and delivered by each applicable Credit Party (or other party thereto), each schedule to such Loan Documents (including the Disclosure Letter), such schedules to be in form and substance reasonably satisfactory to Lender, and the Disclosure Letter, if and to the extent any update thereto is necessary between the Effective Date and the Tranche A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may the Disclosure Letter be updated in a manner that would reflect or evidence a Default or Event of Default (with or without such update);</w:t>
      </w:r>
    </w:p>
    <w:p>
      <w:pPr>
        <w:spacing w:after="0" w:line="80" w:lineRule="exact"/>
        <w:rPr>
          <w:rFonts w:ascii="Arial" w:cs="Arial" w:eastAsia="Arial" w:hAnsi="Arial"/>
          <w:sz w:val="18"/>
          <w:szCs w:val="18"/>
          <w:color w:val="auto"/>
        </w:rPr>
      </w:pPr>
    </w:p>
    <w:p>
      <w:pPr>
        <w:ind w:right="20" w:firstLine="885"/>
        <w:spacing w:after="0" w:line="264" w:lineRule="auto"/>
        <w:tabs>
          <w:tab w:leader="none" w:pos="1136"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 true, correct and complete copies of the Operating Documents of each of the Credit Parties and (ii) a Secretary’s Certificate, dated the Tranche A Closing Date, certifying that the foregoing copies are true, correct and complete (such Secretary’s Certificate to be in form and substance reasonably satisfactory to Lender);</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Perfection Certificate for Borrower and its Subsidiaries, in form and substance reasonably satisfactory to Lender;</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 xml:space="preserve">the organizational structure of Borrower and each of its Subsidiaries shall be as set forth on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Disclosure Letter and</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the capital structure of Borrower and each of its Subsidiaries as of October 11, 2017 shall be as set forth on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Disclosure Letter;</w:t>
      </w:r>
    </w:p>
    <w:p>
      <w:pPr>
        <w:spacing w:after="0" w:line="125" w:lineRule="exact"/>
        <w:rPr>
          <w:rFonts w:ascii="Arial" w:cs="Arial" w:eastAsia="Arial" w:hAnsi="Arial"/>
          <w:sz w:val="16"/>
          <w:szCs w:val="16"/>
          <w:color w:val="auto"/>
        </w:rPr>
      </w:pPr>
    </w:p>
    <w:p>
      <w:pPr>
        <w:ind w:right="100" w:firstLine="885"/>
        <w:spacing w:after="0" w:line="259" w:lineRule="auto"/>
        <w:tabs>
          <w:tab w:leader="none" w:pos="112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good standing certificate for each Credit Party (or equivalent certification if available in the case of a Credit Party that is incorporated or organized under the laws of a jurisdiction other than the United States), certified by the Secretary of State (or the equivalent thereof) of the jurisdiction of incorporation or organization of such Credit Party (where such certification is available) as of a date no earlier than thirty (30) days prior to the Tranche A Closing Date;</w:t>
      </w:r>
    </w:p>
    <w:p>
      <w:pPr>
        <w:spacing w:after="0" w:line="78" w:lineRule="exact"/>
        <w:rPr>
          <w:rFonts w:ascii="Arial" w:cs="Arial" w:eastAsia="Arial" w:hAnsi="Arial"/>
          <w:sz w:val="18"/>
          <w:szCs w:val="18"/>
          <w:color w:val="auto"/>
        </w:rPr>
      </w:pPr>
    </w:p>
    <w:p>
      <w:pPr>
        <w:ind w:right="220" w:firstLine="885"/>
        <w:spacing w:after="0" w:line="277" w:lineRule="auto"/>
        <w:tabs>
          <w:tab w:leader="none" w:pos="110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Secretary’s Certificate with completed Borrowing Resolutions with respect to the Loan Documents and the Tranche A Loan for each Credit Party in form and substance reasonably satisfactory to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29" w:name="page430"/>
    <w:bookmarkEnd w:id="429"/>
    <w:p>
      <w:pPr>
        <w:ind w:right="60" w:firstLine="885"/>
        <w:spacing w:after="0" w:line="276" w:lineRule="auto"/>
        <w:tabs>
          <w:tab w:leader="none" w:pos="1136" w:val="left"/>
        </w:tabs>
        <w:numPr>
          <w:ilvl w:val="0"/>
          <w:numId w:val="3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certified reports from an independent search service reasonably satisfactory to Lender, dated as of a date no earlier than thirty (30) days prior to the Tranche A Closing Date, listing any judgment or tax lien filing or Code (or foreign equivalent) financing statement that, in each case, names any Credit Party as debtor in any jurisdiction, the results of which shall be reasonably satisfactory to Lender, accompanied by written evidence (including any Code (or foreign equivalent) termination statements) that the Liens indicated in any such financing statements or other documents either constitute Permitted Liens or have been or, in connection with the Tranche A Loan, will be terminated or released;</w:t>
      </w:r>
    </w:p>
    <w:p>
      <w:pPr>
        <w:spacing w:after="0" w:line="64" w:lineRule="exact"/>
        <w:rPr>
          <w:rFonts w:ascii="Arial" w:cs="Arial" w:eastAsia="Arial" w:hAnsi="Arial"/>
          <w:sz w:val="17"/>
          <w:szCs w:val="17"/>
          <w:color w:val="auto"/>
        </w:rPr>
      </w:pPr>
    </w:p>
    <w:p>
      <w:pPr>
        <w:ind w:right="80" w:firstLine="885"/>
        <w:spacing w:after="0" w:line="293" w:lineRule="auto"/>
        <w:tabs>
          <w:tab w:leader="none" w:pos="113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each Credit Party shall have obtained all Governmental Approvals and all consents of other Persons, in each case that are necessary or advisable in connection with the transactions contemplated by the Loan Documents and each of the foregoing shall be in full force and effect and in form and substance reasonably satisfactory to Lender. All applicable waiting periods shall have expired without any action being taken or threatened in writing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56" w:lineRule="exact"/>
        <w:rPr>
          <w:rFonts w:ascii="Arial" w:cs="Arial" w:eastAsia="Arial" w:hAnsi="Arial"/>
          <w:sz w:val="16"/>
          <w:szCs w:val="16"/>
          <w:color w:val="auto"/>
        </w:rPr>
      </w:pPr>
    </w:p>
    <w:p>
      <w:pPr>
        <w:ind w:left="1100" w:hanging="215"/>
        <w:spacing w:after="0"/>
        <w:tabs>
          <w:tab w:leader="none" w:pos="11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 opinion of Cooley LLP, in form and substance reasonably satisfactory to Lender;</w:t>
      </w:r>
    </w:p>
    <w:p>
      <w:pPr>
        <w:spacing w:after="0" w:line="117" w:lineRule="exact"/>
        <w:rPr>
          <w:rFonts w:ascii="Arial" w:cs="Arial" w:eastAsia="Arial" w:hAnsi="Arial"/>
          <w:sz w:val="18"/>
          <w:szCs w:val="18"/>
          <w:color w:val="auto"/>
        </w:rPr>
      </w:pPr>
    </w:p>
    <w:p>
      <w:pPr>
        <w:ind w:right="620" w:firstLine="885"/>
        <w:spacing w:after="0" w:line="264" w:lineRule="auto"/>
        <w:tabs>
          <w:tab w:leader="none" w:pos="109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evidence that the insurance policies required by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are in full force and effect, together with appropriate evidence showing loss payable or additional insured clauses or endorsements in favor of Lender (such evidence to be in form and substance reasonably satisfactory to Lender);</w:t>
      </w:r>
    </w:p>
    <w:p>
      <w:pPr>
        <w:spacing w:after="0" w:line="73" w:lineRule="exact"/>
        <w:rPr>
          <w:rFonts w:ascii="Arial" w:cs="Arial" w:eastAsia="Arial" w:hAnsi="Arial"/>
          <w:sz w:val="18"/>
          <w:szCs w:val="18"/>
          <w:color w:val="auto"/>
        </w:rPr>
      </w:pPr>
    </w:p>
    <w:p>
      <w:pPr>
        <w:ind w:firstLine="885"/>
        <w:spacing w:after="0" w:line="342" w:lineRule="auto"/>
        <w:tabs>
          <w:tab w:leader="none" w:pos="113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Arial" w:cs="Arial" w:eastAsia="Arial" w:hAnsi="Arial"/>
          <w:sz w:val="16"/>
          <w:szCs w:val="16"/>
          <w:b w:val="1"/>
          <w:bCs w:val="1"/>
          <w:color w:val="auto"/>
        </w:rPr>
        <w:t>Patriot Act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885"/>
        <w:spacing w:after="0" w:line="255" w:lineRule="auto"/>
        <w:tabs>
          <w:tab w:leader="none" w:pos="109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 a payoff letter in respect of the Indebtedness outstanding under the Existing Oxford Loan Agreement from Oxford Finance LLC, as collateral agent thereunder, and evidence of repayment in full of such Indebtedness (including any and all expenses incurred in connection therewith) pursuant thereto prior to or concurrent with the funding of the Tranche A Loan on the Tranche A Closing Date; and (ii) evidence that (A) the Liens securing any Indebtedness, guaranty or other obligations of Borrower or its Subsidiaries to Oxford Finance LLC under the Existing Oxford Loan Agreement or any lender party thereto have been terminated and (B) the documents or filings evidencing the perfection of the foregoing Liens, including any financing statements or control agreements, have or will, concurrently with the funding of the Tranche A Loan on the Tranche A Closing Date, be terminated;</w:t>
      </w:r>
    </w:p>
    <w:p>
      <w:pPr>
        <w:spacing w:after="0" w:line="81" w:lineRule="exact"/>
        <w:rPr>
          <w:rFonts w:ascii="Arial" w:cs="Arial" w:eastAsia="Arial" w:hAnsi="Arial"/>
          <w:sz w:val="18"/>
          <w:szCs w:val="18"/>
          <w:color w:val="auto"/>
        </w:rPr>
      </w:pPr>
    </w:p>
    <w:p>
      <w:pPr>
        <w:ind w:right="100" w:firstLine="885"/>
        <w:spacing w:after="0" w:line="257" w:lineRule="auto"/>
        <w:tabs>
          <w:tab w:leader="none" w:pos="118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 statement of Net Sales of Borrower and its Subsidiaries for the quarterly period ended September 30, 2017; (ii) audited consolidated financial statements for Borrower and its Subsidiaries for the period ended December 31, 2016; and (iii) for the interim period January 1, 2017 to the Tranche A Closing Date, internally prepared, unaudited consolidated financial statements for Borrower and its Subsidiaries for each quarterly period completed prior to the Tranche A Closing Date and for each monthly period completed thirty (30) days prior to the Tranche A Closing Date, each in form and substance satisfactory to Lender;</w:t>
      </w:r>
    </w:p>
    <w:p>
      <w:pPr>
        <w:spacing w:after="0" w:line="80" w:lineRule="exact"/>
        <w:rPr>
          <w:rFonts w:ascii="Arial" w:cs="Arial" w:eastAsia="Arial" w:hAnsi="Arial"/>
          <w:sz w:val="18"/>
          <w:szCs w:val="18"/>
          <w:color w:val="auto"/>
        </w:rPr>
      </w:pPr>
    </w:p>
    <w:p>
      <w:pPr>
        <w:ind w:right="100" w:firstLine="885"/>
        <w:spacing w:after="0" w:line="259" w:lineRule="auto"/>
        <w:tabs>
          <w:tab w:leader="none" w:pos="11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evidence satisfactory to Lender in the form of a certificate of a Responsible Officer of Borrower that, as of the Tranche A Closing Date, after giving effect to the transactions occurring on such date, including the incurrence of Indebtedness under the Term Loan Note that Borrower is Solvent, that Borrower and its Subsidiaries that are Credit Parties, on a consolidated basis, are Solvent, and that Borrower and its Subsidiaries, on a consolidated basis, are Solvent;</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payment of Lender Expenses as specified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payment of the Additional Consideration as specified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hereof;</w:t>
      </w:r>
    </w:p>
    <w:p>
      <w:pPr>
        <w:spacing w:after="0" w:line="140" w:lineRule="exact"/>
        <w:rPr>
          <w:rFonts w:ascii="Arial" w:cs="Arial" w:eastAsia="Arial" w:hAnsi="Arial"/>
          <w:sz w:val="16"/>
          <w:szCs w:val="16"/>
          <w:color w:val="auto"/>
        </w:rPr>
      </w:pPr>
    </w:p>
    <w:p>
      <w:pPr>
        <w:ind w:right="80" w:firstLine="885"/>
        <w:spacing w:after="0" w:line="257" w:lineRule="auto"/>
        <w:tabs>
          <w:tab w:leader="none" w:pos="11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a certificate, dated the Tranche A Closing Date and signed by a Responsible Officer of Borrower, confirming that there are no litigation, public or private, or administrative proceedings, governmental investigation or other legal or regulatory developments pending or, to the Knowledge of each Credit Party or any of its Subsidiaries, threatened in writing, that, individually or in the aggregate, could reasonably be expected to result in a Material Adverse Change 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(such certificate to be in form and substance reasonably satisfactory to Lender);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30" w:name="page431"/>
    <w:bookmarkEnd w:id="430"/>
    <w:p>
      <w:pPr>
        <w:ind w:right="600" w:firstLine="885"/>
        <w:spacing w:after="0" w:line="342" w:lineRule="auto"/>
        <w:tabs>
          <w:tab w:leader="none" w:pos="1136"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dated the Tranche A Closing Date and signed by a Responsible Officer of Borrower, confirming satisfaction of the conditions precedent set forth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(such certificate to be in form and substance reasonably satisfactory to Lender).</w:t>
      </w:r>
    </w:p>
    <w:p>
      <w:pPr>
        <w:spacing w:after="0" w:line="120"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3.2. Conditions Precedent to Tranche B Loan</w:t>
      </w:r>
      <w:r>
        <w:rPr>
          <w:rFonts w:ascii="Arial" w:cs="Arial" w:eastAsia="Arial" w:hAnsi="Arial"/>
          <w:sz w:val="18"/>
          <w:szCs w:val="18"/>
          <w:color w:val="auto"/>
        </w:rPr>
        <w:t>. Lender’s obligation to advance the Tranche B Loan is subject to the satisfaction (or waiver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conditions:</w:t>
      </w:r>
    </w:p>
    <w:p>
      <w:pPr>
        <w:spacing w:after="0" w:line="58" w:lineRule="exact"/>
        <w:rPr>
          <w:sz w:val="20"/>
          <w:szCs w:val="20"/>
          <w:color w:val="auto"/>
        </w:rPr>
      </w:pPr>
    </w:p>
    <w:p>
      <w:pPr>
        <w:ind w:right="100" w:firstLine="885"/>
        <w:spacing w:after="0" w:line="257" w:lineRule="auto"/>
        <w:tabs>
          <w:tab w:leader="none" w:pos="112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a certificate, dated the Tranche B Closing Date and signed by a Responsible Officer of Borrower, confirming that there are no litigation, public or private, or administrative proceedings, governmental investigation or other legal or regulatory developments pending or, to the Knowledge of each Credit Party or any of its Subsidiaries, threatened in writing, that, individually or in the aggregate, could reasonably be expected to result in a Material Adverse Change 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(such certificate to be in form and substance reasonably satisfactory to Lender);</w:t>
      </w:r>
    </w:p>
    <w:p>
      <w:pPr>
        <w:spacing w:after="0" w:line="80" w:lineRule="exact"/>
        <w:rPr>
          <w:rFonts w:ascii="Arial" w:cs="Arial" w:eastAsia="Arial" w:hAnsi="Arial"/>
          <w:sz w:val="18"/>
          <w:szCs w:val="18"/>
          <w:color w:val="auto"/>
        </w:rPr>
      </w:pPr>
    </w:p>
    <w:p>
      <w:pPr>
        <w:ind w:right="300" w:firstLine="885"/>
        <w:spacing w:after="0" w:line="342" w:lineRule="auto"/>
        <w:tabs>
          <w:tab w:leader="none" w:pos="1136"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a certificate, dated the Tranche B Closing Date and signed by a Responsible Officer of Borrower, confirming satisfaction of the conditions precedent set forth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(such certificate to be in form and substance reasonably satisfactory to Lender); and</w:t>
      </w:r>
    </w:p>
    <w:p>
      <w:pPr>
        <w:spacing w:after="0" w:line="15" w:lineRule="exact"/>
        <w:rPr>
          <w:rFonts w:ascii="Arial" w:cs="Arial" w:eastAsia="Arial" w:hAnsi="Arial"/>
          <w:sz w:val="16"/>
          <w:szCs w:val="16"/>
          <w:color w:val="auto"/>
        </w:rPr>
      </w:pPr>
    </w:p>
    <w:p>
      <w:pPr>
        <w:ind w:right="100" w:firstLine="885"/>
        <w:spacing w:after="0" w:line="277" w:lineRule="auto"/>
        <w:tabs>
          <w:tab w:leader="none" w:pos="112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an updated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may the Disclosure Letter be updated in a manner that would reflect or evidence a Default or Event of Default (with or without such update).</w:t>
      </w:r>
    </w:p>
    <w:p>
      <w:pPr>
        <w:spacing w:after="0" w:line="166"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3.3. Additional Conditions Precedent to Term Loans</w:t>
      </w:r>
      <w:r>
        <w:rPr>
          <w:rFonts w:ascii="Arial" w:cs="Arial" w:eastAsia="Arial" w:hAnsi="Arial"/>
          <w:sz w:val="18"/>
          <w:szCs w:val="18"/>
          <w:color w:val="auto"/>
        </w:rPr>
        <w:t>. The obligation of Lender to make the Term Loans is subject to the satisfaction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of the following additional conditions:</w:t>
      </w:r>
    </w:p>
    <w:p>
      <w:pPr>
        <w:spacing w:after="0" w:line="58" w:lineRule="exact"/>
        <w:rPr>
          <w:sz w:val="20"/>
          <w:szCs w:val="20"/>
          <w:color w:val="auto"/>
        </w:rPr>
      </w:pPr>
    </w:p>
    <w:p>
      <w:pPr>
        <w:ind w:left="1140" w:hanging="255"/>
        <w:spacing w:after="0"/>
        <w:tabs>
          <w:tab w:leader="none" w:pos="11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timely receipt of an executed Payment/Advance Form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firstLine="885"/>
        <w:spacing w:after="0" w:line="276" w:lineRule="auto"/>
        <w:tabs>
          <w:tab w:leader="none" w:pos="1136"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the Credit Parties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Tranche A Closing Date, the Tranche B Closing Date or as of such earlier date, as applicable); and</w:t>
      </w:r>
    </w:p>
    <w:p>
      <w:pPr>
        <w:spacing w:after="0" w:line="64" w:lineRule="exact"/>
        <w:rPr>
          <w:rFonts w:ascii="Arial" w:cs="Arial" w:eastAsia="Arial" w:hAnsi="Arial"/>
          <w:sz w:val="17"/>
          <w:szCs w:val="17"/>
          <w:color w:val="auto"/>
        </w:rPr>
      </w:pPr>
    </w:p>
    <w:p>
      <w:pPr>
        <w:ind w:left="1140" w:hanging="255"/>
        <w:spacing w:after="0"/>
        <w:tabs>
          <w:tab w:leader="none" w:pos="11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there shall not have occurred (i) any Material Adverse Change or (ii) any Default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w:t>
      </w:r>
    </w:p>
    <w:p>
      <w:pPr>
        <w:spacing w:after="0" w:line="20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7"/>
          <w:szCs w:val="17"/>
          <w:b w:val="1"/>
          <w:bCs w:val="1"/>
          <w:color w:val="auto"/>
        </w:rPr>
        <w:t>3.4. Covenant to Deliver</w:t>
      </w:r>
      <w:r>
        <w:rPr>
          <w:rFonts w:ascii="Arial" w:cs="Arial" w:eastAsia="Arial" w:hAnsi="Arial"/>
          <w:sz w:val="17"/>
          <w:szCs w:val="17"/>
          <w:color w:val="auto"/>
        </w:rPr>
        <w:t>. The Credit Parties agree to deliver to Lender each item required to be delivered to Lender under this Agreement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 precedent to the Credit Extensions;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items set forth on </w:t>
      </w:r>
      <w:r>
        <w:rPr>
          <w:rFonts w:ascii="Arial" w:cs="Arial" w:eastAsia="Arial" w:hAnsi="Arial"/>
          <w:sz w:val="17"/>
          <w:szCs w:val="17"/>
          <w:u w:val="single" w:color="auto"/>
          <w:color w:val="auto"/>
        </w:rPr>
        <w:t>Schedule 5.16</w:t>
      </w:r>
      <w:r>
        <w:rPr>
          <w:rFonts w:ascii="Arial" w:cs="Arial" w:eastAsia="Arial" w:hAnsi="Arial"/>
          <w:sz w:val="17"/>
          <w:szCs w:val="17"/>
          <w:color w:val="auto"/>
        </w:rPr>
        <w:t xml:space="preserve"> of the Disclosure Letter shall be delivered to Lender within the time period prescribed therefor on such schedule. The Credit Parties expressly agree that any Credit Extensions made prior to the receipt by Lender of any such item shall not constitute a waiver by Lender of the Credit Parties’ obligation to deliver such item, and the making of any Credit Extensions in the absence of a required item shall be in Lender’s sole discretion.</w:t>
      </w:r>
    </w:p>
    <w:p>
      <w:pPr>
        <w:spacing w:after="0" w:line="168"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b w:val="1"/>
          <w:bCs w:val="1"/>
          <w:color w:val="auto"/>
        </w:rPr>
        <w:t>3.5. Procedures for Borrowing</w:t>
      </w:r>
      <w:r>
        <w:rPr>
          <w:rFonts w:ascii="Arial" w:cs="Arial" w:eastAsia="Arial" w:hAnsi="Arial"/>
          <w:sz w:val="18"/>
          <w:szCs w:val="18"/>
          <w:color w:val="auto"/>
        </w:rPr>
        <w:t>. Subject to the prior satisfaction of all other applicable conditions to the making of the Term Loans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to obtain any Term Loan, Borrower shall deliver to Lender by electronic mail or facsimile a completed Payment/Advance Form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for the requested Term Loan executed by a Responsible Officer of Borrower. In addition to the foregoing, if Borrower intends to obtain the Tranche B Loan, Borrower shall notify Lender (which notice shall be irrevocable on and after the date on which such notice is given and Borrower shall be bound to make a borrowing in accordance therewith) by electronic mail or facsimile by no later than 12:00 noon on or before January 17, 2019, in which case Lender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431" w:name="page432"/>
    <w:bookmarkEnd w:id="43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make the Tranche B Loan available to Borrower not later than 2:00 p.m. on the date that is ten (10) Business Days following the date on which such notice is given by wire transfer of same day funds in Dollars, to such account(s) in the United States as may be designated in writing to Lender by Borrower.</w:t>
      </w:r>
    </w:p>
    <w:p>
      <w:pPr>
        <w:spacing w:after="0" w:line="177" w:lineRule="exact"/>
        <w:rPr>
          <w:sz w:val="20"/>
          <w:szCs w:val="20"/>
          <w:color w:val="auto"/>
        </w:rPr>
      </w:pPr>
    </w:p>
    <w:p>
      <w:pPr>
        <w:ind w:left="620" w:hanging="176"/>
        <w:spacing w:after="0"/>
        <w:tabs>
          <w:tab w:leader="none" w:pos="62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In order to induce Lender to enter into this Agreement and to make the Credit Extensions to be made on the Tranche A Closing Date and, if applicable, the Tranche B Closing Date, each Credit Party, jointly and severally, represents and warrants to Lender that the following statements are true and correct as of the Effective Date and on the date on which each Term Loan is made (both with and without giving effect to such Term Loan):</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4.1. Due Organization, Authorization; Power and Authority</w:t>
      </w:r>
      <w:r>
        <w:rPr>
          <w:rFonts w:ascii="Arial" w:cs="Arial" w:eastAsia="Arial" w:hAnsi="Arial"/>
          <w:sz w:val="18"/>
          <w:szCs w:val="18"/>
          <w:color w:val="auto"/>
        </w:rPr>
        <w:t>. Each of Borrower and each of its Subsidiaries (a) is duly organized,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and in good standing under the laws of its jurisdiction of organization as identified on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Disclosure Letter or any Perfection Certificate updated in accordance with </w:t>
      </w:r>
      <w:r>
        <w:rPr>
          <w:rFonts w:ascii="Arial" w:cs="Arial" w:eastAsia="Arial" w:hAnsi="Arial"/>
          <w:sz w:val="18"/>
          <w:szCs w:val="18"/>
          <w:u w:val="single" w:color="auto"/>
          <w:color w:val="auto"/>
        </w:rPr>
        <w:t>Section 4.5(a)</w:t>
      </w:r>
      <w:r>
        <w:rPr>
          <w:rFonts w:ascii="Arial" w:cs="Arial" w:eastAsia="Arial" w:hAnsi="Arial"/>
          <w:sz w:val="18"/>
          <w:szCs w:val="18"/>
          <w:color w:val="auto"/>
        </w:rPr>
        <w:t>, (b) has all requisite power and authority to own, license and operate its properties, to carry on its business as now conducted and as proposed to be conducted and (c) is qualified to do business and in good standing in every jurisdiction where its assets are located and wherever necessary to carry out its business and operations except where the failure to do so could not reasonably be expected to have a Material Adverse Change. Each Credit Party has all requisite power and authority to enter into the Loan Documents to which it is a party and to carry out the transactions contemplated thereby.</w:t>
      </w:r>
    </w:p>
    <w:p>
      <w:pPr>
        <w:spacing w:after="0" w:line="189"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b w:val="1"/>
          <w:bCs w:val="1"/>
          <w:color w:val="auto"/>
        </w:rPr>
        <w:t>4.2. Equity Interests and Ownership</w:t>
      </w:r>
      <w:r>
        <w:rPr>
          <w:rFonts w:ascii="Arial" w:cs="Arial" w:eastAsia="Arial" w:hAnsi="Arial"/>
          <w:sz w:val="18"/>
          <w:szCs w:val="18"/>
          <w:color w:val="auto"/>
        </w:rPr>
        <w:t>. The Equity Interests of each Domestic Subsidiary (other than any Excluded Subsidiary and any Domestic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that is a CFC Holding Company), each Foreign Subsidiary directly owned by any Domestic Subsidiary and each CFC Holding Company directly owned by any Domestic Subsidiary, in each case, have been duly authorized and validly issued and are fully paid and non-assessable (other than Equity Interests in limited liability companies and partnerships). The organizational structure, and capital structure as of October 11, 2017, of Borrower and each of its Subsidiaries and the ownership interest of Borrower and each of its Subsidiaries in each of its respective Subsidiaries is as set forth on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Disclosure Letter.</w:t>
      </w:r>
    </w:p>
    <w:p>
      <w:pPr>
        <w:spacing w:after="0" w:line="188"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b w:val="1"/>
          <w:bCs w:val="1"/>
          <w:color w:val="auto"/>
        </w:rPr>
        <w:t>4.3. No Conflict; Government Consents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Letter, the execution, delivery and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each Credit Party of the Loan Documents to which it is a party have been duly authorized and do not (a) conflict with any of such Credit Party’s Operating Documents, (b) contravene, conflict with, constitute a default under or violate any material Requirements of Law, (c) contravene, conflict or violate any applicable order, writ, judgment, injunction, decree, determination or award of any Governmental Authority by which such Credit Party or any of its Subsidiaries or any of its or their respective properties or assets may be bound, (d) require any action by, filing, registration, or qualification with, or Governmental Approval from, any Governmental Authority (except (i) such Governmental Approvals which have already been obtained and are in full force and effect, and (ii) for filings and recordings with respect to the Collateral to be made, or otherwise delivered to Lender for filing or recordation on or after the Tranche A Closing Date), (e) constitute a material breach of or a material default or an event of default under, or result in or permit the termination or acceleration of, any Material Contract by which such Credit Party is bound or (f) require any approval of stockholders, members or partners or any approval or consent of any Person except for such approvals or consents which will be obtained on or before the Tranche A Closing Date. Without limiting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hereof, neither Borrower nor any of its Subsidiaries is in default under or breach of any Contract to which it is a party or by which it or its properties or assets are bound or affected in which the default thereunder or breach thereof could reasonably be expected to have a Material Adverse Change.</w:t>
      </w:r>
    </w:p>
    <w:p>
      <w:pPr>
        <w:spacing w:after="0" w:line="177"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4.4. Binding Obligation</w:t>
      </w:r>
      <w:r>
        <w:rPr>
          <w:rFonts w:ascii="Arial" w:cs="Arial" w:eastAsia="Arial" w:hAnsi="Arial"/>
          <w:sz w:val="18"/>
          <w:szCs w:val="18"/>
          <w:color w:val="auto"/>
        </w:rPr>
        <w:t>. Each Loan Document has been duly executed and delivered by each Credit Party that is a party thereto and is the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432" w:name="page433"/>
    <w:bookmarkEnd w:id="432"/>
    <w:p>
      <w:pPr>
        <w:ind w:right="340" w:firstLine="441"/>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 Collateral; Intellectual Property</w:t>
      </w:r>
      <w:r>
        <w:rPr>
          <w:rFonts w:ascii="Arial" w:cs="Arial" w:eastAsia="Arial" w:hAnsi="Arial"/>
          <w:sz w:val="17"/>
          <w:szCs w:val="17"/>
          <w:color w:val="auto"/>
        </w:rPr>
        <w:t>. In connection with this Agreement, the Credit Parties have delivered to Lender a completed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by each Credit Party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Each Credit Party represents and warrants to Lender that:</w:t>
      </w:r>
    </w:p>
    <w:p>
      <w:pPr>
        <w:spacing w:after="0" w:line="34" w:lineRule="exact"/>
        <w:rPr>
          <w:sz w:val="20"/>
          <w:szCs w:val="20"/>
          <w:color w:val="auto"/>
        </w:rPr>
      </w:pPr>
    </w:p>
    <w:p>
      <w:pPr>
        <w:ind w:firstLine="885"/>
        <w:spacing w:after="0" w:line="287" w:lineRule="auto"/>
        <w:tabs>
          <w:tab w:leader="none" w:pos="112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(i) its exact legal name is that indicated on the Perfection Certificate and on the signature page 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its place of business, or, if more than one, its chief executive office as well as its mailing address (if different than its chief executive office); (v) except as set forth in the Perfection Certificate, it (and each of its predecessors) has not, in the past five (5) years, changed its jurisdiction of formation, organizational structure or type, or any organizational number assigned by its jurisdiction; and (vi) all other information set forth on the Perfection Certificate pertaining to it is accurate and complete (it being understood and agreed that Borrower may from time to time update certain information in the Perfection Certificate after the Tranche A Closing Date to the extent expressly permitted by one or more provisions in this Agreement and the other Loan Documents to reflect changes since the Tranche A Closing Date). If any Credit Party is not now a Registered Organization but later becomes one, it shall promptly notify Lender of such occurrence and provide Lender with such Credit Party’s organizational identification number. Lender hereby agrees that the Perfection Certificate shall be deemed to be updated to reflect information provided in any notice delivered by any Credit Party to Lender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provided that any such update shall not relieve any Credit Party of any other Obligation under this Agreement, including its Obligations pursuant to </w:t>
      </w:r>
      <w:r>
        <w:rPr>
          <w:rFonts w:ascii="Arial" w:cs="Arial" w:eastAsia="Arial" w:hAnsi="Arial"/>
          <w:sz w:val="16"/>
          <w:szCs w:val="16"/>
          <w:u w:val="single" w:color="auto"/>
          <w:color w:val="auto"/>
        </w:rPr>
        <w:t>Section 5.7(b)</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885"/>
        <w:spacing w:after="0" w:line="270" w:lineRule="auto"/>
        <w:tabs>
          <w:tab w:leader="none" w:pos="113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(i) it has good title to, has rights in, and the power to transfer each item of Collateral upon which it purports to grant a Lien hereunder or under any Collateral Document, free and clear of any and all Liens except Permitted Liens, (ii) it has no deposit accounts, securities accounts, commodity accounts or other investment accounts other than (A) the deposit accounts, securities accounts, commodity accounts or other investment accounts described in the Perfection Certificate delivered to Lender in connection herewith, (B) the Excluded Accounts described in the Perfection Certificate delivered to Lender in connection herewith (which may be updated on the Tranche B Closing Date) or (C) of which such Credit Party has given Lender written notice and taken (or is currently taking in good faith) such actions as are necessary to give Lender a perfected security interest therein (and upon delivery of such notice and taking such action, the Perfection Certificate will be deemed to be updated with the information contained in such notice), (iii) Collateral is not in the possession of any third party bailee (such as a warehouse) except as otherwise provided in the Perfection Certificate or as permitted pursuant to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None of the components of the Collateral shall be maintained at locations other than as provided in the Perfection Certificate or as permitted pursuant to </w:t>
      </w:r>
      <w:r>
        <w:rPr>
          <w:rFonts w:ascii="Arial" w:cs="Arial" w:eastAsia="Arial" w:hAnsi="Arial"/>
          <w:sz w:val="17"/>
          <w:szCs w:val="17"/>
          <w:u w:val="single" w:color="auto"/>
          <w:color w:val="auto"/>
        </w:rPr>
        <w:t>Section 6.2(c)</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20" w:firstLine="885"/>
        <w:spacing w:after="0" w:line="277" w:lineRule="auto"/>
        <w:tabs>
          <w:tab w:leader="none" w:pos="112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All Inventory of Borrower and each of its Subsidiaries held by any of them for sale or lease or to be furnished under Contract of service in respect of any Product is in all material respects of good and marketable quality, free from material defects.</w:t>
      </w:r>
    </w:p>
    <w:p>
      <w:pPr>
        <w:spacing w:after="0" w:line="62" w:lineRule="exact"/>
        <w:rPr>
          <w:rFonts w:ascii="Arial" w:cs="Arial" w:eastAsia="Arial" w:hAnsi="Arial"/>
          <w:sz w:val="18"/>
          <w:szCs w:val="18"/>
          <w:color w:val="auto"/>
        </w:rPr>
      </w:pPr>
    </w:p>
    <w:p>
      <w:pPr>
        <w:ind w:right="20" w:firstLine="885"/>
        <w:spacing w:after="0" w:line="286" w:lineRule="auto"/>
        <w:tabs>
          <w:tab w:leader="none" w:pos="113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 true, correct and complete list, as of the Tranche A Closing Date, of all pending or issued Patents, Copyrights and Trademarks, which are included among Current Company IP (including the name/title, current owner, registration or application number, and registration or application date and such other information as reasonably requested by Lender, if any) is set forth on </w:t>
      </w:r>
      <w:r>
        <w:rPr>
          <w:rFonts w:ascii="Arial" w:cs="Arial" w:eastAsia="Arial" w:hAnsi="Arial"/>
          <w:sz w:val="16"/>
          <w:szCs w:val="16"/>
          <w:u w:val="single" w:color="auto"/>
          <w:color w:val="auto"/>
        </w:rPr>
        <w:t>Schedule 4.5(d)</w:t>
      </w:r>
      <w:r>
        <w:rPr>
          <w:rFonts w:ascii="Arial" w:cs="Arial" w:eastAsia="Arial" w:hAnsi="Arial"/>
          <w:sz w:val="16"/>
          <w:szCs w:val="16"/>
          <w:color w:val="auto"/>
        </w:rPr>
        <w:t xml:space="preserve"> of the Disclosure Letter. Except as set forth on </w:t>
      </w:r>
      <w:r>
        <w:rPr>
          <w:rFonts w:ascii="Arial" w:cs="Arial" w:eastAsia="Arial" w:hAnsi="Arial"/>
          <w:sz w:val="16"/>
          <w:szCs w:val="16"/>
          <w:u w:val="single" w:color="auto"/>
          <w:color w:val="auto"/>
        </w:rPr>
        <w:t>Schedule 4.5(d)</w:t>
      </w:r>
      <w:r>
        <w:rPr>
          <w:rFonts w:ascii="Arial" w:cs="Arial" w:eastAsia="Arial" w:hAnsi="Arial"/>
          <w:sz w:val="16"/>
          <w:szCs w:val="16"/>
          <w:color w:val="auto"/>
        </w:rPr>
        <w:t xml:space="preserve"> of the Disclosure Letter, to the Knowledge of each Credit Party or any of its Subsidiaries, (A) each item of Current Company IP which is owned by any Credit Party or any of its Subsidiaries is valid and subsisting and no such Intellectual Property has lapsed, expired, been cancelled or become abandoned (other than as permitted by </w:t>
      </w:r>
      <w:r>
        <w:rPr>
          <w:rFonts w:ascii="Arial" w:cs="Arial" w:eastAsia="Arial" w:hAnsi="Arial"/>
          <w:sz w:val="16"/>
          <w:szCs w:val="16"/>
          <w:u w:val="single" w:color="auto"/>
          <w:color w:val="auto"/>
        </w:rPr>
        <w:t>Section 6.1(j)</w:t>
      </w:r>
      <w:r>
        <w:rPr>
          <w:rFonts w:ascii="Arial" w:cs="Arial" w:eastAsia="Arial" w:hAnsi="Arial"/>
          <w:sz w:val="16"/>
          <w:szCs w:val="16"/>
          <w:color w:val="auto"/>
        </w:rPr>
        <w:t xml:space="preserve">) and (B) each item of Current Company IP which is licensed by any Credit Party or any of its Subsidiaries from another Person is valid and subsisting. To the Knowledge of each Credit Party or any of its Subsidiaries, there are no published patents, patent applications, articles or prior art references that could reasonably be expected to materially adversely affect the validity or enforceability of any of the Patents within the Product IP. Except as set forth on </w:t>
      </w:r>
      <w:r>
        <w:rPr>
          <w:rFonts w:ascii="Arial" w:cs="Arial" w:eastAsia="Arial" w:hAnsi="Arial"/>
          <w:sz w:val="16"/>
          <w:szCs w:val="16"/>
          <w:u w:val="single" w:color="auto"/>
          <w:color w:val="auto"/>
        </w:rPr>
        <w:t>Schedule 4.5(d)</w:t>
      </w:r>
      <w:r>
        <w:rPr>
          <w:rFonts w:ascii="Arial" w:cs="Arial" w:eastAsia="Arial" w:hAnsi="Arial"/>
          <w:sz w:val="16"/>
          <w:szCs w:val="16"/>
          <w:color w:val="auto"/>
        </w:rPr>
        <w:t xml:space="preserve"> of the Disclosure Letter, each Person who has or has had any rights in or to the Current Company IP or any trade secrets of any Credit Party or any of its Subsidiaries, including each inventor named on the Patents within such Current Company IP filed by any Credit Party or any of its Subsidiaries, has executed a Contract assigning his, her or its entire right, title and interest in and to such Current Company IP and such trade secrets, and the inventions, improvements, ideas, discoveries, writings, works of authorship, information and other intellectual property embodied, described or claimed therein, to the stated owner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433" w:name="page434"/>
    <w:bookmarkEnd w:id="4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thereof and, to the Knowledge of each Credit Party or any of its Subsidiaries, no such Person has any contractual or other obligation that would preclude or conflict with such assignment or the exploitation of Product or entitle such Person to ongoing payments (other than Consulting Royalties). Except for Permitted Licenses and as set forth on </w:t>
      </w:r>
      <w:r>
        <w:rPr>
          <w:rFonts w:ascii="Arial" w:cs="Arial" w:eastAsia="Arial" w:hAnsi="Arial"/>
          <w:sz w:val="18"/>
          <w:szCs w:val="18"/>
          <w:u w:val="single" w:color="auto"/>
          <w:color w:val="auto"/>
        </w:rPr>
        <w:t>Schedule 4.5(d)</w:t>
      </w:r>
      <w:r>
        <w:rPr>
          <w:rFonts w:ascii="Arial" w:cs="Arial" w:eastAsia="Arial" w:hAnsi="Arial"/>
          <w:sz w:val="18"/>
          <w:szCs w:val="18"/>
          <w:color w:val="auto"/>
        </w:rPr>
        <w:t xml:space="preserve"> of the Disclosure Letter, (i) no Person other than Borrower or a Domestic Subsidiary of Borrower that is a Credit Party will have any right under the Current Company IP Agreements to Commercialize Products in the United States and (ii) no Person other than a Credit Party or a Subsidiary will have any right under the Current Company IP Agreements to Commercialize Products in the Territory (other than the United States).</w:t>
      </w:r>
    </w:p>
    <w:p>
      <w:pPr>
        <w:spacing w:after="0" w:line="85" w:lineRule="exact"/>
        <w:rPr>
          <w:sz w:val="20"/>
          <w:szCs w:val="20"/>
          <w:color w:val="auto"/>
        </w:rPr>
      </w:pPr>
    </w:p>
    <w:p>
      <w:pPr>
        <w:ind w:firstLine="885"/>
        <w:spacing w:after="0" w:line="286" w:lineRule="auto"/>
        <w:tabs>
          <w:tab w:leader="none" w:pos="112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Except for the Permitted Licenses and except as described on </w:t>
      </w:r>
      <w:r>
        <w:rPr>
          <w:rFonts w:ascii="Arial" w:cs="Arial" w:eastAsia="Arial" w:hAnsi="Arial"/>
          <w:sz w:val="17"/>
          <w:szCs w:val="17"/>
          <w:u w:val="single" w:color="auto"/>
          <w:color w:val="auto"/>
        </w:rPr>
        <w:t>Schedule 4.5(e)</w:t>
      </w:r>
      <w:r>
        <w:rPr>
          <w:rFonts w:ascii="Arial" w:cs="Arial" w:eastAsia="Arial" w:hAnsi="Arial"/>
          <w:sz w:val="17"/>
          <w:szCs w:val="17"/>
          <w:color w:val="auto"/>
        </w:rPr>
        <w:t xml:space="preserve"> of the Disclosure Letter, (A) each Credit Party or any of its Subsidiaries, as the case may be, possesses sole, exclusive and valid title to the Current Company IP for which it is listed as the owner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4.5(d)</w:t>
      </w:r>
      <w:r>
        <w:rPr>
          <w:rFonts w:ascii="Arial" w:cs="Arial" w:eastAsia="Arial" w:hAnsi="Arial"/>
          <w:sz w:val="17"/>
          <w:szCs w:val="17"/>
          <w:color w:val="auto"/>
        </w:rPr>
        <w:t xml:space="preserve"> of the Disclosure Letter; and (B) there are no Liens on or to any Current Company IP, other than Permitted Liens.</w:t>
      </w:r>
    </w:p>
    <w:p>
      <w:pPr>
        <w:spacing w:after="0" w:line="57" w:lineRule="exact"/>
        <w:rPr>
          <w:rFonts w:ascii="Arial" w:cs="Arial" w:eastAsia="Arial" w:hAnsi="Arial"/>
          <w:sz w:val="17"/>
          <w:szCs w:val="17"/>
          <w:color w:val="auto"/>
        </w:rPr>
      </w:pPr>
    </w:p>
    <w:p>
      <w:pPr>
        <w:ind w:right="120" w:firstLine="885"/>
        <w:spacing w:after="0" w:line="293" w:lineRule="auto"/>
        <w:tabs>
          <w:tab w:leader="none" w:pos="110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There are no maintenance, annuity or renewal fees that are currently overdue beyond their allotted grace period for any of the Current Company IP which is owned by or exclusively licensed to any Credit Party or any of its Subsidiaries, as the case may be, nor have any applications or registrations therefor lapsed or become abandoned, been cancelled or expired (except as permitted by </w:t>
      </w:r>
      <w:r>
        <w:rPr>
          <w:rFonts w:ascii="Arial" w:cs="Arial" w:eastAsia="Arial" w:hAnsi="Arial"/>
          <w:sz w:val="16"/>
          <w:szCs w:val="16"/>
          <w:u w:val="single" w:color="auto"/>
          <w:color w:val="auto"/>
        </w:rPr>
        <w:t>Section 6.1(j)</w:t>
      </w:r>
      <w:r>
        <w:rPr>
          <w:rFonts w:ascii="Arial" w:cs="Arial" w:eastAsia="Arial" w:hAnsi="Arial"/>
          <w:sz w:val="16"/>
          <w:szCs w:val="16"/>
          <w:color w:val="auto"/>
        </w:rPr>
        <w:t>). To the Knowledge of each Credit Party or any of its Subsidiaries, there are no maintenance, annuity or renewal fees that are currently overdue beyond their allotted grace for any of the Current Company IP which is not owned by or exclusively licensed to any Credit Party or any of its Subsidiaries, nor, to the Knowledge of each Credit Party or any of its Subsidiaries, have any applications or registrations therefor lapsed or become abandoned, been cancelled or expired.</w:t>
      </w:r>
    </w:p>
    <w:p>
      <w:pPr>
        <w:spacing w:after="0" w:line="56" w:lineRule="exact"/>
        <w:rPr>
          <w:rFonts w:ascii="Arial" w:cs="Arial" w:eastAsia="Arial" w:hAnsi="Arial"/>
          <w:sz w:val="16"/>
          <w:szCs w:val="16"/>
          <w:color w:val="auto"/>
        </w:rPr>
      </w:pPr>
    </w:p>
    <w:p>
      <w:pPr>
        <w:ind w:right="60" w:firstLine="885"/>
        <w:spacing w:after="0" w:line="290" w:lineRule="auto"/>
        <w:tabs>
          <w:tab w:leader="none" w:pos="1136"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Schedule 4.5(g)</w:t>
      </w:r>
      <w:r>
        <w:rPr>
          <w:rFonts w:ascii="Arial" w:cs="Arial" w:eastAsia="Arial" w:hAnsi="Arial"/>
          <w:sz w:val="16"/>
          <w:szCs w:val="16"/>
          <w:color w:val="auto"/>
        </w:rPr>
        <w:t xml:space="preserve"> of the Disclosure Letter sets forth a true, correct and complete list of all Current Company IP Agreements. There are no unpaid fees or royalties under any Current Company IP Agreement that have become due, or are expected to become overdue. Each Current Company IP Agreement is in full force and effect and, to the Knowledge of each Credit Party or any of its Subsidiaries, is legal, valid, binding, and enforceable in accordance with its respective terms, except as may be limited by bankruptcy, insolvency, reorganization, moratorium or similar laws relating to or limiting creditors’ rights generally or by equitable principles relating to enforceability. No Credit Party or any of its Subsidiaries is in material breach of or default under any Current Company IP Agreement to which it is a party and, to the Knowledge of each Credit Party or any of its Subsidiaries, no reasonable circumstances exist that would give rise to a claim of breach or right of rescission, termination, non-renewal, revision or amendment of any of the Current Company IP Agreements, including the execution, delivery and performance of this Agreement and the other Loan Documents.</w:t>
      </w:r>
    </w:p>
    <w:p>
      <w:pPr>
        <w:spacing w:after="0" w:line="58" w:lineRule="exact"/>
        <w:rPr>
          <w:rFonts w:ascii="Arial" w:cs="Arial" w:eastAsia="Arial" w:hAnsi="Arial"/>
          <w:sz w:val="16"/>
          <w:szCs w:val="16"/>
          <w:color w:val="auto"/>
        </w:rPr>
      </w:pPr>
    </w:p>
    <w:p>
      <w:pPr>
        <w:jc w:val="both"/>
        <w:ind w:right="60" w:firstLine="885"/>
        <w:spacing w:after="0" w:line="288" w:lineRule="auto"/>
        <w:tabs>
          <w:tab w:leader="none" w:pos="113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Except for Consulting Royalties and as otherwise set forth on </w:t>
      </w:r>
      <w:r>
        <w:rPr>
          <w:rFonts w:ascii="Arial" w:cs="Arial" w:eastAsia="Arial" w:hAnsi="Arial"/>
          <w:sz w:val="16"/>
          <w:szCs w:val="16"/>
          <w:u w:val="single" w:color="auto"/>
          <w:color w:val="auto"/>
        </w:rPr>
        <w:t>Schedule 4.5(h)</w:t>
      </w:r>
      <w:r>
        <w:rPr>
          <w:rFonts w:ascii="Arial" w:cs="Arial" w:eastAsia="Arial" w:hAnsi="Arial"/>
          <w:sz w:val="16"/>
          <w:szCs w:val="16"/>
          <w:color w:val="auto"/>
        </w:rPr>
        <w:t xml:space="preserve"> of the Disclosure Letter, no payments by any Credit Party or any of its Subsidiaries are due to any other Person in respect of the Current Company IP, other than pursuant to the Current Company IP Agreements and those fees payable to patent offices in connection with the prosecution and maintenance of the Current Company IP and associated attorney fees.</w:t>
      </w: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There is no Intellectual Property licensed in to any Credit Party or any of its Subsidiaries from any Person with respect to which such Person currently receives or may receive in the future any Consulting Royalties.</w:t>
      </w:r>
    </w:p>
    <w:p>
      <w:pPr>
        <w:spacing w:after="0" w:line="75" w:lineRule="exact"/>
        <w:rPr>
          <w:rFonts w:ascii="Arial" w:cs="Arial" w:eastAsia="Arial" w:hAnsi="Arial"/>
          <w:sz w:val="16"/>
          <w:szCs w:val="16"/>
          <w:color w:val="auto"/>
        </w:rPr>
      </w:pPr>
    </w:p>
    <w:p>
      <w:pPr>
        <w:jc w:val="both"/>
        <w:ind w:right="160" w:firstLine="885"/>
        <w:spacing w:after="0" w:line="286" w:lineRule="auto"/>
        <w:tabs>
          <w:tab w:leader="none" w:pos="109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No Credit Party or any of its Subsidiaries has intentionally, willfully or knowingly undertaken or omitted to undertake any acts, and, to the Knowledge of each Credit Party or any of its Subsidiaries, no reasonable circumstance or grounds exist, that would invalidate, reduce or eliminate, in whole or in part, (i) the enforceability or scope of any Current Company IP or (ii) in the case of Current Company IP owned or exclusively licensed by any Credit Party or any of its Subsidiaries, as the case may be, other than with respect to Permitted Licenses and, except as set forth on </w:t>
      </w:r>
      <w:r>
        <w:rPr>
          <w:rFonts w:ascii="Arial" w:cs="Arial" w:eastAsia="Arial" w:hAnsi="Arial"/>
          <w:sz w:val="16"/>
          <w:szCs w:val="16"/>
          <w:u w:val="single" w:color="auto"/>
          <w:color w:val="auto"/>
        </w:rPr>
        <w:t>Schedule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auto"/>
        </w:rPr>
        <w:t>4.5(i)</w:t>
      </w:r>
      <w:r>
        <w:rPr>
          <w:rFonts w:ascii="Arial" w:cs="Arial" w:eastAsia="Arial" w:hAnsi="Arial"/>
          <w:sz w:val="16"/>
          <w:szCs w:val="16"/>
          <w:color w:val="auto"/>
        </w:rPr>
        <w:t xml:space="preserve"> of the Disclosure Letter, such Credit Party’s or such Subsidiary’s entitlement to exclusively own or license and exploit the Current Company IP.</w:t>
      </w:r>
    </w:p>
    <w:p>
      <w:pPr>
        <w:spacing w:after="0" w:line="125" w:lineRule="exact"/>
        <w:rPr>
          <w:rFonts w:ascii="Arial" w:cs="Arial" w:eastAsia="Arial" w:hAnsi="Arial"/>
          <w:sz w:val="16"/>
          <w:szCs w:val="16"/>
          <w:color w:val="auto"/>
        </w:rPr>
      </w:pPr>
    </w:p>
    <w:p>
      <w:pPr>
        <w:ind w:right="40" w:firstLine="885"/>
        <w:spacing w:after="0" w:line="255" w:lineRule="auto"/>
        <w:tabs>
          <w:tab w:leader="none" w:pos="109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or as notified to Lender in writing pursuant to </w:t>
      </w:r>
      <w:r>
        <w:rPr>
          <w:rFonts w:ascii="Arial" w:cs="Arial" w:eastAsia="Arial" w:hAnsi="Arial"/>
          <w:sz w:val="18"/>
          <w:szCs w:val="18"/>
          <w:u w:val="single" w:color="auto"/>
          <w:color w:val="auto"/>
        </w:rPr>
        <w:t>Section 5.2(d)</w:t>
      </w:r>
      <w:r>
        <w:rPr>
          <w:rFonts w:ascii="Arial" w:cs="Arial" w:eastAsia="Arial" w:hAnsi="Arial"/>
          <w:sz w:val="18"/>
          <w:szCs w:val="18"/>
          <w:color w:val="auto"/>
        </w:rPr>
        <w:t>, there is no pending, decided or settled opposition, interference proceeding, reissue proceeding, reexamination proceeding, inter-partes review proceeding, post-grant review proceeding, cancellation proceeding, injunction, lawsuit, hearing, 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Arial" w:cs="Arial" w:eastAsia="Arial" w:hAnsi="Arial"/>
          <w:sz w:val="18"/>
          <w:szCs w:val="18"/>
          <w:b w:val="1"/>
          <w:bCs w:val="1"/>
          <w:color w:val="auto"/>
        </w:rPr>
        <w:t>Specified Disputes</w:t>
      </w:r>
      <w:r>
        <w:rPr>
          <w:rFonts w:ascii="Arial" w:cs="Arial" w:eastAsia="Arial" w:hAnsi="Arial"/>
          <w:sz w:val="18"/>
          <w:szCs w:val="18"/>
          <w:color w:val="auto"/>
        </w:rPr>
        <w:t>”), nor, to the Knowledge of each Credit Party or any of its Subsidiaries, has any Specified Dispute been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34" w:name="page435"/>
    <w:bookmarkEnd w:id="43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threatened in writing, in each case, challenging the legality, validity, enforceability or ownership of any Current Company IP. Except as noted on </w:t>
      </w:r>
      <w:r>
        <w:rPr>
          <w:rFonts w:ascii="Arial" w:cs="Arial" w:eastAsia="Arial" w:hAnsi="Arial"/>
          <w:sz w:val="18"/>
          <w:szCs w:val="18"/>
          <w:u w:val="single" w:color="auto"/>
          <w:color w:val="auto"/>
        </w:rPr>
        <w:t>Schedule 4.5(j)</w:t>
      </w:r>
      <w:r>
        <w:rPr>
          <w:rFonts w:ascii="Arial" w:cs="Arial" w:eastAsia="Arial" w:hAnsi="Arial"/>
          <w:sz w:val="18"/>
          <w:szCs w:val="18"/>
          <w:color w:val="auto"/>
        </w:rPr>
        <w:t xml:space="preserve"> of the Disclosure Letter, to the Knowledge of each Credit Party or any of its Subsidiaries, there is no patent or patent application of any third party that interferes with a Patent within the Current Company IP.</w:t>
      </w:r>
    </w:p>
    <w:p>
      <w:pPr>
        <w:spacing w:after="0" w:line="73" w:lineRule="exact"/>
        <w:rPr>
          <w:sz w:val="20"/>
          <w:szCs w:val="20"/>
          <w:color w:val="auto"/>
        </w:rPr>
      </w:pPr>
    </w:p>
    <w:p>
      <w:pPr>
        <w:ind w:right="720" w:firstLine="885"/>
        <w:spacing w:after="0" w:line="277" w:lineRule="auto"/>
        <w:tabs>
          <w:tab w:leader="none" w:pos="11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4.5(k)</w:t>
      </w:r>
      <w:r>
        <w:rPr>
          <w:rFonts w:ascii="Arial" w:cs="Arial" w:eastAsia="Arial" w:hAnsi="Arial"/>
          <w:sz w:val="18"/>
          <w:szCs w:val="18"/>
          <w:color w:val="auto"/>
        </w:rPr>
        <w:t xml:space="preserve"> of the Disclosure Letter and other than Restricted Licenses entered into in compliance with </w:t>
      </w:r>
      <w:r>
        <w:rPr>
          <w:rFonts w:ascii="Arial" w:cs="Arial" w:eastAsia="Arial" w:hAnsi="Arial"/>
          <w:sz w:val="18"/>
          <w:szCs w:val="18"/>
          <w:u w:val="single" w:color="auto"/>
          <w:color w:val="auto"/>
        </w:rPr>
        <w:t>Section 5.7(b)</w:t>
      </w:r>
      <w:r>
        <w:rPr>
          <w:rFonts w:ascii="Arial" w:cs="Arial" w:eastAsia="Arial" w:hAnsi="Arial"/>
          <w:sz w:val="18"/>
          <w:szCs w:val="18"/>
          <w:color w:val="auto"/>
        </w:rPr>
        <w:t>, no Credit Party is a party to, nor is it bound by, any Restricted License.</w:t>
      </w:r>
    </w:p>
    <w:p>
      <w:pPr>
        <w:spacing w:after="0" w:line="62" w:lineRule="exact"/>
        <w:rPr>
          <w:rFonts w:ascii="Arial" w:cs="Arial" w:eastAsia="Arial" w:hAnsi="Arial"/>
          <w:sz w:val="18"/>
          <w:szCs w:val="18"/>
          <w:color w:val="auto"/>
        </w:rPr>
      </w:pPr>
    </w:p>
    <w:p>
      <w:pPr>
        <w:ind w:right="1120" w:firstLine="885"/>
        <w:spacing w:after="0" w:line="308" w:lineRule="auto"/>
        <w:tabs>
          <w:tab w:leader="none" w:pos="109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Except as noted on </w:t>
      </w:r>
      <w:r>
        <w:rPr>
          <w:rFonts w:ascii="Arial" w:cs="Arial" w:eastAsia="Arial" w:hAnsi="Arial"/>
          <w:sz w:val="17"/>
          <w:szCs w:val="17"/>
          <w:u w:val="single" w:color="auto"/>
          <w:color w:val="auto"/>
        </w:rPr>
        <w:t>Schedule 4.5(l)</w:t>
      </w:r>
      <w:r>
        <w:rPr>
          <w:rFonts w:ascii="Arial" w:cs="Arial" w:eastAsia="Arial" w:hAnsi="Arial"/>
          <w:sz w:val="17"/>
          <w:szCs w:val="17"/>
          <w:color w:val="auto"/>
        </w:rPr>
        <w:t xml:space="preserve"> of the Disclosure Letter, the packaging for any and all Products Manufactured, used or Commercialized under the Patents within the Current Company IP have been marked with the proper patent notice.</w:t>
      </w:r>
    </w:p>
    <w:p>
      <w:pPr>
        <w:spacing w:after="0" w:line="38" w:lineRule="exact"/>
        <w:rPr>
          <w:rFonts w:ascii="Arial" w:cs="Arial" w:eastAsia="Arial" w:hAnsi="Arial"/>
          <w:sz w:val="17"/>
          <w:szCs w:val="17"/>
          <w:color w:val="auto"/>
        </w:rPr>
      </w:pPr>
    </w:p>
    <w:p>
      <w:pPr>
        <w:jc w:val="both"/>
        <w:ind w:right="40" w:firstLine="885"/>
        <w:spacing w:after="0" w:line="264" w:lineRule="auto"/>
        <w:tabs>
          <w:tab w:leader="none" w:pos="118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4.5(m)</w:t>
      </w:r>
      <w:r>
        <w:rPr>
          <w:rFonts w:ascii="Arial" w:cs="Arial" w:eastAsia="Arial" w:hAnsi="Arial"/>
          <w:sz w:val="18"/>
          <w:szCs w:val="18"/>
          <w:color w:val="auto"/>
        </w:rPr>
        <w:t xml:space="preserve"> of the Disclosure Letter, in each case where a Patent within the Current Company IP is held by any Credit Party or its Subsidiaries by assignment, the assignment has been duly recorded with the U.S. Patent and Trademark Office and all similar offices and agencies anywhere in the world in which foreign counterparts are registered or issued.</w:t>
      </w:r>
    </w:p>
    <w:p>
      <w:pPr>
        <w:spacing w:after="0" w:line="73" w:lineRule="exact"/>
        <w:rPr>
          <w:rFonts w:ascii="Arial" w:cs="Arial" w:eastAsia="Arial" w:hAnsi="Arial"/>
          <w:sz w:val="18"/>
          <w:szCs w:val="18"/>
          <w:color w:val="auto"/>
        </w:rPr>
      </w:pPr>
    </w:p>
    <w:p>
      <w:pPr>
        <w:ind w:right="140" w:firstLine="885"/>
        <w:spacing w:after="0" w:line="276" w:lineRule="auto"/>
        <w:tabs>
          <w:tab w:leader="none" w:pos="113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There are no pending or, to the Knowledge of each Credit Party or any of its Subsidiaries, threatened (in writing) claims against any Credit Party or any of its Subsidiaries alleging (i) that any of the operation of the business of or any activity by any Credit Party or any of its Subsidiaries, or the Manufacture, Commercialization, or use of any Product infringes or violates (or in the past infringed or violated) the rights of third parties in or to any Intellectual Property (“</w:t>
      </w:r>
      <w:r>
        <w:rPr>
          <w:rFonts w:ascii="Arial" w:cs="Arial" w:eastAsia="Arial" w:hAnsi="Arial"/>
          <w:sz w:val="17"/>
          <w:szCs w:val="17"/>
          <w:b w:val="1"/>
          <w:bCs w:val="1"/>
          <w:color w:val="auto"/>
        </w:rPr>
        <w:t>Third Party IP</w:t>
      </w:r>
      <w:r>
        <w:rPr>
          <w:rFonts w:ascii="Arial" w:cs="Arial" w:eastAsia="Arial" w:hAnsi="Arial"/>
          <w:sz w:val="17"/>
          <w:szCs w:val="17"/>
          <w:color w:val="auto"/>
        </w:rPr>
        <w:t>”) or constitutes a misappropriation of (or in the past constituted a misappropriation of) any subject matter of any Third Party IP or (ii) that any of the Current Company IP is invalid or unenforceable.</w:t>
      </w:r>
    </w:p>
    <w:p>
      <w:pPr>
        <w:spacing w:after="0" w:line="64" w:lineRule="exact"/>
        <w:rPr>
          <w:rFonts w:ascii="Arial" w:cs="Arial" w:eastAsia="Arial" w:hAnsi="Arial"/>
          <w:sz w:val="17"/>
          <w:szCs w:val="17"/>
          <w:color w:val="auto"/>
        </w:rPr>
      </w:pPr>
    </w:p>
    <w:p>
      <w:pPr>
        <w:ind w:right="60" w:firstLine="885"/>
        <w:spacing w:after="0" w:line="255" w:lineRule="auto"/>
        <w:tabs>
          <w:tab w:leader="none" w:pos="11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Neither the operation of the business of, nor any activity by, any Credit Party or any of its Subsidiaries, nor the Manufacture, use or Commercialization of any Product, infringes or violates (or in the past infringed or violated) any Third Party IP, other than any patent within the Third Party IP, or constitutes a misappropriation of (or in the past constituted a misappropriation of) any subject matter of any Third Party IP, and to the Knowledge of each Credit Party or any of their Subsidiaries, neither the operation of the business of, nor any activity, by any Credit Party or any of its Subsidiaries, nor the Manufacture, use or Commercialization of any Product, infringes or violates (or in the past infringed or violated) any patent within the Third Party IP.</w:t>
      </w:r>
    </w:p>
    <w:p>
      <w:pPr>
        <w:spacing w:after="0" w:line="85" w:lineRule="exact"/>
        <w:rPr>
          <w:rFonts w:ascii="Arial" w:cs="Arial" w:eastAsia="Arial" w:hAnsi="Arial"/>
          <w:sz w:val="18"/>
          <w:szCs w:val="18"/>
          <w:color w:val="auto"/>
        </w:rPr>
      </w:pPr>
    </w:p>
    <w:p>
      <w:pPr>
        <w:ind w:right="60" w:firstLine="885"/>
        <w:spacing w:after="0" w:line="286" w:lineRule="auto"/>
        <w:tabs>
          <w:tab w:leader="none" w:pos="113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Except for customary indemnities provided to customers in the ordinary course of business in connection with the sale of the Product and as otherwise noted on </w:t>
      </w:r>
      <w:r>
        <w:rPr>
          <w:rFonts w:ascii="Arial" w:cs="Arial" w:eastAsia="Arial" w:hAnsi="Arial"/>
          <w:sz w:val="17"/>
          <w:szCs w:val="17"/>
          <w:u w:val="single" w:color="auto"/>
          <w:color w:val="auto"/>
        </w:rPr>
        <w:t>Schedule 4.5(p)</w:t>
      </w:r>
      <w:r>
        <w:rPr>
          <w:rFonts w:ascii="Arial" w:cs="Arial" w:eastAsia="Arial" w:hAnsi="Arial"/>
          <w:sz w:val="17"/>
          <w:szCs w:val="17"/>
          <w:color w:val="auto"/>
        </w:rPr>
        <w:t xml:space="preserve"> of the Disclosure Letter, no Credit Party or any of its Subsidiaries has entered into any Contract to indemnify any other Person against any claims of infringement, violation or misappropriation of any Intellectual Property.</w:t>
      </w:r>
    </w:p>
    <w:p>
      <w:pPr>
        <w:spacing w:after="0" w:line="57" w:lineRule="exact"/>
        <w:rPr>
          <w:rFonts w:ascii="Arial" w:cs="Arial" w:eastAsia="Arial" w:hAnsi="Arial"/>
          <w:sz w:val="17"/>
          <w:szCs w:val="17"/>
          <w:color w:val="auto"/>
        </w:rPr>
      </w:pPr>
    </w:p>
    <w:p>
      <w:pPr>
        <w:ind w:right="280" w:firstLine="885"/>
        <w:spacing w:after="0" w:line="259" w:lineRule="auto"/>
        <w:tabs>
          <w:tab w:leader="none" w:pos="11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4.5(q)</w:t>
      </w:r>
      <w:r>
        <w:rPr>
          <w:rFonts w:ascii="Arial" w:cs="Arial" w:eastAsia="Arial" w:hAnsi="Arial"/>
          <w:sz w:val="18"/>
          <w:szCs w:val="18"/>
          <w:color w:val="auto"/>
        </w:rPr>
        <w:t xml:space="preserve"> of the Disclosure Letter, there are no settlements, covenants not to sue, consents, judgments, or orders or similar obligations that (i) restrict the rights of any Credit Party or any of its Subsidiaries to use any Intellectual Property, (ii) restrict the business of any Credit Party or any of its Subsidiaries, in order to accommodate a third party’s Intellectual Property or (iii) permit third parties to use any Company IP.</w:t>
      </w:r>
    </w:p>
    <w:p>
      <w:pPr>
        <w:spacing w:after="0" w:line="78" w:lineRule="exact"/>
        <w:rPr>
          <w:rFonts w:ascii="Arial" w:cs="Arial" w:eastAsia="Arial" w:hAnsi="Arial"/>
          <w:sz w:val="18"/>
          <w:szCs w:val="18"/>
          <w:color w:val="auto"/>
        </w:rPr>
      </w:pPr>
    </w:p>
    <w:p>
      <w:pPr>
        <w:ind w:firstLine="885"/>
        <w:spacing w:after="0" w:line="286" w:lineRule="auto"/>
        <w:tabs>
          <w:tab w:leader="none" w:pos="110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To the Knowledge of each Credit Party or any of their Subsidiaries, each Credit Party and each of its Subsidiaries has obtained and possesses valid licenses to use all of the software programs present on the computers and other software-enabled electronic devices that it owns or leases or that it has otherwise provided to its employees for their use in connection with the business of such Credit Party and its Subsidiaries.</w:t>
      </w:r>
    </w:p>
    <w:p>
      <w:pPr>
        <w:spacing w:after="0" w:line="57" w:lineRule="exact"/>
        <w:rPr>
          <w:rFonts w:ascii="Arial" w:cs="Arial" w:eastAsia="Arial" w:hAnsi="Arial"/>
          <w:sz w:val="17"/>
          <w:szCs w:val="17"/>
          <w:color w:val="auto"/>
        </w:rPr>
      </w:pPr>
    </w:p>
    <w:p>
      <w:pPr>
        <w:ind w:right="40" w:firstLine="885"/>
        <w:spacing w:after="0" w:line="264" w:lineRule="auto"/>
        <w:tabs>
          <w:tab w:leader="none" w:pos="111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To the Knowledge of each Credit Party or any of its Subsidiaries, (i) there is no, nor has there been any, infringement or violation by any Person of any of the Product IP or the rights therein or thereto of any Credit Party or any of its Subsidiaries and (ii) there is no, nor has there been any, misappropriation by any Person of any of the Product IP or the subject matter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35" w:name="page436"/>
    <w:bookmarkEnd w:id="435"/>
    <w:p>
      <w:pPr>
        <w:ind w:firstLine="885"/>
        <w:spacing w:after="0" w:line="255" w:lineRule="auto"/>
        <w:tabs>
          <w:tab w:leader="none" w:pos="1096" w:val="left"/>
        </w:tabs>
        <w:numPr>
          <w:ilvl w:val="0"/>
          <w:numId w:val="3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Credit Party and each of its Subsidiaries have taken all commercially reasonable security measures to protect the confidentiality and value of all trade secrets owned by such Credit Party or any of its Subsidiaries or used or held for use by such Credit Party or any of its Subsidiaries in the business of such Credit Party and its Subsidiaries, including requiring each employee and consultant of such Credit Party or any of its Subsidiaries and any other Person with access to such trade secrets to execute a binding confidentiality or nondisclosure Contract, copies or forms of which have been provided to Lender and, to the Knowledge of each Credit Party or any of its Subsidiaries, there has not been any material breach by any party to such confidentiality Contracts.</w:t>
      </w:r>
    </w:p>
    <w:p>
      <w:pPr>
        <w:spacing w:after="0" w:line="85"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Each Product performs in accordance with its documented specifications and as warranted to the customers thereof, except to the extent any such failure to so perform could not reasonably be expected to have a Material Adverse Change.</w:t>
      </w:r>
    </w:p>
    <w:p>
      <w:pPr>
        <w:spacing w:after="0" w:line="62" w:lineRule="exact"/>
        <w:rPr>
          <w:rFonts w:ascii="Arial" w:cs="Arial" w:eastAsia="Arial" w:hAnsi="Arial"/>
          <w:sz w:val="18"/>
          <w:szCs w:val="18"/>
          <w:color w:val="auto"/>
        </w:rPr>
      </w:pPr>
    </w:p>
    <w:p>
      <w:pPr>
        <w:ind w:firstLine="885"/>
        <w:spacing w:after="0" w:line="297" w:lineRule="auto"/>
        <w:tabs>
          <w:tab w:leader="none" w:pos="113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Credit Parties and their Subsidiaries (i) collect or use personally identifiable information from any third parties (including patients) and (ii) in connection with any collection or use of personally identifiable information, to the Knowledge of each Credit Party or any of its Subsidiaries, each Credit Party or any of its Subsidiaries has complied with all applicable statutes and regulations in all relevant jurisdictions and its publicly available privacy policy (if any) relating to the collection, storage, use and onward transfer of all personally identifiable information collected by such Credit Party or Subsidiary or by third parties having authorized access to databases or other records of such Credit Party or Subsidiary.</w:t>
      </w:r>
    </w:p>
    <w:p>
      <w:pPr>
        <w:spacing w:after="0" w:line="50" w:lineRule="exact"/>
        <w:rPr>
          <w:rFonts w:ascii="Arial" w:cs="Arial" w:eastAsia="Arial" w:hAnsi="Arial"/>
          <w:sz w:val="16"/>
          <w:szCs w:val="16"/>
          <w:color w:val="auto"/>
        </w:rPr>
      </w:pPr>
    </w:p>
    <w:p>
      <w:pPr>
        <w:ind w:firstLine="885"/>
        <w:spacing w:after="0" w:line="293" w:lineRule="auto"/>
        <w:tabs>
          <w:tab w:leader="none" w:pos="117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Each Credit Party and each of its Subsidiaries have reasonable policies, procedures and security measures in place to protect information relating to its customers (“</w:t>
      </w:r>
      <w:r>
        <w:rPr>
          <w:rFonts w:ascii="Arial" w:cs="Arial" w:eastAsia="Arial" w:hAnsi="Arial"/>
          <w:sz w:val="16"/>
          <w:szCs w:val="16"/>
          <w:b w:val="1"/>
          <w:bCs w:val="1"/>
          <w:color w:val="auto"/>
        </w:rPr>
        <w:t>Customer Data</w:t>
      </w:r>
      <w:r>
        <w:rPr>
          <w:rFonts w:ascii="Arial" w:cs="Arial" w:eastAsia="Arial" w:hAnsi="Arial"/>
          <w:sz w:val="16"/>
          <w:szCs w:val="16"/>
          <w:color w:val="auto"/>
        </w:rPr>
        <w:t>”) under its and its service providers’ possession or control from unauthorized access; and, to the Knowledge of each Credit Party or any of its Subsidiaries, each Credit Party, each of its Subsidiaries, and each of its service providers’ hardware, software, encryption, systems, policies and procedures are sufficient to protect the security and confidentiality of all Customer Data that complies in all material respects with Requirements of Law. To the Knowledge of each Credit Party or any of its Subsidiaries, no Credit Party, any of its Subsidiaries, or any of its service providers has suffered any breach in security that has permitted any unauthorized access to Customer Data.</w:t>
      </w:r>
    </w:p>
    <w:p>
      <w:pPr>
        <w:spacing w:after="0" w:line="16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b w:val="1"/>
          <w:bCs w:val="1"/>
          <w:color w:val="auto"/>
        </w:rPr>
        <w:t xml:space="preserve">4.6. Adverse Proceedings, etc.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Letter or as notified to Lender in writing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5.2(d)</w:t>
      </w:r>
      <w:r>
        <w:rPr>
          <w:rFonts w:ascii="Arial" w:cs="Arial" w:eastAsia="Arial" w:hAnsi="Arial"/>
          <w:sz w:val="18"/>
          <w:szCs w:val="18"/>
          <w:color w:val="auto"/>
        </w:rPr>
        <w:t>, there are no Adverse Proceedings, individually or in the aggregate, that could reasonably be expected to result in a Material Adverse Change. Neither Borrower nor any of its Subsidiaries (a) is in violation of any Requirements of Law (including Environmental Laws) that, individually or in the aggregate, could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4.7. Financial Statements; Material Contracts; No Material Adverse Change; Books and Records</w:t>
      </w:r>
      <w:r>
        <w:rPr>
          <w:rFonts w:ascii="Arial" w:cs="Arial" w:eastAsia="Arial" w:hAnsi="Arial"/>
          <w:sz w:val="18"/>
          <w:szCs w:val="18"/>
          <w:color w:val="auto"/>
        </w:rPr>
        <w:t>.</w:t>
      </w:r>
    </w:p>
    <w:p>
      <w:pPr>
        <w:spacing w:after="0" w:line="121" w:lineRule="exact"/>
        <w:rPr>
          <w:sz w:val="20"/>
          <w:szCs w:val="20"/>
          <w:color w:val="auto"/>
        </w:rPr>
      </w:pPr>
    </w:p>
    <w:p>
      <w:pPr>
        <w:ind w:right="20" w:firstLine="885"/>
        <w:spacing w:after="0" w:line="288" w:lineRule="auto"/>
        <w:tabs>
          <w:tab w:leader="none" w:pos="112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All consolidated financial statements of Borrower and each of its Subsidiaries delivered to Lender pursuant to </w:t>
      </w:r>
      <w:r>
        <w:rPr>
          <w:rFonts w:ascii="Arial" w:cs="Arial" w:eastAsia="Arial" w:hAnsi="Arial"/>
          <w:sz w:val="16"/>
          <w:szCs w:val="16"/>
          <w:u w:val="single" w:color="auto"/>
          <w:color w:val="auto"/>
        </w:rPr>
        <w:t>Section 3.1(m)</w:t>
      </w:r>
      <w:r>
        <w:rPr>
          <w:rFonts w:ascii="Arial" w:cs="Arial" w:eastAsia="Arial" w:hAnsi="Arial"/>
          <w:sz w:val="16"/>
          <w:szCs w:val="16"/>
          <w:color w:val="auto"/>
        </w:rPr>
        <w:t xml:space="preserve"> were prepared in conformity with Applicable Accounting Standards applied on a consistent basis throughout the periods covered thereby, except as otherwise disclosed therein and, in the case of unaudited, interim financial statements, subject to normal year-end audit adjustments and the exclusion of certain footnotes, and fairly present in all material respects the consolidated financial condition of Borrower and its Subsidiaries and their consolidated results of operations as of the dates indicated and the results of their operations and the changes in their cash flows for the periods specified. Since the date of the most recent financial statements delivered to Lender pursuant to </w:t>
      </w:r>
      <w:r>
        <w:rPr>
          <w:rFonts w:ascii="Arial" w:cs="Arial" w:eastAsia="Arial" w:hAnsi="Arial"/>
          <w:sz w:val="16"/>
          <w:szCs w:val="16"/>
          <w:u w:val="single" w:color="auto"/>
          <w:color w:val="auto"/>
        </w:rPr>
        <w:t>Section 3.1(m)</w:t>
      </w:r>
      <w:r>
        <w:rPr>
          <w:rFonts w:ascii="Arial" w:cs="Arial" w:eastAsia="Arial" w:hAnsi="Arial"/>
          <w:sz w:val="16"/>
          <w:szCs w:val="16"/>
          <w:color w:val="auto"/>
        </w:rPr>
        <w:t xml:space="preserve">, there has not been any material deterioration in the consolidated financial condition of Borrower and its Subsidiaries. Neither Borrower nor any of its Subsidiaries has any contingent liability or liability for Taxes, long-term lease (other than long-term leases entered into in the ordinary course of business) or unusual forward or long-term commitment that is not reflected in the consolidated financial statements or the notes thereto delivered to Lender pursuant to </w:t>
      </w:r>
      <w:r>
        <w:rPr>
          <w:rFonts w:ascii="Arial" w:cs="Arial" w:eastAsia="Arial" w:hAnsi="Arial"/>
          <w:sz w:val="16"/>
          <w:szCs w:val="16"/>
          <w:u w:val="single" w:color="auto"/>
          <w:color w:val="auto"/>
        </w:rPr>
        <w:t>Section 3.1(m)</w:t>
      </w:r>
      <w:r>
        <w:rPr>
          <w:rFonts w:ascii="Arial" w:cs="Arial" w:eastAsia="Arial" w:hAnsi="Arial"/>
          <w:sz w:val="16"/>
          <w:szCs w:val="16"/>
          <w:color w:val="auto"/>
        </w:rPr>
        <w:t xml:space="preserve"> and which in any such case is material in relation to the business, operations, properties, assets, or condition (financial or otherwise) of Borrower and 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436" w:name="page437"/>
    <w:bookmarkEnd w:id="43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Subsidiaries taken as a whole. Since the date of the most recent audited financial statements delivered to Lender pursuant to </w:t>
      </w:r>
      <w:r>
        <w:rPr>
          <w:rFonts w:ascii="Arial" w:cs="Arial" w:eastAsia="Arial" w:hAnsi="Arial"/>
          <w:sz w:val="18"/>
          <w:szCs w:val="18"/>
          <w:u w:val="single" w:color="auto"/>
          <w:color w:val="auto"/>
        </w:rPr>
        <w:t>Section 3.1(m)</w:t>
      </w:r>
      <w:r>
        <w:rPr>
          <w:rFonts w:ascii="Arial" w:cs="Arial" w:eastAsia="Arial" w:hAnsi="Arial"/>
          <w:sz w:val="18"/>
          <w:szCs w:val="18"/>
          <w:color w:val="auto"/>
        </w:rPr>
        <w:t>, no change in the business, assets, liabilities, financial condition or results of operations of Borrower or any of its Subsidiaries has occurred, and no event has occurred or failed to occur, that has had or could reasonably be expected to have, either alone or in conjunction with all other such changes, events and failures, a Material Adverse Change;</w:t>
      </w:r>
    </w:p>
    <w:p>
      <w:pPr>
        <w:spacing w:after="0" w:line="79" w:lineRule="exact"/>
        <w:rPr>
          <w:sz w:val="20"/>
          <w:szCs w:val="20"/>
          <w:color w:val="auto"/>
        </w:rPr>
      </w:pPr>
    </w:p>
    <w:p>
      <w:pPr>
        <w:ind w:right="20" w:firstLine="885"/>
        <w:spacing w:after="0" w:line="312" w:lineRule="auto"/>
        <w:tabs>
          <w:tab w:leader="none" w:pos="1136"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Since December 31, 2016, (i) neither Borrower nor any of its Subsidiaries has entered into any Material Contract or has incurred any liability or obligation, direct or contingent, that, individually or in the aggregate, is material to Borrower and its Subsidiaries, taken as a whole, except as otherwise disclosed in </w:t>
      </w:r>
      <w:r>
        <w:rPr>
          <w:rFonts w:ascii="Arial" w:cs="Arial" w:eastAsia="Arial" w:hAnsi="Arial"/>
          <w:sz w:val="16"/>
          <w:szCs w:val="16"/>
          <w:u w:val="single" w:color="auto"/>
          <w:color w:val="auto"/>
        </w:rPr>
        <w:t>Schedule 4.7(b)</w:t>
      </w:r>
      <w:r>
        <w:rPr>
          <w:rFonts w:ascii="Arial" w:cs="Arial" w:eastAsia="Arial" w:hAnsi="Arial"/>
          <w:sz w:val="16"/>
          <w:szCs w:val="16"/>
          <w:color w:val="auto"/>
        </w:rPr>
        <w:t xml:space="preserve"> of the Disclosure Letter or in financial statements delivered to Lender pursuant to </w:t>
      </w:r>
      <w:r>
        <w:rPr>
          <w:rFonts w:ascii="Arial" w:cs="Arial" w:eastAsia="Arial" w:hAnsi="Arial"/>
          <w:sz w:val="16"/>
          <w:szCs w:val="16"/>
          <w:u w:val="single" w:color="auto"/>
          <w:color w:val="auto"/>
        </w:rPr>
        <w:t>Section 3.1(m)(i)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39"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u w:val="single" w:color="auto"/>
          <w:color w:val="auto"/>
        </w:rPr>
        <w:t>3.1(m)(ii)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(ii) neither Borrower nor any of its Subsidiaries has sustained any loss or interference with its business that, individually or in the aggregate, is material to Borrower and its Subsidiaries, taken as a whole, and that is either from fire, explosion, flood or other calamity, whether or not covered by insurance, or from any labor disturbance or dispute or any action, order or decree of any arbitrator or Governmental Authority, except as otherwise disclosed in the financial statements delivered to Lender pursuant to </w:t>
      </w:r>
      <w:r>
        <w:rPr>
          <w:rFonts w:ascii="Arial" w:cs="Arial" w:eastAsia="Arial" w:hAnsi="Arial"/>
          <w:sz w:val="18"/>
          <w:szCs w:val="18"/>
          <w:u w:val="single" w:color="auto"/>
          <w:color w:val="auto"/>
        </w:rPr>
        <w:t>Section 3.1(m)(i)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3.1(m)(ii)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and</w:t>
      </w:r>
    </w:p>
    <w:p>
      <w:pPr>
        <w:spacing w:after="0" w:line="80" w:lineRule="exact"/>
        <w:rPr>
          <w:sz w:val="20"/>
          <w:szCs w:val="20"/>
          <w:color w:val="auto"/>
        </w:rPr>
      </w:pPr>
    </w:p>
    <w:p>
      <w:pPr>
        <w:ind w:right="180" w:firstLine="885"/>
        <w:spacing w:after="0" w:line="342" w:lineRule="auto"/>
        <w:tabs>
          <w:tab w:leader="none" w:pos="1126"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Books of Borrower and each of its Subsidiaries contain full, true and correct entries in all material respects of all material dealings and transactions in relation to its business and activities in conformity with Applicable Accounting Standards and all Requirements of Law.</w:t>
      </w:r>
    </w:p>
    <w:p>
      <w:pPr>
        <w:spacing w:after="0" w:line="120"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b w:val="1"/>
          <w:bCs w:val="1"/>
          <w:color w:val="auto"/>
        </w:rPr>
        <w:t>4.8. Solvency</w:t>
      </w:r>
      <w:r>
        <w:rPr>
          <w:rFonts w:ascii="Arial" w:cs="Arial" w:eastAsia="Arial" w:hAnsi="Arial"/>
          <w:sz w:val="16"/>
          <w:szCs w:val="16"/>
          <w:color w:val="auto"/>
        </w:rPr>
        <w:t>. Borrower is Solvent, Borrower and its Subsidiaries that are Credit Parties, on a consolidated basis, are Solvent and Borrower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 (other than in respect of a dissolution or liquidation permitted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No proposal has been made nor any resolution been adopted by any competent corporate body of any Credit Party for the statutory merger of such Credit Party with any other Person (including for any merger permitted by </w:t>
      </w:r>
      <w:r>
        <w:rPr>
          <w:rFonts w:ascii="Arial" w:cs="Arial" w:eastAsia="Arial" w:hAnsi="Arial"/>
          <w:sz w:val="16"/>
          <w:szCs w:val="16"/>
          <w:u w:val="single" w:color="auto"/>
          <w:color w:val="auto"/>
        </w:rPr>
        <w:t>Section 6.3</w:t>
      </w:r>
      <w:r>
        <w:rPr>
          <w:rFonts w:ascii="Arial" w:cs="Arial" w:eastAsia="Arial" w:hAnsi="Arial"/>
          <w:sz w:val="16"/>
          <w:szCs w:val="16"/>
          <w:color w:val="auto"/>
        </w:rPr>
        <w:t>). None of the Credit Parties has (i) made a general assignment for the benefit of creditors,</w:t>
      </w:r>
    </w:p>
    <w:p>
      <w:pPr>
        <w:spacing w:after="0" w:line="4" w:lineRule="exact"/>
        <w:rPr>
          <w:sz w:val="20"/>
          <w:szCs w:val="20"/>
          <w:color w:val="auto"/>
        </w:rPr>
      </w:pPr>
    </w:p>
    <w:p>
      <w:pPr>
        <w:ind w:right="60" w:firstLine="4"/>
        <w:spacing w:after="0" w:line="302" w:lineRule="auto"/>
        <w:tabs>
          <w:tab w:leader="none" w:pos="26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filed any voluntary petition in bankruptcy or suffered the filing of an involuntary petition by any creditor, (iii) suffered the appointment of a receiver to take possession of all or any portion of its assets, (iv) suffered the attachment or judicial seizure of all or any portion of its assets, (v) admitted in writing its inability to pay its debts as they come due, nor (vi) made an offer of settlement, extension or composition to its creditors generally.</w:t>
      </w:r>
    </w:p>
    <w:p>
      <w:pPr>
        <w:spacing w:after="0" w:line="15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b w:val="1"/>
          <w:bCs w:val="1"/>
          <w:color w:val="auto"/>
        </w:rPr>
        <w:t>4.9. Payment of Taxes</w:t>
      </w:r>
      <w:r>
        <w:rPr>
          <w:rFonts w:ascii="Arial" w:cs="Arial" w:eastAsia="Arial" w:hAnsi="Arial"/>
          <w:sz w:val="16"/>
          <w:szCs w:val="16"/>
          <w:color w:val="auto"/>
        </w:rPr>
        <w:t>. All United States federal, foreign and material state, local and other Tax returns and reports (or extensions thereof)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Credit Party and each of its Subsidiaries required to be filed by any of them have been timely filed, and all material Taxes which are due and payable by any Credit Party or any of its Subsidiaries and all material assessments, fees and other governmental charges upon any Credit Party or any of its Subsidiaries and upon their respective properties, assets, income, businesses and franchises which are due and payable have been paid when due and payable except where the validity or amount thereof is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Credit Party has set aside on its books adequate reserves therefor in conformity with Applicable Accounting Standards and (b) the failure to pay such Taxes, individually or in the aggregate, could not reasonably be expected to result in a Material Adverse Change. No Credit Party knows of any proposed Tax deficiency or assessment against it or any of its Subsidiaries which is not being actively contested by it or such Subsidiary in good faith and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reserves or other appropriate provisions, if any, as shall be required in conformity with Applicable Accounting Standards shall have been made or provided therefor. Neither any Credit Party nor any of its Subsidiaries have executed or filed with the Internal Revenue Service or any other Governmental Authority any Contract or other document extending, or having the effect of extending, the period for assessment or collection of any Taxes nor has there been any request in writing for such extension. No claim has been made by a Tax authority in a jurisdiction where any Credit Party does not pay Taxes or file Tax returns that such Credit Party is subject to Taxes assessed by such jurisdiction. No Credit Party is or will be required to include any material item of income in, or exclude any material item of deduction from, taxable income for any taxable period (or portion thereof) as a result of any intercompany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437" w:name="page438"/>
    <w:bookmarkEnd w:id="437"/>
    <w:p>
      <w:pPr>
        <w:ind w:firstLine="44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4.10. Environmental Matters</w:t>
      </w:r>
      <w:r>
        <w:rPr>
          <w:rFonts w:ascii="Arial" w:cs="Arial" w:eastAsia="Arial" w:hAnsi="Arial"/>
          <w:sz w:val="16"/>
          <w:szCs w:val="16"/>
          <w:color w:val="auto"/>
        </w:rPr>
        <w:t>. Neither Borrower nor any of its Subsidiaries nor any of its or their respective Facilities or operations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outstanding written order, consent decree or settlement Contract with any Person relating to any Environmental Law, any Environmental Claim, or any Hazardous Materials Activity that, individually or in the aggregate, could reasonably be expected to result in a Material Adverse Change. Neither Borrower nor any of its Subsidiaries has received any letter or request for information under Section 104 of the Comprehensive Environmental Response, Compensation, and Liability Act (42 U.S.C. § 9604) or any comparable state law. There are no, and to the Knowledge of each Credit Party or any of its Subsidiaries there have been no, conditions, occurrences, or Hazardous Materials Activities which could reasonably be expected to form the basis of an Environmental Claim against Borrower or any of its Subsidiaries that, individually or in the aggregate, could reasonably be expected to result in a Material Adverse Change. To the Knowledge of each Credit Party or any of its Subsidiaries, no predecessor of Borrower or any of its Subsidiaries has filed any notice under any Environmental Law indicating past or present treatment of Hazardous Materials at any Facility, and neither Borrower’s nor any of its Subsidiaries’ operations involves the generation, transportation, treatment, storage or disposal of hazardous waste, as defined under 40 C.F.R. Parts 260 270 or any state equivalent. Compliance by Borrower and its Subsidiaries with all requirements pursuant to or under Environmental Laws which are applicable to or binding upon Borrower or any of its Subsidiaries or any of its or their respective properties or assets or to which Borrower or any of its Subsidiaries or any of its or their respective properties or assets is subject could not, individually or in the aggregate, be reasonably expected to result in a Material Adverse Change.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Change.</w:t>
      </w:r>
    </w:p>
    <w:p>
      <w:pPr>
        <w:spacing w:after="0" w:line="165"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b w:val="1"/>
          <w:bCs w:val="1"/>
          <w:color w:val="auto"/>
        </w:rPr>
        <w:t>4.11. Material Contracts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Letter contains a true, correct and complete list of all of the Material Contracts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 on the Tranche A Closing Date. After giving effect to the consummation of the transactions contemplated by this Agreement and the other Loan Documents, except as described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of the Disclosure Letter, each Material Contract is a valid and binding obligation of the applicable Credit Party or its Subsidiaries and is in full force and effect, and neither the applicable Credit Party or Subsidiary nor, to the Knowledge of each Credit Party or any of its Subsidiaries, each other party thereto, is in material breach thereof or material default thereunder. Except as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of the Disclosure Letter with respect to the Existing Oxford Loan Agreement, no Credit Party or any of its Subsidiaries has received any written notice from any other party thereto asserting or, to the Knowledge of each Credit Party or any of its Subsidiaries threatening to assert, the cancellation, termination or invalidation of any Material Contract. Borrower has previously made available to Lender true, correct and complete copies of each Material Contract.</w:t>
      </w:r>
    </w:p>
    <w:p>
      <w:pPr>
        <w:spacing w:after="0" w:line="189"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4.12. Regulatory Compliance</w:t>
      </w:r>
      <w:r>
        <w:rPr>
          <w:rFonts w:ascii="Arial" w:cs="Arial" w:eastAsia="Arial" w:hAnsi="Arial"/>
          <w:sz w:val="16"/>
          <w:szCs w:val="16"/>
          <w:color w:val="auto"/>
        </w:rPr>
        <w:t>. No Credit Party is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No Credit Party is engaged as one of its important activities in extending credit for margin stock (under Regulations X, T and U of the Federal Reserve Board). Each Credit Party has complied in all material respects with the Federal Fair Labor Standards Act. Each of Borrower and its Subsidiaries and each of their respective ERISA Affiliates is in compliance with the applicable provisions of ERISA and the IRC and the regulations and published interpretations thereunder, except where such failure to comply could not reasonably be expected to result in any material liability of Borrower or its Subsidiaries or their respective ERISA Affiliates. No ERISA Event has occurred or is reasonably expected to occur that, when taken together with any other ERISA Events, could reasonably be expected to result in material liability of Borrower or its Subsidiaries or any of their respective ERISA Affiliates or the imposition of a Lien on any of the properties or assets of Borrower or any of its Subsidiaries. The present value of all accumulated benefit obligations of all underfunded Plans (based on the assumptions used for purposes of Statement of Financial Accounting Standards No. 87) did not, as of the date of the most recent financial statements reflecting such amounts, exceed by more than $250,000 the fair market value of the property of all such underfunded Plans. Neither Borrower nor any of its Subsidiaries nor any of their respective ERISA Affiliates has any Multiemployer Plan or any obligation to contribute to a Multiemployer Plan.</w:t>
      </w:r>
    </w:p>
    <w:p>
      <w:pPr>
        <w:spacing w:after="0" w:line="169"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4.13. Margin Stock</w:t>
      </w:r>
      <w:r>
        <w:rPr>
          <w:rFonts w:ascii="Arial" w:cs="Arial" w:eastAsia="Arial" w:hAnsi="Arial"/>
          <w:sz w:val="18"/>
          <w:szCs w:val="18"/>
          <w:color w:val="auto"/>
        </w:rPr>
        <w:t>. No Credit Party is engaged, nor will it engage, principally or as one of its important activities, in the business of extending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for the purpose of “purchasing” or “carrying” any “margin stock” as such terms are defined in Regulation U of the Federal Reserve Board as now and from time to time hereafter in effect (such securities being referred to herein as “</w:t>
      </w:r>
      <w:r>
        <w:rPr>
          <w:rFonts w:ascii="Arial" w:cs="Arial" w:eastAsia="Arial" w:hAnsi="Arial"/>
          <w:sz w:val="18"/>
          <w:szCs w:val="18"/>
          <w:b w:val="1"/>
          <w:bCs w:val="1"/>
          <w:color w:val="auto"/>
        </w:rPr>
        <w:t>Margin Stock</w:t>
      </w:r>
      <w:r>
        <w:rPr>
          <w:rFonts w:ascii="Arial" w:cs="Arial" w:eastAsia="Arial" w:hAnsi="Arial"/>
          <w:sz w:val="18"/>
          <w:szCs w:val="18"/>
          <w:color w:val="auto"/>
        </w:rPr>
        <w:t>”). None of the proceeds of the Credit Extensions or other extensions of credit under this Agreement will be used, directly or indirectly, for the purpose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38" w:name="page439"/>
    <w:bookmarkEnd w:id="438"/>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purchasing or carrying any Margin Stock, for the purpose of reducing or retiring any Indebtedness that was originally incurred to purchase or carry any Margin Stock or for any other purpose that might cause any of the Term Loans or other extensions of credit under this Agreement to be considered a “purpose credit” within the meaning of Regulations T, U or X of the Federal Reserve Board. No Credit Party or any of its Subsidiaries will take or permit to be taken any action that might cause any Loan Document to violate any regulation of the Federal Reserve Board.</w:t>
      </w:r>
    </w:p>
    <w:p>
      <w:pPr>
        <w:spacing w:after="0" w:line="150" w:lineRule="exact"/>
        <w:rPr>
          <w:sz w:val="20"/>
          <w:szCs w:val="20"/>
          <w:color w:val="auto"/>
        </w:rPr>
      </w:pPr>
    </w:p>
    <w:p>
      <w:pPr>
        <w:ind w:right="320" w:firstLine="441"/>
        <w:spacing w:after="0" w:line="287" w:lineRule="auto"/>
        <w:rPr>
          <w:sz w:val="20"/>
          <w:szCs w:val="20"/>
          <w:color w:val="auto"/>
        </w:rPr>
      </w:pPr>
      <w:r>
        <w:rPr>
          <w:rFonts w:ascii="Arial" w:cs="Arial" w:eastAsia="Arial" w:hAnsi="Arial"/>
          <w:sz w:val="16"/>
          <w:szCs w:val="16"/>
          <w:b w:val="1"/>
          <w:bCs w:val="1"/>
          <w:color w:val="auto"/>
        </w:rPr>
        <w:t>4.14. Subsidiaries; Investments; Affiliate Transactions</w:t>
      </w:r>
      <w:r>
        <w:rPr>
          <w:rFonts w:ascii="Arial" w:cs="Arial" w:eastAsia="Arial" w:hAnsi="Arial"/>
          <w:sz w:val="16"/>
          <w:szCs w:val="16"/>
          <w:color w:val="auto"/>
        </w:rPr>
        <w:t>. Neither Borrower nor any of its Subsidiaries owns any stock, partnership interest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equity securities except for Permitted Investments.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xml:space="preserve"> of the Disclosure Letter is a true, correct and complete list of all transactions between any Credit Party or any of its Subsidiaries, on the one hand, and any Affiliate of any Credit Party or any owner of ten percent (10%) or more of the Equity Interests of any Credit Party or any of its Subsidiaries or any Affiliate of any such Person, on the other hand (other than</w:t>
      </w:r>
    </w:p>
    <w:p>
      <w:pPr>
        <w:spacing w:after="0" w:line="3" w:lineRule="exact"/>
        <w:rPr>
          <w:sz w:val="20"/>
          <w:szCs w:val="20"/>
          <w:color w:val="auto"/>
        </w:rPr>
      </w:pPr>
    </w:p>
    <w:p>
      <w:pPr>
        <w:ind w:firstLine="4"/>
        <w:spacing w:after="0" w:line="273" w:lineRule="auto"/>
        <w:tabs>
          <w:tab w:leader="none" w:pos="242" w:val="left"/>
        </w:tabs>
        <w:numPr>
          <w:ilvl w:val="0"/>
          <w:numId w:val="396"/>
        </w:numPr>
        <w:rPr>
          <w:rFonts w:ascii="Arial" w:cs="Arial" w:eastAsia="Arial" w:hAnsi="Arial"/>
          <w:sz w:val="17"/>
          <w:szCs w:val="17"/>
          <w:color w:val="auto"/>
        </w:rPr>
      </w:pPr>
      <w:r>
        <w:rPr>
          <w:rFonts w:ascii="Arial" w:cs="Arial" w:eastAsia="Arial" w:hAnsi="Arial"/>
          <w:sz w:val="17"/>
          <w:szCs w:val="17"/>
          <w:color w:val="auto"/>
        </w:rPr>
        <w:t xml:space="preserve">Transfers of Inventory in the ordinary course of business between or among any Credit Party or any of its Subsidiaries and (b) equity offering documents, investor rights agreements, registration rights agreements, organizational documents and similar Contracts entered into in connection with any equity financing). Except as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xml:space="preserve"> of the Disclosure Letter, Borrower does not own or control, directly or indirectly, any interest in any Person other than a Subsidiary and is not a participant in any joint venture, partnership or similar arrangement.</w:t>
      </w:r>
    </w:p>
    <w:p>
      <w:pPr>
        <w:spacing w:after="0" w:line="173" w:lineRule="exact"/>
        <w:rPr>
          <w:sz w:val="20"/>
          <w:szCs w:val="20"/>
          <w:color w:val="auto"/>
        </w:rPr>
      </w:pPr>
    </w:p>
    <w:p>
      <w:pPr>
        <w:ind w:right="160" w:firstLine="441"/>
        <w:spacing w:after="0" w:line="270" w:lineRule="auto"/>
        <w:rPr>
          <w:sz w:val="20"/>
          <w:szCs w:val="20"/>
          <w:color w:val="auto"/>
        </w:rPr>
      </w:pPr>
      <w:r>
        <w:rPr>
          <w:rFonts w:ascii="Arial" w:cs="Arial" w:eastAsia="Arial" w:hAnsi="Arial"/>
          <w:sz w:val="17"/>
          <w:szCs w:val="17"/>
          <w:b w:val="1"/>
          <w:bCs w:val="1"/>
          <w:color w:val="auto"/>
        </w:rPr>
        <w:t>4.15. Employee Matters</w:t>
      </w:r>
      <w:r>
        <w:rPr>
          <w:rFonts w:ascii="Arial" w:cs="Arial" w:eastAsia="Arial" w:hAnsi="Arial"/>
          <w:sz w:val="17"/>
          <w:szCs w:val="17"/>
          <w:color w:val="auto"/>
        </w:rPr>
        <w:t>. Neither Borrower nor any of its Subsidiaries is engaged in any unfair labor practice that could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result in a Material Adverse Change. There is (a) no unfair labor practice complaint pending against Borrower or any of its Subsidiaries, or to the Knowledge of each Credit Party or any of its Subsidiaries, threatened in writing against any of them before the National Labor Relations Board and no grievance or arbitration proceeding arising out of or under any collective bargaining agreement that is so pending against Borrower or any of its Subsidiaries or to the Knowledge of each Credit Party or any of its Subsidiaries, threatened in writing against any of them, (b) no strike or work stoppage in existence or, to the Knowledge of each Credit Party or any of its Subsidiaries, threatened in writing involving Borrower or any of its Subsidiaries, and (c) to the Knowledge of each Credit Party or any of its Subsidiaries, no union representation question existing with respect to the employees of Borrower or any of its Subsidiaries and, to the Knowledge of each Credit Party or any of its Subsidiaries, no union organization activity that is taking place that, individually or together with any other matter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or this </w:t>
      </w:r>
      <w:r>
        <w:rPr>
          <w:rFonts w:ascii="Arial" w:cs="Arial" w:eastAsia="Arial" w:hAnsi="Arial"/>
          <w:sz w:val="17"/>
          <w:szCs w:val="17"/>
          <w:u w:val="single" w:color="auto"/>
          <w:color w:val="auto"/>
        </w:rPr>
        <w:t>clause (c)</w:t>
      </w:r>
      <w:r>
        <w:rPr>
          <w:rFonts w:ascii="Arial" w:cs="Arial" w:eastAsia="Arial" w:hAnsi="Arial"/>
          <w:sz w:val="17"/>
          <w:szCs w:val="17"/>
          <w:color w:val="auto"/>
        </w:rPr>
        <w:t>, could reasonably be expected to result in a Material Adverse Change.</w:t>
      </w:r>
    </w:p>
    <w:p>
      <w:pPr>
        <w:spacing w:after="0" w:line="178" w:lineRule="exact"/>
        <w:rPr>
          <w:sz w:val="20"/>
          <w:szCs w:val="20"/>
          <w:color w:val="auto"/>
        </w:rPr>
      </w:pPr>
    </w:p>
    <w:p>
      <w:pPr>
        <w:jc w:val="both"/>
        <w:ind w:right="340" w:firstLine="441"/>
        <w:spacing w:after="0" w:line="266" w:lineRule="auto"/>
        <w:rPr>
          <w:sz w:val="20"/>
          <w:szCs w:val="20"/>
          <w:color w:val="auto"/>
        </w:rPr>
      </w:pPr>
      <w:r>
        <w:rPr>
          <w:rFonts w:ascii="Arial" w:cs="Arial" w:eastAsia="Arial" w:hAnsi="Arial"/>
          <w:sz w:val="18"/>
          <w:szCs w:val="18"/>
          <w:b w:val="1"/>
          <w:bCs w:val="1"/>
          <w:color w:val="auto"/>
        </w:rPr>
        <w:t>4.16. Use of Proceeds</w:t>
      </w:r>
      <w:r>
        <w:rPr>
          <w:rFonts w:ascii="Arial" w:cs="Arial" w:eastAsia="Arial" w:hAnsi="Arial"/>
          <w:sz w:val="18"/>
          <w:szCs w:val="18"/>
          <w:color w:val="auto"/>
        </w:rPr>
        <w:t>. Borrower shall use the proceeds of the Credit Extensions solely to repay in full the Indebtedness outstanding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Oxford Loan Agreement and any and all associated costs and expenses and to fund its general business requirements and not for any other purposes, including personal, family, household or agricultural purposes.</w:t>
      </w:r>
    </w:p>
    <w:p>
      <w:pPr>
        <w:spacing w:after="0" w:line="176"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b w:val="1"/>
          <w:bCs w:val="1"/>
          <w:color w:val="auto"/>
        </w:rPr>
        <w:t>4.17. Full Disclosure</w:t>
      </w:r>
      <w:r>
        <w:rPr>
          <w:rFonts w:ascii="Arial" w:cs="Arial" w:eastAsia="Arial" w:hAnsi="Arial"/>
          <w:sz w:val="17"/>
          <w:szCs w:val="17"/>
          <w:color w:val="auto"/>
        </w:rPr>
        <w:t>. No representation or warranty of any Credit Party contained in any Loan Document or in any other documents,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or written statements (excluding any projections and pro forma financial information, any presentations made by Borrower and any third party agreements of Borrower) furnished to Lender by or on behalf of any Credit Party for use in connection with the transactions contemplated hereby contains any untrue statement of a material fact or omits to state a material fact (to the Knowledge of each Credit Party or any of its Subsidiaries, in the case of any document not furnished by it) necessary in order to make the statements contained herein or therein, not misleading in light of the circumstances in which the same were made. Any projections and pro forma financial information contained in such materials represent the best good faith estimates of the Credit Party furnishing such materials and are based on assumptions believed by such Credit Party to be fair and reasonable at the time made. Lender acknowledges and agrees that projections as to future events are not to be viewed as facts and that the actual results during the period or periods covered by such projections may differ from the projected results.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4.18. FCPA; Patriot Act; OFAC</w:t>
      </w:r>
      <w:r>
        <w:rPr>
          <w:rFonts w:ascii="Arial" w:cs="Arial" w:eastAsia="Arial" w:hAnsi="Arial"/>
          <w:sz w:val="18"/>
          <w:szCs w:val="18"/>
          <w:color w:val="auto"/>
        </w:rPr>
        <w:t>.</w:t>
      </w:r>
    </w:p>
    <w:p>
      <w:pPr>
        <w:spacing w:after="0" w:line="121" w:lineRule="exact"/>
        <w:rPr>
          <w:sz w:val="20"/>
          <w:szCs w:val="20"/>
          <w:color w:val="auto"/>
        </w:rPr>
      </w:pPr>
    </w:p>
    <w:p>
      <w:pPr>
        <w:ind w:right="120" w:firstLine="885"/>
        <w:spacing w:after="0" w:line="259" w:lineRule="auto"/>
        <w:tabs>
          <w:tab w:leader="none" w:pos="112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None of Borrower, its Subsidiaries or, to the Knowledge of each Credit Party or any of its Subsidiaries, any director, officer, agent or employee or Borrower or any Subsidiary of Borrower has (i) used any corporate funds of Borrower or any of its Subsidiaries for any unlawful contribution, gift, entertainment or other unlawful expense relating to political activity, (ii) made any direct or indirect unlawful payment to any foreign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439" w:name="page440"/>
    <w:bookmarkEnd w:id="43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domestic government official or employee from corporate funds of Borrower or any of its Subsidiaries, (iii) violated or is in violation of any provision of the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or (iv) made any bribe, rebate, payoff, influence payment, kickback or other unlawful payment, and no part of the proceeds of any Credit Extension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80" w:lineRule="exact"/>
        <w:rPr>
          <w:sz w:val="20"/>
          <w:szCs w:val="20"/>
          <w:color w:val="auto"/>
        </w:rPr>
      </w:pPr>
    </w:p>
    <w:p>
      <w:pPr>
        <w:ind w:right="40" w:firstLine="885"/>
        <w:spacing w:after="0" w:line="255" w:lineRule="auto"/>
        <w:tabs>
          <w:tab w:leader="none" w:pos="113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 The operations of Borrower and its Subsidiaries are and have been conducted at all times in compliance with applicable financial recordkeeping and reporting requirements of the Currency and Foreign Transactions Reporting Act of 1970, as amended, the Bank Secrecy Act of 1970, as amended by Title III of the Uniting and Strengthening America by Providing Appropriate Tools Required to Intercept and Obstruct Terrorism (USA PATRIOT) Act of 2001 and the money laundering laws, rules and regulations of each jurisdiction (foreign or domestic) in which Borrower or any of its Subsidiaries is subject to such jurisdiction’s Requirements of Law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(ii) no action, suit or proceeding by or before any Governmental Authority or any arbitrator involving Borrower or any of its Subsidiaries with respect to the Money Laundering Laws is pending or threatened in writing; and</w:t>
      </w:r>
    </w:p>
    <w:p>
      <w:pPr>
        <w:spacing w:after="0" w:line="81" w:lineRule="exact"/>
        <w:rPr>
          <w:rFonts w:ascii="Arial" w:cs="Arial" w:eastAsia="Arial" w:hAnsi="Arial"/>
          <w:sz w:val="18"/>
          <w:szCs w:val="18"/>
          <w:color w:val="auto"/>
        </w:rPr>
      </w:pPr>
    </w:p>
    <w:p>
      <w:pPr>
        <w:ind w:right="80" w:firstLine="885"/>
        <w:spacing w:after="0" w:line="273" w:lineRule="auto"/>
        <w:tabs>
          <w:tab w:leader="none" w:pos="112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None of Borrower, its Subsidiaries or, to the Knowledge of each Credit Party or any of its Subsidiaries, any director, officer, agent or employee of Borrower or any Subsidiary of Borrower is currently subject to any U.S. sanctions administered by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imposed by the Trading with the Enemy Act, 50 U.S.C. App. 1 et seq. Borrower will not, directly or, to the Knowledge of each Credit Party or any of its Subsidiaries, indirectly through an agent, use the proceeds of the Credit Extension, or lend, contribute or otherwise make available such proceeds to any Subsidiary, joint venture partner or other Person, for the purpose of financing the activities of any Person currently subject to any U.S. sanctions administered by OFAC.</w:t>
      </w:r>
    </w:p>
    <w:p>
      <w:pPr>
        <w:spacing w:after="0" w:line="174"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4.19. Insurance Contracts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Letter contains a true, correct and complete list of all insurance companies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which any Credit Party or any of its Subsidiaries has agreed to contracted pricing for the Products.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4.20. Health Care Matters</w:t>
      </w:r>
      <w:r>
        <w:rPr>
          <w:rFonts w:ascii="Arial" w:cs="Arial" w:eastAsia="Arial" w:hAnsi="Arial"/>
          <w:sz w:val="18"/>
          <w:szCs w:val="18"/>
          <w:color w:val="auto"/>
        </w:rPr>
        <w:t>.</w:t>
      </w:r>
    </w:p>
    <w:p>
      <w:pPr>
        <w:spacing w:after="0" w:line="121" w:lineRule="exact"/>
        <w:rPr>
          <w:sz w:val="20"/>
          <w:szCs w:val="20"/>
          <w:color w:val="auto"/>
        </w:rPr>
      </w:pPr>
    </w:p>
    <w:p>
      <w:pPr>
        <w:ind w:right="100" w:firstLine="885"/>
        <w:spacing w:after="0" w:line="279" w:lineRule="auto"/>
        <w:tabs>
          <w:tab w:leader="none" w:pos="1126" w:val="left"/>
        </w:tabs>
        <w:numPr>
          <w:ilvl w:val="0"/>
          <w:numId w:val="399"/>
        </w:numPr>
        <w:rPr>
          <w:rFonts w:ascii="Arial" w:cs="Arial" w:eastAsia="Arial" w:hAnsi="Arial"/>
          <w:sz w:val="17"/>
          <w:szCs w:val="17"/>
          <w:color w:val="auto"/>
        </w:rPr>
      </w:pPr>
      <w:r>
        <w:rPr>
          <w:rFonts w:ascii="Arial" w:cs="Arial" w:eastAsia="Arial" w:hAnsi="Arial"/>
          <w:sz w:val="17"/>
          <w:szCs w:val="17"/>
          <w:i w:val="1"/>
          <w:iCs w:val="1"/>
          <w:color w:val="auto"/>
        </w:rPr>
        <w:t>Compliance with Health Care Laws</w:t>
      </w:r>
      <w:r>
        <w:rPr>
          <w:rFonts w:ascii="Arial" w:cs="Arial" w:eastAsia="Arial" w:hAnsi="Arial"/>
          <w:sz w:val="17"/>
          <w:szCs w:val="17"/>
          <w:color w:val="auto"/>
        </w:rPr>
        <w:t>. Each Credit Party and each of its Subsidiaries, and each officer, affiliate and employee acting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each Credit Party or any of its Subsidiaries, is in compliance in all material respects with all Health Care Laws applicable to such Credit Party or Subsidiary, its products and its properties or other assets or its business or operations, including all applicable statutes, rules, regulations, standards, policies and orders administered or issued by any Governmental Authority relating to any of the foregoing.</w:t>
      </w:r>
    </w:p>
    <w:p>
      <w:pPr>
        <w:spacing w:after="0" w:line="63" w:lineRule="exact"/>
        <w:rPr>
          <w:rFonts w:ascii="Arial" w:cs="Arial" w:eastAsia="Arial" w:hAnsi="Arial"/>
          <w:sz w:val="17"/>
          <w:szCs w:val="17"/>
          <w:color w:val="auto"/>
        </w:rPr>
      </w:pPr>
    </w:p>
    <w:p>
      <w:pPr>
        <w:ind w:right="20" w:firstLine="885"/>
        <w:spacing w:after="0" w:line="271" w:lineRule="auto"/>
        <w:tabs>
          <w:tab w:leader="none" w:pos="1136" w:val="left"/>
        </w:tabs>
        <w:numPr>
          <w:ilvl w:val="0"/>
          <w:numId w:val="399"/>
        </w:numPr>
        <w:rPr>
          <w:rFonts w:ascii="Arial" w:cs="Arial" w:eastAsia="Arial" w:hAnsi="Arial"/>
          <w:sz w:val="17"/>
          <w:szCs w:val="17"/>
          <w:color w:val="auto"/>
        </w:rPr>
      </w:pPr>
      <w:r>
        <w:rPr>
          <w:rFonts w:ascii="Arial" w:cs="Arial" w:eastAsia="Arial" w:hAnsi="Arial"/>
          <w:sz w:val="17"/>
          <w:szCs w:val="17"/>
          <w:i w:val="1"/>
          <w:iCs w:val="1"/>
          <w:color w:val="auto"/>
        </w:rPr>
        <w:t>Compliance with FDA Laws (and Foreign Equivalents)</w:t>
      </w:r>
      <w:r>
        <w:rPr>
          <w:rFonts w:ascii="Arial" w:cs="Arial" w:eastAsia="Arial" w:hAnsi="Arial"/>
          <w:sz w:val="17"/>
          <w:szCs w:val="17"/>
          <w:color w:val="auto"/>
        </w:rPr>
        <w:t>. Each Credit Party and each of its Subsidiaries are in compliance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with all applicable FDA Laws, including all applicable requirements of the Food, Drug and Cosmetic Act or any of its implementing regulations (“</w:t>
      </w:r>
      <w:r>
        <w:rPr>
          <w:rFonts w:ascii="Arial" w:cs="Arial" w:eastAsia="Arial" w:hAnsi="Arial"/>
          <w:sz w:val="17"/>
          <w:szCs w:val="17"/>
          <w:b w:val="1"/>
          <w:bCs w:val="1"/>
          <w:color w:val="auto"/>
        </w:rPr>
        <w:t>FDCA</w:t>
      </w:r>
      <w:r>
        <w:rPr>
          <w:rFonts w:ascii="Arial" w:cs="Arial" w:eastAsia="Arial" w:hAnsi="Arial"/>
          <w:sz w:val="17"/>
          <w:szCs w:val="17"/>
          <w:color w:val="auto"/>
        </w:rPr>
        <w:t>”) and all applicable statutes, rules, regulations, standards, policies and orders administered or issued by any foreign Governmental Authority, relating to any Product or any aspect of the development, Manufacture, production or Commercialization thereof or otherwise. (i) None of the Products are articles which may not be introduced into interstate commerce pursuant to the requirements of the FDCA (or foreign equivalent), (ii) each Product has been developed, Manufactured or produced in all material respects in accordance with FDA Good Manufacturing Practices (or any foreign equivalent) and FDA Registration and Listing Requirements (or foreign equivalent) and (iii) each of the Products required to be approved or cleared by the FDA pursuant to the FDCA (or any foreign equivalent) has been so approved or cleared.</w:t>
      </w:r>
    </w:p>
    <w:p>
      <w:pPr>
        <w:spacing w:after="0" w:line="70" w:lineRule="exact"/>
        <w:rPr>
          <w:rFonts w:ascii="Arial" w:cs="Arial" w:eastAsia="Arial" w:hAnsi="Arial"/>
          <w:sz w:val="17"/>
          <w:szCs w:val="17"/>
          <w:color w:val="auto"/>
        </w:rPr>
      </w:pPr>
    </w:p>
    <w:p>
      <w:pPr>
        <w:ind w:right="100" w:firstLine="885"/>
        <w:spacing w:after="0" w:line="276" w:lineRule="auto"/>
        <w:tabs>
          <w:tab w:leader="none" w:pos="1126" w:val="left"/>
        </w:tabs>
        <w:numPr>
          <w:ilvl w:val="0"/>
          <w:numId w:val="399"/>
        </w:numPr>
        <w:rPr>
          <w:rFonts w:ascii="Arial" w:cs="Arial" w:eastAsia="Arial" w:hAnsi="Arial"/>
          <w:sz w:val="17"/>
          <w:szCs w:val="17"/>
          <w:color w:val="auto"/>
        </w:rPr>
      </w:pPr>
      <w:r>
        <w:rPr>
          <w:rFonts w:ascii="Arial" w:cs="Arial" w:eastAsia="Arial" w:hAnsi="Arial"/>
          <w:sz w:val="17"/>
          <w:szCs w:val="17"/>
          <w:i w:val="1"/>
          <w:iCs w:val="1"/>
          <w:color w:val="auto"/>
        </w:rPr>
        <w:t>Material Statements</w:t>
      </w:r>
      <w:r>
        <w:rPr>
          <w:rFonts w:ascii="Arial" w:cs="Arial" w:eastAsia="Arial" w:hAnsi="Arial"/>
          <w:sz w:val="17"/>
          <w:szCs w:val="17"/>
          <w:color w:val="auto"/>
        </w:rPr>
        <w:t>. None of the Credit Parties or their respective Subsidiaries nor any officer, affiliate, employee or,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each Credit Party or any of its Subsidiaries, agent, of any Credit Party or its Subsidiaries, has (i) made an untrue statement of any material fact or fraudulent statement to any Governmental Authority (including the FDA), (ii) failed to disclose any material fact to any Governmental Authority (including the FDA), or (iii) committed any act, made any statement, or failed to make any statement that, in any such case, at the time such disclosure was made, could reasonably be expected to constitute a material violation of any Health Care Law or FDA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440" w:name="page441"/>
    <w:bookmarkEnd w:id="440"/>
    <w:p>
      <w:pPr>
        <w:ind w:firstLine="885"/>
        <w:spacing w:after="0" w:line="293" w:lineRule="auto"/>
        <w:tabs>
          <w:tab w:leader="none" w:pos="1136" w:val="left"/>
        </w:tabs>
        <w:numPr>
          <w:ilvl w:val="1"/>
          <w:numId w:val="40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Audits</w:t>
      </w:r>
      <w:r>
        <w:rPr>
          <w:rFonts w:ascii="Arial" w:cs="Arial" w:eastAsia="Arial" w:hAnsi="Arial"/>
          <w:sz w:val="16"/>
          <w:szCs w:val="16"/>
          <w:color w:val="auto"/>
        </w:rPr>
        <w:t>. To the Knowledge of each Credit Party or any of its Subsidiaries, there are no facts, circumstances or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could reasonably be expected to form the basis for any material investigation, suit, claim, audit, action (legal or regulatory) or proceeding (legal or regulatory) by a Governmental Authority (other than any routine Quality System Regulation or Good Clinical Practice compliance audits required by the FDA or any routine audits conducted by notified bodies with respect to any foreign good manufacturing practices requirements) pending or threatened in writing against any Credit Party or any of its Subsidiaries relating to any of the Health Care Laws, FDA Laws or any applicable statutes, rules, regulations, standards, policies or orders administered or issued by any foreign Governmental Authority.</w:t>
      </w:r>
    </w:p>
    <w:p>
      <w:pPr>
        <w:spacing w:after="0" w:line="56" w:lineRule="exact"/>
        <w:rPr>
          <w:rFonts w:ascii="Arial" w:cs="Arial" w:eastAsia="Arial" w:hAnsi="Arial"/>
          <w:sz w:val="16"/>
          <w:szCs w:val="16"/>
          <w:color w:val="auto"/>
        </w:rPr>
      </w:pPr>
    </w:p>
    <w:p>
      <w:pPr>
        <w:ind w:right="60" w:firstLine="885"/>
        <w:spacing w:after="0" w:line="286" w:lineRule="auto"/>
        <w:tabs>
          <w:tab w:leader="none" w:pos="1126" w:val="left"/>
        </w:tabs>
        <w:numPr>
          <w:ilvl w:val="1"/>
          <w:numId w:val="400"/>
        </w:numPr>
        <w:rPr>
          <w:rFonts w:ascii="Arial" w:cs="Arial" w:eastAsia="Arial" w:hAnsi="Arial"/>
          <w:sz w:val="16"/>
          <w:szCs w:val="16"/>
          <w:color w:val="auto"/>
        </w:rPr>
      </w:pPr>
      <w:r>
        <w:rPr>
          <w:rFonts w:ascii="Arial" w:cs="Arial" w:eastAsia="Arial" w:hAnsi="Arial"/>
          <w:sz w:val="16"/>
          <w:szCs w:val="16"/>
          <w:i w:val="1"/>
          <w:iCs w:val="1"/>
          <w:color w:val="auto"/>
        </w:rPr>
        <w:t>Prohibited Transactions</w:t>
      </w:r>
      <w:r>
        <w:rPr>
          <w:rFonts w:ascii="Arial" w:cs="Arial" w:eastAsia="Arial" w:hAnsi="Arial"/>
          <w:sz w:val="16"/>
          <w:szCs w:val="16"/>
          <w:color w:val="auto"/>
        </w:rPr>
        <w:t>. None of the Credit Parties or their Subsidiaries, or any of their respective officers, affiliates or employees 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Knowledge of each Credit Party or any of its Subsidiaries, any Person acting on behalf of any Credit Party or any of its Subsidiaries, directly or indirectly: (i) offered or paid any remuneration, in cash or in kind, to, or made any financial arrangements with, any past, present or potential patient, supplier, physician, or contractor, in order to illegally obtain business or payments from such person in material violation of any Health Care Law;</w:t>
      </w:r>
    </w:p>
    <w:p>
      <w:pPr>
        <w:spacing w:after="0" w:line="1" w:lineRule="exact"/>
        <w:rPr>
          <w:rFonts w:ascii="Arial" w:cs="Arial" w:eastAsia="Arial" w:hAnsi="Arial"/>
          <w:sz w:val="16"/>
          <w:szCs w:val="16"/>
          <w:color w:val="auto"/>
        </w:rPr>
      </w:pPr>
    </w:p>
    <w:p>
      <w:pPr>
        <w:ind w:firstLine="4"/>
        <w:spacing w:after="0" w:line="286" w:lineRule="auto"/>
        <w:tabs>
          <w:tab w:leader="none" w:pos="26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has given or agreed to give, made, or is party to any illegal Contract to make, any illegal gift or gratuitous payment of any kind, nature or description (whether in money, property or services) to any past, present or potential patient, supplier, physician, contractor, or any other person in material violation of any Health Care Law; (iii) made or agreed to make, or is party to any Contract to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established or maintained any unrecorded fund or asset for any purpose or made any materially misleading, false or artificial entries on any of its books or records for any reason; or (v) made, or agreed to make, or is party to any Contract to make, any payment to any person with the intention or understanding that any part of such payment would be in material violation of any Health Care Law or that was used or given for any purpose other than that described in the documents supporting such payment. To the Knowledge of each Credit Party or any of its Subsidiaries, there are no actions threatened in writing or pending against any Credit Party or any of its Subsidiaries or their Affiliates under any federal or state whistleblower statute, including under the False Claims Act of 1863 (31 U.S.C. § 3729 et seq.).</w:t>
      </w:r>
    </w:p>
    <w:p>
      <w:pPr>
        <w:spacing w:after="0" w:line="58" w:lineRule="exact"/>
        <w:rPr>
          <w:rFonts w:ascii="Arial" w:cs="Arial" w:eastAsia="Arial" w:hAnsi="Arial"/>
          <w:sz w:val="16"/>
          <w:szCs w:val="16"/>
          <w:color w:val="auto"/>
        </w:rPr>
      </w:pPr>
    </w:p>
    <w:p>
      <w:pPr>
        <w:ind w:firstLine="885"/>
        <w:spacing w:after="0" w:line="291" w:lineRule="auto"/>
        <w:tabs>
          <w:tab w:leader="none" w:pos="1106" w:val="left"/>
        </w:tabs>
        <w:numPr>
          <w:ilvl w:val="1"/>
          <w:numId w:val="401"/>
        </w:numPr>
        <w:rPr>
          <w:rFonts w:ascii="Arial" w:cs="Arial" w:eastAsia="Arial" w:hAnsi="Arial"/>
          <w:sz w:val="16"/>
          <w:szCs w:val="16"/>
          <w:color w:val="auto"/>
        </w:rPr>
      </w:pPr>
      <w:r>
        <w:rPr>
          <w:rFonts w:ascii="Arial" w:cs="Arial" w:eastAsia="Arial" w:hAnsi="Arial"/>
          <w:sz w:val="16"/>
          <w:szCs w:val="16"/>
          <w:i w:val="1"/>
          <w:iCs w:val="1"/>
          <w:color w:val="auto"/>
        </w:rPr>
        <w:t>Exclusion</w:t>
      </w:r>
      <w:r>
        <w:rPr>
          <w:rFonts w:ascii="Arial" w:cs="Arial" w:eastAsia="Arial" w:hAnsi="Arial"/>
          <w:sz w:val="16"/>
          <w:szCs w:val="16"/>
          <w:color w:val="auto"/>
        </w:rPr>
        <w:t>. None of the Credit Parties or their Subsidiaries, nor any officer, affiliate or employee having authority to act on behalf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Credit Party or any of its Subsidiaries has been, or, to the Knowledge of each Credit Party or any of its Subsidiaries, has been threatened in writing to be,</w:t>
      </w:r>
    </w:p>
    <w:p>
      <w:pPr>
        <w:ind w:right="100" w:firstLine="4"/>
        <w:spacing w:after="0" w:line="288" w:lineRule="auto"/>
        <w:tabs>
          <w:tab w:leader="none" w:pos="215" w:val="left"/>
        </w:tabs>
        <w:numPr>
          <w:ilvl w:val="0"/>
          <w:numId w:val="402"/>
        </w:numPr>
        <w:rPr>
          <w:rFonts w:ascii="Arial" w:cs="Arial" w:eastAsia="Arial" w:hAnsi="Arial"/>
          <w:sz w:val="16"/>
          <w:szCs w:val="16"/>
          <w:color w:val="auto"/>
        </w:rPr>
      </w:pPr>
      <w:r>
        <w:rPr>
          <w:rFonts w:ascii="Arial" w:cs="Arial" w:eastAsia="Arial" w:hAnsi="Arial"/>
          <w:sz w:val="16"/>
          <w:szCs w:val="16"/>
          <w:color w:val="auto"/>
        </w:rPr>
        <w:t>excluded from any Governmental Payor Program pursuant to 42 U.S.C. § 1320a-7b and related regulations, (ii) “suspended” or “debarred” from selling products to the U.S. government or its agencies pursuant to the Federal Acquisition Regulation, relating to debarment and suspension applicable to federal government agencies generally (42 C.F.R. Subpart 9.4), or other Requirements of Law, (iii) debarred, disqualified, suspended or excluded from participation in Medicare, Medicaid or any other health care program or is listed on the General Services Administration list of excluded parties, nor, to the Knowledge of each Credit Party or any of its Subsidiaries, is any such debarment, disqualification, suspension or exclusion threatened in writing or pending, or (iv) made a party to any other action by any Governmental Authority that may prohibit the applicable Credit Party or Subsidiary from selling Products or providing services to any governmental or other purchaser pursuant to any Health Care Laws.</w:t>
      </w:r>
    </w:p>
    <w:p>
      <w:pPr>
        <w:spacing w:after="0" w:line="60" w:lineRule="exact"/>
        <w:rPr>
          <w:rFonts w:ascii="Arial" w:cs="Arial" w:eastAsia="Arial" w:hAnsi="Arial"/>
          <w:sz w:val="16"/>
          <w:szCs w:val="16"/>
          <w:color w:val="auto"/>
        </w:rPr>
      </w:pPr>
    </w:p>
    <w:p>
      <w:pPr>
        <w:ind w:right="40" w:firstLine="885"/>
        <w:spacing w:after="0" w:line="271" w:lineRule="auto"/>
        <w:tabs>
          <w:tab w:leader="none" w:pos="1136" w:val="left"/>
        </w:tabs>
        <w:numPr>
          <w:ilvl w:val="1"/>
          <w:numId w:val="402"/>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 Each Credit Party and each of its Subsidiaries is in material compliance with all applicable foreign, federal, state and local laws</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regulations regarding the privacy and security of health information and electronic transactions, including HIPAA, and the provisions of all business associate agreements (as such term is defined by HIPAA) to which it is a party, if any, and has implemented adequate policies, procedures and training designed to assure continued compliance and to detect non-compliance, to the extent applicable. To the extent applicable to any Credit Party and for so long as (i) any Credit Party is a “covered entity” as defined in 45 C.F.R. § 160.103, (ii) any Credit Party is a “business associate” as defined in 45 C.F.R. § 160.103, (iii) any Credit Party is subject to or covered by the HIPAA Administrative Requirements codified at 45 C.F.R. Parts 160 &amp; 162 or the HIPAA Security and Privacy Requirements codified at 45 C.F.R. Parts 160 &amp; 164, or (iv) any Credit Party sponsors any “group health plans” as defined in 45 C.F.R. § 160.103, such Credit Party has: (A) completed thorough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441" w:name="page442"/>
    <w:bookmarkEnd w:id="44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detailed surveys, audits, inventories, reviews, analyses and/or assessments, including risk assessments, (collectively “</w:t>
      </w:r>
      <w:r>
        <w:rPr>
          <w:rFonts w:ascii="Arial" w:cs="Arial" w:eastAsia="Arial" w:hAnsi="Arial"/>
          <w:sz w:val="18"/>
          <w:szCs w:val="18"/>
          <w:b w:val="1"/>
          <w:bCs w:val="1"/>
          <w:color w:val="auto"/>
        </w:rPr>
        <w:t>Assessments</w:t>
      </w:r>
      <w:r>
        <w:rPr>
          <w:rFonts w:ascii="Arial" w:cs="Arial" w:eastAsia="Arial" w:hAnsi="Arial"/>
          <w:sz w:val="18"/>
          <w:szCs w:val="18"/>
          <w:color w:val="auto"/>
        </w:rPr>
        <w:t>”) of all material areas of its business and operations subject to HIPAA or that could be materially and adversely affected by the failure of such Credit Party, or any Person acting on behalf of any Credit Party, as the case may be, to the extent these Assessments are appropriate or required for such Credit Party to be in material compliance with HIPAA; (B) developed a detailed plan and time line for becoming in material compliance with HIPAA (a “</w:t>
      </w:r>
      <w:r>
        <w:rPr>
          <w:rFonts w:ascii="Arial" w:cs="Arial" w:eastAsia="Arial" w:hAnsi="Arial"/>
          <w:sz w:val="18"/>
          <w:szCs w:val="18"/>
          <w:b w:val="1"/>
          <w:bCs w:val="1"/>
          <w:color w:val="auto"/>
        </w:rPr>
        <w:t>HIPAA</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 Plan</w:t>
      </w:r>
      <w:r>
        <w:rPr>
          <w:rFonts w:ascii="Arial" w:cs="Arial" w:eastAsia="Arial" w:hAnsi="Arial"/>
          <w:sz w:val="18"/>
          <w:szCs w:val="18"/>
          <w:color w:val="auto"/>
        </w:rPr>
        <w:t>”); and (C) implemented those provisions of its HIPAA Compliance Plan necessary to ensure that such Credit Party is in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HIPAA.</w:t>
      </w:r>
    </w:p>
    <w:p>
      <w:pPr>
        <w:spacing w:after="0" w:line="84" w:lineRule="exact"/>
        <w:rPr>
          <w:sz w:val="20"/>
          <w:szCs w:val="20"/>
          <w:color w:val="auto"/>
        </w:rPr>
      </w:pPr>
    </w:p>
    <w:p>
      <w:pPr>
        <w:ind w:right="180" w:firstLine="885"/>
        <w:spacing w:after="0" w:line="279" w:lineRule="auto"/>
        <w:tabs>
          <w:tab w:leader="none" w:pos="1136" w:val="left"/>
        </w:tabs>
        <w:numPr>
          <w:ilvl w:val="0"/>
          <w:numId w:val="403"/>
        </w:numPr>
        <w:rPr>
          <w:rFonts w:ascii="Arial" w:cs="Arial" w:eastAsia="Arial" w:hAnsi="Arial"/>
          <w:sz w:val="17"/>
          <w:szCs w:val="17"/>
          <w:color w:val="auto"/>
        </w:rPr>
      </w:pPr>
      <w:r>
        <w:rPr>
          <w:rFonts w:ascii="Arial" w:cs="Arial" w:eastAsia="Arial" w:hAnsi="Arial"/>
          <w:sz w:val="17"/>
          <w:szCs w:val="17"/>
          <w:i w:val="1"/>
          <w:iCs w:val="1"/>
          <w:color w:val="auto"/>
        </w:rPr>
        <w:t>Corporate Integrity Agreement</w:t>
      </w:r>
      <w:r>
        <w:rPr>
          <w:rFonts w:ascii="Arial" w:cs="Arial" w:eastAsia="Arial" w:hAnsi="Arial"/>
          <w:sz w:val="17"/>
          <w:szCs w:val="17"/>
          <w:color w:val="auto"/>
        </w:rPr>
        <w:t>. None of the Credit Parties or their Subsidiaries or their Affiliates, nor any officer, director,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or, to the Knowledge of each Credit Party or any of its Subsidiaries, agent (as those terms are defined in 42 C.F.R. § 1001.1001) thereof, is a party to, or bound by, any order, individual integrity agreement, or corporate integrity agreement with any Governmental Authority concerning compliance with any laws, rules, or regulations, issued under or in connection with a Governmental Payor Program.</w:t>
      </w:r>
    </w:p>
    <w:p>
      <w:pPr>
        <w:spacing w:after="0" w:line="63" w:lineRule="exact"/>
        <w:rPr>
          <w:rFonts w:ascii="Arial" w:cs="Arial" w:eastAsia="Arial" w:hAnsi="Arial"/>
          <w:sz w:val="17"/>
          <w:szCs w:val="17"/>
          <w:color w:val="auto"/>
        </w:rPr>
      </w:pPr>
    </w:p>
    <w:p>
      <w:pPr>
        <w:ind w:right="380" w:firstLine="885"/>
        <w:spacing w:after="0" w:line="264" w:lineRule="auto"/>
        <w:tabs>
          <w:tab w:leader="none" w:pos="1096" w:val="left"/>
        </w:tabs>
        <w:numPr>
          <w:ilvl w:val="0"/>
          <w:numId w:val="403"/>
        </w:numPr>
        <w:rPr>
          <w:rFonts w:ascii="Arial" w:cs="Arial" w:eastAsia="Arial" w:hAnsi="Arial"/>
          <w:sz w:val="18"/>
          <w:szCs w:val="18"/>
          <w:color w:val="auto"/>
        </w:rPr>
      </w:pPr>
      <w:r>
        <w:rPr>
          <w:rFonts w:ascii="Arial" w:cs="Arial" w:eastAsia="Arial" w:hAnsi="Arial"/>
          <w:sz w:val="18"/>
          <w:szCs w:val="18"/>
          <w:i w:val="1"/>
          <w:iCs w:val="1"/>
          <w:color w:val="auto"/>
        </w:rPr>
        <w:t>Reimbursement Coding</w:t>
      </w:r>
      <w:r>
        <w:rPr>
          <w:rFonts w:ascii="Arial" w:cs="Arial" w:eastAsia="Arial" w:hAnsi="Arial"/>
          <w:sz w:val="18"/>
          <w:szCs w:val="18"/>
          <w:color w:val="auto"/>
        </w:rPr>
        <w:t>. To the extent that any Credit Party or any of its Subsidiaries provides to its customers or any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coding or billing advice, such advice, to the Knowledge of each Credit Party or any of its Subsidiaries, is complete and accurate and conforms to applicable coding systems.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4.21. Regulatory Approvals.</w:t>
      </w:r>
    </w:p>
    <w:p>
      <w:pPr>
        <w:spacing w:after="0" w:line="121" w:lineRule="exact"/>
        <w:rPr>
          <w:sz w:val="20"/>
          <w:szCs w:val="20"/>
          <w:color w:val="auto"/>
        </w:rPr>
      </w:pPr>
    </w:p>
    <w:p>
      <w:pPr>
        <w:ind w:right="40" w:firstLine="885"/>
        <w:spacing w:after="0" w:line="291" w:lineRule="auto"/>
        <w:tabs>
          <w:tab w:leader="none" w:pos="1126"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Schedule 4.21</w:t>
      </w:r>
      <w:r>
        <w:rPr>
          <w:rFonts w:ascii="Arial" w:cs="Arial" w:eastAsia="Arial" w:hAnsi="Arial"/>
          <w:sz w:val="16"/>
          <w:szCs w:val="16"/>
          <w:color w:val="auto"/>
        </w:rPr>
        <w:t xml:space="preserve"> of the Disclosure Letter contains a list of all Products that have been Commercialized. Each Credit Party and its Subsidiaries, as applicable, has all Regulatory Approvals necessary to conduct its business in the manner in which such business is currently conducted. Borrower has previously made available to Lender all Regulatory Approvals, all material correspondence with Regulatory Agencies (including the FDA and any foreign equivalent) with respect to such Regulatory Approvals and all adverse event reports with respect to the Products that have been Commercialized and all requested documents related to the Products that have been Commercialized, in each case, in the possession and control of Borrower or any of its Subsidiaries. Borrower has not withheld any document or information with respect to the Products that have been Commercialized that would reasonably be considered to be material to Lender’s decision to provide the financing contemplated by this Agreement.</w:t>
      </w:r>
    </w:p>
    <w:p>
      <w:pPr>
        <w:spacing w:after="0" w:line="59" w:lineRule="exact"/>
        <w:rPr>
          <w:rFonts w:ascii="Arial" w:cs="Arial" w:eastAsia="Arial" w:hAnsi="Arial"/>
          <w:sz w:val="16"/>
          <w:szCs w:val="16"/>
          <w:color w:val="auto"/>
        </w:rPr>
      </w:pPr>
    </w:p>
    <w:p>
      <w:pPr>
        <w:ind w:right="140" w:firstLine="885"/>
        <w:spacing w:after="0" w:line="255" w:lineRule="auto"/>
        <w:tabs>
          <w:tab w:leader="none" w:pos="113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Each Credit Party and its Subsidiaries, and, to the Knowledge of each Credit Party or any of its Subsidiaries, each licensee of a Credit Party or any of its Subsidiaries of any Intellectual Property, are in compliance with, and have complied with, all applicable federal, state, local and foreign laws, rules and regulations, governing its business, including all regulations promulgated by each applicable Regulatory Agency, the failure of compliance with which could reasonably be expected to result in a Material Adverse Change. No Credit Party or its Subsidiaries has received any written notice from any Regulatory Agency citing action or inaction by any Credit Party or any of its Subsidiaries that would constitute a violation of any applicable federal, state, local and foreign laws, rules, regulations or standards, which could reasonably be expected to result in a Material Adverse Change.</w:t>
      </w:r>
    </w:p>
    <w:p>
      <w:pPr>
        <w:spacing w:after="0" w:line="81" w:lineRule="exact"/>
        <w:rPr>
          <w:rFonts w:ascii="Arial" w:cs="Arial" w:eastAsia="Arial" w:hAnsi="Arial"/>
          <w:sz w:val="18"/>
          <w:szCs w:val="18"/>
          <w:color w:val="auto"/>
        </w:rPr>
      </w:pPr>
    </w:p>
    <w:p>
      <w:pPr>
        <w:ind w:firstLine="885"/>
        <w:spacing w:after="0" w:line="289" w:lineRule="auto"/>
        <w:tabs>
          <w:tab w:leader="none" w:pos="112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to the Knowledge of each Credit Party or any of its Subsidiaries, any and all studies, tests and preclinical and clinical trials and investigations conducted by or on behalf of the Credit Parties relating to any Product have been, and are being, conducted in all material respects in accordance with all Requirements of Law, including good clinical practices (including under FDA (and foreign equivalent) regulations (including the requirements set forth in 21 C.F.R. Part 11, Part 50, Part 54, Part 56, Part 812 and Part 814, as applicable)), good laboratory practices and investigational device exemption requirements; Borrower has previously made available to Lender descriptions of the results of such studies, tests, trials and investigations, which are accurate in all material respects; and no Credit Party or any of its Subsidiaries has received any notices or correspondence from any applicable Regulatory Agency or comparable authority requiring the termination, suspension, material modification or clinical hold of any such studies, tests, trials or investigations conducted by or on behalf of a Credit Party or its Subsidiaries, which termination, suspension, material modification or clinical hold could reasonably be expected to result in a Material Adverse 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69" w:right="439" w:bottom="1440" w:gutter="0" w:footer="0" w:header="0"/>
        </w:sectPr>
      </w:pPr>
    </w:p>
    <w:bookmarkStart w:id="442" w:name="page443"/>
    <w:bookmarkEnd w:id="44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4.22. Supply and Manufacturing</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69" w:lineRule="auto"/>
        <w:tabs>
          <w:tab w:leader="none" w:pos="1126" w:val="left"/>
        </w:tabs>
        <w:numPr>
          <w:ilvl w:val="0"/>
          <w:numId w:val="405"/>
        </w:numPr>
        <w:rPr>
          <w:rFonts w:ascii="Arial" w:cs="Arial" w:eastAsia="Arial" w:hAnsi="Arial"/>
          <w:sz w:val="17"/>
          <w:szCs w:val="17"/>
          <w:color w:val="auto"/>
        </w:rPr>
      </w:pPr>
      <w:r>
        <w:rPr>
          <w:rFonts w:ascii="Arial" w:cs="Arial" w:eastAsia="Arial" w:hAnsi="Arial"/>
          <w:sz w:val="17"/>
          <w:szCs w:val="17"/>
          <w:color w:val="auto"/>
        </w:rPr>
        <w:t xml:space="preserve">To the Knowledge of each Credit Party or any of its Subsidiaries, the development, Manufacturing and production of each Product has at all times been (i) in compliance in all material respects with the final release quality specifications in effect for such Product and (ii) in compliance in all material respects with Requirements of Law, including the FDCA (and any foreign equivalent). Except as set forth on </w:t>
      </w:r>
      <w:r>
        <w:rPr>
          <w:rFonts w:ascii="Arial" w:cs="Arial" w:eastAsia="Arial" w:hAnsi="Arial"/>
          <w:sz w:val="17"/>
          <w:szCs w:val="17"/>
          <w:u w:val="single" w:color="auto"/>
          <w:color w:val="auto"/>
        </w:rPr>
        <w:t>Schedule 4.22(a)</w:t>
      </w:r>
      <w:r>
        <w:rPr>
          <w:rFonts w:ascii="Arial" w:cs="Arial" w:eastAsia="Arial" w:hAnsi="Arial"/>
          <w:sz w:val="17"/>
          <w:szCs w:val="17"/>
          <w:color w:val="auto"/>
        </w:rPr>
        <w:t xml:space="preserve"> of the Disclosure Letter, to the Knowledge of each Credit Party or any of its Subsidiaries, no Person currently Manufacturing Product and currently party to a Manufacturing Agreement and, to the actual knowledge of each Credit Party or any of its Subsidiaries, no other Person Manufacturing Product, in each case has received in the past five (5) years a Form 483 or is currently subject to a Form 483 impacting any Product with respect to any facility Manufacturing Product and that, with respect to each such Form 483, all scientific and technical violations or other issues relating to good manufacturing practice requirements documented therein, and any disputes regarding any such violations or issues, have been corrected or otherwise resolved. Each Product that has been Commercialized has at all times been Manufactured in sufficient quantities and of a sufficient quality to satisfy at least the forecasted demand of such Product (as reasonably determined by a Responsible Officer of Borrower in good faith and based upon reasonable assumptions).</w:t>
      </w:r>
    </w:p>
    <w:p>
      <w:pPr>
        <w:spacing w:after="0" w:line="74" w:lineRule="exact"/>
        <w:rPr>
          <w:rFonts w:ascii="Arial" w:cs="Arial" w:eastAsia="Arial" w:hAnsi="Arial"/>
          <w:sz w:val="17"/>
          <w:szCs w:val="17"/>
          <w:color w:val="auto"/>
        </w:rPr>
      </w:pPr>
    </w:p>
    <w:p>
      <w:pPr>
        <w:ind w:right="40" w:firstLine="885"/>
        <w:spacing w:after="0" w:line="293" w:lineRule="auto"/>
        <w:tabs>
          <w:tab w:leader="none" w:pos="1136"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4.22(b)</w:t>
      </w:r>
      <w:r>
        <w:rPr>
          <w:rFonts w:ascii="Arial" w:cs="Arial" w:eastAsia="Arial" w:hAnsi="Arial"/>
          <w:sz w:val="16"/>
          <w:szCs w:val="16"/>
          <w:color w:val="auto"/>
        </w:rPr>
        <w:t xml:space="preserve"> of the Disclosure Letter, (i) no Product has been recalled, suspended or discontinued as a result of any action by the FDA or any other Governmental Authority (or any foreign equivalent), by any Credit Party or any of its Subsidiaries or by any licensee, distributor or marketer of such Product and (ii) the Credit Parties and their Subsidiaries have maintained global post-marketing surveillance programs and procedures specifically designed to comprehensively monitor, collect and timely report any medical device reports required to be reported in relation to any of the Products in accordance with any Requirements of Law. To the Knowledge of each Credit Party or any of its Subsidiaries, there are no facts, circumstances, or conditions that could reasonably be expected to result in a recall, suspension, or discontinuance of any Product.</w:t>
      </w:r>
    </w:p>
    <w:p>
      <w:pPr>
        <w:spacing w:after="0" w:line="56" w:lineRule="exact"/>
        <w:rPr>
          <w:rFonts w:ascii="Arial" w:cs="Arial" w:eastAsia="Arial" w:hAnsi="Arial"/>
          <w:sz w:val="16"/>
          <w:szCs w:val="16"/>
          <w:color w:val="auto"/>
        </w:rPr>
      </w:pPr>
    </w:p>
    <w:p>
      <w:pPr>
        <w:ind w:right="20" w:firstLine="885"/>
        <w:spacing w:after="0" w:line="286" w:lineRule="auto"/>
        <w:tabs>
          <w:tab w:leader="none" w:pos="1126"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Schedule 4.22(c)</w:t>
      </w:r>
      <w:r>
        <w:rPr>
          <w:rFonts w:ascii="Arial" w:cs="Arial" w:eastAsia="Arial" w:hAnsi="Arial"/>
          <w:sz w:val="16"/>
          <w:szCs w:val="16"/>
          <w:color w:val="auto"/>
        </w:rPr>
        <w:t xml:space="preserve"> of the Disclosure Letter contains a true, correct and complete list of all manufacturing and supply Contracts entered into by any Credit Party or any of its Subsidiaries with third parties and in effect for the supply of Product (the “</w:t>
      </w:r>
      <w:r>
        <w:rPr>
          <w:rFonts w:ascii="Arial" w:cs="Arial" w:eastAsia="Arial" w:hAnsi="Arial"/>
          <w:sz w:val="16"/>
          <w:szCs w:val="16"/>
          <w:b w:val="1"/>
          <w:bCs w:val="1"/>
          <w:color w:val="auto"/>
        </w:rPr>
        <w:t>Manufacturing Agreements</w:t>
      </w:r>
      <w:r>
        <w:rPr>
          <w:rFonts w:ascii="Arial" w:cs="Arial" w:eastAsia="Arial" w:hAnsi="Arial"/>
          <w:sz w:val="16"/>
          <w:szCs w:val="16"/>
          <w:color w:val="auto"/>
        </w:rPr>
        <w:t xml:space="preserve">”) as of the Tranche A Closing Date. Borrower has previously made available to Lender true, correct and complete copies of each Manufacturing Agreement. After giving effect to consummation of the transactions contemplated by this Agreement and the other Loan Documents, except as described on </w:t>
      </w:r>
      <w:r>
        <w:rPr>
          <w:rFonts w:ascii="Arial" w:cs="Arial" w:eastAsia="Arial" w:hAnsi="Arial"/>
          <w:sz w:val="16"/>
          <w:szCs w:val="16"/>
          <w:u w:val="single" w:color="auto"/>
          <w:color w:val="auto"/>
        </w:rPr>
        <w:t>Schedule</w:t>
      </w:r>
    </w:p>
    <w:p>
      <w:pPr>
        <w:spacing w:after="0" w:line="1" w:lineRule="exact"/>
        <w:rPr>
          <w:rFonts w:ascii="Arial" w:cs="Arial" w:eastAsia="Arial" w:hAnsi="Arial"/>
          <w:sz w:val="16"/>
          <w:szCs w:val="16"/>
          <w:color w:val="auto"/>
        </w:rPr>
      </w:pPr>
    </w:p>
    <w:p>
      <w:pPr>
        <w:ind w:right="14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4.22(c)</w:t>
      </w:r>
      <w:r>
        <w:rPr>
          <w:rFonts w:ascii="Arial" w:cs="Arial" w:eastAsia="Arial" w:hAnsi="Arial"/>
          <w:sz w:val="16"/>
          <w:szCs w:val="16"/>
          <w:color w:val="auto"/>
        </w:rPr>
        <w:t xml:space="preserve"> of the Disclosure Letter, each Manufacturing Agreement is a valid and binding obligation of the applicable Credit Party or Subsidiary and is in full force and effect, and to the Knowledge of each Credit Party or any of its Subsidiaries, is a valid and binding obligation of any other party thereto, and neither the applicable Credit Party or its Subsidiaries or, to the Knowledge of each Credit Party or any of its Subsidiaries, any other party thereto is in breach thereof or default thereunder. Except as described on </w:t>
      </w:r>
      <w:r>
        <w:rPr>
          <w:rFonts w:ascii="Arial" w:cs="Arial" w:eastAsia="Arial" w:hAnsi="Arial"/>
          <w:sz w:val="16"/>
          <w:szCs w:val="16"/>
          <w:u w:val="single" w:color="auto"/>
          <w:color w:val="auto"/>
        </w:rPr>
        <w:t>Schedule 4.22(c)</w:t>
      </w:r>
      <w:r>
        <w:rPr>
          <w:rFonts w:ascii="Arial" w:cs="Arial" w:eastAsia="Arial" w:hAnsi="Arial"/>
          <w:sz w:val="16"/>
          <w:szCs w:val="16"/>
          <w:color w:val="auto"/>
        </w:rPr>
        <w:t xml:space="preserve"> of the Disclosure Letter, no Credit Party or any of its Subsidiaries has received any notice from any party thereto, oral or written, regarding (i) the cancellation, termination or invalidation of any Manufacturing Agreement or (ii) any indication by or intent or threat of, such party, oral or written, to reduce or cease the supply of Product through calendar year 2022.</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4.23. Additional Representations and Warranties</w:t>
      </w:r>
      <w:r>
        <w:rPr>
          <w:rFonts w:ascii="Arial" w:cs="Arial" w:eastAsia="Arial" w:hAnsi="Arial"/>
          <w:sz w:val="18"/>
          <w:szCs w:val="18"/>
          <w:color w:val="auto"/>
        </w:rPr>
        <w:t>.</w:t>
      </w:r>
    </w:p>
    <w:p>
      <w:pPr>
        <w:spacing w:after="0" w:line="121" w:lineRule="exact"/>
        <w:rPr>
          <w:sz w:val="20"/>
          <w:szCs w:val="20"/>
          <w:color w:val="auto"/>
        </w:rPr>
      </w:pPr>
    </w:p>
    <w:p>
      <w:pPr>
        <w:ind w:right="60" w:firstLine="885"/>
        <w:spacing w:after="0" w:line="277" w:lineRule="auto"/>
        <w:tabs>
          <w:tab w:leader="none" w:pos="112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4.23(a)</w:t>
      </w:r>
      <w:r>
        <w:rPr>
          <w:rFonts w:ascii="Arial" w:cs="Arial" w:eastAsia="Arial" w:hAnsi="Arial"/>
          <w:sz w:val="18"/>
          <w:szCs w:val="18"/>
          <w:color w:val="auto"/>
        </w:rPr>
        <w:t xml:space="preserve"> of the Disclosure Letter, after giving effect to consummation of the transactions contemplated by this Agreement and the other Loan Documents, as of the Tranche A Closing Date, there is no Subordinated Debt.</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There are no Hedging Agreements other than Permitted Hedging Agreements.</w:t>
      </w:r>
    </w:p>
    <w:p>
      <w:pPr>
        <w:spacing w:after="0" w:line="117" w:lineRule="exact"/>
        <w:rPr>
          <w:rFonts w:ascii="Arial" w:cs="Arial" w:eastAsia="Arial" w:hAnsi="Arial"/>
          <w:sz w:val="18"/>
          <w:szCs w:val="18"/>
          <w:color w:val="auto"/>
        </w:rPr>
      </w:pPr>
    </w:p>
    <w:p>
      <w:pPr>
        <w:ind w:right="500" w:firstLine="885"/>
        <w:spacing w:after="0" w:line="308" w:lineRule="auto"/>
        <w:tabs>
          <w:tab w:leader="none" w:pos="112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Since December 31, 2016, there shall not have occurred or failed to occur any change or event that has had or could reasonably be expected to have, either alone or in conjunction with any other change(s), event(s) or failure(s), a Material Adverse Change.</w:t>
      </w:r>
    </w:p>
    <w:p>
      <w:pPr>
        <w:spacing w:after="0" w:line="38" w:lineRule="exact"/>
        <w:rPr>
          <w:rFonts w:ascii="Arial" w:cs="Arial" w:eastAsia="Arial" w:hAnsi="Arial"/>
          <w:sz w:val="17"/>
          <w:szCs w:val="17"/>
          <w:color w:val="auto"/>
        </w:rPr>
      </w:pPr>
    </w:p>
    <w:p>
      <w:pPr>
        <w:ind w:left="1140" w:hanging="255"/>
        <w:spacing w:after="0"/>
        <w:tabs>
          <w:tab w:leader="none" w:pos="11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No Default exists hereunder.</w:t>
      </w:r>
    </w:p>
    <w:p>
      <w:pPr>
        <w:spacing w:after="0" w:line="117" w:lineRule="exact"/>
        <w:rPr>
          <w:rFonts w:ascii="Arial" w:cs="Arial" w:eastAsia="Arial" w:hAnsi="Arial"/>
          <w:sz w:val="18"/>
          <w:szCs w:val="18"/>
          <w:color w:val="auto"/>
        </w:rPr>
      </w:pPr>
    </w:p>
    <w:p>
      <w:pPr>
        <w:ind w:right="20" w:firstLine="885"/>
        <w:spacing w:after="0" w:line="342" w:lineRule="auto"/>
        <w:tabs>
          <w:tab w:leader="none" w:pos="112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Neither any Credit Party nor any of its Subsidiaries own or have owned in the past any real property and neither any Credit Party nor any of its Subsidiaries lease any real property other than the properties subject to the leases set forth in </w:t>
      </w:r>
      <w:r>
        <w:rPr>
          <w:rFonts w:ascii="Arial" w:cs="Arial" w:eastAsia="Arial" w:hAnsi="Arial"/>
          <w:sz w:val="16"/>
          <w:szCs w:val="16"/>
          <w:u w:val="single" w:color="auto"/>
          <w:color w:val="auto"/>
        </w:rPr>
        <w:t>Schedule 4.23(e)</w:t>
      </w:r>
      <w:r>
        <w:rPr>
          <w:rFonts w:ascii="Arial" w:cs="Arial" w:eastAsia="Arial" w:hAnsi="Arial"/>
          <w:sz w:val="16"/>
          <w:szCs w:val="16"/>
          <w:color w:val="auto"/>
        </w:rPr>
        <w:t xml:space="preserve"> of the Disclosure Letter.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443" w:name="page444"/>
    <w:bookmarkEnd w:id="443"/>
    <w:p>
      <w:pPr>
        <w:ind w:right="640" w:firstLine="885"/>
        <w:spacing w:after="0" w:line="277" w:lineRule="auto"/>
        <w:tabs>
          <w:tab w:leader="none" w:pos="1106" w:val="left"/>
        </w:tabs>
        <w:numPr>
          <w:ilvl w:val="1"/>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Consulting Royalties due and payable with respect to any Product and there are no Contracts pursuant to which any Consulting Royalties will become due and payable with respect to any Product.</w:t>
      </w:r>
    </w:p>
    <w:p>
      <w:pPr>
        <w:spacing w:after="0" w:line="166" w:lineRule="exact"/>
        <w:rPr>
          <w:rFonts w:ascii="Arial" w:cs="Arial" w:eastAsia="Arial" w:hAnsi="Arial"/>
          <w:sz w:val="18"/>
          <w:szCs w:val="18"/>
          <w:color w:val="auto"/>
        </w:rPr>
      </w:pPr>
    </w:p>
    <w:p>
      <w:pPr>
        <w:ind w:left="620" w:hanging="176"/>
        <w:spacing w:after="0"/>
        <w:tabs>
          <w:tab w:leader="none" w:pos="62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Each Credit Party covenants and agrees that, until payment in full of all Obligations (other than inchoate indemnity obligations), each Credit Party shall, and shall cause each of its Subsidiaries to:</w:t>
      </w:r>
    </w:p>
    <w:p>
      <w:pPr>
        <w:spacing w:after="0" w:line="166"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b w:val="1"/>
          <w:bCs w:val="1"/>
          <w:color w:val="auto"/>
        </w:rPr>
        <w:t>5.1. Government Compliance</w:t>
      </w:r>
      <w:r>
        <w:rPr>
          <w:rFonts w:ascii="Arial" w:cs="Arial" w:eastAsia="Arial" w:hAnsi="Arial"/>
          <w:sz w:val="17"/>
          <w:szCs w:val="17"/>
          <w:color w:val="auto"/>
        </w:rPr>
        <w:t>. Except as permitted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6.3</w:t>
      </w:r>
      <w:r>
        <w:rPr>
          <w:rFonts w:ascii="Arial" w:cs="Arial" w:eastAsia="Arial" w:hAnsi="Arial"/>
          <w:sz w:val="17"/>
          <w:szCs w:val="17"/>
          <w:color w:val="auto"/>
        </w:rPr>
        <w:t>, maintain its and all its Subsidiaries’ legal existence and good standing 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jurisdictions of formation and maintain qualification in each other jurisdiction in which the failure to so qualify could reasonably be expected to result in a Material Adverse Change. Each Credit Party shall (i) comply, and cause each of its Subsidiaries to comply, with all Requirements of Law of any Governmental Authority to which it is subject, noncompliance with which could reasonably be expected to result, individually or in the aggregate, in a Material Adverse Change, (ii) maintain policies that assure that each of its employees has all required licenses, credentials, approvals and other certifications to perform his or her duties and (iii) obtain, and take all necessary action to timely renew, all material permits, licenses and authorizations which are necessary in the proper conduct of its business.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Financial Statements, Compliance Certificates; Notices; Reports</w:t>
      </w:r>
      <w:r>
        <w:rPr>
          <w:rFonts w:ascii="Arial" w:cs="Arial" w:eastAsia="Arial" w:hAnsi="Arial"/>
          <w:sz w:val="18"/>
          <w:szCs w:val="18"/>
          <w:color w:val="auto"/>
        </w:rPr>
        <w:t>. Deliver to Lender:</w:t>
      </w:r>
    </w:p>
    <w:p>
      <w:pPr>
        <w:spacing w:after="0" w:line="121" w:lineRule="exact"/>
        <w:rPr>
          <w:sz w:val="20"/>
          <w:szCs w:val="20"/>
          <w:color w:val="auto"/>
        </w:rPr>
      </w:pPr>
    </w:p>
    <w:p>
      <w:pPr>
        <w:ind w:left="1120" w:hanging="235"/>
        <w:spacing w:after="0"/>
        <w:tabs>
          <w:tab w:leader="none" w:pos="112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Financial Statements; Compliance Certificate; Other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851"/>
        <w:spacing w:after="0" w:line="285" w:lineRule="auto"/>
        <w:tabs>
          <w:tab w:leader="none" w:pos="1501"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So long as Borrower is not a Public Reporting Company, (1) as soon as available, but in any event within one hundred eighty (180) days after the end of each fiscal year of Borrower, beginning with the fiscal year ending December 31, 2017, a consolidated balance sheet of Borrower and its Subsidiaries as of the end of such fiscal year, and the related consolidated statements of income, cash flows and stockholders’ equity for such fiscal year, setting forth in each case in comparative form the figures for the previous fiscal year, with such consolidated financial statements to be audited and accompanied by (A) a report and opinion of Borrower’s independent certified public accounting firm of recognized national or regional standing (which report and opinion shall be prepared in accordance with Applicable Accounting Standards and shall not be subject to any qualification as to scope of audit, but which may be subject to a qualification as to “going concern”), stating that such financial statements fairly present, in all material respects, the consolidated financial condition, results of operations and cash flows of Borrower as of the dates and for the periods specified in accordance with Applicable Accounting Standards, and (B) (if and only if Borrower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Borrower’s internal controls pursuant to Section 404 of the Sarbanes-Oxley Act of 2002 attesting that such internal controls meet the requirements of the Sarbanes-Oxley Act of 2002 and (2) as soon as available, but in any event within sixty (60) days after the end of each fiscal year of Borrower, beginning with the fiscal year ending December 31, 2017, an unaudited consolidated balance sheet of Borrower and its Subsidiaries as of the end of such fiscal year, and the related unaudited consolidated statements of income, cash flows and stockholders’ equity for such fiscal year, setting forth in each case in comparative form the figures for the previous fiscal year. Each of the foregoing consolidated financial statements shall be certified by a Responsible Officer as, to his or her knowledge, fairly presenting, in all material respects, the consolidated financial condition, results of operations and cash flows of Borrower and its Subsidiaries as of the dates and for the periods specified in accordance with Applicable Accounting Standards consistently applied;</w:t>
      </w:r>
    </w:p>
    <w:p>
      <w:pPr>
        <w:spacing w:after="0" w:line="62" w:lineRule="exact"/>
        <w:rPr>
          <w:rFonts w:ascii="Arial" w:cs="Arial" w:eastAsia="Arial" w:hAnsi="Arial"/>
          <w:sz w:val="16"/>
          <w:szCs w:val="16"/>
          <w:color w:val="auto"/>
        </w:rPr>
      </w:pPr>
    </w:p>
    <w:p>
      <w:pPr>
        <w:ind w:left="440" w:right="180" w:firstLine="851"/>
        <w:spacing w:after="0" w:line="257" w:lineRule="auto"/>
        <w:tabs>
          <w:tab w:leader="none" w:pos="1551"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So long as Borrower is not a Public Reporting Company, as soon as available, but in any event within sixty (60) days after the end of each of the first three (3) fiscal quarters of each fiscal year of Borrower, beginning with the fiscal quarter ending March 31, 2018,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then-elapsed portion of Borrower’s fiscal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444" w:name="page445"/>
    <w:bookmarkEnd w:id="444"/>
    <w:p>
      <w:pPr>
        <w:ind w:left="440"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year, setting forth in each case in comparative form the figures for the comparable period or periods in the previous fiscal year, subject to normal year-end audit adjustments and the absence of disclosures normally made in footnotes. Such consolidated financial statements shall be certified by a Responsible Officer as, to his or her knowledge, fairly presenting, in all material respects, the consolidated financial condition, results of operations and cash flows of Borrower and its Subsidiaries as of the dates and for the periods specified in accordance with Applicable Accounting Standards consistently applied, and on a basis consistent with the audited consolidated financial statements referred to under </w:t>
      </w:r>
      <w:r>
        <w:rPr>
          <w:rFonts w:ascii="Arial" w:cs="Arial" w:eastAsia="Arial" w:hAnsi="Arial"/>
          <w:sz w:val="17"/>
          <w:szCs w:val="17"/>
          <w:u w:val="single" w:color="auto"/>
          <w:color w:val="auto"/>
        </w:rPr>
        <w:t>Section 5.2(a)(i)</w:t>
      </w:r>
      <w:r>
        <w:rPr>
          <w:rFonts w:ascii="Arial" w:cs="Arial" w:eastAsia="Arial" w:hAnsi="Arial"/>
          <w:sz w:val="17"/>
          <w:szCs w:val="17"/>
          <w:color w:val="auto"/>
        </w:rPr>
        <w:t>, subject to normal year-end audit adjustments and the absence of footnotes;</w:t>
      </w:r>
    </w:p>
    <w:p>
      <w:pPr>
        <w:spacing w:after="0" w:line="70" w:lineRule="exact"/>
        <w:rPr>
          <w:sz w:val="20"/>
          <w:szCs w:val="20"/>
          <w:color w:val="auto"/>
        </w:rPr>
      </w:pPr>
    </w:p>
    <w:p>
      <w:pPr>
        <w:ind w:left="440" w:firstLine="851"/>
        <w:spacing w:after="0" w:line="285" w:lineRule="auto"/>
        <w:tabs>
          <w:tab w:leader="none" w:pos="1601"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As soon as available, but in no event later than sixty (60) days after the last day of each fiscal quarter, commencing with the fiscal quarter ending December 31, 2017, a duly completed Compliance Certificate signed by a Responsible Officer, among other things (i) certifying that no Event of Default or Default has occurred or, if such an Event of Default or Default has occurred, specifying the nature and extent thereof and any corrective action taken or proposed to be taken with respect thereto and (ii) setting forth computations in reasonable detail satisfactory to Lender, acting reasonably, demonstrating compliance with the covenants contained in</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60" w:firstLine="851"/>
        <w:spacing w:after="0" w:line="254" w:lineRule="auto"/>
        <w:tabs>
          <w:tab w:leader="none" w:pos="1591"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SEC Statements</w:t>
      </w:r>
      <w:r>
        <w:rPr>
          <w:rFonts w:ascii="Arial" w:cs="Arial" w:eastAsia="Arial" w:hAnsi="Arial"/>
          <w:sz w:val="18"/>
          <w:szCs w:val="18"/>
          <w:color w:val="auto"/>
        </w:rPr>
        <w:t>. After Borrower becomes a Public Reporting Company: (A) within five (5) days of filing, access (via posting such reports, or providing a link thereto, on Borrower’s website on the internet at Borrower’s website address) to all reports on Form 10-K and Form 10-Q filed with the SEC, any Governmental Authority succeeding to any or all of the functions of the SEC or with any national securities exchange; (B) within five (5) days of filing, written notice and access (via posting such reports, or providing a link thereto, on Borrower’s website on the internet at Borrower’s website address) to all reports on Form 8-K filed with the SEC; and (C) copies of (via posting such reports, statements or materials, or providing a link thereto, on Borrower’s website on the internet at Borrower’s website address) all other reports, proxy statements and other materials filed by Borrower with the SEC, any Governmental Authority succeeding to any of the functions of the SEC or with any national securities exchange; and</w:t>
      </w:r>
    </w:p>
    <w:p>
      <w:pPr>
        <w:spacing w:after="0" w:line="84" w:lineRule="exact"/>
        <w:rPr>
          <w:rFonts w:ascii="Arial" w:cs="Arial" w:eastAsia="Arial" w:hAnsi="Arial"/>
          <w:sz w:val="18"/>
          <w:szCs w:val="18"/>
          <w:color w:val="auto"/>
        </w:rPr>
      </w:pPr>
    </w:p>
    <w:p>
      <w:pPr>
        <w:ind w:left="440" w:right="100" w:firstLine="851"/>
        <w:spacing w:after="0" w:line="297" w:lineRule="auto"/>
        <w:tabs>
          <w:tab w:leader="none" w:pos="1541"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Information during Event of Default</w:t>
      </w:r>
      <w:r>
        <w:rPr>
          <w:rFonts w:ascii="Arial" w:cs="Arial" w:eastAsia="Arial" w:hAnsi="Arial"/>
          <w:sz w:val="16"/>
          <w:szCs w:val="16"/>
          <w:color w:val="auto"/>
        </w:rPr>
        <w:t xml:space="preserve">. As promptly as practicable (and in any event within five (5) Business Days of the request therefor), such additional information regarding the business or financial affairs of Borrower or any of its Subsidiaries, or compliance with any of the terms or provisions of this Agreement or any other Loan Document, as Lender may from time to time reasonably request during the existence of any Event of Default (subject to reasonable requirements of confidentiality, including requirements imposed by law or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disclose any information that is reasonably subject to the assertion of attorney-client privilege);</w:t>
      </w:r>
    </w:p>
    <w:p>
      <w:pPr>
        <w:spacing w:after="0" w:line="158"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color w:val="auto"/>
        </w:rPr>
        <w:t>All statements and certificates (as applicable) of Borrower and each of its Subsidiaries required to be delivered to Lender pursuant to this Section 5.2(a) will be prepared in conformity with Applicable Accounting Standards (other than any immaterial deviations thereto) applied on a consistent basis throughout the periods covered thereby and will fairly present in all material respects the consolidated financial condition of Borrower and its Subsidiaries and their consolidated results of operations as of the dates indicated and the changes in their cash flows for the periods specified (other than any pro forma statements and projections provided to Lender, such pro forma statements and projections representing the best good faith estimates of Borrower and being based on assumptions believed by Borrower to be fair and reasonable at the time made, and with respect to any such pro forma statements or projections which include adjustments from Applicable Accounting Standards, such adjusted pro forma statements and projections being in the same format as provided to the audit committee of the Board of Directors);</w:t>
      </w:r>
    </w:p>
    <w:p>
      <w:pPr>
        <w:spacing w:after="0" w:line="71" w:lineRule="exact"/>
        <w:rPr>
          <w:sz w:val="20"/>
          <w:szCs w:val="20"/>
          <w:color w:val="auto"/>
        </w:rPr>
      </w:pPr>
    </w:p>
    <w:p>
      <w:pPr>
        <w:ind w:left="1140" w:hanging="255"/>
        <w:spacing w:after="0"/>
        <w:tabs>
          <w:tab w:leader="none" w:pos="11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885"/>
        <w:spacing w:after="0" w:line="342" w:lineRule="auto"/>
        <w:tabs>
          <w:tab w:leader="none" w:pos="1126"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So long as Borrower is not a Public Reporting Company, copies of all statements, reports and notices made available to Borrower’s security holders generally or to any holders of Subordinated Debt, in each case, within five (5) days of delivery to any such Person;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45" w:name="page446"/>
    <w:bookmarkEnd w:id="445"/>
    <w:p>
      <w:pPr>
        <w:ind w:left="-40" w:right="80" w:firstLine="885"/>
        <w:spacing w:after="0" w:line="255" w:lineRule="auto"/>
        <w:tabs>
          <w:tab w:leader="none" w:pos="109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Action Notice</w:t>
      </w:r>
      <w:r>
        <w:rPr>
          <w:rFonts w:ascii="Arial" w:cs="Arial" w:eastAsia="Arial" w:hAnsi="Arial"/>
          <w:sz w:val="18"/>
          <w:szCs w:val="18"/>
          <w:color w:val="auto"/>
        </w:rPr>
        <w:t>. As promptly as practicable, a report of any legal action, litigation, investigation or proceeding pending or, in each case, threatened in writing against any Credit Party or any Subsidiary, or any material development in any such legal action, litigation, investigation or proceeding (i) that could result in damages or costs to such Credit Party or such Subsidiary in an amount in excess of $250,000, individually, or $500,000, in the aggregate, when aggregated with all pending or threatened (in writing) legal actions against all Credit Parties and their respective Subsidiaries or (ii) which alleges potential violations of the Health Care Laws, the FDA Laws or any applicable statutes, rules, regulations, standards, policies or orders administered or issued by any foreign Governmental Authority, which, individually or in the aggregate, could reasonably be expected to have a Material Adverse Change;</w:t>
      </w:r>
    </w:p>
    <w:p>
      <w:pPr>
        <w:spacing w:after="0" w:line="81" w:lineRule="exact"/>
        <w:rPr>
          <w:rFonts w:ascii="Arial" w:cs="Arial" w:eastAsia="Arial" w:hAnsi="Arial"/>
          <w:sz w:val="18"/>
          <w:szCs w:val="18"/>
          <w:color w:val="auto"/>
        </w:rPr>
      </w:pPr>
    </w:p>
    <w:p>
      <w:pPr>
        <w:ind w:left="-40" w:right="20" w:firstLine="885"/>
        <w:spacing w:after="0" w:line="276" w:lineRule="auto"/>
        <w:tabs>
          <w:tab w:leader="none" w:pos="1086"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Consolidated Plan and Financial Forecast; Board Approved Projections</w:t>
      </w:r>
      <w:r>
        <w:rPr>
          <w:rFonts w:ascii="Arial" w:cs="Arial" w:eastAsia="Arial" w:hAnsi="Arial"/>
          <w:sz w:val="17"/>
          <w:szCs w:val="17"/>
          <w:color w:val="auto"/>
        </w:rPr>
        <w:t xml:space="preserve">. No later than March 1 of each fiscal year of Borrower, a consolidated plan and financial forecast of Borrower and its Subsidiaries through the Term Loan Maturity Date, including a forecasted consolidated balance sheet, statements of income and cash flows, and an explanation of the assumptions on which such forecast is based and demonstrating projected compliance with the financial covenants set forth in </w:t>
      </w:r>
      <w:r>
        <w:rPr>
          <w:rFonts w:ascii="Arial" w:cs="Arial" w:eastAsia="Arial" w:hAnsi="Arial"/>
          <w:sz w:val="17"/>
          <w:szCs w:val="17"/>
          <w:u w:val="single" w:color="auto"/>
          <w:color w:val="auto"/>
        </w:rPr>
        <w:t>Sections 5.12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6.17</w:t>
      </w:r>
      <w:r>
        <w:rPr>
          <w:rFonts w:ascii="Arial" w:cs="Arial" w:eastAsia="Arial" w:hAnsi="Arial"/>
          <w:sz w:val="17"/>
          <w:szCs w:val="17"/>
          <w:color w:val="auto"/>
        </w:rPr>
        <w:t xml:space="preserve"> and any amendments thereto or financial projections (or amendments to financial projections) approved by the Board of Directors, whether quarterly or otherwise;</w:t>
      </w:r>
    </w:p>
    <w:p>
      <w:pPr>
        <w:spacing w:after="0" w:line="64" w:lineRule="exact"/>
        <w:rPr>
          <w:rFonts w:ascii="Arial" w:cs="Arial" w:eastAsia="Arial" w:hAnsi="Arial"/>
          <w:sz w:val="17"/>
          <w:szCs w:val="17"/>
          <w:color w:val="auto"/>
        </w:rPr>
      </w:pPr>
    </w:p>
    <w:p>
      <w:pPr>
        <w:ind w:left="1080" w:hanging="235"/>
        <w:spacing w:after="0"/>
        <w:tabs>
          <w:tab w:leader="none" w:pos="108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As promptly as practicable, other financial information reasonably requested by Lender;</w:t>
      </w:r>
    </w:p>
    <w:p>
      <w:pPr>
        <w:spacing w:after="0" w:line="117" w:lineRule="exact"/>
        <w:rPr>
          <w:rFonts w:ascii="Arial" w:cs="Arial" w:eastAsia="Arial" w:hAnsi="Arial"/>
          <w:sz w:val="18"/>
          <w:szCs w:val="18"/>
          <w:color w:val="auto"/>
        </w:rPr>
      </w:pPr>
    </w:p>
    <w:p>
      <w:pPr>
        <w:ind w:left="-40" w:right="220" w:firstLine="885"/>
        <w:spacing w:after="0" w:line="279" w:lineRule="auto"/>
        <w:tabs>
          <w:tab w:leader="none" w:pos="1096"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Notice of Defaults, Events of Default, ERISA Events and Material Adverse Change</w:t>
      </w:r>
      <w:r>
        <w:rPr>
          <w:rFonts w:ascii="Arial" w:cs="Arial" w:eastAsia="Arial" w:hAnsi="Arial"/>
          <w:sz w:val="17"/>
          <w:szCs w:val="17"/>
          <w:color w:val="auto"/>
        </w:rPr>
        <w:t xml:space="preserve">. Written notice as promptly as practicable (and in any event within five (5) Business Days) after a Responsible Officer of Borrower or any of its Subsidiaries shall have obtained knowledge of the occurrence of (i) any Default or Event of Default, (ii) any ERISA Event or (iii) any event or circumstance that would render the representations and warranties in </w:t>
      </w:r>
      <w:r>
        <w:rPr>
          <w:rFonts w:ascii="Arial" w:cs="Arial" w:eastAsia="Arial" w:hAnsi="Arial"/>
          <w:sz w:val="17"/>
          <w:szCs w:val="17"/>
          <w:u w:val="single" w:color="auto"/>
          <w:color w:val="auto"/>
        </w:rPr>
        <w:t>Section 4.23(c)</w:t>
      </w:r>
      <w:r>
        <w:rPr>
          <w:rFonts w:ascii="Arial" w:cs="Arial" w:eastAsia="Arial" w:hAnsi="Arial"/>
          <w:sz w:val="17"/>
          <w:szCs w:val="17"/>
          <w:color w:val="auto"/>
        </w:rPr>
        <w:t xml:space="preserve"> or the ultimate sentence of </w:t>
      </w:r>
      <w:r>
        <w:rPr>
          <w:rFonts w:ascii="Arial" w:cs="Arial" w:eastAsia="Arial" w:hAnsi="Arial"/>
          <w:sz w:val="17"/>
          <w:szCs w:val="17"/>
          <w:u w:val="single" w:color="auto"/>
          <w:color w:val="auto"/>
        </w:rPr>
        <w:t>Section 4.7(a)</w:t>
      </w:r>
      <w:r>
        <w:rPr>
          <w:rFonts w:ascii="Arial" w:cs="Arial" w:eastAsia="Arial" w:hAnsi="Arial"/>
          <w:sz w:val="17"/>
          <w:szCs w:val="17"/>
          <w:color w:val="auto"/>
        </w:rPr>
        <w:t xml:space="preserve"> untrue if made at such time;</w:t>
      </w:r>
    </w:p>
    <w:p>
      <w:pPr>
        <w:spacing w:after="0" w:line="63" w:lineRule="exact"/>
        <w:rPr>
          <w:rFonts w:ascii="Arial" w:cs="Arial" w:eastAsia="Arial" w:hAnsi="Arial"/>
          <w:sz w:val="17"/>
          <w:szCs w:val="17"/>
          <w:color w:val="auto"/>
        </w:rPr>
      </w:pPr>
    </w:p>
    <w:p>
      <w:pPr>
        <w:ind w:left="-40" w:right="80" w:firstLine="885"/>
        <w:spacing w:after="0" w:line="277" w:lineRule="auto"/>
        <w:tabs>
          <w:tab w:leader="none" w:pos="109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Intellectual Property; Regulatory</w:t>
      </w:r>
      <w:r>
        <w:rPr>
          <w:rFonts w:ascii="Arial" w:cs="Arial" w:eastAsia="Arial" w:hAnsi="Arial"/>
          <w:sz w:val="18"/>
          <w:szCs w:val="18"/>
          <w:color w:val="auto"/>
        </w:rPr>
        <w:t>. Written notice as promptly as practicable (and in any event no later than five (5) Business Days) after a Responsible Officer of Borrower or any of its Subsidiaries shall have obtained Knowledge of any of the following:</w:t>
      </w:r>
    </w:p>
    <w:p>
      <w:pPr>
        <w:spacing w:after="0" w:line="62" w:lineRule="exact"/>
        <w:rPr>
          <w:rFonts w:ascii="Arial" w:cs="Arial" w:eastAsia="Arial" w:hAnsi="Arial"/>
          <w:sz w:val="18"/>
          <w:szCs w:val="18"/>
          <w:color w:val="auto"/>
        </w:rPr>
      </w:pPr>
    </w:p>
    <w:p>
      <w:pPr>
        <w:ind w:left="400" w:right="100" w:firstLine="851"/>
        <w:spacing w:after="0" w:line="259" w:lineRule="auto"/>
        <w:tabs>
          <w:tab w:leader="none" w:pos="146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material breach or default by Borrower or any of its Subsidiaries of any covenant, agreement or other provision of (A) this Agreement or any other Loan Document, or (B) any Current Company IP Agreement or any Material Contract (other than this Agreement or any other Loan Document) that, individually or together with any other such breach or default, could reasonably be expected to result in a Material Adverse Change;</w:t>
      </w:r>
    </w:p>
    <w:p>
      <w:pPr>
        <w:spacing w:after="0" w:line="78" w:lineRule="exact"/>
        <w:rPr>
          <w:rFonts w:ascii="Arial" w:cs="Arial" w:eastAsia="Arial" w:hAnsi="Arial"/>
          <w:sz w:val="18"/>
          <w:szCs w:val="18"/>
          <w:color w:val="auto"/>
        </w:rPr>
      </w:pPr>
    </w:p>
    <w:p>
      <w:pPr>
        <w:ind w:left="400" w:right="180" w:firstLine="851"/>
        <w:spacing w:after="0" w:line="277" w:lineRule="auto"/>
        <w:tabs>
          <w:tab w:leader="none" w:pos="151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 xml:space="preserve">any license to a third party of any rights to develop, Manufacture, use or Commercialize the Products in the Territory (other than agreements and arrangements that are Permitted Licenses pursuant to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thereof);</w:t>
      </w:r>
    </w:p>
    <w:p>
      <w:pPr>
        <w:spacing w:after="0" w:line="62" w:lineRule="exact"/>
        <w:rPr>
          <w:rFonts w:ascii="Arial" w:cs="Arial" w:eastAsia="Arial" w:hAnsi="Arial"/>
          <w:sz w:val="18"/>
          <w:szCs w:val="18"/>
          <w:color w:val="auto"/>
        </w:rPr>
      </w:pPr>
    </w:p>
    <w:p>
      <w:pPr>
        <w:ind w:left="400" w:firstLine="851"/>
        <w:spacing w:after="0" w:line="312" w:lineRule="auto"/>
        <w:tabs>
          <w:tab w:leader="none" w:pos="1561" w:val="left"/>
        </w:tabs>
        <w:numPr>
          <w:ilvl w:val="1"/>
          <w:numId w:val="412"/>
        </w:numPr>
        <w:rPr>
          <w:rFonts w:ascii="Arial" w:cs="Arial" w:eastAsia="Arial" w:hAnsi="Arial"/>
          <w:sz w:val="16"/>
          <w:szCs w:val="16"/>
          <w:color w:val="auto"/>
        </w:rPr>
      </w:pPr>
      <w:r>
        <w:rPr>
          <w:rFonts w:ascii="Arial" w:cs="Arial" w:eastAsia="Arial" w:hAnsi="Arial"/>
          <w:sz w:val="16"/>
          <w:szCs w:val="16"/>
          <w:color w:val="auto"/>
        </w:rPr>
        <w:t>any material breach or default by a counterparty under any Current Company IP Agreement or any Material Contract, or the termination of any Current Company IP Agreement or Material Contract (irrespective of whether pursuant to the terms thereof), in each case, that, individually or together with any other such breach, default or termination, could reasonably be expected to result in a Material Adverse Change;</w:t>
      </w:r>
    </w:p>
    <w:p>
      <w:pPr>
        <w:spacing w:after="0" w:line="38" w:lineRule="exact"/>
        <w:rPr>
          <w:rFonts w:ascii="Arial" w:cs="Arial" w:eastAsia="Arial" w:hAnsi="Arial"/>
          <w:sz w:val="16"/>
          <w:szCs w:val="16"/>
          <w:color w:val="auto"/>
        </w:rPr>
      </w:pPr>
    </w:p>
    <w:p>
      <w:pPr>
        <w:ind w:left="400" w:firstLine="851"/>
        <w:spacing w:after="0" w:line="259" w:lineRule="auto"/>
        <w:tabs>
          <w:tab w:leader="none" w:pos="155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commencement of any action or proceeding against Borrower or any of its Subsidiaries which could reasonably be expected to result in a Material Adverse Change, or which challenges the validity of any claim in any Patent within the Company IP utilized in connection with any Product that could reasonably be expected to materially and adversely affect the exploitation of (including the ability to own or license) such Product by Borrower or any of its Subsidiaries;</w:t>
      </w:r>
    </w:p>
    <w:p>
      <w:pPr>
        <w:spacing w:after="0" w:line="78" w:lineRule="exact"/>
        <w:rPr>
          <w:rFonts w:ascii="Arial" w:cs="Arial" w:eastAsia="Arial" w:hAnsi="Arial"/>
          <w:sz w:val="18"/>
          <w:szCs w:val="18"/>
          <w:color w:val="auto"/>
        </w:rPr>
      </w:pPr>
    </w:p>
    <w:p>
      <w:pPr>
        <w:ind w:left="400" w:right="180" w:firstLine="851"/>
        <w:spacing w:after="0" w:line="264" w:lineRule="auto"/>
        <w:tabs>
          <w:tab w:leader="none" w:pos="150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written notice that the FDA (or foreign equivalent) or other Regulatory Agency is limiting, suspending or revoking any Regulatory Approval, changing the market classification or labeling of or otherwise materially restricting Manufacture or Commercialization of any Product, or is considering any of the foregoing;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273" w:right="479" w:bottom="1440" w:gutter="0" w:footer="0" w:header="0"/>
        </w:sectPr>
      </w:pPr>
    </w:p>
    <w:bookmarkStart w:id="446" w:name="page447"/>
    <w:bookmarkEnd w:id="446"/>
    <w:p>
      <w:pPr>
        <w:ind w:left="440" w:right="40" w:firstLine="851"/>
        <w:spacing w:after="0" w:line="279" w:lineRule="auto"/>
        <w:tabs>
          <w:tab w:leader="none" w:pos="1591" w:val="left"/>
        </w:tabs>
        <w:numPr>
          <w:ilvl w:val="1"/>
          <w:numId w:val="4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or any of its Subsidiaries becoming subject to any administrative or regulatory enforcement action, warning letter or written notice of violation letter from the FDA (or foreign equivalent) or other Regulatory Agency, or any Product of Borrower or any of its Subsidiaries being seized, withdrawn, recalled, detained or subject to a suspension of Manufacturing, or the commencement of any proceedings in the United States seeking the withdrawal, recall, suspension, import detention or seizure of any Product; or</w:t>
      </w:r>
    </w:p>
    <w:p>
      <w:pPr>
        <w:spacing w:after="0" w:line="63" w:lineRule="exact"/>
        <w:rPr>
          <w:rFonts w:ascii="Arial" w:cs="Arial" w:eastAsia="Arial" w:hAnsi="Arial"/>
          <w:sz w:val="17"/>
          <w:szCs w:val="17"/>
          <w:color w:val="auto"/>
        </w:rPr>
      </w:pPr>
    </w:p>
    <w:p>
      <w:pPr>
        <w:ind w:left="440" w:right="280" w:firstLine="851"/>
        <w:spacing w:after="0" w:line="277" w:lineRule="auto"/>
        <w:tabs>
          <w:tab w:leader="none" w:pos="1641"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occurrence of any event (including the occurrence of a Manufacturing disruption) with respect to any Product which could reasonably be expected to result in a Material Adverse Change.</w:t>
      </w:r>
    </w:p>
    <w:p>
      <w:pPr>
        <w:spacing w:after="0" w:line="170" w:lineRule="exact"/>
        <w:rPr>
          <w:rFonts w:ascii="Arial" w:cs="Arial" w:eastAsia="Arial" w:hAnsi="Arial"/>
          <w:sz w:val="18"/>
          <w:szCs w:val="18"/>
          <w:color w:val="auto"/>
        </w:rPr>
      </w:pPr>
    </w:p>
    <w:p>
      <w:pPr>
        <w:jc w:val="both"/>
        <w:ind w:right="400" w:firstLine="885"/>
        <w:spacing w:after="0" w:line="286" w:lineRule="auto"/>
        <w:tabs>
          <w:tab w:leader="none" w:pos="1096"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Governmental Recommendations</w:t>
      </w:r>
      <w:r>
        <w:rPr>
          <w:rFonts w:ascii="Arial" w:cs="Arial" w:eastAsia="Arial" w:hAnsi="Arial"/>
          <w:sz w:val="17"/>
          <w:szCs w:val="17"/>
          <w:color w:val="auto"/>
        </w:rPr>
        <w:t>. Within five (5) Business Days of receipt thereof, copies of any written recommendation from any Governmental Authority or other regulatory body that Borrower or any of its Subsidiaries should have its licensure, provider or supplier number, or accreditation suspended, revoked, or limited in any material way, or any penalties or sanctions imposed; or</w:t>
      </w:r>
    </w:p>
    <w:p>
      <w:pPr>
        <w:spacing w:after="0" w:line="57" w:lineRule="exact"/>
        <w:rPr>
          <w:rFonts w:ascii="Arial" w:cs="Arial" w:eastAsia="Arial" w:hAnsi="Arial"/>
          <w:sz w:val="17"/>
          <w:szCs w:val="17"/>
          <w:color w:val="auto"/>
        </w:rPr>
      </w:pPr>
    </w:p>
    <w:p>
      <w:pPr>
        <w:ind w:left="1100" w:hanging="215"/>
        <w:spacing w:after="0"/>
        <w:tabs>
          <w:tab w:leader="none" w:pos="110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851"/>
        <w:spacing w:after="0" w:line="264" w:lineRule="auto"/>
        <w:tabs>
          <w:tab w:leader="none" w:pos="1501" w:val="left"/>
        </w:tabs>
        <w:numPr>
          <w:ilvl w:val="1"/>
          <w:numId w:val="414"/>
        </w:numPr>
        <w:rPr>
          <w:rFonts w:ascii="Arial" w:cs="Arial" w:eastAsia="Arial" w:hAnsi="Arial"/>
          <w:sz w:val="18"/>
          <w:szCs w:val="18"/>
          <w:color w:val="auto"/>
        </w:rPr>
      </w:pPr>
      <w:r>
        <w:rPr>
          <w:rFonts w:ascii="Arial" w:cs="Arial" w:eastAsia="Arial" w:hAnsi="Arial"/>
          <w:sz w:val="18"/>
          <w:szCs w:val="18"/>
          <w:color w:val="auto"/>
        </w:rPr>
        <w:t>Written notice promptly, and in any event no later than two (2) Business Days, after the execution of any definitive acquisition, merger or restructuring agreement, pursuant to which a Change in Control is contemplated to occur, which notice shall include reasonable detail as to the nature, timing and other circumstances of such Change in Control; and</w:t>
      </w:r>
    </w:p>
    <w:p>
      <w:pPr>
        <w:spacing w:after="0" w:line="73" w:lineRule="exact"/>
        <w:rPr>
          <w:rFonts w:ascii="Arial" w:cs="Arial" w:eastAsia="Arial" w:hAnsi="Arial"/>
          <w:sz w:val="18"/>
          <w:szCs w:val="18"/>
          <w:color w:val="auto"/>
        </w:rPr>
      </w:pPr>
    </w:p>
    <w:p>
      <w:pPr>
        <w:ind w:left="1560" w:hanging="269"/>
        <w:spacing w:after="0"/>
        <w:tabs>
          <w:tab w:leader="none" w:pos="1560" w:val="left"/>
        </w:tabs>
        <w:numPr>
          <w:ilvl w:val="1"/>
          <w:numId w:val="414"/>
        </w:numPr>
        <w:rPr>
          <w:rFonts w:ascii="Arial" w:cs="Arial" w:eastAsia="Arial" w:hAnsi="Arial"/>
          <w:sz w:val="16"/>
          <w:szCs w:val="16"/>
          <w:color w:val="auto"/>
        </w:rPr>
      </w:pPr>
      <w:r>
        <w:rPr>
          <w:rFonts w:ascii="Arial" w:cs="Arial" w:eastAsia="Arial" w:hAnsi="Arial"/>
          <w:sz w:val="16"/>
          <w:szCs w:val="16"/>
          <w:color w:val="auto"/>
        </w:rPr>
        <w:t>A Change in Control Notice promptly, and in any event no later than two (2) Business Days, after the consummation of a Change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in Control.</w:t>
      </w:r>
    </w:p>
    <w:p>
      <w:pPr>
        <w:spacing w:after="0" w:line="207"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b w:val="1"/>
          <w:bCs w:val="1"/>
          <w:color w:val="auto"/>
        </w:rPr>
        <w:t>5.3. Inventory; Returns; Maintenance of Properties</w:t>
      </w:r>
      <w:r>
        <w:rPr>
          <w:rFonts w:ascii="Arial" w:cs="Arial" w:eastAsia="Arial" w:hAnsi="Arial"/>
          <w:sz w:val="17"/>
          <w:szCs w:val="17"/>
          <w:color w:val="auto"/>
        </w:rPr>
        <w:t>. Keep all Inventory in good and marketable condition, free from material defects.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and allowances between Borrower and its Account Debtors shall follow Borrower’s customary practices as they exist at the Effective Date and each Credit Party shall promptly notify Lender in writing of all returns, allowances, recoveries, disputes and claims that involve more than $500,000, individually, or more than $1,000,000, in the aggregate, when aggregated with any and all other returns, allowances, recoveries, disputes and claims.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appropriate repairs, renewals and replacements thereof.</w:t>
      </w:r>
    </w:p>
    <w:p>
      <w:pPr>
        <w:spacing w:after="0" w:line="172"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b w:val="1"/>
          <w:bCs w:val="1"/>
          <w:color w:val="auto"/>
        </w:rPr>
        <w:t>5.4. Taxes; Pensions</w:t>
      </w:r>
      <w:r>
        <w:rPr>
          <w:rFonts w:ascii="Arial" w:cs="Arial" w:eastAsia="Arial" w:hAnsi="Arial"/>
          <w:sz w:val="17"/>
          <w:szCs w:val="17"/>
          <w:color w:val="auto"/>
        </w:rPr>
        <w:t>. Borrower shall timely file, and require each of its Subsidiaries to timely file, all income and other material required Tax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returns and reports or extensions therefor and timely pay, and require each of its Subsidiaries to timely pay, all material foreign, federal, state and local Taxes, assessments, deposits and contributions imposed upon it or any of its properties or assets or in respect of any of its income, businesses or franchises before any penalty or fine accrue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Tax or claim need be paid if it is being contested in good faith by appropriate proceedings promptly instituted and diligently conducted, so long as (i) adequate reserve or other appropriate provision, as shall be required in conformity with Applicable Accounting Standards shall have been made therefor and (ii) in the case of a Tax or claim which has or may become a Lien against any of the Collateral, such contest proceedings conclusively operate to stay the sale of any portion of the Collateral to satisfy such Tax or claim. No Credit Party will, nor will it permit any of its Subsidiaries to, file or consent to the filing of any consolidated income Tax return with any Person (other than Borrower or any of its Subsidiaries).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447" w:name="page448"/>
    <w:bookmarkEnd w:id="447"/>
    <w:p>
      <w:pPr>
        <w:ind w:right="40" w:firstLine="44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Insurance</w:t>
      </w:r>
      <w:r>
        <w:rPr>
          <w:rFonts w:ascii="Arial" w:cs="Arial" w:eastAsia="Arial" w:hAnsi="Arial"/>
          <w:sz w:val="16"/>
          <w:szCs w:val="16"/>
          <w:color w:val="auto"/>
        </w:rPr>
        <w:t>. Maintain or cause to be maintained, with financially sound and reputable insurers, such public liability insurance,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damage insurance, business interruption insurance and casualty insurance with respect to liabilities, losses or damage in respect of the assets, properties and businesses of Borrower and its Subsidiaries as may customarily be carried or maintained under similar circumstances by Persons of established reputation engaged in similar businesses, in each case, in such amounts, with such deductibles, covering such risks and otherwise on such terms and conditions as shall be customary for such Persons. All property policies of the Credit Parties shall have a loss payable endorsement showing Lender as loss payee and waive subrogation against Lender and shall provide that the insurer must give Lender at least twenty (20) days’ notice before canceling its policy (or ten (10) days’ notice in the case of the failure to pay any premiums thereunder). At the request of Lender, each Credit Party shall deliver to Lender copies of policies and evidence of all premium payments. All liability policies of the Credit Parties shall show, or have endorsements showing, Lender as an additional insured, and all such policies (or the loss payable and additional insured endorsements) shall provide that the insurer shall endeavor to give Lender at least twenty (20) days’ notice before canceling its policy (or ten (10) days’ notice in the case of the failure to pay any premiums thereunder). If Borrower or any of its Subsidiaries fails to obtain insurance as required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or to pay any amount or furnish any required proof of payment to third persons and Lender, upon the occurrence and during the continuance of an Event of Default, Lender may make all or part of such payment or obtain such insurance policies required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and take any action under the policies Lender deems prudent. Borrower may later cancel any insurance purchased by Lender, but only after providing Lender with evidence that there has been obtained insurance as required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No payments by Lender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deemed an agreement to make similar payments in the future or Lender’s waiver of any Default or Event of Default.</w:t>
      </w:r>
    </w:p>
    <w:p>
      <w:pPr>
        <w:spacing w:after="0" w:line="165"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b w:val="1"/>
          <w:bCs w:val="1"/>
          <w:color w:val="auto"/>
        </w:rPr>
        <w:t>5.6. Operating Accounts</w:t>
      </w:r>
      <w:r>
        <w:rPr>
          <w:rFonts w:ascii="Arial" w:cs="Arial" w:eastAsia="Arial" w:hAnsi="Arial"/>
          <w:sz w:val="17"/>
          <w:szCs w:val="17"/>
          <w:color w:val="auto"/>
        </w:rPr>
        <w:t>. In the case of any Credit Party, not establish any new Collateral Account at or with any bank or financial institution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contemporaneously with such establishment, such account is subject to a Control Agreement that is reasonably acceptable to Lender. For each Collateral Account that each Credit Party at any time maintains, such Credit Party shall cause the applicable bank or financial institution at or with which any Collateral Account is maintained to execute and deliver a Control Agreement or other appropriate instrument with respect to such Collateral Account to perfect Lender’s Lien in such Collateral Account in accordance with the terms hereunder, which Control Agreement may not be terminated without the prior written consent of Lender. The provisions of the previous two (2) sentences shall not apply to deposit accounts exclusively used for payroll, payroll Taxes and other employee wage and benefit payments to or for the benefit of any Credit Party’s employees, zero balance accounts, accounts (including trust accounts) used exclusively for escrow, customs, insurance or fiduciary purposes, merchant accounts, accounts used exclusively for compliance with any Requirements of Law to the extent such Requirements of Law prohibits the granting of a Lien thereon and any other deposit accounts established after the Tranche A Closing Date and then only so long as such deposit accounts do not hold in the aggregate more than $50,000 and for the first thirty (30) days following the establishment of such deposit account (all such accounts, collectively, the “</w:t>
      </w:r>
      <w:r>
        <w:rPr>
          <w:rFonts w:ascii="Arial" w:cs="Arial" w:eastAsia="Arial" w:hAnsi="Arial"/>
          <w:sz w:val="17"/>
          <w:szCs w:val="17"/>
          <w:b w:val="1"/>
          <w:bCs w:val="1"/>
          <w:color w:val="auto"/>
        </w:rPr>
        <w:t>Excluded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Borrower shall identify to Lender all accounts which constitute Excluded Accounts. Notwithstanding the foregoing, the Credit Parties shall have until the date that is ninety (90) days following the closing date of a Permitted Acquisition or other Investment permitted hereunder to comply with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with regard to accounts of the Credit Parties acquired in connection with such Permitted Acquisition or other Investment.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5.7.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71" w:lineRule="auto"/>
        <w:tabs>
          <w:tab w:leader="none" w:pos="1126"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(i) Protect, defend and maintain the validity and enforceability of the Company IP material to its business; (ii) maintain the confidential nature of any material trade secrets and trade secret rights; (iii) promptly advise Lender in writing of material infringements, misappropriations or violations of Intellectual Property owned by any Credit Party or any of its Subsidiaries; and (iv) except as permitted by </w:t>
      </w:r>
      <w:r>
        <w:rPr>
          <w:rFonts w:ascii="Arial" w:cs="Arial" w:eastAsia="Arial" w:hAnsi="Arial"/>
          <w:sz w:val="17"/>
          <w:szCs w:val="17"/>
          <w:u w:val="single" w:color="auto"/>
          <w:color w:val="auto"/>
        </w:rPr>
        <w:t>Section 6.1(j)</w:t>
      </w:r>
      <w:r>
        <w:rPr>
          <w:rFonts w:ascii="Arial" w:cs="Arial" w:eastAsia="Arial" w:hAnsi="Arial"/>
          <w:sz w:val="17"/>
          <w:szCs w:val="17"/>
          <w:color w:val="auto"/>
        </w:rPr>
        <w:t xml:space="preserve">, not allow any Company IP material to its business to be abandoned, forfeited or dedicated to the public, or any material Current Company IP Agreement to be terminated by any Credit Party or any of its Subsidiaries, as applicable, without Lender’s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Company IP that is not owned by any Credit Party or its Subsidiaries, the obligations of each Credit Party or its Subsidiaries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shall apply only to the extent such Credit Party or its Subsidiaries have the right to take such actions or to cause any licensee or other third party to take such actions pursuant to applicable Contracts or contractual rights.</w:t>
      </w:r>
    </w:p>
    <w:p>
      <w:pPr>
        <w:spacing w:after="0" w:line="70" w:lineRule="exact"/>
        <w:rPr>
          <w:rFonts w:ascii="Arial" w:cs="Arial" w:eastAsia="Arial" w:hAnsi="Arial"/>
          <w:sz w:val="17"/>
          <w:szCs w:val="17"/>
          <w:color w:val="auto"/>
        </w:rPr>
      </w:pPr>
    </w:p>
    <w:p>
      <w:pPr>
        <w:ind w:left="1140" w:hanging="255"/>
        <w:spacing w:after="0"/>
        <w:tabs>
          <w:tab w:leader="none" w:pos="11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Provide written notice to Lender within thirty (30) days of entering or becoming bound by any Restricted License (other than</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over-the-counter software that is commercially available to the public). Each Credit Party shall take such commercially reasonable steps as Lender requests to obtain the consent of, or waiver by,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48" w:name="page449"/>
    <w:bookmarkEnd w:id="44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whose consent or waiver is necessary for (i) any Restricted License to, without giving effect to Section 9-408 of the Code, be deemed “Collateral” and for Lender to have a security interest in it that might otherwise be restricted or prohibited by law or by the terms of any such Restricted License, whether now existing or entered into in the future, and (ii) Lender to have the ability in the event of a liquidation of any Collateral to dispose of such Collateral in accordance with Lender’s rights and remedies under this Agreement and the other Loan Documents.</w:t>
      </w:r>
    </w:p>
    <w:p>
      <w:pPr>
        <w:spacing w:after="0" w:line="63" w:lineRule="exact"/>
        <w:rPr>
          <w:sz w:val="20"/>
          <w:szCs w:val="20"/>
          <w:color w:val="auto"/>
        </w:rPr>
      </w:pPr>
    </w:p>
    <w:p>
      <w:pPr>
        <w:ind w:right="80" w:firstLine="885"/>
        <w:spacing w:after="0" w:line="283" w:lineRule="auto"/>
        <w:tabs>
          <w:tab w:leader="none" w:pos="1126" w:val="left"/>
        </w:tabs>
        <w:numPr>
          <w:ilvl w:val="1"/>
          <w:numId w:val="416"/>
        </w:numPr>
        <w:rPr>
          <w:rFonts w:ascii="Arial" w:cs="Arial" w:eastAsia="Arial" w:hAnsi="Arial"/>
          <w:sz w:val="16"/>
          <w:szCs w:val="16"/>
          <w:color w:val="auto"/>
        </w:rPr>
      </w:pPr>
      <w:r>
        <w:rPr>
          <w:rFonts w:ascii="Arial" w:cs="Arial" w:eastAsia="Arial" w:hAnsi="Arial"/>
          <w:sz w:val="16"/>
          <w:szCs w:val="16"/>
          <w:color w:val="auto"/>
        </w:rPr>
        <w:t xml:space="preserve">Borrower shall, and shall cause each of its Subsidiaries, as applicable, to: (i) use commercially reasonable efforts, at its sole expense, either directly or, indirectly with respect to any licensee or licensor under the terms of Borrower’s (or any of its Subsidiary’s) Contract with the respective licensee or licensor, as applicable, to take any and all actions (including taking legal action to specifically enforce the applicable terms of any license or Contract) and prepare, execute, deliver and file Contracts or documents which are necessary or desirable to (A) prosecute and maintain the Company IP material to its business and (B) diligently enforce or defend the Company IP against material infringement, misappropriation, violation or interference by any other Persons and, in the case of Copyrights, Trademarks and Patents within the Company IP, against any claims of invalidity or unenforceability (including by bringing any legal action for infringement, dilution, violation or defending any counterclaim of invalidity or action of a non-Affiliate third party for declaratory judgment of non-infringement or non-interference); (ii) keep Lender reasonably informed by written notice of any and all of such actions and provide Lender with the opportunity to meaningfully consult with Borrower with respect to the direction thereof and Borrower shall consider all of Lender’s comments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obligations shall be subject to any confidentiality obligations of any Credit Party or any of its Subsidiaries or any protective order binding upon any Credit Party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Credit Party or any of its Subsidiaries shall be obligated to comply with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the extent compliance would waive attorney-client privilege; and</w:t>
      </w:r>
    </w:p>
    <w:p>
      <w:pPr>
        <w:spacing w:after="0" w:line="3" w:lineRule="exact"/>
        <w:rPr>
          <w:rFonts w:ascii="Arial" w:cs="Arial" w:eastAsia="Arial" w:hAnsi="Arial"/>
          <w:sz w:val="16"/>
          <w:szCs w:val="16"/>
          <w:color w:val="auto"/>
        </w:rPr>
      </w:pPr>
    </w:p>
    <w:p>
      <w:pPr>
        <w:ind w:right="20" w:firstLine="4"/>
        <w:spacing w:after="0" w:line="255" w:lineRule="auto"/>
        <w:tabs>
          <w:tab w:leader="none" w:pos="31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not, and shall use commercially reasonable efforts to cause any licensee or licensor of the Company IP, as applicable, not to, disclaim or abandon, or fail to take any action necessary or desirable to prevent the disclaimer or abandonment of the Company IP, in each case, only if such disclaimer or abandonment could reasonably be expected to result in a Material Adverse Change.</w:t>
      </w:r>
    </w:p>
    <w:p>
      <w:pPr>
        <w:spacing w:after="0" w:line="186"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b w:val="1"/>
          <w:bCs w:val="1"/>
          <w:color w:val="auto"/>
        </w:rPr>
        <w:t>5.8. Litigation Cooperation</w:t>
      </w:r>
      <w:r>
        <w:rPr>
          <w:rFonts w:ascii="Arial" w:cs="Arial" w:eastAsia="Arial" w:hAnsi="Arial"/>
          <w:sz w:val="18"/>
          <w:szCs w:val="18"/>
          <w:color w:val="auto"/>
        </w:rPr>
        <w:t>. From the date hereof and continuing through the termination of this Agreement, make available to Lender,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Lender, each Credit Party and its officers, employees and agents and such Credit Party’s Books, to the extent that Lender may deem them reasonably necessary to prosecute or defend any third-party suit or proceeding instituted by or against Lender with respect to any Collateral or relating to such Credit Party.</w:t>
      </w:r>
    </w:p>
    <w:p>
      <w:pPr>
        <w:spacing w:after="0" w:line="18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5.9. Access to Collateral; Books and Records; Audits</w:t>
      </w:r>
      <w:r>
        <w:rPr>
          <w:rFonts w:ascii="Arial" w:cs="Arial" w:eastAsia="Arial" w:hAnsi="Arial"/>
          <w:sz w:val="18"/>
          <w:szCs w:val="18"/>
          <w:color w:val="auto"/>
        </w:rPr>
        <w:t>. Allow Lender, or its agents, at reasonable times during normal business hours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three (3) Business Days’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is required if an Event of Default has occurred and is continuing), to inspect the Collateral and audit and copy any Credit Party’s Books. The foregoing inspections and audits shall be at Borrower’s expense. Such inspections or audits shall be conducted no more often than once every twelve (12) months unless an Event of Default has occurred and is continuing or such audit reveals the occurrence of an Event of Default. Borrower shall, and shall cause each of its Subsidiaries to, maintain its Books in such manner as to contain full, true and correct entries of all material dealings and transactions in relation to its business and activities in conformity with Applicable Accounting Standards and all Requirements of Law.</w:t>
      </w:r>
    </w:p>
    <w:p>
      <w:pPr>
        <w:spacing w:after="0" w:line="189" w:lineRule="exact"/>
        <w:rPr>
          <w:sz w:val="20"/>
          <w:szCs w:val="20"/>
          <w:color w:val="auto"/>
        </w:rPr>
      </w:pPr>
    </w:p>
    <w:p>
      <w:pPr>
        <w:ind w:right="20" w:firstLine="441"/>
        <w:spacing w:after="0" w:line="274" w:lineRule="auto"/>
        <w:rPr>
          <w:sz w:val="20"/>
          <w:szCs w:val="20"/>
          <w:color w:val="auto"/>
        </w:rPr>
      </w:pPr>
      <w:r>
        <w:rPr>
          <w:rFonts w:ascii="Arial" w:cs="Arial" w:eastAsia="Arial" w:hAnsi="Arial"/>
          <w:sz w:val="17"/>
          <w:szCs w:val="17"/>
          <w:b w:val="1"/>
          <w:bCs w:val="1"/>
          <w:color w:val="auto"/>
        </w:rPr>
        <w:t>5.10. Use of Proceeds</w:t>
      </w:r>
      <w:r>
        <w:rPr>
          <w:rFonts w:ascii="Arial" w:cs="Arial" w:eastAsia="Arial" w:hAnsi="Arial"/>
          <w:sz w:val="17"/>
          <w:szCs w:val="17"/>
          <w:color w:val="auto"/>
        </w:rPr>
        <w:t>. (a) Use the proceeds of the Term Loan solely to repay in full the Indebtedness outstanding under the Existing Oxford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any and all associated costs and expenses and to fund its general business requirements and (b) not use the proceeds of the Term Loan to purchase or carry, or to reduce or retire or refinance any credit incurred to purchase or carry, any margin stock (within the meaning of Regulations U and X of the Board of Governors of the Federal Reserve System) or to extend credit to others for the purpose of purchasing or carrying any margin stock, in each case in violation of said Regulations. If requested by Lender, Borrower shall complete and sign Part I of a copy of Federal Reserve Form G-3 referred to in Regulation U and deliver such copy to Lender.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5.11. Environmental Disclosure</w:t>
      </w:r>
      <w:r>
        <w:rPr>
          <w:rFonts w:ascii="Arial" w:cs="Arial" w:eastAsia="Arial" w:hAnsi="Arial"/>
          <w:sz w:val="18"/>
          <w:szCs w:val="18"/>
          <w:color w:val="auto"/>
        </w:rPr>
        <w:t>. Deliver to Lender:</w:t>
      </w:r>
    </w:p>
    <w:p>
      <w:pPr>
        <w:spacing w:after="0" w:line="121" w:lineRule="exact"/>
        <w:rPr>
          <w:sz w:val="20"/>
          <w:szCs w:val="20"/>
          <w:color w:val="auto"/>
        </w:rPr>
      </w:pPr>
    </w:p>
    <w:p>
      <w:pPr>
        <w:jc w:val="both"/>
        <w:ind w:right="260" w:firstLine="885"/>
        <w:spacing w:after="0" w:line="312" w:lineRule="auto"/>
        <w:tabs>
          <w:tab w:leader="none" w:pos="1126"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as soon as practicable following receipt thereof, copies of all environmental audits, investigations, analyses and reports of any kind or character, whether prepared by personnel of Borrower or any of its Subsidiaries or by independent consultants, governmental authorities or any other Persons, with respect to significant environmental matters at any Facility or with respect to any material Environmental Claims;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49" w:name="page450"/>
    <w:bookmarkEnd w:id="449"/>
    <w:p>
      <w:pPr>
        <w:ind w:right="220" w:firstLine="885"/>
        <w:spacing w:after="0" w:line="253" w:lineRule="auto"/>
        <w:tabs>
          <w:tab w:leader="none" w:pos="1136" w:val="left"/>
        </w:tabs>
        <w:numPr>
          <w:ilvl w:val="1"/>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upon a Responsible Officer of any Credit Party or any of its Subsidiaries obtaining knowledge of the occurrence thereof, written notice describing in reasonable detail (i) any Release required to be reported to any federal, state or local governmental or regulatory agency under any applicable Environmental Laws, (ii) any remedial action taken by any Credit Party or any other Person in response to (A) any Hazardous Materials Activities, the existence of which, individually or together with any other Hazardous Materials Activities, have a reasonable possibility of resulting in one or more Environmental Claims that could reasonably be expected to result in a Material Adverse Change or (B) any Environmental Claims which, individually or together with any other Environmental Claims, have a reasonable possibility of resulting in a Material Adverse Change and (iii)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w:t>
      </w:r>
    </w:p>
    <w:p>
      <w:pPr>
        <w:spacing w:after="0" w:line="89" w:lineRule="exact"/>
        <w:rPr>
          <w:rFonts w:ascii="Arial" w:cs="Arial" w:eastAsia="Arial" w:hAnsi="Arial"/>
          <w:sz w:val="18"/>
          <w:szCs w:val="18"/>
          <w:color w:val="auto"/>
        </w:rPr>
      </w:pPr>
    </w:p>
    <w:p>
      <w:pPr>
        <w:ind w:right="80" w:firstLine="885"/>
        <w:spacing w:after="0" w:line="255" w:lineRule="auto"/>
        <w:tabs>
          <w:tab w:leader="none" w:pos="1126"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as soon as practicable following the sending or receipt thereof by any Credit Party or any of its Subsidiaries, a copy of any and all written communications with respect to (i) any Environmental Claims that, individually or in the aggregate, have a reasonable possibility of resulting in a Material Adverse Change, (ii) any Release required to be reported to any Governmental Authority, and (iii) any request for information from any Governmental Authority that suggests such authority is investigating whether any Credit Party or any of its Subsidiaries may be potentially responsible for any Hazardous Materials Activity that, individually or together with any other Hazardous Material Activities, has a reasonable possibility of resulting in a Material Adverse Change;</w:t>
      </w:r>
    </w:p>
    <w:p>
      <w:pPr>
        <w:spacing w:after="0" w:line="85" w:lineRule="exact"/>
        <w:rPr>
          <w:rFonts w:ascii="Arial" w:cs="Arial" w:eastAsia="Arial" w:hAnsi="Arial"/>
          <w:sz w:val="18"/>
          <w:szCs w:val="18"/>
          <w:color w:val="auto"/>
        </w:rPr>
      </w:pPr>
    </w:p>
    <w:p>
      <w:pPr>
        <w:jc w:val="both"/>
        <w:ind w:firstLine="885"/>
        <w:spacing w:after="0" w:line="286" w:lineRule="auto"/>
        <w:tabs>
          <w:tab w:leader="none" w:pos="1136" w:val="left"/>
        </w:tabs>
        <w:numPr>
          <w:ilvl w:val="1"/>
          <w:numId w:val="419"/>
        </w:numPr>
        <w:rPr>
          <w:rFonts w:ascii="Arial" w:cs="Arial" w:eastAsia="Arial" w:hAnsi="Arial"/>
          <w:sz w:val="16"/>
          <w:szCs w:val="16"/>
          <w:color w:val="auto"/>
        </w:rPr>
      </w:pPr>
      <w:r>
        <w:rPr>
          <w:rFonts w:ascii="Arial" w:cs="Arial" w:eastAsia="Arial" w:hAnsi="Arial"/>
          <w:sz w:val="16"/>
          <w:szCs w:val="16"/>
          <w:color w:val="auto"/>
        </w:rPr>
        <w:t>prompt written notice describing in reasonable detail (i) any proposed acquisition of stock, assets, or properties by Borrower or any of its Subsidiaries that could reasonably be expected to (A) expose Borrower or any of its Subsidiaries to, or result in, Environmental Claims that, individually or in the aggregate, could reasonably be expected to result in a Material Adverse Change or (B) affect the ability of Borrower or any of its Subsidiaries to maintain in full force and effect all material Governmental Approvals required under any Environmental Laws for their respective operations and</w:t>
      </w:r>
    </w:p>
    <w:p>
      <w:pPr>
        <w:spacing w:after="0" w:line="1" w:lineRule="exact"/>
        <w:rPr>
          <w:rFonts w:ascii="Arial" w:cs="Arial" w:eastAsia="Arial" w:hAnsi="Arial"/>
          <w:sz w:val="16"/>
          <w:szCs w:val="16"/>
          <w:color w:val="auto"/>
        </w:rPr>
      </w:pPr>
    </w:p>
    <w:p>
      <w:pPr>
        <w:jc w:val="both"/>
        <w:ind w:right="180" w:firstLine="4"/>
        <w:spacing w:after="0" w:line="255" w:lineRule="auto"/>
        <w:tabs>
          <w:tab w:leader="none" w:pos="26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proposed action to be taken by Borrower or any of its Subsidiaries to modify current operations in a manner that, individually or together with any other such proposed actions, could reasonably be expected to subject Borrower or any of its Subsidiaries to any additional material obligations or requirements under any Environmental Laws; and</w:t>
      </w:r>
    </w:p>
    <w:p>
      <w:pPr>
        <w:spacing w:after="0" w:line="82" w:lineRule="exact"/>
        <w:rPr>
          <w:rFonts w:ascii="Arial" w:cs="Arial" w:eastAsia="Arial" w:hAnsi="Arial"/>
          <w:sz w:val="18"/>
          <w:szCs w:val="18"/>
          <w:color w:val="auto"/>
        </w:rPr>
      </w:pPr>
    </w:p>
    <w:p>
      <w:pPr>
        <w:ind w:right="400" w:firstLine="885"/>
        <w:spacing w:after="0" w:line="277" w:lineRule="auto"/>
        <w:tabs>
          <w:tab w:leader="none" w:pos="112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 xml:space="preserve">with reasonable promptness, such other documents and information as from time to time may be reasonably requested by Lender in relation to any matters disclosed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Each Credit Party shall, and shall cause each of its Subsidiaries to, promptly take any and all actions necessary to (x) cure any violation of applicable Environmental Laws by Borrower or any of its Subsidiaries that, individually or in the aggregate, could reasonably be expected to result in a Material Adverse Change, and (y)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84" w:lineRule="exact"/>
        <w:rPr>
          <w:sz w:val="20"/>
          <w:szCs w:val="20"/>
          <w:color w:val="auto"/>
        </w:rPr>
      </w:pPr>
    </w:p>
    <w:p>
      <w:pPr>
        <w:jc w:val="both"/>
        <w:ind w:right="40" w:firstLine="441"/>
        <w:spacing w:after="0" w:line="295" w:lineRule="auto"/>
        <w:rPr>
          <w:sz w:val="20"/>
          <w:szCs w:val="20"/>
          <w:color w:val="auto"/>
        </w:rPr>
      </w:pPr>
      <w:r>
        <w:rPr>
          <w:rFonts w:ascii="Arial" w:cs="Arial" w:eastAsia="Arial" w:hAnsi="Arial"/>
          <w:sz w:val="16"/>
          <w:szCs w:val="16"/>
          <w:b w:val="1"/>
          <w:bCs w:val="1"/>
          <w:color w:val="auto"/>
        </w:rPr>
        <w:t>5.12. Minimum Liquidity</w:t>
      </w:r>
      <w:r>
        <w:rPr>
          <w:rFonts w:ascii="Arial" w:cs="Arial" w:eastAsia="Arial" w:hAnsi="Arial"/>
          <w:sz w:val="16"/>
          <w:szCs w:val="16"/>
          <w:color w:val="auto"/>
        </w:rPr>
        <w:t>. From and after the Tranche A Closing Date, after giving effect to the transactions contemplated hereunder and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other Loan Documents, Borrower and its Subsidiaries that are Credit Parties shall have consolidated Liquidity, tested as of the end of each Business Day, of not less than Five Million Dollars ($5,000,000.00). Borrower shall deliver to Lender written notice, as promptly as practicable (and in any event within five (5) Business Days) after the occurrence, of the results of any such minimum Liquidity test which indicate that Borrower and its Subsidiaries that are Credit Parties have consolidated Liquidity, as of the applicable date of determination, of less than Five Million Dollars ($5,000,000.00). For the avoidance of doubt, no Credit Party shall be required to maintain a restricted account for purposes of complying with this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56"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5.13. Further Assurances</w:t>
      </w:r>
      <w:r>
        <w:rPr>
          <w:rFonts w:ascii="Arial" w:cs="Arial" w:eastAsia="Arial" w:hAnsi="Arial"/>
          <w:sz w:val="18"/>
          <w:szCs w:val="18"/>
          <w:color w:val="auto"/>
        </w:rPr>
        <w:t>. Subject to the limitations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5.14(b)</w:t>
      </w:r>
      <w:r>
        <w:rPr>
          <w:rFonts w:ascii="Arial" w:cs="Arial" w:eastAsia="Arial" w:hAnsi="Arial"/>
          <w:sz w:val="18"/>
          <w:szCs w:val="18"/>
          <w:color w:val="auto"/>
        </w:rPr>
        <w:t>, at any time or from time to time upon the reasonable request of Lender,</w:t>
      </w:r>
      <w:r>
        <w:rPr>
          <w:rFonts w:ascii="Arial" w:cs="Arial" w:eastAsia="Arial" w:hAnsi="Arial"/>
          <w:sz w:val="18"/>
          <w:szCs w:val="18"/>
          <w:b w:val="1"/>
          <w:bCs w:val="1"/>
          <w:color w:val="auto"/>
        </w:rPr>
        <w:t xml:space="preserve"> </w:t>
      </w:r>
      <w:r>
        <w:rPr>
          <w:rFonts w:ascii="Arial" w:cs="Arial" w:eastAsia="Arial" w:hAnsi="Arial"/>
          <w:sz w:val="18"/>
          <w:szCs w:val="18"/>
          <w:color w:val="auto"/>
        </w:rPr>
        <w:t>each Credit Party will, at its expense, promptly execute, acknowledge and deliver such further documents and do such other acts and things as Lender may reasonably request in order to effectuate the transactions contemplated by the Loan Documents, including taking such steps as are reasonably deemed necessary by Lender to maintain, protect and enforce Lender’s Lien on Collateral securing the Obligations created under the Security Agreement and the other Loan Documents.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50" w:name="page451"/>
    <w:bookmarkEnd w:id="45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Additional Collateral; Guarantors.</w:t>
      </w:r>
    </w:p>
    <w:p>
      <w:pPr>
        <w:spacing w:after="0" w:line="121" w:lineRule="exact"/>
        <w:rPr>
          <w:sz w:val="20"/>
          <w:szCs w:val="20"/>
          <w:color w:val="auto"/>
        </w:rPr>
      </w:pPr>
    </w:p>
    <w:p>
      <w:pPr>
        <w:ind w:firstLine="885"/>
        <w:spacing w:after="0" w:line="284" w:lineRule="auto"/>
        <w:tabs>
          <w:tab w:leader="none" w:pos="1126" w:val="left"/>
        </w:tabs>
        <w:numPr>
          <w:ilvl w:val="1"/>
          <w:numId w:val="421"/>
        </w:numPr>
        <w:rPr>
          <w:rFonts w:ascii="Arial" w:cs="Arial" w:eastAsia="Arial" w:hAnsi="Arial"/>
          <w:sz w:val="16"/>
          <w:szCs w:val="16"/>
          <w:color w:val="auto"/>
        </w:rPr>
      </w:pPr>
      <w:r>
        <w:rPr>
          <w:rFonts w:ascii="Arial" w:cs="Arial" w:eastAsia="Arial" w:hAnsi="Arial"/>
          <w:sz w:val="16"/>
          <w:szCs w:val="16"/>
          <w:color w:val="auto"/>
        </w:rPr>
        <w:t>Without limiting the generality of Section 5.13 and except as otherwise approved in writing by Lender, the Credit Parties shall cause each of their respective Domestic Subsidiaries (other than Excluded Subsidiaries and any Domestic Subsidiary that is a CFC Holding Company) to, in each case, guarantee the Obligations and to cause each such Domestic Subsidiary to grant to Lender a first priority security interest in and Lien upon, and pledge to Lender, subject to Permitted Liens, the limitations set forth herein and the limitations set forth in the other Loan Documents, all of such Domestic Subsidiary’s properties and assets, whether now existing or hereafter acquired or existing, constituting Collateral to secure such guaranty. Furthermore, and except as otherwise approved in writing by Lender on a case-by-case basis, each Credit Party shall, and shall cause each of its Domestic Subsidiaries (excluding Excluded Subsidiaries and any Domestic Subsidiary that is a CFC Holding Company) to, (i) grant Lender a first priority security interest in and Lien upon, and pledge to Lender, subject to Permitted Liens, the limitations set forth herein and the limitations set forth in the other Loan Documents, all of the Equity Interests (other than Excluded Equity Interests) of each of its Domestic Subsidiaries (other than any Excluded Subsidiary and any Domestic Subsidiary that is a CFC Holding Company) and (ii) grant Lender a first priority security interest in and Lien upon, and pledge to Lender, subject to Permitted Liens, the limitations set forth herein and the limitations set forth in the other Loan Documents, sixty-five percent (65%) of the issued and outstanding voting Equity Interests (other than Excluded Equity Interests) and one hundred percent (100%) of the issued and outstanding non-voting Equity Interests (other than Excluded Equity Interests), if any, in, each Foreign Subsidiary and CFC Holding Company directly owned by any such Domestic Subsidiaries. In connection with each pledge of certificated Equity Interests required under the Loan Documents, the Credit Parties shall deliver, or cause to be delivered, to Lender, such certificate(s) together with stock powers or assignments, as applicable, properly endorsed for transfer to Lender or duly executed in blank, in each case reasonably satisfactory to Lender. In connection with each pledge of uncertificated Equity Interests required under the Loan Documents, the Credit Parties shall deliver, or cause to be delivered, to Lender such Equity Interests in accordance with Section 8-106(c)(1) of the Code or an executed uncertificated stock control agreement among the issuer, the registered owner and Lender in the form attached to the Security Agreement as Annex 4. In the event any Credit Party acquires any fee title to real estate with a fair market value in excess of $1,000,000, unless otherwise agreed by Lender, such Person shall execute or deliver, or cause to be executed or delivered, to Lender, (v) within sixty (60) days after such acquisition, an appraisal complying with the Financial Institutions Reform, Recovery and Enforcement Act of 1989, (w) within forty-five (45) days after receipt of notice from Lender that such real estate is located in a Special Flood Hazard Area, Federal Flood Insurance, (x) within sixty (60) days after such acquisition, a fully executed Mortgage, in form and substance reasonably satisfactory to Lender, together with an A.L.T.A. lender’s title insurance policy issued by a title insurer reasonably satisfactory to Lender, in form and substance (including any endorsements) and in an amount reasonably satisfactory to Lender insuring that the Mortgage is a valid and enforceable first priority Lien on the respective property, free and clear of all defects, encumbrances and Liens (other than Permitted Liens), (y) simultaneously with such acquisition, then-current A.L.T.A. surveys, certified to Lender by a licensed surveyor sufficient to allow the issuer of the lender’s title insurance policy to issue such policy without a survey exception and (z) within sixty (60) days after such acquisition, an environmental site assessment prepared by a qualified firm reasonably acceptable to Lender, in form and substance satisfactory to Lender.</w:t>
      </w:r>
    </w:p>
    <w:p>
      <w:pPr>
        <w:spacing w:after="0" w:line="278" w:lineRule="exact"/>
        <w:rPr>
          <w:rFonts w:ascii="Arial" w:cs="Arial" w:eastAsia="Arial" w:hAnsi="Arial"/>
          <w:sz w:val="16"/>
          <w:szCs w:val="16"/>
          <w:color w:val="auto"/>
        </w:rPr>
      </w:pPr>
    </w:p>
    <w:p>
      <w:pPr>
        <w:jc w:val="both"/>
        <w:ind w:right="40" w:firstLine="1436"/>
        <w:spacing w:after="0" w:line="286" w:lineRule="auto"/>
        <w:tabs>
          <w:tab w:leader="none" w:pos="1688" w:val="left"/>
        </w:tabs>
        <w:numPr>
          <w:ilvl w:val="2"/>
          <w:numId w:val="421"/>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no event shall any Credit Party or any Subsidiary be required to (i) enter into or deliver any foreign law-governed documents, file or record any documents or agreements (including any agreements relating to Intellectual Property) with any foreign Governmental Authority or take any other actions under foreign law with respect to Collateral held outside the United States except as upon the occurrence and during the continuance of an Event of Default and then only if and to the extent then-requested in writing by Lender, or</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deliver any bailee agreements in respect of Inventory or Equipment held by sales representatives or customers.</w:t>
      </w:r>
    </w:p>
    <w:p>
      <w:pPr>
        <w:spacing w:after="0" w:line="207"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b w:val="1"/>
          <w:bCs w:val="1"/>
          <w:color w:val="auto"/>
        </w:rPr>
        <w:t xml:space="preserve">5.15. Formation or Acquisition of Subsidiaries. </w:t>
      </w:r>
      <w:r>
        <w:rPr>
          <w:rFonts w:ascii="Arial" w:cs="Arial" w:eastAsia="Arial" w:hAnsi="Arial"/>
          <w:sz w:val="16"/>
          <w:szCs w:val="16"/>
          <w:color w:val="auto"/>
        </w:rPr>
        <w:t>Subject to the limitations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5.14(b)</w:t>
      </w:r>
      <w:r>
        <w:rPr>
          <w:rFonts w:ascii="Arial" w:cs="Arial" w:eastAsia="Arial" w:hAnsi="Arial"/>
          <w:sz w:val="16"/>
          <w:szCs w:val="16"/>
          <w:color w:val="auto"/>
        </w:rPr>
        <w:t>, if Borrower or any of its Subsidiaries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Tranche A Closing Date forms or acquires a Subsidiary, concurrently therewith, Borrower will notify Lender in writing regarding such formation or acquisition and, as promptly as practicable and in no event later than thirty (30) days after such formation or acquisition: (a) if such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69" w:right="459" w:bottom="1440" w:gutter="0" w:footer="0" w:header="0"/>
        </w:sectPr>
      </w:pPr>
    </w:p>
    <w:bookmarkStart w:id="451" w:name="page452"/>
    <w:bookmarkEnd w:id="45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is a Domestic Subsidiary that is not an Excluded Subsidiary or a CFC Holding Company, (i) Borrower will cause such Subsidiary to execute and deliver to Lender a joinder to the Security Agreement and, if applicable, the IP Agreements and any other relevant Collateral Document, (ii) without limiting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such Subsidiary will, and Borrower will cause such Subsidiary to, satisfy all conditions and requirements contained in this Agreement (including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and each other Loan Document (including the Security Agreement) if and to the extent applicable to such Subsidiary, (iii) Borrower will deliver a certificate executed by a Responsible Officer of Borrower or such Subsidiary that all such conditions and requirements have been satisfied (such certificate to be in form and substance reasonably satisfactory to Lender) and (iv) such Subsidiary shall constitute a Guarantor and a Credit Party for all purposes hereunder as of the date of formation or acquisition of such Subsidiary; (b) Borrower will deliver to Lender (i) true, correct and complete copies of the Operating Documents of such Subsidiary, (ii) a Secretary’s Certificate, certifying that the copies of such Operating Documents are true, correct and complete (such Secretary’s Certificate to be in form and substance reasonably satisfactory to Lender) and (iii) a good standing certificate (or equivalent certification if available in the case of a Subsidiary that is incorporated or organized under the laws of a jurisdiction other than the United States) for such Subsidiary, certified by the Secretary of State (or the equivalent thereof) of its jurisdiction of incorporation or organization; and (c) Borrower will deliver to Lender a Perfection Certificate, updated to reflect the formation or acquisition of such Subsidiary. Any document or Contract executed or issued pursuant to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shall be a Loan Document.</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 xml:space="preserve">5.16. Post-Closing Requirements. </w:t>
      </w:r>
      <w:r>
        <w:rPr>
          <w:rFonts w:ascii="Arial" w:cs="Arial" w:eastAsia="Arial" w:hAnsi="Arial"/>
          <w:sz w:val="16"/>
          <w:szCs w:val="16"/>
          <w:color w:val="auto"/>
        </w:rPr>
        <w:t>Borrower will, and will cause each of its Subsidiaries to, take each of the actions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5.16</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Disclosure Letter within the time period prescribed therefor on such schedule, which shall include, among other things, (a) delivery to Lender of true, correct and complete copies of each Control Agreement required by Lender hereunder and executed and delivered by each applicable Credit Party (which shall be in form and substance reasonably satisfactory to Lender); (b) use of commercially reasonable efforts to deliver a landlord’s consent in favor of Lender for each Credit Party’s leased locations by the respective landlord thereof (which consent shall include an agreement by such landlord to permit reasonable access to such leased premises by Lender or its agents upon an Event of Default for purposes of removal of any and all Collateral, if such leased premises is a warehouse, distribution center or other location at which a material amount of Collateral is located), together with the duly executed original signatures thereto (which shall be in form and substance reasonably satisfactory to Lender); and (c) use of commercially reasonable efforts to deliver a bailee waiver from each bailee in possession of any Collateral (which bailee waivers shall be reasonably satisfactory in form and substance to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use commercially reasonable efforts to deliver any bailee agreements in respect of Inventory or Equipment held by sales representatives or customers. All representations and warranties contained in this Agreement and the other Loan Documents shall be deemed modified to the extent necessary to take the actions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of the Disclosure Letter within the time periods set forth therein, rather than elsewhere provided in the Loan Documents).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5.17. Commercialization. </w:t>
      </w:r>
      <w:r>
        <w:rPr>
          <w:rFonts w:ascii="Arial" w:cs="Arial" w:eastAsia="Arial" w:hAnsi="Arial"/>
          <w:sz w:val="16"/>
          <w:szCs w:val="16"/>
          <w:color w:val="auto"/>
        </w:rPr>
        <w:t>Each of Borrower and its Subsidiaries shall use commercially reasonable efforts to (a) Commercialize the Products and</w:t>
      </w:r>
    </w:p>
    <w:p>
      <w:pPr>
        <w:spacing w:after="0" w:line="50" w:lineRule="exact"/>
        <w:rPr>
          <w:sz w:val="20"/>
          <w:szCs w:val="20"/>
          <w:color w:val="auto"/>
        </w:rPr>
      </w:pPr>
    </w:p>
    <w:p>
      <w:pPr>
        <w:ind w:right="420" w:firstLine="4"/>
        <w:spacing w:after="0" w:line="302" w:lineRule="auto"/>
        <w:tabs>
          <w:tab w:leader="none" w:pos="255" w:val="left"/>
        </w:tabs>
        <w:numPr>
          <w:ilvl w:val="0"/>
          <w:numId w:val="423"/>
        </w:numPr>
        <w:rPr>
          <w:rFonts w:ascii="Arial" w:cs="Arial" w:eastAsia="Arial" w:hAnsi="Arial"/>
          <w:sz w:val="16"/>
          <w:szCs w:val="16"/>
          <w:color w:val="auto"/>
        </w:rPr>
      </w:pPr>
      <w:r>
        <w:rPr>
          <w:rFonts w:ascii="Arial" w:cs="Arial" w:eastAsia="Arial" w:hAnsi="Arial"/>
          <w:sz w:val="16"/>
          <w:szCs w:val="16"/>
          <w:color w:val="auto"/>
        </w:rPr>
        <w:t>otherwise fully exploit the market potential of the Products in the Territory. In connection therewith, from and after the Tranche A Closing Date through December 31, 2022, the Products will be Manufactured in sufficient quantities and of a sufficient quality to satisfy at least the forecasted demand of the Products (as reasonably determined by a Responsible Officer of Borrower in good faith and based upon reasonable assumptions).</w:t>
      </w:r>
    </w:p>
    <w:p>
      <w:pPr>
        <w:spacing w:after="0" w:line="151" w:lineRule="exact"/>
        <w:rPr>
          <w:sz w:val="20"/>
          <w:szCs w:val="20"/>
          <w:color w:val="auto"/>
        </w:rPr>
      </w:pPr>
    </w:p>
    <w:p>
      <w:pPr>
        <w:ind w:right="240" w:firstLine="441"/>
        <w:spacing w:after="0" w:line="347" w:lineRule="auto"/>
        <w:rPr>
          <w:sz w:val="20"/>
          <w:szCs w:val="20"/>
          <w:color w:val="auto"/>
        </w:rPr>
      </w:pPr>
      <w:r>
        <w:rPr>
          <w:rFonts w:ascii="Arial" w:cs="Arial" w:eastAsia="Arial" w:hAnsi="Arial"/>
          <w:sz w:val="16"/>
          <w:szCs w:val="16"/>
          <w:b w:val="1"/>
          <w:bCs w:val="1"/>
          <w:color w:val="auto"/>
        </w:rPr>
        <w:t xml:space="preserve">5.18. Lender Meetings. </w:t>
      </w:r>
      <w:r>
        <w:rPr>
          <w:rFonts w:ascii="Arial" w:cs="Arial" w:eastAsia="Arial" w:hAnsi="Arial"/>
          <w:sz w:val="16"/>
          <w:szCs w:val="16"/>
          <w:color w:val="auto"/>
        </w:rPr>
        <w:t>Upon the request of Lender, participate in a meeting with Lender once during each fiscal year to be held at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offices (or at such other location as may be agreed to by Borrower and Lender) at such time as may be agreed to by Borrower and Lender.</w:t>
      </w:r>
    </w:p>
    <w:p>
      <w:pPr>
        <w:spacing w:after="0" w:line="116" w:lineRule="exact"/>
        <w:rPr>
          <w:sz w:val="20"/>
          <w:szCs w:val="20"/>
          <w:color w:val="auto"/>
        </w:rPr>
      </w:pPr>
    </w:p>
    <w:p>
      <w:pPr>
        <w:ind w:left="620" w:hanging="176"/>
        <w:spacing w:after="0"/>
        <w:tabs>
          <w:tab w:leader="none" w:pos="62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Each Credit Party covenants and agrees that, until payment in full of all Obligations (other than inchoate indemnity obligations), such Credit Party shall not, and shall cause each of its Subsidiaries not to:</w:t>
      </w:r>
    </w:p>
    <w:p>
      <w:pPr>
        <w:spacing w:after="0" w:line="166"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6.1. Dispositions</w:t>
      </w:r>
      <w:r>
        <w:rPr>
          <w:rFonts w:ascii="Arial" w:cs="Arial" w:eastAsia="Arial" w:hAnsi="Arial"/>
          <w:sz w:val="16"/>
          <w:szCs w:val="16"/>
          <w:color w:val="auto"/>
        </w:rPr>
        <w:t>. Convey, sell, exchange, lease, transfer, assign, exclusively license out, non-exclusively license out, agree to any covenant not to</w:t>
      </w:r>
      <w:r>
        <w:rPr>
          <w:rFonts w:ascii="Arial" w:cs="Arial" w:eastAsia="Arial" w:hAnsi="Arial"/>
          <w:sz w:val="16"/>
          <w:szCs w:val="16"/>
          <w:b w:val="1"/>
          <w:bCs w:val="1"/>
          <w:color w:val="auto"/>
        </w:rPr>
        <w:t xml:space="preserve"> </w:t>
      </w:r>
      <w:r>
        <w:rPr>
          <w:rFonts w:ascii="Arial" w:cs="Arial" w:eastAsia="Arial" w:hAnsi="Arial"/>
          <w:sz w:val="16"/>
          <w:szCs w:val="16"/>
          <w:color w:val="auto"/>
        </w:rPr>
        <w:t>sue, enter into a co-existence Contract or otherwise dispose of (including any sale-leaseback), directly or indirectly and whether in one or a series of transactions, all or any part of its properties or assets (collectively, “</w:t>
      </w:r>
      <w:r>
        <w:rPr>
          <w:rFonts w:ascii="Arial" w:cs="Arial" w:eastAsia="Arial" w:hAnsi="Arial"/>
          <w:sz w:val="16"/>
          <w:szCs w:val="16"/>
          <w:b w:val="1"/>
          <w:bCs w:val="1"/>
          <w:color w:val="auto"/>
        </w:rPr>
        <w:t>Transfer</w:t>
      </w:r>
      <w:r>
        <w:rPr>
          <w:rFonts w:ascii="Arial" w:cs="Arial" w:eastAsia="Arial" w:hAnsi="Arial"/>
          <w:sz w:val="16"/>
          <w:szCs w:val="16"/>
          <w:color w:val="auto"/>
        </w:rPr>
        <w:t>”), except for the following (collectively, “</w:t>
      </w:r>
      <w:r>
        <w:rPr>
          <w:rFonts w:ascii="Arial" w:cs="Arial" w:eastAsia="Arial" w:hAnsi="Arial"/>
          <w:sz w:val="16"/>
          <w:szCs w:val="16"/>
          <w:b w:val="1"/>
          <w:bCs w:val="1"/>
          <w:color w:val="auto"/>
        </w:rPr>
        <w:t>Permitted Transfers</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52" w:name="page453"/>
    <w:bookmarkEnd w:id="452"/>
    <w:p>
      <w:pPr>
        <w:ind w:firstLine="885"/>
        <w:spacing w:after="0" w:line="277" w:lineRule="auto"/>
        <w:tabs>
          <w:tab w:leader="none" w:pos="1126"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Transfers of Inventory in the ordinary course of business (including between Credit Parties and Subsidiaries which are not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Transfers are on a cost-plus basis);</w:t>
      </w:r>
    </w:p>
    <w:p>
      <w:pPr>
        <w:spacing w:after="0" w:line="62" w:lineRule="exact"/>
        <w:rPr>
          <w:rFonts w:ascii="Arial" w:cs="Arial" w:eastAsia="Arial" w:hAnsi="Arial"/>
          <w:sz w:val="18"/>
          <w:szCs w:val="18"/>
          <w:color w:val="auto"/>
        </w:rPr>
      </w:pPr>
    </w:p>
    <w:p>
      <w:pPr>
        <w:ind w:right="100" w:firstLine="885"/>
        <w:spacing w:after="0" w:line="259" w:lineRule="auto"/>
        <w:tabs>
          <w:tab w:leader="none" w:pos="113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Transfers of surplus, damaged, worn out or obsolete Equipment that is, in the reasonable judgment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Transfers made in connection with Permitted Liens and Permitted Investments and Transfers permitted by </w:t>
      </w:r>
      <w:r>
        <w:rPr>
          <w:rFonts w:ascii="Arial" w:cs="Arial" w:eastAsia="Arial" w:hAnsi="Arial"/>
          <w:sz w:val="16"/>
          <w:szCs w:val="16"/>
          <w:u w:val="single" w:color="auto"/>
          <w:color w:val="auto"/>
        </w:rPr>
        <w:t>Sections 6.3</w:t>
      </w:r>
      <w:r>
        <w:rPr>
          <w:rFonts w:ascii="Arial" w:cs="Arial" w:eastAsia="Arial" w:hAnsi="Arial"/>
          <w:sz w:val="16"/>
          <w:szCs w:val="16"/>
          <w:color w:val="auto"/>
        </w:rPr>
        <w:t xml:space="preserve">, </w:t>
      </w:r>
      <w:r>
        <w:rPr>
          <w:rFonts w:ascii="Arial" w:cs="Arial" w:eastAsia="Arial" w:hAnsi="Arial"/>
          <w:sz w:val="16"/>
          <w:szCs w:val="16"/>
          <w:u w:val="single" w:color="auto"/>
          <w:color w:val="auto"/>
        </w:rPr>
        <w:t>6.6(b)</w:t>
      </w:r>
      <w:r>
        <w:rPr>
          <w:rFonts w:ascii="Arial" w:cs="Arial" w:eastAsia="Arial" w:hAnsi="Arial"/>
          <w:sz w:val="16"/>
          <w:szCs w:val="16"/>
          <w:color w:val="auto"/>
        </w:rPr>
        <w:t xml:space="preserve">, </w:t>
      </w:r>
      <w:r>
        <w:rPr>
          <w:rFonts w:ascii="Arial" w:cs="Arial" w:eastAsia="Arial" w:hAnsi="Arial"/>
          <w:sz w:val="16"/>
          <w:szCs w:val="16"/>
          <w:u w:val="single" w:color="auto"/>
          <w:color w:val="auto"/>
        </w:rPr>
        <w:t>6.8</w:t>
      </w:r>
      <w:r>
        <w:rPr>
          <w:rFonts w:ascii="Arial" w:cs="Arial" w:eastAsia="Arial" w:hAnsi="Arial"/>
          <w:sz w:val="16"/>
          <w:szCs w:val="16"/>
          <w:color w:val="auto"/>
        </w:rPr>
        <w:t xml:space="preserve">, </w:t>
      </w:r>
      <w:r>
        <w:rPr>
          <w:rFonts w:ascii="Arial" w:cs="Arial" w:eastAsia="Arial" w:hAnsi="Arial"/>
          <w:sz w:val="16"/>
          <w:szCs w:val="16"/>
          <w:u w:val="single" w:color="auto"/>
          <w:color w:val="auto"/>
        </w:rPr>
        <w:t>6.9</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6.10</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340" w:firstLine="885"/>
        <w:spacing w:after="0" w:line="277" w:lineRule="auto"/>
        <w:tabs>
          <w:tab w:leader="none" w:pos="112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Transfers consisting of licenses or covenants not to sue made in connection with the settlement of the litigation matters described on </w:t>
      </w:r>
      <w:r>
        <w:rPr>
          <w:rFonts w:ascii="Arial" w:cs="Arial" w:eastAsia="Arial" w:hAnsi="Arial"/>
          <w:sz w:val="18"/>
          <w:szCs w:val="18"/>
          <w:u w:val="single" w:color="auto"/>
          <w:color w:val="auto"/>
        </w:rPr>
        <w:t>Schedule 4.6</w:t>
      </w:r>
      <w:r>
        <w:rPr>
          <w:rFonts w:ascii="Arial" w:cs="Arial" w:eastAsia="Arial" w:hAnsi="Arial"/>
          <w:sz w:val="18"/>
          <w:szCs w:val="18"/>
          <w:color w:val="auto"/>
        </w:rPr>
        <w:t xml:space="preserve"> of the Disclosure Letter or about which Lender receives written notice pursuant to </w:t>
      </w:r>
      <w:r>
        <w:rPr>
          <w:rFonts w:ascii="Arial" w:cs="Arial" w:eastAsia="Arial" w:hAnsi="Arial"/>
          <w:sz w:val="18"/>
          <w:szCs w:val="18"/>
          <w:u w:val="single" w:color="auto"/>
          <w:color w:val="auto"/>
        </w:rPr>
        <w:t>Section 5.2(d)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Transfers of cash and Cash Equivalents in a manner that is not prohibited by the terms of this Agreement or the other Loan Documents;</w:t>
      </w:r>
    </w:p>
    <w:p>
      <w:pPr>
        <w:spacing w:after="0" w:line="140" w:lineRule="exact"/>
        <w:rPr>
          <w:rFonts w:ascii="Arial" w:cs="Arial" w:eastAsia="Arial" w:hAnsi="Arial"/>
          <w:sz w:val="16"/>
          <w:szCs w:val="16"/>
          <w:color w:val="auto"/>
        </w:rPr>
      </w:pPr>
    </w:p>
    <w:p>
      <w:pPr>
        <w:ind w:left="1140" w:hanging="255"/>
        <w:spacing w:after="0"/>
        <w:tabs>
          <w:tab w:leader="none" w:pos="11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 Transfers between or among Credit Parties and (ii) Transfers between or among non-Credit Parties;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sale or issuance of Equity Interests of any Subsidiary of Borrower to any Credit Party or to any other Subsidiary of Borrower;</w:t>
      </w:r>
    </w:p>
    <w:p>
      <w:pPr>
        <w:spacing w:after="0" w:line="128" w:lineRule="exact"/>
        <w:rPr>
          <w:rFonts w:ascii="Arial" w:cs="Arial" w:eastAsia="Arial" w:hAnsi="Arial"/>
          <w:sz w:val="17"/>
          <w:szCs w:val="17"/>
          <w:color w:val="auto"/>
        </w:rPr>
      </w:pPr>
    </w:p>
    <w:p>
      <w:pPr>
        <w:ind w:right="20" w:firstLine="885"/>
        <w:spacing w:after="0" w:line="277" w:lineRule="auto"/>
        <w:tabs>
          <w:tab w:leader="none" w:pos="109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business in connection with the compromise or collection thereof;</w:t>
      </w:r>
    </w:p>
    <w:p>
      <w:pPr>
        <w:spacing w:after="0" w:line="62" w:lineRule="exact"/>
        <w:rPr>
          <w:rFonts w:ascii="Arial" w:cs="Arial" w:eastAsia="Arial" w:hAnsi="Arial"/>
          <w:sz w:val="18"/>
          <w:szCs w:val="18"/>
          <w:color w:val="auto"/>
        </w:rPr>
      </w:pPr>
    </w:p>
    <w:p>
      <w:pPr>
        <w:ind w:right="100" w:firstLine="885"/>
        <w:spacing w:after="0" w:line="279" w:lineRule="auto"/>
        <w:tabs>
          <w:tab w:leader="none" w:pos="1096"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any abandonment, cancellation, non-renewal or discontinuance of use or maintenance of Intellectual Property (or rights relating thereto) of Borrower and its Subsidiaries that Borrower reasonably determines in good faith is no longer economically practicable to maintain or useful in the ordinary course of business and that is not adverse to the rights, remedies and benefits available to, or conferred upon, Lender under any Loan Document in any material respect or otherwise does not materially diminish the value of the Collateral securing the Obligations;</w:t>
      </w:r>
    </w:p>
    <w:p>
      <w:pPr>
        <w:spacing w:after="0" w:line="63" w:lineRule="exact"/>
        <w:rPr>
          <w:rFonts w:ascii="Arial" w:cs="Arial" w:eastAsia="Arial" w:hAnsi="Arial"/>
          <w:sz w:val="17"/>
          <w:szCs w:val="17"/>
          <w:color w:val="auto"/>
        </w:rPr>
      </w:pPr>
    </w:p>
    <w:p>
      <w:pPr>
        <w:ind w:left="1140" w:hanging="255"/>
        <w:spacing w:after="0"/>
        <w:tabs>
          <w:tab w:leader="none" w:pos="11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granting of Consulting Royalties;</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Transfers in connection with the cancellation by Borrower of Indebtedness owed to Borrower listed on </w:t>
      </w:r>
      <w:r>
        <w:rPr>
          <w:rFonts w:ascii="Arial" w:cs="Arial" w:eastAsia="Arial" w:hAnsi="Arial"/>
          <w:sz w:val="16"/>
          <w:szCs w:val="16"/>
          <w:u w:val="single" w:color="auto"/>
          <w:color w:val="auto"/>
        </w:rPr>
        <w:t>Schedule 6.1(l)</w:t>
      </w:r>
      <w:r>
        <w:rPr>
          <w:rFonts w:ascii="Arial" w:cs="Arial" w:eastAsia="Arial" w:hAnsi="Arial"/>
          <w:sz w:val="16"/>
          <w:szCs w:val="16"/>
          <w:color w:val="auto"/>
        </w:rPr>
        <w:t xml:space="preserve"> of the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w:t>
      </w:r>
    </w:p>
    <w:p>
      <w:pPr>
        <w:spacing w:after="0" w:line="102" w:lineRule="exact"/>
        <w:rPr>
          <w:rFonts w:ascii="Arial" w:cs="Arial" w:eastAsia="Arial" w:hAnsi="Arial"/>
          <w:sz w:val="16"/>
          <w:szCs w:val="16"/>
          <w:color w:val="auto"/>
        </w:rPr>
      </w:pPr>
    </w:p>
    <w:p>
      <w:pPr>
        <w:ind w:right="360" w:firstLine="885"/>
        <w:spacing w:after="0" w:line="277" w:lineRule="auto"/>
        <w:tabs>
          <w:tab w:leader="none" w:pos="118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intercompany licenses or grants of distribution, co-product or similar commercial rights relating to Intellectual Property between or among the Credit Parties and their Subsidiaries, in each case as to geography other than the United States;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other Transfers made in the ordinary course of business on commercially reasonable arm’s length terms; and</w:t>
      </w:r>
    </w:p>
    <w:p>
      <w:pPr>
        <w:spacing w:after="0" w:line="117" w:lineRule="exact"/>
        <w:rPr>
          <w:rFonts w:ascii="Arial" w:cs="Arial" w:eastAsia="Arial" w:hAnsi="Arial"/>
          <w:sz w:val="18"/>
          <w:szCs w:val="18"/>
          <w:color w:val="auto"/>
        </w:rPr>
      </w:pPr>
    </w:p>
    <w:p>
      <w:pPr>
        <w:ind w:right="160" w:firstLine="885"/>
        <w:spacing w:after="0" w:line="259" w:lineRule="auto"/>
        <w:tabs>
          <w:tab w:leader="none" w:pos="113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other Transfers in which such Credit Party will receive cash proceeds in an amount equal to no less than seventy-five percent (75%) of all Transfer consideration (fixed or contingent) paid or payable to such Credit Party or Subsidiary, but only so long as the net cash proceeds of such Transfer are utilized to repay or prepay, in whole or in part, Indebtedness to Lender under and in accordance with this Agreement and the other Loan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3" w:right="459" w:bottom="1440" w:gutter="0" w:footer="0" w:header="0"/>
        </w:sectPr>
      </w:pPr>
    </w:p>
    <w:bookmarkStart w:id="453" w:name="page454"/>
    <w:bookmarkEnd w:id="453"/>
    <w:p>
      <w:pPr>
        <w:ind w:right="5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permitted under this Agreement, no Transfer of all or any part of the properties or assets of any Credit Party to any Affiliate of Borrower that is not a Credit Party shall constitute a Permitted Transfer without the prior written consent of Lender.</w:t>
      </w:r>
    </w:p>
    <w:p>
      <w:pPr>
        <w:spacing w:after="0" w:line="143" w:lineRule="exact"/>
        <w:rPr>
          <w:sz w:val="20"/>
          <w:szCs w:val="20"/>
          <w:color w:val="auto"/>
        </w:rPr>
      </w:pPr>
    </w:p>
    <w:p>
      <w:pPr>
        <w:ind w:right="140" w:firstLine="441"/>
        <w:spacing w:after="0" w:line="258" w:lineRule="auto"/>
        <w:rPr>
          <w:sz w:val="20"/>
          <w:szCs w:val="20"/>
          <w:color w:val="auto"/>
        </w:rPr>
      </w:pPr>
      <w:r>
        <w:rPr>
          <w:rFonts w:ascii="Arial" w:cs="Arial" w:eastAsia="Arial" w:hAnsi="Arial"/>
          <w:sz w:val="18"/>
          <w:szCs w:val="18"/>
          <w:b w:val="1"/>
          <w:bCs w:val="1"/>
          <w:color w:val="auto"/>
        </w:rPr>
        <w:t>6.2. Changes in Business, Management or Business Locations</w:t>
      </w:r>
      <w:r>
        <w:rPr>
          <w:rFonts w:ascii="Arial" w:cs="Arial" w:eastAsia="Arial" w:hAnsi="Arial"/>
          <w:sz w:val="18"/>
          <w:szCs w:val="18"/>
          <w:color w:val="auto"/>
        </w:rPr>
        <w:t>. (a) (i) Engage in any business other than the types of businesses engaged in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Credit Party and its Subsidiaries on the Tranche A Closing Date or that are reasonably similar, related, complementary, ancillary or incidental thereto or (ii) in the case of Borrower, have a change in chief executive officer or chief financial officer and, to the extent that Borrower’s Board of Directors determines a replacement is necessary, a replacement satisfactory to Borrower’s Board of Directors is not made within ninety (90) days after such individual’s departure.</w:t>
      </w:r>
    </w:p>
    <w:p>
      <w:pPr>
        <w:spacing w:after="0" w:line="80" w:lineRule="exact"/>
        <w:rPr>
          <w:sz w:val="20"/>
          <w:szCs w:val="20"/>
          <w:color w:val="auto"/>
        </w:rPr>
      </w:pPr>
    </w:p>
    <w:p>
      <w:pPr>
        <w:ind w:right="160" w:firstLine="885"/>
        <w:spacing w:after="0" w:line="264" w:lineRule="auto"/>
        <w:tabs>
          <w:tab w:leader="none" w:pos="11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Without at least twenty (20) days’ prior written notice to Lender: (i) change such Credit Party’s jurisdiction of organization, (ii) change such Credit Party’s organizational structure or type, (iii) change such Credit Party’s legal name, or (iv) change any organizational number (if any) assigned by such Credit Party’s jurisdiction of organization.</w:t>
      </w:r>
    </w:p>
    <w:p>
      <w:pPr>
        <w:spacing w:after="0" w:line="73" w:lineRule="exact"/>
        <w:rPr>
          <w:rFonts w:ascii="Arial" w:cs="Arial" w:eastAsia="Arial" w:hAnsi="Arial"/>
          <w:sz w:val="18"/>
          <w:szCs w:val="18"/>
          <w:color w:val="auto"/>
        </w:rPr>
      </w:pPr>
    </w:p>
    <w:p>
      <w:pPr>
        <w:ind w:right="140" w:firstLine="885"/>
        <w:spacing w:after="0" w:line="259" w:lineRule="auto"/>
        <w:tabs>
          <w:tab w:leader="none" w:pos="112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Deliver any portion of the Collateral to one or more bailees or leased locations if the aggregate value of such portion of Collateral, individually or together with any other Collateral at such location(s), is in excess of $1,000,000 (as reasonably determined by a Responsible Officer of Borrower in good faith and based upon reasonable assumptions), unless such Credit Party shall have used commercially reasonable efforts to deliver to Lender:</w:t>
      </w:r>
    </w:p>
    <w:p>
      <w:pPr>
        <w:spacing w:after="0" w:line="78" w:lineRule="exact"/>
        <w:rPr>
          <w:rFonts w:ascii="Arial" w:cs="Arial" w:eastAsia="Arial" w:hAnsi="Arial"/>
          <w:sz w:val="18"/>
          <w:szCs w:val="18"/>
          <w:color w:val="auto"/>
        </w:rPr>
      </w:pPr>
    </w:p>
    <w:p>
      <w:pPr>
        <w:ind w:left="440" w:right="280" w:firstLine="851"/>
        <w:spacing w:after="0" w:line="277" w:lineRule="auto"/>
        <w:tabs>
          <w:tab w:leader="none" w:pos="1501" w:val="left"/>
        </w:tabs>
        <w:numPr>
          <w:ilvl w:val="1"/>
          <w:numId w:val="42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5.14(b)</w:t>
      </w:r>
      <w:r>
        <w:rPr>
          <w:rFonts w:ascii="Arial" w:cs="Arial" w:eastAsia="Arial" w:hAnsi="Arial"/>
          <w:sz w:val="18"/>
          <w:szCs w:val="18"/>
          <w:color w:val="auto"/>
        </w:rPr>
        <w:t>, a bailee agreement in form and substance reasonably satisfactory to Lender within thirty (30) days of such delivery of Collateral; or</w:t>
      </w:r>
    </w:p>
    <w:p>
      <w:pPr>
        <w:spacing w:after="0" w:line="62" w:lineRule="exact"/>
        <w:rPr>
          <w:rFonts w:ascii="Arial" w:cs="Arial" w:eastAsia="Arial" w:hAnsi="Arial"/>
          <w:sz w:val="18"/>
          <w:szCs w:val="18"/>
          <w:color w:val="auto"/>
        </w:rPr>
      </w:pPr>
    </w:p>
    <w:p>
      <w:pPr>
        <w:ind w:left="440" w:right="320" w:firstLine="851"/>
        <w:spacing w:after="0" w:line="277" w:lineRule="auto"/>
        <w:tabs>
          <w:tab w:leader="none" w:pos="1551"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landlord’s consent in favor of Lender in form and substance reasonably satisfactory to Lender within thirty (30) days of such delivery of Collateral.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6.3. Mergers, Acquisitions</w:t>
      </w:r>
      <w:r>
        <w:rPr>
          <w:rFonts w:ascii="Arial" w:cs="Arial" w:eastAsia="Arial" w:hAnsi="Arial"/>
          <w:sz w:val="18"/>
          <w:szCs w:val="18"/>
          <w:color w:val="auto"/>
        </w:rPr>
        <w:t>,</w:t>
      </w:r>
      <w:r>
        <w:rPr>
          <w:rFonts w:ascii="Arial" w:cs="Arial" w:eastAsia="Arial" w:hAnsi="Arial"/>
          <w:sz w:val="18"/>
          <w:szCs w:val="18"/>
          <w:b w:val="1"/>
          <w:bCs w:val="1"/>
          <w:color w:val="auto"/>
        </w:rPr>
        <w:t xml:space="preserve"> Liquidations or Dissolutions</w:t>
      </w:r>
      <w:r>
        <w:rPr>
          <w:rFonts w:ascii="Arial" w:cs="Arial" w:eastAsia="Arial" w:hAnsi="Arial"/>
          <w:sz w:val="18"/>
          <w:szCs w:val="18"/>
          <w:color w:val="auto"/>
        </w:rPr>
        <w:t>.</w:t>
      </w:r>
    </w:p>
    <w:p>
      <w:pPr>
        <w:spacing w:after="0" w:line="121" w:lineRule="exact"/>
        <w:rPr>
          <w:sz w:val="20"/>
          <w:szCs w:val="20"/>
          <w:color w:val="auto"/>
        </w:rPr>
      </w:pPr>
    </w:p>
    <w:p>
      <w:pPr>
        <w:ind w:left="1140" w:hanging="255"/>
        <w:spacing w:after="0"/>
        <w:tabs>
          <w:tab w:leader="none" w:pos="114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Merge, consolidate, liquidate or dissolve with or into any other Person, except that:</w:t>
      </w:r>
    </w:p>
    <w:p>
      <w:pPr>
        <w:spacing w:after="0" w:line="117" w:lineRule="exact"/>
        <w:rPr>
          <w:rFonts w:ascii="Arial" w:cs="Arial" w:eastAsia="Arial" w:hAnsi="Arial"/>
          <w:sz w:val="18"/>
          <w:szCs w:val="18"/>
          <w:color w:val="auto"/>
        </w:rPr>
      </w:pPr>
    </w:p>
    <w:p>
      <w:pPr>
        <w:ind w:left="440" w:firstLine="851"/>
        <w:spacing w:after="0" w:line="277" w:lineRule="auto"/>
        <w:tabs>
          <w:tab w:leader="none" w:pos="1501" w:val="left"/>
        </w:tabs>
        <w:numPr>
          <w:ilvl w:val="2"/>
          <w:numId w:val="427"/>
        </w:numPr>
        <w:rPr>
          <w:rFonts w:ascii="Arial" w:cs="Arial" w:eastAsia="Arial" w:hAnsi="Arial"/>
          <w:sz w:val="18"/>
          <w:szCs w:val="18"/>
          <w:color w:val="auto"/>
        </w:rPr>
      </w:pPr>
      <w:r>
        <w:rPr>
          <w:rFonts w:ascii="Arial" w:cs="Arial" w:eastAsia="Arial" w:hAnsi="Arial"/>
          <w:sz w:val="18"/>
          <w:szCs w:val="18"/>
          <w:color w:val="auto"/>
        </w:rPr>
        <w:t xml:space="preserve">any Subsidiary of Borrower that is a Credit Party may merge or consolidate with Borrower or any other Subsidiary of Borrower that is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or such other Credit Party is the surviving entity;</w:t>
      </w:r>
    </w:p>
    <w:p>
      <w:pPr>
        <w:spacing w:after="0" w:line="62" w:lineRule="exact"/>
        <w:rPr>
          <w:rFonts w:ascii="Arial" w:cs="Arial" w:eastAsia="Arial" w:hAnsi="Arial"/>
          <w:sz w:val="18"/>
          <w:szCs w:val="18"/>
          <w:color w:val="auto"/>
        </w:rPr>
      </w:pPr>
    </w:p>
    <w:p>
      <w:pPr>
        <w:ind w:left="1560" w:hanging="269"/>
        <w:spacing w:after="0"/>
        <w:tabs>
          <w:tab w:leader="none" w:pos="1560" w:val="left"/>
        </w:tabs>
        <w:numPr>
          <w:ilvl w:val="2"/>
          <w:numId w:val="427"/>
        </w:numPr>
        <w:rPr>
          <w:rFonts w:ascii="Arial" w:cs="Arial" w:eastAsia="Arial" w:hAnsi="Arial"/>
          <w:sz w:val="16"/>
          <w:szCs w:val="16"/>
          <w:color w:val="auto"/>
        </w:rPr>
      </w:pPr>
      <w:r>
        <w:rPr>
          <w:rFonts w:ascii="Arial" w:cs="Arial" w:eastAsia="Arial" w:hAnsi="Arial"/>
          <w:sz w:val="16"/>
          <w:szCs w:val="16"/>
          <w:color w:val="auto"/>
        </w:rPr>
        <w:t>any Subsidiary of Borrower that is not a Credit Party may merge or consolidate with another Subsidiary of Borrower that is not a</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Credit Party;</w:t>
      </w:r>
    </w:p>
    <w:p>
      <w:pPr>
        <w:spacing w:after="0" w:line="102" w:lineRule="exact"/>
        <w:rPr>
          <w:rFonts w:ascii="Arial" w:cs="Arial" w:eastAsia="Arial" w:hAnsi="Arial"/>
          <w:sz w:val="16"/>
          <w:szCs w:val="16"/>
          <w:color w:val="auto"/>
        </w:rPr>
      </w:pPr>
    </w:p>
    <w:p>
      <w:pPr>
        <w:ind w:left="440" w:right="380" w:firstLine="851"/>
        <w:spacing w:after="0" w:line="277" w:lineRule="auto"/>
        <w:tabs>
          <w:tab w:leader="none" w:pos="1601" w:val="left"/>
        </w:tabs>
        <w:numPr>
          <w:ilvl w:val="2"/>
          <w:numId w:val="427"/>
        </w:numPr>
        <w:rPr>
          <w:rFonts w:ascii="Arial" w:cs="Arial" w:eastAsia="Arial" w:hAnsi="Arial"/>
          <w:sz w:val="18"/>
          <w:szCs w:val="18"/>
          <w:color w:val="auto"/>
        </w:rPr>
      </w:pPr>
      <w:r>
        <w:rPr>
          <w:rFonts w:ascii="Arial" w:cs="Arial" w:eastAsia="Arial" w:hAnsi="Arial"/>
          <w:sz w:val="18"/>
          <w:szCs w:val="18"/>
          <w:color w:val="auto"/>
        </w:rPr>
        <w:t xml:space="preserve">any Subsidiary of Borrower that is not a Credit Party may merge or consolidate with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Credit Party is the surviving entity;</w:t>
      </w:r>
    </w:p>
    <w:p>
      <w:pPr>
        <w:spacing w:after="0" w:line="62" w:lineRule="exact"/>
        <w:rPr>
          <w:rFonts w:ascii="Arial" w:cs="Arial" w:eastAsia="Arial" w:hAnsi="Arial"/>
          <w:sz w:val="18"/>
          <w:szCs w:val="18"/>
          <w:color w:val="auto"/>
        </w:rPr>
      </w:pPr>
    </w:p>
    <w:p>
      <w:pPr>
        <w:ind w:left="440" w:right="160" w:firstLine="851"/>
        <w:spacing w:after="0" w:line="342" w:lineRule="auto"/>
        <w:tabs>
          <w:tab w:leader="none" w:pos="1591" w:val="left"/>
        </w:tabs>
        <w:numPr>
          <w:ilvl w:val="2"/>
          <w:numId w:val="427"/>
        </w:numPr>
        <w:rPr>
          <w:rFonts w:ascii="Arial" w:cs="Arial" w:eastAsia="Arial" w:hAnsi="Arial"/>
          <w:sz w:val="16"/>
          <w:szCs w:val="16"/>
          <w:color w:val="auto"/>
        </w:rPr>
      </w:pPr>
      <w:r>
        <w:rPr>
          <w:rFonts w:ascii="Arial" w:cs="Arial" w:eastAsia="Arial" w:hAnsi="Arial"/>
          <w:sz w:val="16"/>
          <w:szCs w:val="16"/>
          <w:color w:val="auto"/>
        </w:rPr>
        <w:t xml:space="preserve">any Subsidiary of Borrower may be dissolved or liquidated;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and all of the properties and assets of such Subsidiary are distributed to one or more Credit Parties or a Subsidiary that is not a Credit Party if the dissolved Subsidiary is not a Credit Party;</w:t>
      </w:r>
    </w:p>
    <w:p>
      <w:pPr>
        <w:spacing w:after="0" w:line="15" w:lineRule="exact"/>
        <w:rPr>
          <w:rFonts w:ascii="Arial" w:cs="Arial" w:eastAsia="Arial" w:hAnsi="Arial"/>
          <w:sz w:val="16"/>
          <w:szCs w:val="16"/>
          <w:color w:val="auto"/>
        </w:rPr>
      </w:pPr>
    </w:p>
    <w:p>
      <w:pPr>
        <w:ind w:left="440" w:right="60" w:firstLine="851"/>
        <w:spacing w:after="0" w:line="291" w:lineRule="auto"/>
        <w:tabs>
          <w:tab w:leader="none" w:pos="1541" w:val="left"/>
        </w:tabs>
        <w:numPr>
          <w:ilvl w:val="2"/>
          <w:numId w:val="427"/>
        </w:numPr>
        <w:rPr>
          <w:rFonts w:ascii="Arial" w:cs="Arial" w:eastAsia="Arial" w:hAnsi="Arial"/>
          <w:sz w:val="16"/>
          <w:szCs w:val="16"/>
          <w:color w:val="auto"/>
        </w:rPr>
      </w:pPr>
      <w:r>
        <w:rPr>
          <w:rFonts w:ascii="Arial" w:cs="Arial" w:eastAsia="Arial" w:hAnsi="Arial"/>
          <w:sz w:val="16"/>
          <w:szCs w:val="16"/>
          <w:color w:val="auto"/>
        </w:rPr>
        <w:t xml:space="preserve">any Credit Party may merge, consolidate or dissolve with or into any Person in connection with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 (1) is at the time of such transaction a Credit Party or (2) in connection with the consummation of such transaction,</w:t>
      </w:r>
    </w:p>
    <w:p>
      <w:pPr>
        <w:ind w:left="440" w:right="40" w:firstLine="4"/>
        <w:spacing w:after="0" w:line="252" w:lineRule="auto"/>
        <w:tabs>
          <w:tab w:leader="none" w:pos="73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executes and delivers to Lender a joinder to the Security Agreement and, if applicable, the IP Agreements and any other relevant Collateral Document, (B) without limiting sub-clause (A) above, satisfies all conditions and requirements contained in this Agreement (including </w:t>
      </w:r>
      <w:r>
        <w:rPr>
          <w:rFonts w:ascii="Arial" w:cs="Arial" w:eastAsia="Arial" w:hAnsi="Arial"/>
          <w:sz w:val="18"/>
          <w:szCs w:val="18"/>
          <w:u w:val="single" w:color="auto"/>
          <w:color w:val="auto"/>
        </w:rPr>
        <w:t>Section 5.14</w:t>
      </w:r>
      <w:r>
        <w:rPr>
          <w:rFonts w:ascii="Arial" w:cs="Arial" w:eastAsia="Arial" w:hAnsi="Arial"/>
          <w:sz w:val="18"/>
          <w:szCs w:val="18"/>
          <w:color w:val="auto"/>
        </w:rPr>
        <w:t>) and each other Loan Document (including the Security Agreement) if and to the extent applicable to such Person, (C) delivers a certificate executed by a Responsible Officer of such Person that all such conditions and requirements have been satisfied (such certificate to be in form and substance reasonably satisfactory to Lender) and (D) shall constitute a Guarantor and a Credit Party for all purposes hereunder as of the date of consummation of such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54" w:name="page455"/>
    <w:bookmarkEnd w:id="454"/>
    <w:p>
      <w:pPr>
        <w:ind w:left="440" w:right="700" w:firstLine="851"/>
        <w:spacing w:after="0" w:line="277" w:lineRule="auto"/>
        <w:tabs>
          <w:tab w:leader="none" w:pos="1591" w:val="left"/>
        </w:tabs>
        <w:numPr>
          <w:ilvl w:val="1"/>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Subsidiary that is not a Credit Party may merge, consolidate or dissolve with or into any Person in connection with a Permitted Acquisition; and</w:t>
      </w:r>
    </w:p>
    <w:p>
      <w:pPr>
        <w:spacing w:after="0" w:line="62" w:lineRule="exact"/>
        <w:rPr>
          <w:rFonts w:ascii="Arial" w:cs="Arial" w:eastAsia="Arial" w:hAnsi="Arial"/>
          <w:sz w:val="18"/>
          <w:szCs w:val="18"/>
          <w:color w:val="auto"/>
        </w:rPr>
      </w:pPr>
    </w:p>
    <w:p>
      <w:pPr>
        <w:ind w:left="1640" w:hanging="349"/>
        <w:spacing w:after="0"/>
        <w:tabs>
          <w:tab w:leader="none" w:pos="164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 xml:space="preserve">any Investment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may be structured as a merger or consolidation; or</w:t>
      </w:r>
    </w:p>
    <w:p>
      <w:pPr>
        <w:spacing w:after="0" w:line="117" w:lineRule="exact"/>
        <w:rPr>
          <w:rFonts w:ascii="Arial" w:cs="Arial" w:eastAsia="Arial" w:hAnsi="Arial"/>
          <w:sz w:val="18"/>
          <w:szCs w:val="18"/>
          <w:color w:val="auto"/>
        </w:rPr>
      </w:pPr>
    </w:p>
    <w:p>
      <w:pPr>
        <w:ind w:right="380" w:firstLine="885"/>
        <w:spacing w:after="0" w:line="308" w:lineRule="auto"/>
        <w:tabs>
          <w:tab w:leader="none" w:pos="113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make, or permit any of its Subsidiaries to make, Acquisitions outside the ordinary course of business, including any purchase of the assets of any division or line of business of any other Person, other than Permitted Acquisitions or Permitted Investments.</w:t>
      </w:r>
    </w:p>
    <w:p>
      <w:pPr>
        <w:spacing w:after="0" w:line="143"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b w:val="1"/>
          <w:bCs w:val="1"/>
          <w:color w:val="auto"/>
        </w:rPr>
        <w:t>6.4. Indebtedness</w:t>
      </w:r>
      <w:r>
        <w:rPr>
          <w:rFonts w:ascii="Arial" w:cs="Arial" w:eastAsia="Arial" w:hAnsi="Arial"/>
          <w:sz w:val="18"/>
          <w:szCs w:val="18"/>
          <w:color w:val="auto"/>
        </w:rPr>
        <w:t>. Directly or indirectly, create, incur, assume or guaranty, or otherwise become or remain directly or indirectly liable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Indebtedness, other than Permitted Indebtedness.</w:t>
      </w:r>
    </w:p>
    <w:p>
      <w:pPr>
        <w:spacing w:after="0" w:line="162" w:lineRule="exact"/>
        <w:rPr>
          <w:sz w:val="20"/>
          <w:szCs w:val="20"/>
          <w:color w:val="auto"/>
        </w:rPr>
      </w:pPr>
    </w:p>
    <w:p>
      <w:pPr>
        <w:ind w:right="280" w:firstLine="441"/>
        <w:spacing w:after="0" w:line="255" w:lineRule="auto"/>
        <w:rPr>
          <w:sz w:val="20"/>
          <w:szCs w:val="20"/>
          <w:color w:val="auto"/>
        </w:rPr>
      </w:pPr>
      <w:r>
        <w:rPr>
          <w:rFonts w:ascii="Arial" w:cs="Arial" w:eastAsia="Arial" w:hAnsi="Arial"/>
          <w:sz w:val="18"/>
          <w:szCs w:val="18"/>
          <w:b w:val="1"/>
          <w:bCs w:val="1"/>
          <w:color w:val="auto"/>
        </w:rPr>
        <w:t>6.5. Encumbrance</w:t>
      </w:r>
      <w:r>
        <w:rPr>
          <w:rFonts w:ascii="Arial" w:cs="Arial" w:eastAsia="Arial" w:hAnsi="Arial"/>
          <w:sz w:val="18"/>
          <w:szCs w:val="18"/>
          <w:color w:val="auto"/>
        </w:rPr>
        <w:t>. Except for Permitted Liens, create, incur, allow, or suffer to exist any Lien on any of its properties or assets, or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convey any right to receive income (except as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in connection with royalties payable in connection with any Permitted Acquisition), including the sale of any Accounts (except as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or permit any Collateral not to be subject to the first priority security interest granted in the Security Agreement or otherwise pursuant to the other Collateral Documents (except for Permitted Liens that are permitted by the terms of this Agreement to have priority over Lender’s Lien). The parties hereto acknowledge and agree that at all times prior to the Tranche A Closing Date, this covenant shall not apply to Company IP to the extent the application of this covenant would violate the terms of the Existing Oxford Loan Agreement.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No Further Negative Pledges; Negative Pledge</w:t>
      </w:r>
      <w:r>
        <w:rPr>
          <w:rFonts w:ascii="Arial" w:cs="Arial" w:eastAsia="Arial" w:hAnsi="Arial"/>
          <w:sz w:val="18"/>
          <w:szCs w:val="18"/>
          <w:color w:val="auto"/>
        </w:rPr>
        <w:t>.</w:t>
      </w:r>
    </w:p>
    <w:p>
      <w:pPr>
        <w:spacing w:after="0" w:line="121" w:lineRule="exact"/>
        <w:rPr>
          <w:sz w:val="20"/>
          <w:szCs w:val="20"/>
          <w:color w:val="auto"/>
        </w:rPr>
      </w:pPr>
    </w:p>
    <w:p>
      <w:pPr>
        <w:jc w:val="both"/>
        <w:ind w:right="20" w:firstLine="885"/>
        <w:spacing w:after="0" w:line="264" w:lineRule="auto"/>
        <w:tabs>
          <w:tab w:leader="none" w:pos="112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Enter into any Contract or document directly or indirectly prohibiting or limiting the assignment, mortgage or pledge of, or the grant of a security interest in or the creation, incurrence or existence of any Lien upon, any of its properties or assets, whether now owned or hereafter acquired, to or in favor of Lender pursuant to the Loan Documents, except with respect to the following:</w:t>
      </w:r>
    </w:p>
    <w:p>
      <w:pPr>
        <w:spacing w:after="0" w:line="73" w:lineRule="exact"/>
        <w:rPr>
          <w:rFonts w:ascii="Arial" w:cs="Arial" w:eastAsia="Arial" w:hAnsi="Arial"/>
          <w:sz w:val="18"/>
          <w:szCs w:val="18"/>
          <w:color w:val="auto"/>
        </w:rPr>
      </w:pPr>
    </w:p>
    <w:p>
      <w:pPr>
        <w:ind w:left="440" w:right="100" w:firstLine="851"/>
        <w:spacing w:after="0" w:line="264" w:lineRule="auto"/>
        <w:tabs>
          <w:tab w:leader="none" w:pos="150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 xml:space="preserve">specific properties or assets encumbered by Permitted Liens to secure payment of Permitted Indebtedness (including the Permitted Indebtedness set forth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“Permitted Indebtedness”), if and only to the extent each such prohibition or limitation applies only to such properties or assets;</w:t>
      </w:r>
    </w:p>
    <w:p>
      <w:pPr>
        <w:spacing w:after="0" w:line="73" w:lineRule="exact"/>
        <w:rPr>
          <w:rFonts w:ascii="Arial" w:cs="Arial" w:eastAsia="Arial" w:hAnsi="Arial"/>
          <w:sz w:val="18"/>
          <w:szCs w:val="18"/>
          <w:color w:val="auto"/>
        </w:rPr>
      </w:pPr>
    </w:p>
    <w:p>
      <w:pPr>
        <w:ind w:left="440" w:firstLine="851"/>
        <w:spacing w:after="0" w:line="279" w:lineRule="auto"/>
        <w:tabs>
          <w:tab w:leader="none" w:pos="1551" w:val="left"/>
        </w:tabs>
        <w:numPr>
          <w:ilvl w:val="1"/>
          <w:numId w:val="431"/>
        </w:numPr>
        <w:rPr>
          <w:rFonts w:ascii="Arial" w:cs="Arial" w:eastAsia="Arial" w:hAnsi="Arial"/>
          <w:sz w:val="17"/>
          <w:szCs w:val="17"/>
          <w:color w:val="auto"/>
        </w:rPr>
      </w:pPr>
      <w:r>
        <w:rPr>
          <w:rFonts w:ascii="Arial" w:cs="Arial" w:eastAsia="Arial" w:hAnsi="Arial"/>
          <w:sz w:val="17"/>
          <w:szCs w:val="17"/>
          <w:color w:val="auto"/>
        </w:rPr>
        <w:t xml:space="preserve">prohibitions or limitations set forth in any Contract relating to unsecured Permitted Indebtedness or the Permitted Indebtedness set forth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“Permitted Indebtedness”, in the case of each such Contract if and only to the extent such prohibitions or limitations, taken as a whole, are not materially more restrictive than the prohibitions and limitations set forth in this Agreement or any other Loan Document, taken as a whole (as reasonably determined by a Responsible Officer of Borrower in good faith);</w:t>
      </w:r>
    </w:p>
    <w:p>
      <w:pPr>
        <w:spacing w:after="0" w:line="63" w:lineRule="exact"/>
        <w:rPr>
          <w:rFonts w:ascii="Arial" w:cs="Arial" w:eastAsia="Arial" w:hAnsi="Arial"/>
          <w:sz w:val="17"/>
          <w:szCs w:val="17"/>
          <w:color w:val="auto"/>
        </w:rPr>
      </w:pPr>
    </w:p>
    <w:p>
      <w:pPr>
        <w:jc w:val="both"/>
        <w:ind w:left="440" w:right="380" w:firstLine="851"/>
        <w:spacing w:after="0" w:line="259" w:lineRule="auto"/>
        <w:tabs>
          <w:tab w:leader="none" w:pos="160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customary provisions restricting assignments, subletting, sublicensing or other transfer of property subject thereto set forth in leases, subleases, licenses (including Permitted Licenses), asset sale agreements and other similar Contracts that are not prohibited under this Agreement or any other Loan Document, if and only to the extent each such restriction applies only to the properties or assets subject to such leases, subleases, licenses, agreements or Contracts;</w:t>
      </w:r>
    </w:p>
    <w:p>
      <w:pPr>
        <w:spacing w:after="0" w:line="78" w:lineRule="exact"/>
        <w:rPr>
          <w:rFonts w:ascii="Arial" w:cs="Arial" w:eastAsia="Arial" w:hAnsi="Arial"/>
          <w:sz w:val="18"/>
          <w:szCs w:val="18"/>
          <w:color w:val="auto"/>
        </w:rPr>
      </w:pPr>
    </w:p>
    <w:p>
      <w:pPr>
        <w:ind w:left="440" w:right="120" w:firstLine="851"/>
        <w:spacing w:after="0" w:line="312" w:lineRule="auto"/>
        <w:tabs>
          <w:tab w:leader="none" w:pos="1591" w:val="left"/>
        </w:tabs>
        <w:numPr>
          <w:ilvl w:val="1"/>
          <w:numId w:val="431"/>
        </w:numPr>
        <w:rPr>
          <w:rFonts w:ascii="Arial" w:cs="Arial" w:eastAsia="Arial" w:hAnsi="Arial"/>
          <w:sz w:val="16"/>
          <w:szCs w:val="16"/>
          <w:color w:val="auto"/>
        </w:rPr>
      </w:pPr>
      <w:r>
        <w:rPr>
          <w:rFonts w:ascii="Arial" w:cs="Arial" w:eastAsia="Arial" w:hAnsi="Arial"/>
          <w:sz w:val="16"/>
          <w:szCs w:val="16"/>
          <w:color w:val="auto"/>
        </w:rPr>
        <w:t xml:space="preserve">prohibitions or limitations on the transfer or assignment of any properties, assets or Equity Interests set forth in any Contract entered into in the ordinary course of business that is not prohibited under this Agreement or any other Loan Document (including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below, if applicable), if and only to the extent each such prohibition or limitation applies only to such properties, assets or Equity Interests;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55" w:name="page456"/>
    <w:bookmarkEnd w:id="455"/>
    <w:p>
      <w:pPr>
        <w:ind w:left="1540" w:hanging="249"/>
        <w:spacing w:after="0"/>
        <w:tabs>
          <w:tab w:leader="none" w:pos="1540" w:val="left"/>
        </w:tabs>
        <w:numPr>
          <w:ilvl w:val="1"/>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prohibitions or limitations imposed by Requirements of Law;</w:t>
      </w:r>
    </w:p>
    <w:p>
      <w:pPr>
        <w:spacing w:after="0" w:line="117" w:lineRule="exact"/>
        <w:rPr>
          <w:rFonts w:ascii="Arial" w:cs="Arial" w:eastAsia="Arial" w:hAnsi="Arial"/>
          <w:sz w:val="18"/>
          <w:szCs w:val="18"/>
          <w:color w:val="auto"/>
        </w:rPr>
      </w:pPr>
    </w:p>
    <w:p>
      <w:pPr>
        <w:jc w:val="both"/>
        <w:ind w:left="440" w:right="60" w:firstLine="851"/>
        <w:spacing w:after="0" w:line="312" w:lineRule="auto"/>
        <w:tabs>
          <w:tab w:leader="none" w:pos="159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prohibitions or limitations that exist as of the Tranche A Closing Date under Indebtedness existing on the Tranche A Closing Date (set forth on </w:t>
      </w:r>
      <w:r>
        <w:rPr>
          <w:rFonts w:ascii="Arial" w:cs="Arial" w:eastAsia="Arial" w:hAnsi="Arial"/>
          <w:sz w:val="16"/>
          <w:szCs w:val="16"/>
          <w:u w:val="single" w:color="auto"/>
          <w:color w:val="auto"/>
        </w:rPr>
        <w:t>Schedule 13.1</w:t>
      </w:r>
      <w:r>
        <w:rPr>
          <w:rFonts w:ascii="Arial" w:cs="Arial" w:eastAsia="Arial" w:hAnsi="Arial"/>
          <w:sz w:val="16"/>
          <w:szCs w:val="16"/>
          <w:color w:val="auto"/>
        </w:rPr>
        <w:t xml:space="preserve"> of the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all times prior to the Tranche A Closing Date, this covenant shall not apply to Company IP to the extent the application of this covenant would violate the terms of the Existing Oxford Loan Agreement;</w:t>
      </w:r>
    </w:p>
    <w:p>
      <w:pPr>
        <w:spacing w:after="0" w:line="38" w:lineRule="exact"/>
        <w:rPr>
          <w:rFonts w:ascii="Arial" w:cs="Arial" w:eastAsia="Arial" w:hAnsi="Arial"/>
          <w:sz w:val="16"/>
          <w:szCs w:val="16"/>
          <w:color w:val="auto"/>
        </w:rPr>
      </w:pPr>
    </w:p>
    <w:p>
      <w:pPr>
        <w:ind w:left="440" w:right="680" w:firstLine="851"/>
        <w:spacing w:after="0" w:line="264" w:lineRule="auto"/>
        <w:tabs>
          <w:tab w:leader="none" w:pos="164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organizational documents or similar binding Contracts relating to any joint venture entity or non-Wholly-Owned Subsidiary and applicable solely to such joint venture entity or non-Wholly-Owned Subsidiary and the Equity Interests issued thereby;</w:t>
      </w:r>
    </w:p>
    <w:p>
      <w:pPr>
        <w:spacing w:after="0" w:line="73" w:lineRule="exact"/>
        <w:rPr>
          <w:rFonts w:ascii="Arial" w:cs="Arial" w:eastAsia="Arial" w:hAnsi="Arial"/>
          <w:sz w:val="18"/>
          <w:szCs w:val="18"/>
          <w:color w:val="auto"/>
        </w:rPr>
      </w:pPr>
    </w:p>
    <w:p>
      <w:pPr>
        <w:ind w:left="440" w:right="360" w:firstLine="851"/>
        <w:spacing w:after="0" w:line="264" w:lineRule="auto"/>
        <w:tabs>
          <w:tab w:leader="none" w:pos="169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73" w:lineRule="exact"/>
        <w:rPr>
          <w:rFonts w:ascii="Arial" w:cs="Arial" w:eastAsia="Arial" w:hAnsi="Arial"/>
          <w:sz w:val="18"/>
          <w:szCs w:val="18"/>
          <w:color w:val="auto"/>
        </w:rPr>
      </w:pPr>
    </w:p>
    <w:p>
      <w:pPr>
        <w:ind w:left="440" w:right="260" w:firstLine="851"/>
        <w:spacing w:after="0" w:line="259" w:lineRule="auto"/>
        <w:tabs>
          <w:tab w:leader="none" w:pos="159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customary net worth provisions set forth in customer Contracts entered into in the ordinary course of business that are not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78" w:lineRule="exact"/>
        <w:rPr>
          <w:rFonts w:ascii="Arial" w:cs="Arial" w:eastAsia="Arial" w:hAnsi="Arial"/>
          <w:sz w:val="18"/>
          <w:szCs w:val="18"/>
          <w:color w:val="auto"/>
        </w:rPr>
      </w:pPr>
    </w:p>
    <w:p>
      <w:pPr>
        <w:ind w:left="440" w:right="500" w:firstLine="851"/>
        <w:spacing w:after="0" w:line="277" w:lineRule="auto"/>
        <w:tabs>
          <w:tab w:leader="none" w:pos="154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restrictions on cash or other deposits (including escrowed funds) imposed by Contracts entered into in the ordinary course of business that are not otherwise not prohibited under this Agreement or any other Loan Document;</w:t>
      </w:r>
    </w:p>
    <w:p>
      <w:pPr>
        <w:spacing w:after="0" w:line="62" w:lineRule="exact"/>
        <w:rPr>
          <w:rFonts w:ascii="Arial" w:cs="Arial" w:eastAsia="Arial" w:hAnsi="Arial"/>
          <w:sz w:val="18"/>
          <w:szCs w:val="18"/>
          <w:color w:val="auto"/>
        </w:rPr>
      </w:pPr>
    </w:p>
    <w:p>
      <w:pPr>
        <w:ind w:left="440" w:firstLine="851"/>
        <w:spacing w:after="0" w:line="257" w:lineRule="auto"/>
        <w:tabs>
          <w:tab w:leader="none" w:pos="159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 xml:space="preserve">prohibitions or limitations set forth in any Contract in effect at the time any Person becomes a Subsidiary (but not any amendment, modification, restatement, renewal, extension, supplement or replacement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Contract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80" w:lineRule="exact"/>
        <w:rPr>
          <w:rFonts w:ascii="Arial" w:cs="Arial" w:eastAsia="Arial" w:hAnsi="Arial"/>
          <w:sz w:val="18"/>
          <w:szCs w:val="18"/>
          <w:color w:val="auto"/>
        </w:rPr>
      </w:pPr>
    </w:p>
    <w:p>
      <w:pPr>
        <w:ind w:left="1640" w:hanging="349"/>
        <w:spacing w:after="0"/>
        <w:tabs>
          <w:tab w:leader="none" w:pos="164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prohibitions or limitations imposed by any Loan Document;</w:t>
      </w:r>
    </w:p>
    <w:p>
      <w:pPr>
        <w:spacing w:after="0" w:line="117" w:lineRule="exact"/>
        <w:rPr>
          <w:rFonts w:ascii="Arial" w:cs="Arial" w:eastAsia="Arial" w:hAnsi="Arial"/>
          <w:sz w:val="18"/>
          <w:szCs w:val="18"/>
          <w:color w:val="auto"/>
        </w:rPr>
      </w:pPr>
    </w:p>
    <w:p>
      <w:pPr>
        <w:ind w:left="440" w:firstLine="851"/>
        <w:spacing w:after="0" w:line="264" w:lineRule="auto"/>
        <w:tabs>
          <w:tab w:leader="none" w:pos="169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customary provisions set forth in joint venture agreements or Contracts governing minority investments that are not prohibited by this Agreement or any other Loan Document, if and only to the extent each such prohibition or limitation applies only to the joint venture entity or minority investment that is the subject of such agreement or Contract; and</w:t>
      </w:r>
    </w:p>
    <w:p>
      <w:pPr>
        <w:spacing w:after="0" w:line="73" w:lineRule="exact"/>
        <w:rPr>
          <w:rFonts w:ascii="Arial" w:cs="Arial" w:eastAsia="Arial" w:hAnsi="Arial"/>
          <w:sz w:val="18"/>
          <w:szCs w:val="18"/>
          <w:color w:val="auto"/>
        </w:rPr>
      </w:pPr>
    </w:p>
    <w:p>
      <w:pPr>
        <w:ind w:left="440" w:right="260" w:firstLine="851"/>
        <w:spacing w:after="0" w:line="286" w:lineRule="auto"/>
        <w:tabs>
          <w:tab w:leader="none" w:pos="1681" w:val="left"/>
        </w:tabs>
        <w:numPr>
          <w:ilvl w:val="1"/>
          <w:numId w:val="432"/>
        </w:numPr>
        <w:rPr>
          <w:rFonts w:ascii="Arial" w:cs="Arial" w:eastAsia="Arial" w:hAnsi="Arial"/>
          <w:sz w:val="17"/>
          <w:szCs w:val="17"/>
          <w:color w:val="auto"/>
        </w:rPr>
      </w:pPr>
      <w:r>
        <w:rPr>
          <w:rFonts w:ascii="Arial" w:cs="Arial" w:eastAsia="Arial" w:hAnsi="Arial"/>
          <w:sz w:val="17"/>
          <w:szCs w:val="17"/>
          <w:color w:val="auto"/>
        </w:rPr>
        <w:t xml:space="preserve">prohibitions or limitations imposed by any amendments, modifications, restatements, renewals, extensions, supplements or replacements of any of the Contracts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(xiii)</w:t>
      </w:r>
      <w:r>
        <w:rPr>
          <w:rFonts w:ascii="Arial" w:cs="Arial" w:eastAsia="Arial" w:hAnsi="Arial"/>
          <w:sz w:val="17"/>
          <w:szCs w:val="17"/>
          <w:color w:val="auto"/>
        </w:rPr>
        <w:t xml:space="preserve"> above, except to the extent that any such amendment, modification, restatement, renewal, extension, supplement or replacement expands the scope of any such prohibition or limitation.</w:t>
      </w:r>
    </w:p>
    <w:p>
      <w:pPr>
        <w:spacing w:after="0" w:line="57" w:lineRule="exact"/>
        <w:rPr>
          <w:rFonts w:ascii="Arial" w:cs="Arial" w:eastAsia="Arial" w:hAnsi="Arial"/>
          <w:sz w:val="17"/>
          <w:szCs w:val="17"/>
          <w:color w:val="auto"/>
        </w:rPr>
      </w:pPr>
    </w:p>
    <w:p>
      <w:pPr>
        <w:ind w:right="180" w:firstLine="885"/>
        <w:spacing w:after="0" w:line="293" w:lineRule="auto"/>
        <w:tabs>
          <w:tab w:leader="none" w:pos="1136" w:val="left"/>
        </w:tabs>
        <w:numPr>
          <w:ilvl w:val="0"/>
          <w:numId w:val="433"/>
        </w:numPr>
        <w:rPr>
          <w:rFonts w:ascii="Arial" w:cs="Arial" w:eastAsia="Arial" w:hAnsi="Arial"/>
          <w:sz w:val="16"/>
          <w:szCs w:val="16"/>
          <w:color w:val="auto"/>
        </w:rPr>
      </w:pPr>
      <w:r>
        <w:rPr>
          <w:rFonts w:ascii="Arial" w:cs="Arial" w:eastAsia="Arial" w:hAnsi="Arial"/>
          <w:sz w:val="16"/>
          <w:szCs w:val="16"/>
          <w:color w:val="auto"/>
        </w:rPr>
        <w:t xml:space="preserve">Except as permitted by </w:t>
      </w:r>
      <w:r>
        <w:rPr>
          <w:rFonts w:ascii="Arial" w:cs="Arial" w:eastAsia="Arial" w:hAnsi="Arial"/>
          <w:sz w:val="16"/>
          <w:szCs w:val="16"/>
          <w:u w:val="single" w:color="auto"/>
          <w:color w:val="auto"/>
        </w:rPr>
        <w:t>Section 6.1(h)</w:t>
      </w:r>
      <w:r>
        <w:rPr>
          <w:rFonts w:ascii="Arial" w:cs="Arial" w:eastAsia="Arial" w:hAnsi="Arial"/>
          <w:sz w:val="16"/>
          <w:szCs w:val="16"/>
          <w:color w:val="auto"/>
        </w:rPr>
        <w:t xml:space="preserve">, Transfer or create, incur, allow or suffer to exist any Lien on, any Equity Interests constituting Collateral issued by any Subsidiary which are owned or otherwise held by such Credit Party or any Subsidiary thereof, except for any Lien or claim in favor of Lender pursuant to the Loan Documents, any Permitted Lien and sales, assignments, transfers, exchanges or other dispositions to qualify directors if required by Requirements of Law or otherwise permitted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sales, assignments, transfers, exchanges or other dispositions to qualify directors as required by Requirements of Law, such sale, assignment, transfer, exchange or other disposition shall be for the minimum number of Equity Interests as are necessary for such qualification under Requirements of Law.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3" w:right="439" w:bottom="1440" w:gutter="0" w:footer="0" w:header="0"/>
        </w:sectPr>
      </w:pPr>
    </w:p>
    <w:bookmarkStart w:id="456" w:name="page457"/>
    <w:bookmarkEnd w:id="45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6.7. Maintenance of Collateral Accounts</w:t>
      </w:r>
      <w:r>
        <w:rPr>
          <w:rFonts w:ascii="Arial" w:cs="Arial" w:eastAsia="Arial" w:hAnsi="Arial"/>
          <w:sz w:val="18"/>
          <w:szCs w:val="18"/>
          <w:color w:val="auto"/>
        </w:rPr>
        <w:t>. Maintain any Collateral Account except pursuant to the terms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b w:val="1"/>
          <w:bCs w:val="1"/>
          <w:color w:val="auto"/>
        </w:rPr>
        <w:t>6.8. Distributions; Investments</w:t>
      </w:r>
      <w:r>
        <w:rPr>
          <w:rFonts w:ascii="Arial" w:cs="Arial" w:eastAsia="Arial" w:hAnsi="Arial"/>
          <w:sz w:val="18"/>
          <w:szCs w:val="18"/>
          <w:color w:val="auto"/>
        </w:rPr>
        <w:t>. (a) Pay any dividends or make any distribution or payment on or redeem, retire or purchase any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following:</w:t>
      </w:r>
    </w:p>
    <w:p>
      <w:pPr>
        <w:spacing w:after="0" w:line="58" w:lineRule="exact"/>
        <w:rPr>
          <w:sz w:val="20"/>
          <w:szCs w:val="20"/>
          <w:color w:val="auto"/>
        </w:rPr>
      </w:pPr>
    </w:p>
    <w:p>
      <w:pPr>
        <w:ind w:left="440" w:right="500" w:firstLine="851"/>
        <w:spacing w:after="0" w:line="277" w:lineRule="auto"/>
        <w:tabs>
          <w:tab w:leader="none" w:pos="149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conversion by Borrower of any of its convertible securities into other securities pursuant to the terms of such convertible securities or otherwise in exchange thereof;</w:t>
      </w:r>
    </w:p>
    <w:p>
      <w:pPr>
        <w:spacing w:after="0" w:line="62" w:lineRule="exact"/>
        <w:rPr>
          <w:rFonts w:ascii="Arial" w:cs="Arial" w:eastAsia="Arial" w:hAnsi="Arial"/>
          <w:sz w:val="18"/>
          <w:szCs w:val="18"/>
          <w:color w:val="auto"/>
        </w:rPr>
      </w:pPr>
    </w:p>
    <w:p>
      <w:pPr>
        <w:ind w:left="440" w:right="180" w:firstLine="851"/>
        <w:spacing w:after="0" w:line="277" w:lineRule="auto"/>
        <w:tabs>
          <w:tab w:leader="none" w:pos="155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payment of dividends by Borrower solely in non-cash pay and non-redeemable capital stock (including, for the avoidance of doubt, dividends and distributions payable solely in Equity Interests);</w:t>
      </w:r>
    </w:p>
    <w:p>
      <w:pPr>
        <w:spacing w:after="0" w:line="62" w:lineRule="exact"/>
        <w:rPr>
          <w:rFonts w:ascii="Arial" w:cs="Arial" w:eastAsia="Arial" w:hAnsi="Arial"/>
          <w:sz w:val="18"/>
          <w:szCs w:val="18"/>
          <w:color w:val="auto"/>
        </w:rPr>
      </w:pPr>
    </w:p>
    <w:p>
      <w:pPr>
        <w:ind w:left="440" w:right="60" w:firstLine="851"/>
        <w:spacing w:after="0" w:line="259" w:lineRule="auto"/>
        <w:tabs>
          <w:tab w:leader="none" w:pos="160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redemption or repurchase of Equity Interests by Borrower from current or former officers, employees, directors and consultants of Borrower, so long as (A) an Event of Default does not exist at the time of such redemption or repurchase and would not exist after giving effect to such redemption or repurchase and (B) the amount paid for all such redemptions and repurchases shall not exceed $500,000 in the aggregate, in any fiscal year of Borrower;</w:t>
      </w:r>
    </w:p>
    <w:p>
      <w:pPr>
        <w:spacing w:after="0" w:line="78" w:lineRule="exact"/>
        <w:rPr>
          <w:rFonts w:ascii="Arial" w:cs="Arial" w:eastAsia="Arial" w:hAnsi="Arial"/>
          <w:sz w:val="18"/>
          <w:szCs w:val="18"/>
          <w:color w:val="auto"/>
        </w:rPr>
      </w:pPr>
    </w:p>
    <w:p>
      <w:pPr>
        <w:ind w:left="440" w:firstLine="851"/>
        <w:spacing w:after="0" w:line="257" w:lineRule="auto"/>
        <w:tabs>
          <w:tab w:leader="none" w:pos="159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repurchase or other acquisition of Equity Interests deemed to occur (A) upon the exercise of stock options, warrants, restricted stock units or other rights to purchase Equity Interests if such Equity Interests represent a portion of the exercise price thereof or conversion price thereof and (B) in connection with any tax withholding imposed, levied, collected, withheld or assessed by any Governmental Authority upon the grant of or any exercise or vesting of any Equity Interests (or options in respect thereof) of current or former officers, employees, directors and consultants of Borrower;</w:t>
      </w:r>
    </w:p>
    <w:p>
      <w:pPr>
        <w:spacing w:after="0" w:line="80" w:lineRule="exact"/>
        <w:rPr>
          <w:rFonts w:ascii="Arial" w:cs="Arial" w:eastAsia="Arial" w:hAnsi="Arial"/>
          <w:sz w:val="18"/>
          <w:szCs w:val="18"/>
          <w:color w:val="auto"/>
        </w:rPr>
      </w:pPr>
    </w:p>
    <w:p>
      <w:pPr>
        <w:ind w:left="440" w:right="240" w:firstLine="851"/>
        <w:spacing w:after="0" w:line="277" w:lineRule="auto"/>
        <w:tabs>
          <w:tab w:leader="none" w:pos="154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Cash payments in lieu of the issuance of fractional shares in connection with the exercise of warrants, options or other securities convertible into or exchangeable for Equity Interests;</w:t>
      </w:r>
    </w:p>
    <w:p>
      <w:pPr>
        <w:spacing w:after="0" w:line="62" w:lineRule="exact"/>
        <w:rPr>
          <w:rFonts w:ascii="Arial" w:cs="Arial" w:eastAsia="Arial" w:hAnsi="Arial"/>
          <w:sz w:val="18"/>
          <w:szCs w:val="18"/>
          <w:color w:val="auto"/>
        </w:rPr>
      </w:pPr>
    </w:p>
    <w:p>
      <w:pPr>
        <w:ind w:left="440" w:right="60" w:firstLine="851"/>
        <w:spacing w:after="0" w:line="279" w:lineRule="auto"/>
        <w:tabs>
          <w:tab w:leader="none" w:pos="1591" w:val="left"/>
        </w:tabs>
        <w:numPr>
          <w:ilvl w:val="1"/>
          <w:numId w:val="434"/>
        </w:numPr>
        <w:rPr>
          <w:rFonts w:ascii="Arial" w:cs="Arial" w:eastAsia="Arial" w:hAnsi="Arial"/>
          <w:sz w:val="17"/>
          <w:szCs w:val="17"/>
          <w:color w:val="auto"/>
        </w:rPr>
      </w:pPr>
      <w:r>
        <w:rPr>
          <w:rFonts w:ascii="Arial" w:cs="Arial" w:eastAsia="Arial" w:hAnsi="Arial"/>
          <w:sz w:val="17"/>
          <w:szCs w:val="17"/>
          <w:color w:val="auto"/>
        </w:rPr>
        <w:t>In connection with any Permitted Acquisition by Borrower or any of its Subsidiaries, (A) the receipt or acceptance of the return to Borrower or any of its Subsidiaries of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and</w:t>
      </w:r>
    </w:p>
    <w:p>
      <w:pPr>
        <w:spacing w:after="0" w:line="63" w:lineRule="exact"/>
        <w:rPr>
          <w:rFonts w:ascii="Arial" w:cs="Arial" w:eastAsia="Arial" w:hAnsi="Arial"/>
          <w:sz w:val="17"/>
          <w:szCs w:val="17"/>
          <w:color w:val="auto"/>
        </w:rPr>
      </w:pPr>
    </w:p>
    <w:p>
      <w:pPr>
        <w:ind w:left="440" w:right="280" w:firstLine="851"/>
        <w:spacing w:after="0" w:line="277" w:lineRule="auto"/>
        <w:tabs>
          <w:tab w:leader="none" w:pos="1641"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distribution of rights pursuant to any shareholder rights plan or the redemption of such rights for nominal consideration in accordance with the terms of any shareholder rights plan; or</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Directly or indirectly (including by the formation of any Subsidiary) make any Investment other than Permitted Investments.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Notwithstanding the foregoing, (x) Subsidiaries shall be permitted to pay dividends or make distributions to any Credit Party, and (y) Subsidiaries that are not Credit Parties shall be permitted to pay dividends or make distributions to other Subsidiaries that are not Credit Parties.</w:t>
      </w:r>
    </w:p>
    <w:p>
      <w:pPr>
        <w:spacing w:after="0" w:line="143"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b w:val="1"/>
          <w:bCs w:val="1"/>
          <w:color w:val="auto"/>
        </w:rPr>
        <w:t xml:space="preserve">6.9. Restrictions on Subsidiary Distributions. </w:t>
      </w:r>
      <w:r>
        <w:rPr>
          <w:rFonts w:ascii="Arial" w:cs="Arial" w:eastAsia="Arial" w:hAnsi="Arial"/>
          <w:sz w:val="16"/>
          <w:szCs w:val="16"/>
          <w:color w:val="auto"/>
        </w:rPr>
        <w:t>Create or otherwise cause or suffer to exist or become effective any consensual encumbrance or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 of any kind on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any of its properties or assets to Borrower or any other Subsidiary of Borrower, other than any of the following restrictions or encumbrances, as applicable: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57" w:name="page458"/>
    <w:bookmarkEnd w:id="457"/>
    <w:p>
      <w:pPr>
        <w:ind w:right="260" w:firstLine="851"/>
        <w:spacing w:after="0" w:line="264" w:lineRule="auto"/>
        <w:tabs>
          <w:tab w:leader="none" w:pos="1061"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encumbrances of specific properties or assets under Permitted Liens to secure payment of Permitted Indebtedness (including the Permitted Indebtedness set forth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“Permitted Indebtedness”), if and only to the extent each such encumbrance applies only to such properties or assets;</w:t>
      </w:r>
    </w:p>
    <w:p>
      <w:pPr>
        <w:spacing w:after="0" w:line="73" w:lineRule="exact"/>
        <w:rPr>
          <w:rFonts w:ascii="Arial" w:cs="Arial" w:eastAsia="Arial" w:hAnsi="Arial"/>
          <w:sz w:val="18"/>
          <w:szCs w:val="18"/>
          <w:color w:val="auto"/>
        </w:rPr>
      </w:pPr>
    </w:p>
    <w:p>
      <w:pPr>
        <w:ind w:firstLine="851"/>
        <w:spacing w:after="0" w:line="279" w:lineRule="auto"/>
        <w:tabs>
          <w:tab w:leader="none" w:pos="1111"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restrictions or encumbrances set forth in any Contract relating to unsecured Permitted Indebtedness or the Permitted Indebtedness set forth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“Permitted Indebtedness”, in the case of each such Contract if and only to the extent such prohibitions or limitations, taken as a whole, are not materially more restrictive than the prohibitions and limitations set forth in this Agreement or any other Loan Document, taken as a whole (as reasonably determined by a Responsible Officer of Borrower in good faith);</w:t>
      </w:r>
    </w:p>
    <w:p>
      <w:pPr>
        <w:spacing w:after="0" w:line="63" w:lineRule="exact"/>
        <w:rPr>
          <w:rFonts w:ascii="Arial" w:cs="Arial" w:eastAsia="Arial" w:hAnsi="Arial"/>
          <w:sz w:val="17"/>
          <w:szCs w:val="17"/>
          <w:color w:val="auto"/>
        </w:rPr>
      </w:pPr>
    </w:p>
    <w:p>
      <w:pPr>
        <w:jc w:val="both"/>
        <w:ind w:right="380" w:firstLine="851"/>
        <w:spacing w:after="0" w:line="259" w:lineRule="auto"/>
        <w:tabs>
          <w:tab w:leader="none" w:pos="116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provisions restricting assignments, subletting, sublicensing or other transfer of property subject thereto set forth in leases, subleases, licenses (including Permitted Licenses), asset sale agreements and other similar Contracts that are not prohibited under this Agreement or any other Loan Document, if and only to the extent each such restriction applies only to the properties or assets subject to such leases, subleases, licenses, agreements or Contracts;</w:t>
      </w:r>
    </w:p>
    <w:p>
      <w:pPr>
        <w:spacing w:after="0" w:line="78" w:lineRule="exact"/>
        <w:rPr>
          <w:rFonts w:ascii="Arial" w:cs="Arial" w:eastAsia="Arial" w:hAnsi="Arial"/>
          <w:sz w:val="18"/>
          <w:szCs w:val="18"/>
          <w:color w:val="auto"/>
        </w:rPr>
      </w:pPr>
    </w:p>
    <w:p>
      <w:pPr>
        <w:ind w:right="160" w:firstLine="851"/>
        <w:spacing w:after="0" w:line="286" w:lineRule="auto"/>
        <w:tabs>
          <w:tab w:leader="none" w:pos="1151" w:val="left"/>
        </w:tabs>
        <w:numPr>
          <w:ilvl w:val="0"/>
          <w:numId w:val="436"/>
        </w:numPr>
        <w:rPr>
          <w:rFonts w:ascii="Arial" w:cs="Arial" w:eastAsia="Arial" w:hAnsi="Arial"/>
          <w:sz w:val="17"/>
          <w:szCs w:val="17"/>
          <w:color w:val="auto"/>
        </w:rPr>
      </w:pPr>
      <w:r>
        <w:rPr>
          <w:rFonts w:ascii="Arial" w:cs="Arial" w:eastAsia="Arial" w:hAnsi="Arial"/>
          <w:sz w:val="17"/>
          <w:szCs w:val="17"/>
          <w:color w:val="auto"/>
        </w:rPr>
        <w:t>restrictions or encumbrances on the transfer or assignment of any properties, assets or Equity Interests set forth in any Contract entered into in the ordinary course of business that is not prohibited under this Agreement or any other Loan Document, if and only to the extent each such restriction or encumbrance applies only to such properties, assets or Equity Interests;</w:t>
      </w:r>
    </w:p>
    <w:p>
      <w:pPr>
        <w:spacing w:after="0" w:line="57" w:lineRule="exact"/>
        <w:rPr>
          <w:rFonts w:ascii="Arial" w:cs="Arial" w:eastAsia="Arial" w:hAnsi="Arial"/>
          <w:sz w:val="17"/>
          <w:szCs w:val="17"/>
          <w:color w:val="auto"/>
        </w:rPr>
      </w:pPr>
    </w:p>
    <w:p>
      <w:pPr>
        <w:ind w:left="1100" w:hanging="249"/>
        <w:spacing w:after="0"/>
        <w:tabs>
          <w:tab w:leader="none" w:pos="11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restrictions or encumbrances imposed by Requirements of Law;</w:t>
      </w:r>
    </w:p>
    <w:p>
      <w:pPr>
        <w:spacing w:after="0" w:line="117" w:lineRule="exact"/>
        <w:rPr>
          <w:rFonts w:ascii="Arial" w:cs="Arial" w:eastAsia="Arial" w:hAnsi="Arial"/>
          <w:sz w:val="18"/>
          <w:szCs w:val="18"/>
          <w:color w:val="auto"/>
        </w:rPr>
      </w:pPr>
    </w:p>
    <w:p>
      <w:pPr>
        <w:ind w:right="100" w:firstLine="851"/>
        <w:spacing w:after="0" w:line="312" w:lineRule="auto"/>
        <w:tabs>
          <w:tab w:leader="none" w:pos="1151"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restrictions or encumbrances that exist as of the Tranche A Closing Date under Indebtedness existing on the Tranche A Closing Date (set forth on </w:t>
      </w:r>
      <w:r>
        <w:rPr>
          <w:rFonts w:ascii="Arial" w:cs="Arial" w:eastAsia="Arial" w:hAnsi="Arial"/>
          <w:sz w:val="16"/>
          <w:szCs w:val="16"/>
          <w:u w:val="single" w:color="auto"/>
          <w:color w:val="auto"/>
        </w:rPr>
        <w:t>Schedule 13.1</w:t>
      </w:r>
      <w:r>
        <w:rPr>
          <w:rFonts w:ascii="Arial" w:cs="Arial" w:eastAsia="Arial" w:hAnsi="Arial"/>
          <w:sz w:val="16"/>
          <w:szCs w:val="16"/>
          <w:color w:val="auto"/>
        </w:rPr>
        <w:t xml:space="preserve"> of the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all times prior to the Tranche A Closing Date, this covenant shall not apply to Company IP to the extent the application of this covenant would violate the terms of the Existing Oxford Loan Agreement;</w:t>
      </w:r>
    </w:p>
    <w:p>
      <w:pPr>
        <w:spacing w:after="0" w:line="38" w:lineRule="exact"/>
        <w:rPr>
          <w:rFonts w:ascii="Arial" w:cs="Arial" w:eastAsia="Arial" w:hAnsi="Arial"/>
          <w:sz w:val="16"/>
          <w:szCs w:val="16"/>
          <w:color w:val="auto"/>
        </w:rPr>
      </w:pPr>
    </w:p>
    <w:p>
      <w:pPr>
        <w:ind w:right="660" w:firstLine="851"/>
        <w:spacing w:after="0" w:line="264" w:lineRule="auto"/>
        <w:tabs>
          <w:tab w:leader="none" w:pos="120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provisions in shareholders agreements, joint venture agreements, organizational documents or similar binding Contracts relating to any joint venture entity or non-Wholly-Owned Subsidiary and applicable solely to such joint venture entity or non-Wholly-Owned Subsidiary and the Equity Interests issued thereby;</w:t>
      </w:r>
    </w:p>
    <w:p>
      <w:pPr>
        <w:spacing w:after="0" w:line="73" w:lineRule="exact"/>
        <w:rPr>
          <w:rFonts w:ascii="Arial" w:cs="Arial" w:eastAsia="Arial" w:hAnsi="Arial"/>
          <w:sz w:val="18"/>
          <w:szCs w:val="18"/>
          <w:color w:val="auto"/>
        </w:rPr>
      </w:pPr>
    </w:p>
    <w:p>
      <w:pPr>
        <w:ind w:right="240" w:firstLine="851"/>
        <w:spacing w:after="0" w:line="264" w:lineRule="auto"/>
        <w:tabs>
          <w:tab w:leader="none" w:pos="125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73" w:lineRule="exact"/>
        <w:rPr>
          <w:rFonts w:ascii="Arial" w:cs="Arial" w:eastAsia="Arial" w:hAnsi="Arial"/>
          <w:sz w:val="18"/>
          <w:szCs w:val="18"/>
          <w:color w:val="auto"/>
        </w:rPr>
      </w:pPr>
    </w:p>
    <w:p>
      <w:pPr>
        <w:ind w:right="240" w:firstLine="851"/>
        <w:spacing w:after="0" w:line="259" w:lineRule="auto"/>
        <w:tabs>
          <w:tab w:leader="none" w:pos="115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customary net worth provisions set forth in customer Contracts entered into in the ordinary course of business that are not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78" w:lineRule="exact"/>
        <w:rPr>
          <w:rFonts w:ascii="Arial" w:cs="Arial" w:eastAsia="Arial" w:hAnsi="Arial"/>
          <w:sz w:val="18"/>
          <w:szCs w:val="18"/>
          <w:color w:val="auto"/>
        </w:rPr>
      </w:pPr>
    </w:p>
    <w:p>
      <w:pPr>
        <w:ind w:right="480" w:firstLine="851"/>
        <w:spacing w:after="0" w:line="277" w:lineRule="auto"/>
        <w:tabs>
          <w:tab w:leader="none" w:pos="110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restrictions on cash or other deposits (including escrowed funds) imposed by Contracts entered into in the ordinary course of business that are not otherwise not prohibited under this Agreement or any other Loan Document;</w:t>
      </w:r>
    </w:p>
    <w:p>
      <w:pPr>
        <w:spacing w:after="0" w:line="62" w:lineRule="exact"/>
        <w:rPr>
          <w:rFonts w:ascii="Arial" w:cs="Arial" w:eastAsia="Arial" w:hAnsi="Arial"/>
          <w:sz w:val="18"/>
          <w:szCs w:val="18"/>
          <w:color w:val="auto"/>
        </w:rPr>
      </w:pPr>
    </w:p>
    <w:p>
      <w:pPr>
        <w:ind w:right="120" w:firstLine="851"/>
        <w:spacing w:after="0" w:line="257" w:lineRule="auto"/>
        <w:tabs>
          <w:tab w:leader="none" w:pos="115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restrictions or encumbrances set forth in any Contract in effect at the time any Person becomes a Subsidiary (but not any amendment, modification, restatement, renewal, extension, supplement or replacement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Contract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3" w:right="459" w:bottom="1440" w:gutter="0" w:footer="0" w:header="0"/>
        </w:sectPr>
      </w:pPr>
    </w:p>
    <w:bookmarkStart w:id="458" w:name="page459"/>
    <w:bookmarkEnd w:id="458"/>
    <w:p>
      <w:pPr>
        <w:ind w:left="1640" w:hanging="349"/>
        <w:spacing w:after="0"/>
        <w:tabs>
          <w:tab w:leader="none" w:pos="16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or encumbrances imposed by any Loan Document;</w:t>
      </w:r>
    </w:p>
    <w:p>
      <w:pPr>
        <w:spacing w:after="0" w:line="117" w:lineRule="exact"/>
        <w:rPr>
          <w:rFonts w:ascii="Arial" w:cs="Arial" w:eastAsia="Arial" w:hAnsi="Arial"/>
          <w:sz w:val="18"/>
          <w:szCs w:val="18"/>
          <w:color w:val="auto"/>
        </w:rPr>
      </w:pPr>
    </w:p>
    <w:p>
      <w:pPr>
        <w:jc w:val="both"/>
        <w:ind w:left="440" w:right="180" w:firstLine="851"/>
        <w:spacing w:after="0" w:line="264" w:lineRule="auto"/>
        <w:tabs>
          <w:tab w:leader="none" w:pos="169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customary provisions set forth in joint venture agreements or Contracts governing minority investments that are not prohibited by this Agreement or any other Loan Document, if and only to the extent each such restriction or encumbrance applies only to the joint venture entity or minority investment that is the subject of such agreement or Contract; and</w:t>
      </w:r>
    </w:p>
    <w:p>
      <w:pPr>
        <w:spacing w:after="0" w:line="73" w:lineRule="exact"/>
        <w:rPr>
          <w:rFonts w:ascii="Arial" w:cs="Arial" w:eastAsia="Arial" w:hAnsi="Arial"/>
          <w:sz w:val="18"/>
          <w:szCs w:val="18"/>
          <w:color w:val="auto"/>
        </w:rPr>
      </w:pPr>
    </w:p>
    <w:p>
      <w:pPr>
        <w:jc w:val="both"/>
        <w:ind w:left="440" w:right="220" w:firstLine="851"/>
        <w:spacing w:after="0" w:line="312" w:lineRule="auto"/>
        <w:tabs>
          <w:tab w:leader="none" w:pos="1681"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restrictions or encumbrances imposed by any amendments, modifications, restatements, renewals, extensions, supplements or replacements of any of the Contracts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above, except to the extent that any such amendment, modification, restatement, renewal, extension, supplement or replacement expands the scope of any such restriction or encumbrance.</w:t>
      </w:r>
    </w:p>
    <w:p>
      <w:pPr>
        <w:spacing w:after="0" w:line="143" w:lineRule="exact"/>
        <w:rPr>
          <w:sz w:val="20"/>
          <w:szCs w:val="20"/>
          <w:color w:val="auto"/>
        </w:rPr>
      </w:pPr>
    </w:p>
    <w:p>
      <w:pPr>
        <w:ind w:right="300" w:firstLine="441"/>
        <w:spacing w:after="0" w:line="313" w:lineRule="auto"/>
        <w:rPr>
          <w:sz w:val="20"/>
          <w:szCs w:val="20"/>
          <w:color w:val="auto"/>
        </w:rPr>
      </w:pPr>
      <w:r>
        <w:rPr>
          <w:rFonts w:ascii="Arial" w:cs="Arial" w:eastAsia="Arial" w:hAnsi="Arial"/>
          <w:sz w:val="17"/>
          <w:szCs w:val="17"/>
          <w:b w:val="1"/>
          <w:bCs w:val="1"/>
          <w:color w:val="auto"/>
        </w:rPr>
        <w:t>6.10. Transactions with Affiliates</w:t>
      </w:r>
      <w:r>
        <w:rPr>
          <w:rFonts w:ascii="Arial" w:cs="Arial" w:eastAsia="Arial" w:hAnsi="Arial"/>
          <w:sz w:val="17"/>
          <w:szCs w:val="17"/>
          <w:color w:val="auto"/>
        </w:rPr>
        <w:t>. Directly or indirectly enter into or permit to exist any material transaction with any Affiliate of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any owner of ten percent (10%) or more of the Equity Interests of any Credit Party or any of its Subsidiaries, except for:</w:t>
      </w:r>
    </w:p>
    <w:p>
      <w:pPr>
        <w:spacing w:after="0" w:line="34" w:lineRule="exact"/>
        <w:rPr>
          <w:sz w:val="20"/>
          <w:szCs w:val="20"/>
          <w:color w:val="auto"/>
        </w:rPr>
      </w:pPr>
    </w:p>
    <w:p>
      <w:pPr>
        <w:ind w:right="20" w:firstLine="885"/>
        <w:spacing w:after="0" w:line="264" w:lineRule="auto"/>
        <w:tabs>
          <w:tab w:leader="none" w:pos="112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transactions that are in the ordinary course of such Credit Party’s or Subsidiary’s business consistent with past practice, upon fair and reasonable terms that are no less favorable to such Credit Party or Subsidiary than would be obtained in an arm’s length transaction with a non-affiliated Person, in each case as reasonably determined by a Responsible Officer of Borrower in good faith;</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any transaction between or among any Credit Party and its Subsidiaries not prohibited by this Agreement or any other Loan Document;</w:t>
      </w:r>
    </w:p>
    <w:p>
      <w:pPr>
        <w:spacing w:after="0" w:line="140" w:lineRule="exact"/>
        <w:rPr>
          <w:rFonts w:ascii="Arial" w:cs="Arial" w:eastAsia="Arial" w:hAnsi="Arial"/>
          <w:sz w:val="16"/>
          <w:szCs w:val="16"/>
          <w:color w:val="auto"/>
        </w:rPr>
      </w:pPr>
    </w:p>
    <w:p>
      <w:pPr>
        <w:jc w:val="both"/>
        <w:ind w:right="200" w:firstLine="885"/>
        <w:spacing w:after="0" w:line="342" w:lineRule="auto"/>
        <w:tabs>
          <w:tab w:leader="none" w:pos="112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reasonable and customary compensation arrangements (including fees, benefits, severance, change of control payments and incentive arrangements) for members of the Board of Directors of Borrower and its Subsidiaries (or similar governing body) in the ordinary course of business;</w:t>
      </w:r>
    </w:p>
    <w:p>
      <w:pPr>
        <w:spacing w:after="0" w:line="15" w:lineRule="exact"/>
        <w:rPr>
          <w:rFonts w:ascii="Arial" w:cs="Arial" w:eastAsia="Arial" w:hAnsi="Arial"/>
          <w:sz w:val="16"/>
          <w:szCs w:val="16"/>
          <w:color w:val="auto"/>
        </w:rPr>
      </w:pPr>
    </w:p>
    <w:p>
      <w:pPr>
        <w:ind w:firstLine="885"/>
        <w:spacing w:after="0" w:line="308" w:lineRule="auto"/>
        <w:tabs>
          <w:tab w:leader="none" w:pos="113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reasonable compensation arrangements (including fees, benefits, severance, change of control payments and incentive arrangements) for officers, employees, consultants and agents of Borrower and its Subsidiaries entered into in the ordinary course of business;</w:t>
      </w:r>
    </w:p>
    <w:p>
      <w:pPr>
        <w:spacing w:after="0" w:line="38" w:lineRule="exact"/>
        <w:rPr>
          <w:rFonts w:ascii="Arial" w:cs="Arial" w:eastAsia="Arial" w:hAnsi="Arial"/>
          <w:sz w:val="17"/>
          <w:szCs w:val="17"/>
          <w:color w:val="auto"/>
        </w:rPr>
      </w:pPr>
    </w:p>
    <w:p>
      <w:pPr>
        <w:ind w:left="1140" w:hanging="255"/>
        <w:spacing w:after="0"/>
        <w:tabs>
          <w:tab w:leader="none" w:pos="11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Investments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the definition of Permitted Investments;</w:t>
      </w:r>
    </w:p>
    <w:p>
      <w:pPr>
        <w:spacing w:after="0" w:line="117" w:lineRule="exact"/>
        <w:rPr>
          <w:rFonts w:ascii="Arial" w:cs="Arial" w:eastAsia="Arial" w:hAnsi="Arial"/>
          <w:sz w:val="18"/>
          <w:szCs w:val="18"/>
          <w:color w:val="auto"/>
        </w:rPr>
      </w:pPr>
    </w:p>
    <w:p>
      <w:pPr>
        <w:ind w:right="220" w:firstLine="885"/>
        <w:spacing w:after="0" w:line="312" w:lineRule="auto"/>
        <w:tabs>
          <w:tab w:leader="none" w:pos="110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Investments in Borrower comprised of the proceeds of equity financings and the granting of registration and other customary rights in connection therewith, any contribution to the Equity Interests of Borrower or any of its Subsidiaries and unsecured debt financings from Borrower’s shareholders, in each case, if and only to the extent any and all such Indebtedness is Subordinated Debt and does not violate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580" w:firstLine="885"/>
        <w:spacing w:after="0" w:line="277" w:lineRule="auto"/>
        <w:tabs>
          <w:tab w:leader="none" w:pos="113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transactions pursuant to a Contract in existence at the time any Credit Party or Subsidiary of a Credit Party that is a party to such transaction is acquired pursuant to a Permitted Acquisition or similar Investment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any transaction in connection with Contracts existing on the Tranche A Closing Date and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xml:space="preserve"> of the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 and</w:t>
      </w:r>
    </w:p>
    <w:p>
      <w:pPr>
        <w:spacing w:after="0" w:line="102" w:lineRule="exact"/>
        <w:rPr>
          <w:rFonts w:ascii="Arial" w:cs="Arial" w:eastAsia="Arial" w:hAnsi="Arial"/>
          <w:sz w:val="16"/>
          <w:szCs w:val="16"/>
          <w:color w:val="auto"/>
        </w:rPr>
      </w:pPr>
    </w:p>
    <w:p>
      <w:pPr>
        <w:ind w:left="1100" w:hanging="215"/>
        <w:spacing w:after="0"/>
        <w:tabs>
          <w:tab w:leader="none" w:pos="11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any distribution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1"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b w:val="1"/>
          <w:bCs w:val="1"/>
          <w:color w:val="auto"/>
        </w:rPr>
        <w:t xml:space="preserve">6.11. Subordinated Debt </w:t>
      </w:r>
      <w:r>
        <w:rPr>
          <w:rFonts w:ascii="Arial" w:cs="Arial" w:eastAsia="Arial" w:hAnsi="Arial"/>
          <w:sz w:val="18"/>
          <w:szCs w:val="18"/>
          <w:color w:val="auto"/>
        </w:rPr>
        <w:t>(a) Make or permit any payment on any Subordinated Debt, except (i)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intercreditor or other similar Contract to which such Subordinated Debt is subject and (ii) refinancings of any Subordinated Debt with any Indebtedness permitted to be incurred under </w:t>
      </w:r>
      <w:r>
        <w:rPr>
          <w:rFonts w:ascii="Arial" w:cs="Arial" w:eastAsia="Arial" w:hAnsi="Arial"/>
          <w:sz w:val="18"/>
          <w:szCs w:val="18"/>
          <w:u w:val="single" w:color="auto"/>
          <w:color w:val="auto"/>
        </w:rPr>
        <w:t>Section 6.4</w:t>
      </w:r>
      <w:r>
        <w:rPr>
          <w:rFonts w:ascii="Arial" w:cs="Arial" w:eastAsia="Arial" w:hAnsi="Arial"/>
          <w:sz w:val="18"/>
          <w:szCs w:val="18"/>
          <w:color w:val="auto"/>
        </w:rPr>
        <w:t>, or (b) amend any provision in any Contract or document relating to any Subordinated Debt that would increase the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59" w:name="page460"/>
    <w:bookmarkEnd w:id="459"/>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thereof, provide for the payment of interest applicable thereto at any time prior to the date on which all of the Obligations have been paid in full, shorten the final maturity thereof or require any payment thereunder to be made sooner than originally scheduled, increase the interest rate applicable thereto or add or change any other terms thereof, in each case except under the terms of the subordination, intercreditor, or other similar Contract to which such Subordinated Debt is subject, or adversely affect the subordination thereof to Obligations owed to Lender.</w:t>
      </w:r>
    </w:p>
    <w:p>
      <w:pPr>
        <w:spacing w:after="0" w:line="150" w:lineRule="exact"/>
        <w:rPr>
          <w:sz w:val="20"/>
          <w:szCs w:val="20"/>
          <w:color w:val="auto"/>
        </w:rPr>
      </w:pPr>
    </w:p>
    <w:p>
      <w:pPr>
        <w:ind w:right="140" w:firstLine="441"/>
        <w:spacing w:after="0" w:line="289" w:lineRule="auto"/>
        <w:rPr>
          <w:sz w:val="20"/>
          <w:szCs w:val="20"/>
          <w:color w:val="auto"/>
        </w:rPr>
      </w:pPr>
      <w:r>
        <w:rPr>
          <w:rFonts w:ascii="Arial" w:cs="Arial" w:eastAsia="Arial" w:hAnsi="Arial"/>
          <w:sz w:val="17"/>
          <w:szCs w:val="17"/>
          <w:b w:val="1"/>
          <w:bCs w:val="1"/>
          <w:color w:val="auto"/>
        </w:rPr>
        <w:t>6.12. Amendments or Waivers of Organizational Documents</w:t>
      </w:r>
      <w:r>
        <w:rPr>
          <w:rFonts w:ascii="Arial" w:cs="Arial" w:eastAsia="Arial" w:hAnsi="Arial"/>
          <w:sz w:val="17"/>
          <w:szCs w:val="17"/>
          <w:color w:val="auto"/>
        </w:rPr>
        <w:t>. Amend, restate, supplement or otherwise modify, or waive, any provision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Documents in a manner that would adversely affect its ability to perform any of its agreements or obligations under any of the Loan Documents or would adversely affect any of the rights or remedies available to, or conferred upon, Lender under any Loan Document.</w:t>
      </w:r>
    </w:p>
    <w:p>
      <w:pPr>
        <w:spacing w:after="0" w:line="158" w:lineRule="exact"/>
        <w:rPr>
          <w:sz w:val="20"/>
          <w:szCs w:val="20"/>
          <w:color w:val="auto"/>
        </w:rPr>
      </w:pPr>
    </w:p>
    <w:p>
      <w:pPr>
        <w:jc w:val="both"/>
        <w:ind w:right="120" w:firstLine="441"/>
        <w:spacing w:after="0" w:line="314" w:lineRule="auto"/>
        <w:rPr>
          <w:sz w:val="20"/>
          <w:szCs w:val="20"/>
          <w:color w:val="auto"/>
        </w:rPr>
      </w:pPr>
      <w:r>
        <w:rPr>
          <w:rFonts w:ascii="Arial" w:cs="Arial" w:eastAsia="Arial" w:hAnsi="Arial"/>
          <w:sz w:val="16"/>
          <w:szCs w:val="16"/>
          <w:b w:val="1"/>
          <w:bCs w:val="1"/>
          <w:color w:val="auto"/>
        </w:rPr>
        <w:t>6.13. Fiscal Year</w:t>
      </w:r>
      <w:r>
        <w:rPr>
          <w:rFonts w:ascii="Arial" w:cs="Arial" w:eastAsia="Arial" w:hAnsi="Arial"/>
          <w:sz w:val="16"/>
          <w:szCs w:val="16"/>
          <w:color w:val="auto"/>
        </w:rPr>
        <w:t>. Borrower will cause (a) each of its and its Subsidiaries’ fiscal years to end on December 31 of each calendar year and (b)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its and its Subsidiaries’ fiscal quarters to end on March 31, June 30, September 30 and December 31. Except to the extent necessary to comply with the foregoing, no Credit Party shall, nor shall it permit any of its Subsidiaries to, change its fiscal year without prior written notice to Lender.</w:t>
      </w:r>
    </w:p>
    <w:p>
      <w:pPr>
        <w:spacing w:after="0" w:line="142"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b w:val="1"/>
          <w:bCs w:val="1"/>
          <w:color w:val="auto"/>
        </w:rPr>
        <w:t>6.14. Compliance</w:t>
      </w:r>
      <w:r>
        <w:rPr>
          <w:rFonts w:ascii="Arial" w:cs="Arial" w:eastAsia="Arial" w:hAnsi="Arial"/>
          <w:sz w:val="16"/>
          <w:szCs w:val="16"/>
          <w:color w:val="auto"/>
        </w:rPr>
        <w:t>. Become an “investment company” under the Investment Company Act of 1940, as amended, or a company controlled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“investment company” or undertake as one of its important activities extending credit to purchase or carry margin stock (as defined in Regulation U of the Board of Governors of the Federal Reserve System), or use the proceeds of the Credit Extensions for that purpose; no ERISA Affiliate shall cause or suffer to exist (a) any event that could result in the imposition of a Lien on any asset of a Credit Party or a Subsidiary of a Credit Party with respect to any Plan or Multiemployer Plan or (b) any other ERISA Event,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that would, in the aggregate, result in liabilities which reasonably could be expected to result in a Material Adverse Change; fail to comply with the Federal Fair Labor Standards Act or violate any other Requirements of Law, if such failure or violation, individually or together with any other such failures or violations, could reasonably be expected to have a Material Adverse Change; or permit the occurrence of any other event with respect to any present pension, profit sharing or deferred compensation plan which, individually or together with any other such events, could reasonably be expected to result in a Material Adverse Change.</w:t>
      </w:r>
    </w:p>
    <w:p>
      <w:pPr>
        <w:spacing w:after="0" w:line="16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6.15. Compliance with Anti-Terrorism Laws</w:t>
      </w:r>
      <w:r>
        <w:rPr>
          <w:rFonts w:ascii="Arial" w:cs="Arial" w:eastAsia="Arial" w:hAnsi="Arial"/>
          <w:sz w:val="16"/>
          <w:szCs w:val="16"/>
          <w:color w:val="auto"/>
        </w:rPr>
        <w:t>. Lender hereby notifies each Credit Party that pursuant to the requirements of Anti-Terrorism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and Lender’s policies and practices, Lender is required to obtain, verify and record certain information and documentation that identifies each Credit Party and its principals, which information includes the name and address of each Credit Party and its principals and such other information that will allow Lender to identify such party in accordance with Anti-Terrorism Laws. No Credit Party will, nor will any Credit Party permit any of its Subsidiaries or Affiliates to, directly or indirectly, knowingly enter into any documents or Contracts with any Person listed on the OFAC Lists. Each Credit Party shall immediately notify Lender in writing if such Credit Party or any of its Subsidiaries has knowledge that any Credit Party or any Subsidiary or Affiliate of any Credit Party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 (d) is arraigned and held over on charges involving money laundering or predicate crimes to money laundering. No Credit Party will, nor will any Credit Party permit any of its Subsidiaries or Affiliates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65" w:lineRule="exact"/>
        <w:rPr>
          <w:sz w:val="20"/>
          <w:szCs w:val="20"/>
          <w:color w:val="auto"/>
        </w:rPr>
      </w:pPr>
    </w:p>
    <w:p>
      <w:pPr>
        <w:ind w:right="40" w:firstLine="441"/>
        <w:spacing w:after="0" w:line="295" w:lineRule="auto"/>
        <w:rPr>
          <w:sz w:val="20"/>
          <w:szCs w:val="20"/>
          <w:color w:val="auto"/>
        </w:rPr>
      </w:pPr>
      <w:r>
        <w:rPr>
          <w:rFonts w:ascii="Arial" w:cs="Arial" w:eastAsia="Arial" w:hAnsi="Arial"/>
          <w:sz w:val="16"/>
          <w:szCs w:val="16"/>
          <w:b w:val="1"/>
          <w:bCs w:val="1"/>
          <w:color w:val="auto"/>
        </w:rPr>
        <w:t>6.16. Current Company IP Agreements and Material Contracts</w:t>
      </w:r>
      <w:r>
        <w:rPr>
          <w:rFonts w:ascii="Arial" w:cs="Arial" w:eastAsia="Arial" w:hAnsi="Arial"/>
          <w:sz w:val="16"/>
          <w:szCs w:val="16"/>
          <w:color w:val="auto"/>
        </w:rPr>
        <w:t>. Except as described on Schedule 4.11 of the Disclosure Letter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Oxford Loan Agreement, (a) waive, amend, cancel or terminate, or exercise or fail to exercise, or fail to enforce, any material rights under or relating to any of the Current Company IP Agreements or any Material Contract, (b) default under, or take any action or fail to take any action that with the passage of time or the giving of notice or both would constitute a material breach of, or a default or event of default under, any of the Current Company IP Agreements or any Material Contract, (c) fail to diligently monitor the performance of any counterparty to any Current Company IP Agreement or Material Contract and enforce all rights under such Contracts, in each case, which, individually or together with any other such waivers,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60" w:name="page461"/>
    <w:bookmarkEnd w:id="460"/>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cancellations, terminations, agreements, exercises, failures, defaults or actions, could reasonably be expected to result in a Material Adverse Change or (d) enter into any Contract pursuant to which any Consulting Royalties may become due and payable with respect to the Products that have been Commercialized on or prior to the Tranche A Closing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6.17. Minimum Net Sales; Minimum Consolidated EBITDA</w:t>
      </w:r>
      <w:r>
        <w:rPr>
          <w:rFonts w:ascii="Arial" w:cs="Arial" w:eastAsia="Arial" w:hAnsi="Arial"/>
          <w:sz w:val="18"/>
          <w:szCs w:val="18"/>
          <w:color w:val="auto"/>
        </w:rPr>
        <w:t>.</w:t>
      </w:r>
    </w:p>
    <w:p>
      <w:pPr>
        <w:spacing w:after="0" w:line="121" w:lineRule="exact"/>
        <w:rPr>
          <w:sz w:val="20"/>
          <w:szCs w:val="20"/>
          <w:color w:val="auto"/>
        </w:rPr>
      </w:pPr>
    </w:p>
    <w:p>
      <w:pPr>
        <w:ind w:right="140" w:firstLine="885"/>
        <w:spacing w:after="0" w:line="308" w:lineRule="auto"/>
        <w:tabs>
          <w:tab w:leader="none" w:pos="1126" w:val="left"/>
        </w:tabs>
        <w:numPr>
          <w:ilvl w:val="0"/>
          <w:numId w:val="439"/>
        </w:numPr>
        <w:rPr>
          <w:rFonts w:ascii="Arial" w:cs="Arial" w:eastAsia="Arial" w:hAnsi="Arial"/>
          <w:sz w:val="17"/>
          <w:szCs w:val="17"/>
          <w:color w:val="auto"/>
        </w:rPr>
      </w:pPr>
      <w:r>
        <w:rPr>
          <w:rFonts w:ascii="Arial" w:cs="Arial" w:eastAsia="Arial" w:hAnsi="Arial"/>
          <w:sz w:val="17"/>
          <w:szCs w:val="17"/>
          <w:color w:val="auto"/>
        </w:rPr>
        <w:t>Permit trailing twelve-month Net Sales of Borrower and its Subsidiaries on a consolidated basis, tested at the end of each fiscal quarter commencing with the fiscal quarter ending December 31, 2017 through the fiscal quarter ending December 31, 2018 to fall below:</w:t>
      </w:r>
    </w:p>
    <w:p>
      <w:pPr>
        <w:spacing w:after="0" w:line="165"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Twelve Months Ending</w:t>
            </w:r>
          </w:p>
        </w:tc>
        <w:tc>
          <w:tcPr>
            <w:tcW w:w="3660" w:type="dxa"/>
            <w:vAlign w:val="bottom"/>
            <w:gridSpan w:val="2"/>
          </w:tcPr>
          <w:p>
            <w:pPr>
              <w:ind w:left="2380"/>
              <w:spacing w:after="0"/>
              <w:rPr>
                <w:sz w:val="20"/>
                <w:szCs w:val="20"/>
                <w:color w:val="auto"/>
              </w:rPr>
            </w:pPr>
            <w:r>
              <w:rPr>
                <w:rFonts w:ascii="Arial" w:cs="Arial" w:eastAsia="Arial" w:hAnsi="Arial"/>
                <w:sz w:val="14"/>
                <w:szCs w:val="14"/>
                <w:b w:val="1"/>
                <w:bCs w:val="1"/>
                <w:color w:val="auto"/>
                <w:w w:val="98"/>
              </w:rPr>
              <w:t>Minimum Net Sales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March 31, 2018</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46,500,000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September 30, 2018</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48,500,000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r>
    </w:tbl>
    <w:p>
      <w:pPr>
        <w:spacing w:after="0" w:line="202" w:lineRule="exact"/>
        <w:rPr>
          <w:sz w:val="20"/>
          <w:szCs w:val="20"/>
          <w:color w:val="auto"/>
        </w:rPr>
      </w:pPr>
    </w:p>
    <w:p>
      <w:pPr>
        <w:ind w:right="140" w:firstLine="885"/>
        <w:spacing w:after="0" w:line="264" w:lineRule="auto"/>
        <w:tabs>
          <w:tab w:leader="none" w:pos="113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Permit both of (i) trailing twelve-month Net Sales of Borrower and its Subsidiaries on a consolidated basis and (ii) realized trailing twelve-month Consolidated EBITDA, in each case, tested at the end of each fiscal quarter commencing with the fiscal quarter ending March 30, 2019, to fall below:</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color w:val="auto"/>
              </w:rPr>
              <w:t>Twelve Months Ending</w:t>
            </w:r>
          </w:p>
        </w:tc>
        <w:tc>
          <w:tcPr>
            <w:tcW w:w="3260" w:type="dxa"/>
            <w:vAlign w:val="bottom"/>
            <w:gridSpan w:val="2"/>
          </w:tcPr>
          <w:p>
            <w:pPr>
              <w:ind w:left="1720"/>
              <w:spacing w:after="0"/>
              <w:rPr>
                <w:sz w:val="20"/>
                <w:szCs w:val="20"/>
                <w:color w:val="auto"/>
              </w:rPr>
            </w:pPr>
            <w:r>
              <w:rPr>
                <w:rFonts w:ascii="Arial" w:cs="Arial" w:eastAsia="Arial" w:hAnsi="Arial"/>
                <w:sz w:val="14"/>
                <w:szCs w:val="14"/>
                <w:b w:val="1"/>
                <w:bCs w:val="1"/>
                <w:color w:val="auto"/>
              </w:rPr>
              <w:t>Minimum Net Sales</w:t>
            </w:r>
          </w:p>
        </w:tc>
        <w:tc>
          <w:tcPr>
            <w:tcW w:w="760" w:type="dxa"/>
            <w:vAlign w:val="bottom"/>
          </w:tcPr>
          <w:p>
            <w:pPr>
              <w:spacing w:after="0"/>
              <w:rPr>
                <w:sz w:val="14"/>
                <w:szCs w:val="14"/>
                <w:color w:val="auto"/>
              </w:rPr>
            </w:pPr>
          </w:p>
        </w:tc>
        <w:tc>
          <w:tcPr>
            <w:tcW w:w="180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7"/>
              </w:rPr>
              <w:t>Trailing 12-Month</w:t>
            </w:r>
          </w:p>
        </w:tc>
      </w:tr>
      <w:tr>
        <w:trPr>
          <w:trHeight w:val="171"/>
        </w:trPr>
        <w:tc>
          <w:tcPr>
            <w:tcW w:w="3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5"/>
              </w:rPr>
              <w:t>Consolidated EBITDA</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52,000,000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2019</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53,500,000</w:t>
            </w:r>
          </w:p>
        </w:tc>
        <w:tc>
          <w:tcPr>
            <w:tcW w:w="760" w:type="dxa"/>
            <w:vAlign w:val="bottom"/>
          </w:tcPr>
          <w:p>
            <w:pPr>
              <w:ind w:left="320"/>
              <w:spacing w:after="0"/>
              <w:rPr>
                <w:sz w:val="20"/>
                <w:szCs w:val="20"/>
                <w:color w:val="auto"/>
              </w:rPr>
            </w:pPr>
            <w:r>
              <w:rPr>
                <w:rFonts w:ascii="Arial" w:cs="Arial" w:eastAsia="Arial" w:hAnsi="Arial"/>
                <w:sz w:val="18"/>
                <w:szCs w:val="18"/>
                <w:color w:val="auto"/>
              </w:rPr>
              <w:t>or</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54,500,000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December 31, 2019</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56,000,000</w:t>
            </w:r>
          </w:p>
        </w:tc>
        <w:tc>
          <w:tcPr>
            <w:tcW w:w="760" w:type="dxa"/>
            <w:vAlign w:val="bottom"/>
          </w:tcPr>
          <w:p>
            <w:pPr>
              <w:ind w:left="320"/>
              <w:spacing w:after="0"/>
              <w:rPr>
                <w:sz w:val="20"/>
                <w:szCs w:val="20"/>
                <w:color w:val="auto"/>
              </w:rPr>
            </w:pPr>
            <w:r>
              <w:rPr>
                <w:rFonts w:ascii="Arial" w:cs="Arial" w:eastAsia="Arial" w:hAnsi="Arial"/>
                <w:sz w:val="18"/>
                <w:szCs w:val="18"/>
                <w:color w:val="auto"/>
              </w:rPr>
              <w:t>or</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57,500,000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2020</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58,500,000</w:t>
            </w:r>
          </w:p>
        </w:tc>
        <w:tc>
          <w:tcPr>
            <w:tcW w:w="760" w:type="dxa"/>
            <w:vAlign w:val="bottom"/>
          </w:tcPr>
          <w:p>
            <w:pPr>
              <w:ind w:left="320"/>
              <w:spacing w:after="0"/>
              <w:rPr>
                <w:sz w:val="20"/>
                <w:szCs w:val="20"/>
                <w:color w:val="auto"/>
              </w:rPr>
            </w:pPr>
            <w:r>
              <w:rPr>
                <w:rFonts w:ascii="Arial" w:cs="Arial" w:eastAsia="Arial" w:hAnsi="Arial"/>
                <w:sz w:val="18"/>
                <w:szCs w:val="18"/>
                <w:color w:val="auto"/>
              </w:rPr>
              <w:t>or</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thereafter, as applicable</w:t>
            </w:r>
          </w:p>
        </w:tc>
        <w:tc>
          <w:tcPr>
            <w:tcW w:w="19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60,000,000</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avoidance of doubt, for any twelve-month period, if Borrower complies with either the applicable trailing twelve-month Net Sales amount or the applicable trailing twelve-month Consolidated EBITDA amount set forth above, Borrower shall be deemed to have complied with this Section 6.17(b).</w:t>
      </w:r>
    </w:p>
    <w:p>
      <w:pPr>
        <w:spacing w:after="0" w:line="16" w:lineRule="exact"/>
        <w:rPr>
          <w:sz w:val="20"/>
          <w:szCs w:val="20"/>
          <w:color w:val="auto"/>
        </w:rPr>
      </w:pPr>
    </w:p>
    <w:p>
      <w:pPr>
        <w:ind w:right="40" w:firstLine="885"/>
        <w:spacing w:after="0" w:line="257" w:lineRule="auto"/>
        <w:tabs>
          <w:tab w:leader="none" w:pos="112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subject to the ultimate sentence of this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in the event that Borrower fails to comply with the covenants contained in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in respect of any applicable fiscal quarter (such covenants for such applicable periods being the “</w:t>
      </w:r>
      <w:r>
        <w:rPr>
          <w:rFonts w:ascii="Arial" w:cs="Arial" w:eastAsia="Arial" w:hAnsi="Arial"/>
          <w:sz w:val="18"/>
          <w:szCs w:val="18"/>
          <w:b w:val="1"/>
          <w:bCs w:val="1"/>
          <w:color w:val="auto"/>
        </w:rPr>
        <w:t>Specified Financial Covenants</w:t>
      </w:r>
      <w:r>
        <w:rPr>
          <w:rFonts w:ascii="Arial" w:cs="Arial" w:eastAsia="Arial" w:hAnsi="Arial"/>
          <w:sz w:val="18"/>
          <w:szCs w:val="18"/>
          <w:color w:val="auto"/>
        </w:rPr>
        <w:t xml:space="preserve">”) following the test for compliance therewith on the relevant date of determination, Borrower shall notify Lender in writing of such Event of Default pursuant to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and shall have the right within sixty (60) days after the end of such applicable fiscal quarter to issue additional shares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61" w:name="page462"/>
    <w:bookmarkEnd w:id="461"/>
    <w:p>
      <w:pPr>
        <w:ind w:right="1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Interests in exchange for cash (the “</w:t>
      </w:r>
      <w:r>
        <w:rPr>
          <w:rFonts w:ascii="Arial" w:cs="Arial" w:eastAsia="Arial" w:hAnsi="Arial"/>
          <w:sz w:val="16"/>
          <w:szCs w:val="16"/>
          <w:b w:val="1"/>
          <w:bCs w:val="1"/>
          <w:color w:val="auto"/>
        </w:rPr>
        <w:t>Cure Right</w:t>
      </w:r>
      <w:r>
        <w:rPr>
          <w:rFonts w:ascii="Arial" w:cs="Arial" w:eastAsia="Arial" w:hAnsi="Arial"/>
          <w:sz w:val="16"/>
          <w:szCs w:val="16"/>
          <w:color w:val="auto"/>
        </w:rPr>
        <w:t>”), in an amount equal to the product of (i) three (3) multiplied by (ii) an amount equal to the minimum trailing twelve-month Net Sales of Borrower and its Subsidiaries on a consolidated basis required by the applicable Specified Financial Covenant less the actual trailing twelve-month Net Sales of Borrower and its Subsidiaries on a consolidated basis (the “</w:t>
      </w:r>
      <w:r>
        <w:rPr>
          <w:rFonts w:ascii="Arial" w:cs="Arial" w:eastAsia="Arial" w:hAnsi="Arial"/>
          <w:sz w:val="16"/>
          <w:szCs w:val="16"/>
          <w:b w:val="1"/>
          <w:bCs w:val="1"/>
          <w:color w:val="auto"/>
        </w:rPr>
        <w:t>Cure Amount</w:t>
      </w:r>
      <w:r>
        <w:rPr>
          <w:rFonts w:ascii="Arial" w:cs="Arial" w:eastAsia="Arial" w:hAnsi="Arial"/>
          <w:sz w:val="16"/>
          <w:szCs w:val="16"/>
          <w:color w:val="auto"/>
        </w:rPr>
        <w:t xml:space="preserve">”). The cash proceeds from the exercise of the Cure Right shall immediately be contributed as equity to Borrower, and promptly upon the receipt thereof by Borrower, Borrower shall prepay, in whole or in part, the Term Loans advanced by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Borrower provides written notice to Lender of its intention to exercise the Cure Right (the “</w:t>
      </w:r>
      <w:r>
        <w:rPr>
          <w:rFonts w:ascii="Arial" w:cs="Arial" w:eastAsia="Arial" w:hAnsi="Arial"/>
          <w:sz w:val="16"/>
          <w:szCs w:val="16"/>
          <w:b w:val="1"/>
          <w:bCs w:val="1"/>
          <w:color w:val="auto"/>
        </w:rPr>
        <w:t>Cure Notice</w:t>
      </w:r>
      <w:r>
        <w:rPr>
          <w:rFonts w:ascii="Arial" w:cs="Arial" w:eastAsia="Arial" w:hAnsi="Arial"/>
          <w:sz w:val="16"/>
          <w:szCs w:val="16"/>
          <w:color w:val="auto"/>
        </w:rPr>
        <w:t xml:space="preserve">”) (which may be combined with the aforementioned notice of Default and which such exercise Lender acknowledges will be conditional upon Borrower’s successful issuance of Equity Interests for cash) to prepay the Term Loans promptly upon receipt of the cash proceeds from the exercise of the Cure Right in an amount equal to the Cure Amount and (B) such prepayment shall be (1) in the event of a prepayment in part and not in whole, inclusive of any amounts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and any other amounts payable or accrued and not yet paid under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(2) in the event of a prepayment in whole and not in part accompanied by any amounts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(as applicable) and any other amounts payable or accrued and not yet paid under this Agreement and the other Loan Documents. Upon delivery by Borrower to Lender of the Cure Notice and until the sixtieth (60</w:t>
      </w:r>
      <w:r>
        <w:rPr>
          <w:rFonts w:ascii="Arial" w:cs="Arial" w:eastAsia="Arial" w:hAnsi="Arial"/>
          <w:sz w:val="13"/>
          <w:szCs w:val="13"/>
          <w:color w:val="auto"/>
        </w:rPr>
        <w:t>th</w:t>
      </w:r>
      <w:r>
        <w:rPr>
          <w:rFonts w:ascii="Arial" w:cs="Arial" w:eastAsia="Arial" w:hAnsi="Arial"/>
          <w:sz w:val="16"/>
          <w:szCs w:val="16"/>
          <w:color w:val="auto"/>
        </w:rPr>
        <w:t xml:space="preserve">) day after the end of such applicable fiscal quarter, so long as no other Event of Default has occurred and is continuing during such period, Lender shall not exercise the right to accelerate the time on which the Obligations are due and payable or stop advancing money or extending credit for Borrower’s benefit or exercise any right to foreclose on or take possession of the Collateral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in each case, solely with respect to such Event of Default having occurred under the Specified Financial Covenants;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Borrower fails to remit the Cure Amount to Lender on or prior to the sixtieth (60</w:t>
      </w:r>
      <w:r>
        <w:rPr>
          <w:rFonts w:ascii="Arial" w:cs="Arial" w:eastAsia="Arial" w:hAnsi="Arial"/>
          <w:sz w:val="13"/>
          <w:szCs w:val="13"/>
          <w:color w:val="auto"/>
        </w:rPr>
        <w:t>th</w:t>
      </w:r>
      <w:r>
        <w:rPr>
          <w:rFonts w:ascii="Arial" w:cs="Arial" w:eastAsia="Arial" w:hAnsi="Arial"/>
          <w:sz w:val="16"/>
          <w:szCs w:val="16"/>
          <w:color w:val="auto"/>
        </w:rPr>
        <w:t xml:space="preserve">) day after the end of such applicable fiscal quarter, such Event of Default under the Specified Financial Covenants shall be deemed to have occurred as of such relevant date of determination with the same effect as though there had been no cure right with respect thereto, and Lender shall have the right to exercise any and all of its rights and remedies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otherwise in respect thereof in its sole and absolute discretion. Upon receipt by Lender of the Cure Amount within such 60-day period, Borrower shall be deemed to have satisfied the requirements of the applicable Specified Financial Covenant for the applicable fiscal quarter as of the relevant date of determination with the same effect as though there had been no failure to comply therewith at such date, and the applicable Event of Default under the Specified Financial Covenants that had occurred shall be deemed cured without any further action of Borrower or Lender for all purposes under the Loan Documents. Notwithstanding the foregoing, Borrower shall have no further right to exercise the Cure Right after it has exercised the Cure Right in respect of any two (2) fiscal quarters.</w:t>
      </w:r>
    </w:p>
    <w:p>
      <w:pPr>
        <w:spacing w:after="0" w:line="173" w:lineRule="exact"/>
        <w:rPr>
          <w:sz w:val="20"/>
          <w:szCs w:val="20"/>
          <w:color w:val="auto"/>
        </w:rPr>
      </w:pPr>
    </w:p>
    <w:p>
      <w:pPr>
        <w:ind w:left="620" w:hanging="176"/>
        <w:spacing w:after="0"/>
        <w:tabs>
          <w:tab w:leader="none" w:pos="62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7.1. Payment Default</w:t>
      </w:r>
      <w:r>
        <w:rPr>
          <w:rFonts w:ascii="Arial" w:cs="Arial" w:eastAsia="Arial" w:hAnsi="Arial"/>
          <w:sz w:val="16"/>
          <w:szCs w:val="16"/>
          <w:color w:val="auto"/>
        </w:rPr>
        <w:t>. Any Credit Party fails to (a) make any payment of any principal of any Term Loan when and as the same shall become due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payable, whether at the due date thereof (including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at a date fixed for prepayment thereof (whether voluntary or mandatory) or by acceleration thereof or otherwise, (b) make any payment of interest or premium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including any applicable Makewhole Amount or Prepayment Premium when and as the same shall become due and payable or (c) pay any other Obligations within three</w:t>
      </w:r>
    </w:p>
    <w:p>
      <w:pPr>
        <w:spacing w:after="0" w:line="3" w:lineRule="exact"/>
        <w:rPr>
          <w:sz w:val="20"/>
          <w:szCs w:val="20"/>
          <w:color w:val="auto"/>
        </w:rPr>
      </w:pPr>
    </w:p>
    <w:p>
      <w:pPr>
        <w:ind w:right="100" w:firstLine="4"/>
        <w:spacing w:after="0" w:line="277" w:lineRule="auto"/>
        <w:tabs>
          <w:tab w:leader="none" w:pos="255"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Business Days after such Obligations are due and payable (which such three (3) Business Day cure period shall not apply to payments due on the Term Loan Maturity Date or the date of acceleration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hereof). A failure to pay any other Obligations pursuant to the foregoing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prior to the end of such three (3) Business Day period shall not constitute an Event of Default.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7.2. Covenant Default</w:t>
      </w:r>
      <w:r>
        <w:rPr>
          <w:rFonts w:ascii="Arial" w:cs="Arial" w:eastAsia="Arial" w:hAnsi="Arial"/>
          <w:sz w:val="18"/>
          <w:szCs w:val="18"/>
          <w:color w:val="auto"/>
        </w:rPr>
        <w:t>.</w:t>
      </w:r>
    </w:p>
    <w:p>
      <w:pPr>
        <w:spacing w:after="0" w:line="121" w:lineRule="exact"/>
        <w:rPr>
          <w:sz w:val="20"/>
          <w:szCs w:val="20"/>
          <w:color w:val="auto"/>
        </w:rPr>
      </w:pPr>
    </w:p>
    <w:p>
      <w:pPr>
        <w:ind w:right="120" w:firstLine="885"/>
        <w:spacing w:after="0" w:line="259" w:lineRule="auto"/>
        <w:tabs>
          <w:tab w:leader="none" w:pos="112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The Credit Parties: (i) fail or neglect to perform any obligation in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(ii) fail or neglect to perform any obligation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as to any default under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have failed to cure such default within thirty (30) days of the first Business Day on which Borrower and its Subsidiaries fail to have consolidated Liquidity of at least Five Million Dollars ($5,000,000.00); or (iii) violate any covenant in </w:t>
      </w:r>
      <w:r>
        <w:rPr>
          <w:rFonts w:ascii="Arial" w:cs="Arial" w:eastAsia="Arial" w:hAnsi="Arial"/>
          <w:sz w:val="18"/>
          <w:szCs w:val="18"/>
          <w:u w:val="single" w:color="auto"/>
          <w:color w:val="auto"/>
        </w:rPr>
        <w:t>Section 6</w:t>
      </w:r>
      <w:r>
        <w:rPr>
          <w:rFonts w:ascii="Arial" w:cs="Arial" w:eastAsia="Arial" w:hAnsi="Arial"/>
          <w:sz w:val="18"/>
          <w:szCs w:val="18"/>
          <w:color w:val="auto"/>
        </w:rPr>
        <w: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0" w:right="439" w:bottom="1440" w:gutter="0" w:footer="0" w:header="0"/>
        </w:sectPr>
      </w:pPr>
    </w:p>
    <w:bookmarkStart w:id="462" w:name="page463"/>
    <w:bookmarkEnd w:id="462"/>
    <w:p>
      <w:pPr>
        <w:ind w:right="80" w:firstLine="885"/>
        <w:spacing w:after="0" w:line="257" w:lineRule="auto"/>
        <w:tabs>
          <w:tab w:leader="none" w:pos="1136"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Credit Parties fail or neglect to perform, keep, or observe any other term, provision, condition, covenant or agreement contained in this Agreement or any other Loan Document and, as to any default (other than those specified elsewhere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under such other term, provision, condition, covenant or agreement that can be cured, have failed to cure the default within thirty (30) days after the occurrence thereof (but no Credit Extensions shall be made during such thirty (30) day cure period). Cure periods provided under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shall not apply to any of the covenants referenced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7.3. Material Adverse Change </w:t>
      </w:r>
      <w:r>
        <w:rPr>
          <w:rFonts w:ascii="Arial" w:cs="Arial" w:eastAsia="Arial" w:hAnsi="Arial"/>
          <w:sz w:val="18"/>
          <w:szCs w:val="18"/>
          <w:color w:val="auto"/>
        </w:rPr>
        <w:t>A Material Adverse Change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right="40" w:firstLine="885"/>
        <w:spacing w:after="0" w:line="276" w:lineRule="auto"/>
        <w:tabs>
          <w:tab w:leader="none" w:pos="1126" w:val="left"/>
        </w:tabs>
        <w:numPr>
          <w:ilvl w:val="1"/>
          <w:numId w:val="446"/>
        </w:numPr>
        <w:rPr>
          <w:rFonts w:ascii="Arial" w:cs="Arial" w:eastAsia="Arial" w:hAnsi="Arial"/>
          <w:sz w:val="17"/>
          <w:szCs w:val="17"/>
          <w:color w:val="auto"/>
        </w:rPr>
      </w:pPr>
      <w:r>
        <w:rPr>
          <w:rFonts w:ascii="Arial" w:cs="Arial" w:eastAsia="Arial" w:hAnsi="Arial"/>
          <w:sz w:val="17"/>
          <w:szCs w:val="17"/>
          <w:color w:val="auto"/>
        </w:rPr>
        <w:t xml:space="preserve">(i) The service of process seeking to attach, by trustee or similar process, any funds of any Credit Party or of any entity under the control of any Credit Party in excess of $25,000 on deposit or otherwise maintained with Lender or any of Lender’s Affiliates or (ii) a notice of lien or levy is filed against any assets of any Credit Party or any entity under the control of any Credit Party by any Governmental Authority, and the same under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hereof are not, within twenty (20) days after the occurrence thereof, discharged or stayed (whether through the posting of a bond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Credit Extensions shall be made during any such twenty (20) day period; or</w:t>
      </w:r>
    </w:p>
    <w:p>
      <w:pPr>
        <w:spacing w:after="0" w:line="64" w:lineRule="exact"/>
        <w:rPr>
          <w:rFonts w:ascii="Arial" w:cs="Arial" w:eastAsia="Arial" w:hAnsi="Arial"/>
          <w:sz w:val="17"/>
          <w:szCs w:val="17"/>
          <w:color w:val="auto"/>
        </w:rPr>
      </w:pPr>
    </w:p>
    <w:p>
      <w:pPr>
        <w:ind w:left="1140" w:hanging="255"/>
        <w:spacing w:after="0"/>
        <w:tabs>
          <w:tab w:leader="none" w:pos="114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(i) Any material portion of any Credit Party’s assets is attached, seized, levied on, or comes into possession of a trustee or receiver, or</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any court order enjoins, restrains, or prevents any Credit Party from conducting any material part of its business.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7.5. Insolvency</w:t>
      </w:r>
      <w:r>
        <w:rPr>
          <w:rFonts w:ascii="Arial" w:cs="Arial" w:eastAsia="Arial" w:hAnsi="Arial"/>
          <w:sz w:val="18"/>
          <w:szCs w:val="18"/>
          <w:color w:val="auto"/>
        </w:rPr>
        <w:t>.</w:t>
      </w:r>
    </w:p>
    <w:p>
      <w:pPr>
        <w:spacing w:after="0" w:line="121" w:lineRule="exact"/>
        <w:rPr>
          <w:sz w:val="20"/>
          <w:szCs w:val="20"/>
          <w:color w:val="auto"/>
        </w:rPr>
      </w:pPr>
    </w:p>
    <w:p>
      <w:pPr>
        <w:ind w:left="1140" w:hanging="255"/>
        <w:spacing w:after="0"/>
        <w:tabs>
          <w:tab w:leader="none" w:pos="114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in a court of competent jurisdiction seeking:</w:t>
      </w:r>
    </w:p>
    <w:p>
      <w:pPr>
        <w:spacing w:after="0" w:line="34" w:lineRule="exact"/>
        <w:rPr>
          <w:rFonts w:ascii="Arial" w:cs="Arial" w:eastAsia="Arial" w:hAnsi="Arial"/>
          <w:sz w:val="17"/>
          <w:szCs w:val="17"/>
          <w:color w:val="auto"/>
        </w:rPr>
      </w:pPr>
    </w:p>
    <w:p>
      <w:pPr>
        <w:ind w:firstLine="4"/>
        <w:spacing w:after="0" w:line="252" w:lineRule="auto"/>
        <w:tabs>
          <w:tab w:leader="none" w:pos="21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relief in respect of any Credit Party or any of its Subsidiaries, or of a substantial part of the properties or assets of any Credit Party or any of its Subsidiaries, under Title 11 of the United States Code, as now constituted or hereafter amended, or any other federal, state or foreign bankruptcy, insolvency, receivership or similar law; (ii) the appointment of an examiner, receiver, trustee, custodian, sequestrator, conservator or similar official for any Credit Party or any of its Subsidiaries or for a substantial part of the properties or assets of any Credit Party or any of its Subsidiaries; or (iii) the winding-up or liquidation of any Credit Party or any of its Subsidiaries, and such proceeding or petition shall continue undismissed for sixty (60) days or an order or decree approving or ordering any of the foregoing shall be entered;</w:t>
      </w:r>
    </w:p>
    <w:p>
      <w:pPr>
        <w:spacing w:after="0" w:line="86" w:lineRule="exact"/>
        <w:rPr>
          <w:rFonts w:ascii="Arial" w:cs="Arial" w:eastAsia="Arial" w:hAnsi="Arial"/>
          <w:sz w:val="18"/>
          <w:szCs w:val="18"/>
          <w:color w:val="auto"/>
        </w:rPr>
      </w:pPr>
    </w:p>
    <w:p>
      <w:pPr>
        <w:ind w:right="40" w:firstLine="885"/>
        <w:spacing w:after="0" w:line="284" w:lineRule="auto"/>
        <w:tabs>
          <w:tab w:leader="none" w:pos="1136" w:val="left"/>
        </w:tabs>
        <w:numPr>
          <w:ilvl w:val="1"/>
          <w:numId w:val="449"/>
        </w:numPr>
        <w:rPr>
          <w:rFonts w:ascii="Arial" w:cs="Arial" w:eastAsia="Arial" w:hAnsi="Arial"/>
          <w:sz w:val="16"/>
          <w:szCs w:val="16"/>
          <w:color w:val="auto"/>
        </w:rPr>
      </w:pPr>
      <w:r>
        <w:rPr>
          <w:rFonts w:ascii="Arial" w:cs="Arial" w:eastAsia="Arial" w:hAnsi="Arial"/>
          <w:sz w:val="16"/>
          <w:szCs w:val="16"/>
          <w:color w:val="auto"/>
        </w:rPr>
        <w:t xml:space="preserve">Any Credit Party or any of its Subsidiaries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(iii) apply for or consent to the appointment of a receiver, trustee, custodian, sequestrator, conservator or similar official for any Credit Party or any of its Subsidiaries or for a substantial part of the properties or assets of any Credit Party or any of its Subsidiaries; (iv) file an answer admitting the material allegations of a petition filed against it in any such proceeding; (v) make a general assignment for the benefit of creditors;</w:t>
      </w:r>
    </w:p>
    <w:p>
      <w:pPr>
        <w:spacing w:after="0" w:line="4"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(vi) become unable, admit in writing its inability or fail generally to pay its debts as they become due; (vii) take any action for the purpose of effecting any of the foregoing; or (viii) wind up or liquidate (except as otherwise expressly permitted hereunder); or</w:t>
      </w:r>
    </w:p>
    <w:p>
      <w:pPr>
        <w:spacing w:after="0" w:line="75" w:lineRule="exact"/>
        <w:rPr>
          <w:rFonts w:ascii="Arial" w:cs="Arial" w:eastAsia="Arial" w:hAnsi="Arial"/>
          <w:sz w:val="16"/>
          <w:szCs w:val="16"/>
          <w:color w:val="auto"/>
        </w:rPr>
      </w:pPr>
    </w:p>
    <w:p>
      <w:pPr>
        <w:ind w:right="40" w:firstLine="885"/>
        <w:spacing w:after="0" w:line="277" w:lineRule="auto"/>
        <w:tabs>
          <w:tab w:leader="none" w:pos="1126" w:val="left"/>
        </w:tabs>
        <w:numPr>
          <w:ilvl w:val="1"/>
          <w:numId w:val="449"/>
        </w:numPr>
        <w:rPr>
          <w:rFonts w:ascii="Arial" w:cs="Arial" w:eastAsia="Arial" w:hAnsi="Arial"/>
          <w:sz w:val="18"/>
          <w:szCs w:val="18"/>
          <w:color w:val="auto"/>
        </w:rPr>
      </w:pPr>
      <w:r>
        <w:rPr>
          <w:rFonts w:ascii="Arial" w:cs="Arial" w:eastAsia="Arial" w:hAnsi="Arial"/>
          <w:sz w:val="18"/>
          <w:szCs w:val="18"/>
          <w:color w:val="auto"/>
        </w:rPr>
        <w:t>Borrower otherwise fails to be Solvent, Borrower and its Subsidiaries that are Credit Parties, on a consolidated basis, otherwise fail to be Solvent, or Borrower and its Subsidiaries, on a consolidated basis, otherwise fail to be Solvent.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7.6. Other Agreements</w:t>
      </w:r>
      <w:r>
        <w:rPr>
          <w:rFonts w:ascii="Arial" w:cs="Arial" w:eastAsia="Arial" w:hAnsi="Arial"/>
          <w:sz w:val="17"/>
          <w:szCs w:val="17"/>
          <w:color w:val="auto"/>
        </w:rPr>
        <w:t>. There is, under any Contract to which a Credit Party or any of its Subsidiaries is a party with a third party or parties,</w:t>
      </w:r>
    </w:p>
    <w:p>
      <w:pPr>
        <w:spacing w:after="0" w:line="39" w:lineRule="exact"/>
        <w:rPr>
          <w:sz w:val="20"/>
          <w:szCs w:val="20"/>
          <w:color w:val="auto"/>
        </w:rPr>
      </w:pPr>
    </w:p>
    <w:p>
      <w:pPr>
        <w:jc w:val="both"/>
        <w:ind w:right="120" w:firstLine="4"/>
        <w:spacing w:after="0" w:line="295" w:lineRule="auto"/>
        <w:tabs>
          <w:tab w:leader="none" w:pos="24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any breach thereof or default thereunder resulting in a right by such third party or parties, whether or not exercised, to accelerate the maturity of any Indebtedness in an amount in excess of $ 500,000 individually, or in excess of $1,000,000 when aggregated with all other breaches and defaults by any of the Credit Parties or their respective Subsidiaries under Contracts with a third party or parties or (b) any default or breach by any Credit Party or any of its Subsidiaries, the effect of which, individually or together with any other such defaults or breaches, results in a Material Adverse Change.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3" w:right="439" w:bottom="1440" w:gutter="0" w:footer="0" w:header="0"/>
        </w:sectPr>
      </w:pPr>
    </w:p>
    <w:bookmarkStart w:id="463" w:name="page464"/>
    <w:bookmarkEnd w:id="463"/>
    <w:p>
      <w:pPr>
        <w:ind w:right="140" w:firstLine="441"/>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Judgments</w:t>
      </w:r>
      <w:r>
        <w:rPr>
          <w:rFonts w:ascii="Arial" w:cs="Arial" w:eastAsia="Arial" w:hAnsi="Arial"/>
          <w:sz w:val="16"/>
          <w:szCs w:val="16"/>
          <w:color w:val="auto"/>
        </w:rPr>
        <w:t>. One or more judgments, orders, or decrees for the payment of money in an amount in excess of $1,000,000 individually, or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$3,000,000 when aggregated with all other judgments, orders, or decrees for the payment of money (but excluding any judgments, orders, or decrees for the payment of money that are covered by independent third-party insurance as to which liability has been accepted by such insurance carrier), shall be rendered against any Credit Party or any of its Subsidiaries and shall remain unsatisfied, unvacated or unstayed for a period of twenty</w:t>
      </w:r>
    </w:p>
    <w:p>
      <w:pPr>
        <w:spacing w:after="0" w:line="3" w:lineRule="exact"/>
        <w:rPr>
          <w:sz w:val="20"/>
          <w:szCs w:val="20"/>
          <w:color w:val="auto"/>
        </w:rPr>
      </w:pPr>
    </w:p>
    <w:p>
      <w:pPr>
        <w:ind w:right="20" w:firstLine="4"/>
        <w:spacing w:after="0" w:line="261" w:lineRule="auto"/>
        <w:tabs>
          <w:tab w:leader="none" w:pos="34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days after the entry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Credit Extensions shall be made prior to the satisfaction, vacation or stay of such judgment, order or decree.</w:t>
      </w:r>
    </w:p>
    <w:p>
      <w:pPr>
        <w:spacing w:after="0" w:line="180"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b w:val="1"/>
          <w:bCs w:val="1"/>
          <w:color w:val="auto"/>
        </w:rPr>
        <w:t>7.8. Misrepresentations</w:t>
      </w:r>
      <w:r>
        <w:rPr>
          <w:rFonts w:ascii="Arial" w:cs="Arial" w:eastAsia="Arial" w:hAnsi="Arial"/>
          <w:sz w:val="18"/>
          <w:szCs w:val="18"/>
          <w:color w:val="auto"/>
        </w:rPr>
        <w:t>. Any Credit Party or any Person acting for any Credit Party makes or is deemed to make any representation, warranty,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statement now or later in this Agreement, any other Loan Document or in any writing delivered to Lender or to induce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7.9. Loan Documents; Collateral</w:t>
      </w:r>
      <w:r>
        <w:rPr>
          <w:rFonts w:ascii="Arial" w:cs="Arial" w:eastAsia="Arial" w:hAnsi="Arial"/>
          <w:sz w:val="18"/>
          <w:szCs w:val="18"/>
          <w:color w:val="auto"/>
        </w:rPr>
        <w:t>.</w:t>
      </w:r>
    </w:p>
    <w:p>
      <w:pPr>
        <w:spacing w:after="0" w:line="121" w:lineRule="exact"/>
        <w:rPr>
          <w:sz w:val="20"/>
          <w:szCs w:val="20"/>
          <w:color w:val="auto"/>
        </w:rPr>
      </w:pPr>
    </w:p>
    <w:p>
      <w:pPr>
        <w:ind w:right="260" w:firstLine="885"/>
        <w:spacing w:after="0" w:line="264" w:lineRule="auto"/>
        <w:tabs>
          <w:tab w:leader="none" w:pos="1126"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Any material provision of any Loan Document shall for any reason (other than solely due to action or inaction of Lender) cease to be valid and binding on or enforceable against any Credit Party (or any Subsidiary of a Credit Party party thereto) or any Credit Party (or any such Subsidiary) shall so state in writing or bring an action to limit its obligations or liabilities thereunder.</w:t>
      </w:r>
    </w:p>
    <w:p>
      <w:pPr>
        <w:spacing w:after="0" w:line="73" w:lineRule="exact"/>
        <w:rPr>
          <w:rFonts w:ascii="Arial" w:cs="Arial" w:eastAsia="Arial" w:hAnsi="Arial"/>
          <w:sz w:val="18"/>
          <w:szCs w:val="18"/>
          <w:color w:val="auto"/>
        </w:rPr>
      </w:pPr>
    </w:p>
    <w:p>
      <w:pPr>
        <w:ind w:firstLine="885"/>
        <w:spacing w:after="0" w:line="283" w:lineRule="auto"/>
        <w:tabs>
          <w:tab w:leader="none" w:pos="1136" w:val="left"/>
        </w:tabs>
        <w:numPr>
          <w:ilvl w:val="1"/>
          <w:numId w:val="452"/>
        </w:numPr>
        <w:rPr>
          <w:rFonts w:ascii="Arial" w:cs="Arial" w:eastAsia="Arial" w:hAnsi="Arial"/>
          <w:sz w:val="16"/>
          <w:szCs w:val="16"/>
          <w:color w:val="auto"/>
        </w:rPr>
      </w:pPr>
      <w:r>
        <w:rPr>
          <w:rFonts w:ascii="Arial" w:cs="Arial" w:eastAsia="Arial" w:hAnsi="Arial"/>
          <w:sz w:val="16"/>
          <w:szCs w:val="16"/>
          <w:color w:val="auto"/>
        </w:rPr>
        <w:t>One or more Collateral Documents governing Collateral with an aggregate value, individually with respect to any one such Collateral Document or together with any other Collateral governed by any other such Collateral Documents, in excess of $500,000 (which shall be reasonably determined by a Responsible Officer of Borrower in good faith and based upon reasonable assumptions) shall for any reason (other than pursuant to the terms thereof) cease to create a valid security interest in the Collateral purported to be covered thereby or such security interest shall for any reason cease to be a perfected and first priority security interest in the Collateral subject thereto subject only to Permitted Liens, except (i) to the extent that any such loss of perfection or priority results from the limitations of foreign laws, rules and regulations as they apply to pledges of Equity Interests in Foreign Subsidiaries or the application thereof, (ii) for the failure of Lender to maintain possession of certificates actually delivered to it representing securities pledged under the Security Agreement or to file Code financing statements (including continuation statements) or to take such other actions as Lender is required to take in order to perfect and maintain a perfected first priority security interest in the Collateral subject to Permitted Liens and</w:t>
      </w:r>
    </w:p>
    <w:p>
      <w:pPr>
        <w:spacing w:after="0" w:line="6" w:lineRule="exact"/>
        <w:rPr>
          <w:rFonts w:ascii="Arial" w:cs="Arial" w:eastAsia="Arial" w:hAnsi="Arial"/>
          <w:sz w:val="16"/>
          <w:szCs w:val="16"/>
          <w:color w:val="auto"/>
        </w:rPr>
      </w:pPr>
    </w:p>
    <w:p>
      <w:pPr>
        <w:ind w:left="320" w:hanging="316"/>
        <w:spacing w:after="0"/>
        <w:tabs>
          <w:tab w:leader="none" w:pos="3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to the extent that such loss is covered by a lender’s title insurance policy as to which liability has been accepted by the title insurer.</w:t>
      </w:r>
    </w:p>
    <w:p>
      <w:pPr>
        <w:spacing w:after="0" w:line="207"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b w:val="1"/>
          <w:bCs w:val="1"/>
          <w:color w:val="auto"/>
        </w:rPr>
        <w:t>7.10. Subordinated Debt</w:t>
      </w:r>
      <w:r>
        <w:rPr>
          <w:rFonts w:ascii="Arial" w:cs="Arial" w:eastAsia="Arial" w:hAnsi="Arial"/>
          <w:sz w:val="17"/>
          <w:szCs w:val="17"/>
          <w:color w:val="auto"/>
        </w:rPr>
        <w:t>. Any Contract providing for the subordination of any Subordinated Debt shall for any reason be revoked or invalidated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cease to be in full force and effect, any Credit Party or any creditor party thereto shall be in breach thereof, in default thereunder or contest in any manner the validity or enforceability thereof or deny that it has any further liability or obligation thereunder, or the Obligations shall for any reason be subordinated or shall not have the priority contemplated by this Agreement and the other Loan Documents.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7.11. Change in Control</w:t>
      </w:r>
      <w:r>
        <w:rPr>
          <w:rFonts w:ascii="Arial" w:cs="Arial" w:eastAsia="Arial" w:hAnsi="Arial"/>
          <w:sz w:val="18"/>
          <w:szCs w:val="18"/>
          <w:color w:val="auto"/>
        </w:rPr>
        <w:t>. A Change in Control occurs.</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7"/>
          <w:szCs w:val="17"/>
          <w:b w:val="1"/>
          <w:bCs w:val="1"/>
          <w:color w:val="auto"/>
        </w:rPr>
        <w:t>7.12. ERISA Event</w:t>
      </w:r>
      <w:r>
        <w:rPr>
          <w:rFonts w:ascii="Arial" w:cs="Arial" w:eastAsia="Arial" w:hAnsi="Arial"/>
          <w:sz w:val="17"/>
          <w:szCs w:val="17"/>
          <w:color w:val="auto"/>
        </w:rPr>
        <w:t>. An ERISA Event occurs that, individually or together with any other ERISA Events, results or could reasonably be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result in a Material Adverse Change or a material liability of Borrower or any of its Subsidiaries or any of their respective ERISA Affiliates or the imposition of a Lien on a material portion of the properties and assets of Borrower and its Subsidiaries, taken as a whole.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69" w:right="479" w:bottom="1440" w:gutter="0" w:footer="0" w:header="0"/>
        </w:sectPr>
      </w:pPr>
    </w:p>
    <w:bookmarkStart w:id="464" w:name="page465"/>
    <w:bookmarkEnd w:id="464"/>
    <w:p>
      <w:pPr>
        <w:ind w:left="620" w:hanging="176"/>
        <w:spacing w:after="0"/>
        <w:tabs>
          <w:tab w:leader="none" w:pos="62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AND REMEDIES UPON AN EVENT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8.1. Rights and Remedies</w:t>
      </w:r>
      <w:r>
        <w:rPr>
          <w:rFonts w:ascii="Arial" w:cs="Arial" w:eastAsia="Arial" w:hAnsi="Arial"/>
          <w:sz w:val="16"/>
          <w:szCs w:val="16"/>
          <w:color w:val="auto"/>
        </w:rPr>
        <w:t>. Subject to Section 6.17(c) solely with respect to a violation of the Specified Financial Covenants, while an Event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Default occurs and continues, Lender may, without notice or demand:</w:t>
      </w:r>
    </w:p>
    <w:p>
      <w:pPr>
        <w:spacing w:after="0" w:line="103" w:lineRule="exact"/>
        <w:rPr>
          <w:sz w:val="20"/>
          <w:szCs w:val="20"/>
          <w:color w:val="auto"/>
        </w:rPr>
      </w:pPr>
    </w:p>
    <w:p>
      <w:pPr>
        <w:ind w:firstLine="885"/>
        <w:spacing w:after="0" w:line="297" w:lineRule="auto"/>
        <w:tabs>
          <w:tab w:leader="none" w:pos="1126"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declare all Obligations (including, for the avoidance of doubt, any applicable Makewhole Amount or Prepayment Premium) immediately due and payable (but if an Event of Default described in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occurs all Obligations, including any applicable Makewhole Amount or Prepayment Premium, are automatically and immediately due and payable without any action by Lender), whereupon all Obligations for principal, interest, premium or otherwise (including, for the avoidance of doubt, any applicable Makewhole Amount or Prepayment Premium) shall become due and payable by Borrower without presentment, demand, protest or other notice of any kind, which are all expressly waived by the Credit Parties hereby;</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w:t>
      </w:r>
    </w:p>
    <w:p>
      <w:pPr>
        <w:spacing w:after="0" w:line="117" w:lineRule="exact"/>
        <w:rPr>
          <w:rFonts w:ascii="Arial" w:cs="Arial" w:eastAsia="Arial" w:hAnsi="Arial"/>
          <w:sz w:val="18"/>
          <w:szCs w:val="18"/>
          <w:color w:val="auto"/>
        </w:rPr>
      </w:pPr>
    </w:p>
    <w:p>
      <w:pPr>
        <w:ind w:right="740" w:firstLine="885"/>
        <w:spacing w:after="0" w:line="342" w:lineRule="auto"/>
        <w:tabs>
          <w:tab w:leader="none" w:pos="1126" w:val="left"/>
        </w:tabs>
        <w:numPr>
          <w:ilvl w:val="0"/>
          <w:numId w:val="455"/>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Lender considers advisable, notify any Person owing Borrower money of Lender’s security interest in such funds, and verify the amount of such account;</w:t>
      </w:r>
    </w:p>
    <w:p>
      <w:pPr>
        <w:spacing w:after="0" w:line="15" w:lineRule="exact"/>
        <w:rPr>
          <w:rFonts w:ascii="Arial" w:cs="Arial" w:eastAsia="Arial" w:hAnsi="Arial"/>
          <w:sz w:val="16"/>
          <w:szCs w:val="16"/>
          <w:color w:val="auto"/>
        </w:rPr>
      </w:pPr>
    </w:p>
    <w:p>
      <w:pPr>
        <w:ind w:right="20" w:firstLine="885"/>
        <w:spacing w:after="0" w:line="257" w:lineRule="auto"/>
        <w:tabs>
          <w:tab w:leader="none" w:pos="113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or its security interest in the Collateral. Borrower shall assemble the Collateral if Lender requests and make it available as Lender designates. Lender may enter premises where the Collateral is located, take and maintain possession of any part of the Collateral, and pay, purchase, contest, or compromise any Lien which appears to be prior or superior to its security interest and pay all expenses incurred. Borrower grants Lender a license to enter and occupy any of its premises, without charge, to exercise any of Lender’s rights or remedies;</w:t>
      </w:r>
    </w:p>
    <w:p>
      <w:pPr>
        <w:spacing w:after="0" w:line="80" w:lineRule="exact"/>
        <w:rPr>
          <w:rFonts w:ascii="Arial" w:cs="Arial" w:eastAsia="Arial" w:hAnsi="Arial"/>
          <w:sz w:val="18"/>
          <w:szCs w:val="18"/>
          <w:color w:val="auto"/>
        </w:rPr>
      </w:pPr>
    </w:p>
    <w:p>
      <w:pPr>
        <w:ind w:right="120" w:firstLine="885"/>
        <w:spacing w:after="0" w:line="277" w:lineRule="auto"/>
        <w:tabs>
          <w:tab w:leader="none" w:pos="112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Lender owing to or for the credit or the account of Borrower;</w:t>
      </w:r>
    </w:p>
    <w:p>
      <w:pPr>
        <w:spacing w:after="0" w:line="62" w:lineRule="exact"/>
        <w:rPr>
          <w:rFonts w:ascii="Arial" w:cs="Arial" w:eastAsia="Arial" w:hAnsi="Arial"/>
          <w:sz w:val="18"/>
          <w:szCs w:val="18"/>
          <w:color w:val="auto"/>
        </w:rPr>
      </w:pPr>
    </w:p>
    <w:p>
      <w:pPr>
        <w:ind w:firstLine="885"/>
        <w:spacing w:after="0" w:line="271" w:lineRule="auto"/>
        <w:tabs>
          <w:tab w:leader="none" w:pos="110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ship, reclaim, recover, store, finish, maintain, repair, prepare for sale, advertise for sale, and sell the Collateral. With respect to any and all Intellectual Property owned by any Credit Party and, to the extent such Credit Party is permitted to do so, with respect to any and all Intellectual Property licensed by a third party to any Credit Party, each Credit Party hereby grants to Lender, as of the Tranche A Closing Date, a non-exclusive, royalty-free license or other right to use, without charge, such Credit Party’s labels, Patents, Copyrights, mask works, rights of use of any name, trade secrets, trade names, Trademarks (other than any “intent-to-use” Trademarks until the earlier of the filing of a statement of use with respect thereto or the issuance of a registration therefor) and advertising matter, or any similar properties or assets as it pertains to the Collateral, in completing production of, advertising for sale, and selling any Collateral and, in connection with Lender’s exercise of its rights under this </w:t>
      </w:r>
      <w:r>
        <w:rPr>
          <w:rFonts w:ascii="Arial" w:cs="Arial" w:eastAsia="Arial" w:hAnsi="Arial"/>
          <w:sz w:val="17"/>
          <w:szCs w:val="17"/>
          <w:u w:val="single" w:color="auto"/>
          <w:color w:val="auto"/>
        </w:rPr>
        <w:t>Section 8.1</w:t>
      </w:r>
      <w:r>
        <w:rPr>
          <w:rFonts w:ascii="Arial" w:cs="Arial" w:eastAsia="Arial" w:hAnsi="Arial"/>
          <w:sz w:val="17"/>
          <w:szCs w:val="17"/>
          <w:color w:val="auto"/>
        </w:rPr>
        <w:t>, such Credit Party’s rights under all licenses and all franchise Contracts inure to Lender’s benefit;</w:t>
      </w:r>
    </w:p>
    <w:p>
      <w:pPr>
        <w:spacing w:after="0" w:line="70" w:lineRule="exact"/>
        <w:rPr>
          <w:rFonts w:ascii="Arial" w:cs="Arial" w:eastAsia="Arial" w:hAnsi="Arial"/>
          <w:sz w:val="17"/>
          <w:szCs w:val="17"/>
          <w:color w:val="auto"/>
        </w:rPr>
      </w:pPr>
    </w:p>
    <w:p>
      <w:pPr>
        <w:ind w:right="80" w:firstLine="885"/>
        <w:spacing w:after="0" w:line="277" w:lineRule="auto"/>
        <w:tabs>
          <w:tab w:leader="none" w:pos="113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place a “hold” on any account maintained with Lender or deliver a notice of exclusive control, any entitlement order, or other directions or instructions pursuant to any Control Agreement or similar Contracts providing control of any Collateral;</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260" w:firstLine="885"/>
        <w:spacing w:after="0" w:line="277" w:lineRule="auto"/>
        <w:tabs>
          <w:tab w:leader="none" w:pos="109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 under the Collateral Documents or any other Loan Documents or at law or equity, including all remedies provided under the Code (including disposal of the Collateral pursuant to the terms thereof).</w:t>
      </w:r>
    </w:p>
    <w:p>
      <w:pPr>
        <w:spacing w:after="0" w:line="17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Lender agrees that, in connection with any foreclosure or other exercise of rights under this Agreement or any other Loan Document with respect to the Intellectual Property, the rights of the licensees under the Permitted Licenses will not be terminated, limited or otherwise adversely affected so long as no default exists under the Permitted License in a way that would permit the licensor to terminate such Permitted License (commonly termed a non-disturbance).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465" w:name="page466"/>
    <w:bookmarkEnd w:id="465"/>
    <w:p>
      <w:pPr>
        <w:ind w:firstLine="44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 Power of Attorney</w:t>
      </w:r>
      <w:r>
        <w:rPr>
          <w:rFonts w:ascii="Arial" w:cs="Arial" w:eastAsia="Arial" w:hAnsi="Arial"/>
          <w:sz w:val="17"/>
          <w:szCs w:val="17"/>
          <w:color w:val="auto"/>
        </w:rPr>
        <w:t>. Borrower hereby irrevocably appoints Lender as its lawful attorney-in-fact, exercisable only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Lender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Lender or a third party as the Code permits. Borrower hereby appoints Lender as its lawful attorney-in-fact to file or record any documents necessary to perfect or continue the perfection of Lender’s security interest in the Collateral regardless of whether an Event of Default has occurred until all Obligations (other than inchoate indemnity obligations) have been satisfied in full and Lender is not under any further obligation to make any Credit Extensions hereunder. Lender’s foregoing appointment as Borrower’s attorney in fact, and all of Lender’s rights and powers, coupled with an interest, are irrevocable until all Obligations (other than inchoate indemnity obligations) have been fully repaid and performed and Lender’s obligation to provide any Credit Extensions hereunder terminates.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w:t>
      </w: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8.4. Application of Payments and Proceeds upon Default</w:t>
      </w:r>
      <w:r>
        <w:rPr>
          <w:rFonts w:ascii="Arial" w:cs="Arial" w:eastAsia="Arial" w:hAnsi="Arial"/>
          <w:sz w:val="18"/>
          <w:szCs w:val="18"/>
          <w:color w:val="auto"/>
        </w:rPr>
        <w:t>. If an Event of Default has occurred and is continuing, Lender may apply any funds in</w:t>
      </w:r>
      <w:r>
        <w:rPr>
          <w:rFonts w:ascii="Arial" w:cs="Arial" w:eastAsia="Arial" w:hAnsi="Arial"/>
          <w:sz w:val="18"/>
          <w:szCs w:val="18"/>
          <w:b w:val="1"/>
          <w:bCs w:val="1"/>
          <w:color w:val="auto"/>
        </w:rPr>
        <w:t xml:space="preserve"> </w:t>
      </w:r>
      <w:r>
        <w:rPr>
          <w:rFonts w:ascii="Arial" w:cs="Arial" w:eastAsia="Arial" w:hAnsi="Arial"/>
          <w:sz w:val="18"/>
          <w:szCs w:val="18"/>
          <w:color w:val="auto"/>
        </w:rPr>
        <w:t>its possession, whether from Borrower account balances, payments, proceeds realized as the result of any collection of Accounts or other disposition of the Collateral, or otherwise, to the Obligations in such order as Lender shall determine in its sole discretion. After any such application, any surplus shall be paid to Borrower or other Persons legally entitled thereto; Borrower shall remain liable to Lender for any deficiency. If Lender directly or indirectly enters into a deferred payment or other credit transaction with any purchaser at any sale of Collateral, Lender shall have the option, exercisable at any time, of either reducing the Obligations by the principal amount of the purchase price or deferring the reduction of the Obligations until the actual receipt by Lender of cash therefor.</w:t>
      </w:r>
    </w:p>
    <w:p>
      <w:pPr>
        <w:spacing w:after="0" w:line="189" w:lineRule="exact"/>
        <w:rPr>
          <w:sz w:val="20"/>
          <w:szCs w:val="20"/>
          <w:color w:val="auto"/>
        </w:rPr>
      </w:pPr>
    </w:p>
    <w:p>
      <w:pPr>
        <w:ind w:right="160" w:firstLine="441"/>
        <w:spacing w:after="0" w:line="303" w:lineRule="auto"/>
        <w:rPr>
          <w:sz w:val="20"/>
          <w:szCs w:val="20"/>
          <w:color w:val="auto"/>
        </w:rPr>
      </w:pPr>
      <w:r>
        <w:rPr>
          <w:rFonts w:ascii="Arial" w:cs="Arial" w:eastAsia="Arial" w:hAnsi="Arial"/>
          <w:sz w:val="16"/>
          <w:szCs w:val="16"/>
          <w:b w:val="1"/>
          <w:bCs w:val="1"/>
          <w:color w:val="auto"/>
        </w:rPr>
        <w:t>8.5. Lender’s Liability for Collateral</w:t>
      </w:r>
      <w:r>
        <w:rPr>
          <w:rFonts w:ascii="Arial" w:cs="Arial" w:eastAsia="Arial" w:hAnsi="Arial"/>
          <w:sz w:val="16"/>
          <w:szCs w:val="16"/>
          <w:color w:val="auto"/>
        </w:rPr>
        <w:t>. So long as Lender complies with Requirements of Law regarding the safekeeping of the Collateral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under the control of Lender, Lender shall not be liable or responsible for: (a) the safekeeping of the Collateral; (b) any loss or damage to the Collateral; or (c) any act or default of any carrier, landlord, warehouseman, bailee, or other Person. In no event shall Lender have any liability for any diminution in the value of the Collateral for any reason. Borrower bears all risk of loss, damage or destruction of the Collateral.</w:t>
      </w:r>
    </w:p>
    <w:p>
      <w:pPr>
        <w:spacing w:after="0" w:line="151" w:lineRule="exact"/>
        <w:rPr>
          <w:sz w:val="20"/>
          <w:szCs w:val="20"/>
          <w:color w:val="auto"/>
        </w:rPr>
      </w:pPr>
    </w:p>
    <w:p>
      <w:pPr>
        <w:ind w:right="40" w:firstLine="441"/>
        <w:spacing w:after="0" w:line="292" w:lineRule="auto"/>
        <w:rPr>
          <w:sz w:val="20"/>
          <w:szCs w:val="20"/>
          <w:color w:val="auto"/>
        </w:rPr>
      </w:pPr>
      <w:r>
        <w:rPr>
          <w:rFonts w:ascii="Arial" w:cs="Arial" w:eastAsia="Arial" w:hAnsi="Arial"/>
          <w:sz w:val="16"/>
          <w:szCs w:val="16"/>
          <w:b w:val="1"/>
          <w:bCs w:val="1"/>
          <w:color w:val="auto"/>
        </w:rPr>
        <w:t>8.6. No Waiver; Remedies Cumulative</w:t>
      </w:r>
      <w:r>
        <w:rPr>
          <w:rFonts w:ascii="Arial" w:cs="Arial" w:eastAsia="Arial" w:hAnsi="Arial"/>
          <w:sz w:val="16"/>
          <w:szCs w:val="16"/>
          <w:color w:val="auto"/>
        </w:rPr>
        <w:t>. 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 has all rights and remedies provided under the Code, by law, or in equity. Lender’s exercise of one right or remedy is not an election and shall not preclude Lender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162"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b w:val="1"/>
          <w:bCs w:val="1"/>
          <w:color w:val="auto"/>
        </w:rPr>
        <w:t>8.7. Demand Waiver; Makewhole Amount; Prepayment Premium</w:t>
      </w:r>
      <w:r>
        <w:rPr>
          <w:rFonts w:ascii="Arial" w:cs="Arial" w:eastAsia="Arial" w:hAnsi="Arial"/>
          <w:sz w:val="17"/>
          <w:szCs w:val="17"/>
          <w:color w:val="auto"/>
        </w:rPr>
        <w:t>. Borrower waives demand, notice of default or dishonor, notice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nonpayment, notice of any default, nonpayment at maturity, release, compromise, settlement, extension, or renewal of accounts, documents, instruments, chattel paper, and guarantees held by Lender on which Borrower is liable. Borrower acknowledges and agrees that if the maturity of all Obligations shall be accelerated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by reason of the occurrence of an Event of Default, any applicable Makewhole Amount or Prepayment Premium, shall become due and payable by Borrower upon such acceleration, whether such acceleration is automatic or is effected by Lender’s declaration thereof, as provided in </w:t>
      </w:r>
      <w:r>
        <w:rPr>
          <w:rFonts w:ascii="Arial" w:cs="Arial" w:eastAsia="Arial" w:hAnsi="Arial"/>
          <w:sz w:val="17"/>
          <w:szCs w:val="17"/>
          <w:u w:val="single" w:color="auto"/>
          <w:color w:val="auto"/>
        </w:rPr>
        <w:t>Section 8.1(a)</w:t>
      </w:r>
      <w:r>
        <w:rPr>
          <w:rFonts w:ascii="Arial" w:cs="Arial" w:eastAsia="Arial" w:hAnsi="Arial"/>
          <w:sz w:val="17"/>
          <w:szCs w:val="17"/>
          <w:color w:val="auto"/>
        </w:rPr>
        <w:t>, and Borrower shall pay any applicable Makewhole Amount or Prepayment Premium as compensation to Lender for the loss of its investment opportunity and not as a penalty, and Borrower waives any right to object thereto in any voluntary or involuntary bankruptcy, insolvency or similar proceeding or otherwise.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0" w:right="439" w:bottom="1440" w:gutter="0" w:footer="0" w:header="0"/>
        </w:sectPr>
      </w:pPr>
    </w:p>
    <w:bookmarkStart w:id="466" w:name="page467"/>
    <w:bookmarkEnd w:id="466"/>
    <w:p>
      <w:pPr>
        <w:ind w:left="620" w:hanging="176"/>
        <w:spacing w:after="0"/>
        <w:tabs>
          <w:tab w:leader="none" w:pos="62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All statements, certificates, notices, reports,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w:t>
      </w:r>
    </w:p>
    <w:p>
      <w:pPr>
        <w:ind w:firstLine="4"/>
        <w:spacing w:after="0" w:line="273" w:lineRule="auto"/>
        <w:tabs>
          <w:tab w:leader="none" w:pos="255"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below. Lender or any Credit Party may change its mailing or electronic mail address or facsimile number by giving all other parties hereto written notice thereof in accordance with the terms of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ectPr>
          <w:pgSz w:w="11900" w:h="16838" w:orient="portrait"/>
          <w:cols w:equalWidth="0" w:num="1">
            <w:col w:w="10980"/>
          </w:cols>
          <w:pgMar w:left="440" w:top="270" w:right="479" w:bottom="1440" w:gutter="0" w:footer="0" w:header="0"/>
        </w:sectPr>
      </w:pP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Borrower or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other Credit Party: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Jeffrey Dunn, President and Chief Executive Officer</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Laura Francis,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(408) 207-0700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408.557.8312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JDunn@si-bone.com; lfrancis@si-bone.com</w:t>
      </w:r>
    </w:p>
    <w:p>
      <w:pPr>
        <w:spacing w:after="0" w:line="103"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with a copy to (which shall not constitute notice) to:</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101 California Street, 5</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San Francisco, CA 94111-5800</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Gian-Michele a Marca</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Telephone: +1 (415) 693-2148</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Facsimile: +1 (415) 693-2222</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Email: gmamarca@cooley.com</w:t>
      </w:r>
    </w:p>
    <w:p>
      <w:pPr>
        <w:sectPr>
          <w:pgSz w:w="11900" w:h="16838" w:orient="portrait"/>
          <w:cols w:equalWidth="0" w:num="1">
            <w:col w:w="10980"/>
          </w:cols>
          <w:pgMar w:left="440" w:top="270" w:right="479" w:bottom="1440" w:gutter="0" w:footer="0" w:header="0"/>
          <w:type w:val="continuous"/>
        </w:sectPr>
      </w:pP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to Lender: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BioPharma Credit Investments IV Sub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George Town, Grand Cayman KY1-9008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Pedro Gonzalez de Cosio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(212) 883-2296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 (917) 210-4048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pg@PharmakonAdvisors.com</w:t>
      </w:r>
    </w:p>
    <w:p>
      <w:pPr>
        <w:spacing w:after="0" w:line="103"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Pharmakon Advisors LP</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110 East 59</w:t>
      </w:r>
      <w:r>
        <w:rPr>
          <w:rFonts w:ascii="Arial" w:cs="Arial" w:eastAsia="Arial" w:hAnsi="Arial"/>
          <w:sz w:val="15"/>
          <w:szCs w:val="15"/>
          <w:color w:val="auto"/>
        </w:rPr>
        <w:t>th</w:t>
      </w:r>
      <w:r>
        <w:rPr>
          <w:rFonts w:ascii="Arial" w:cs="Arial" w:eastAsia="Arial" w:hAnsi="Arial"/>
          <w:sz w:val="18"/>
          <w:szCs w:val="18"/>
          <w:color w:val="auto"/>
        </w:rPr>
        <w:t xml:space="preserve"> Street, #3300</w:t>
      </w:r>
    </w:p>
    <w:p>
      <w:pPr>
        <w:spacing w:after="0" w:line="1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Pedro Gonzalez de Cosio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Phone: +1 (212) 883-2296</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Fax: +1 (917) 210-4048</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Email: pg@PharmakonAdvisors.com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type w:val="continuous"/>
        </w:sectPr>
      </w:pPr>
    </w:p>
    <w:bookmarkStart w:id="467" w:name="page468"/>
    <w:bookmarkEnd w:id="467"/>
    <w:p>
      <w:pPr>
        <w:ind w:left="3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Geoffrey E. Secol</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Phone: (212) 872-8081</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Email: gsecol@akingump.com</w:t>
      </w:r>
    </w:p>
    <w:p>
      <w:pPr>
        <w:spacing w:after="0" w:line="207" w:lineRule="exact"/>
        <w:rPr>
          <w:sz w:val="20"/>
          <w:szCs w:val="20"/>
          <w:color w:val="auto"/>
        </w:rPr>
      </w:pPr>
    </w:p>
    <w:p>
      <w:pPr>
        <w:ind w:left="720" w:hanging="276"/>
        <w:spacing w:after="0"/>
        <w:tabs>
          <w:tab w:leader="none" w:pos="72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THIS AGREEMENT AND THE OTHER LOAN DOCUMENTS SHALL EACH BE GOVERNED BY, AND CONSTRUED AND INTERPRETED IN ACCORDANCE WITH THE LAWS OF THE STATE OF NEW YORK, WITHOUT REGARD TO ANY PRINCIPLES OF CONFLICTS OF LAW THAT COULD REQUIRE THE APPLICATION OF THE LAW OF ANY OTHER JURISDICTION. Each of the Credit Parties and Lender submit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Agreement shall be deemed to operate to preclude Lender from bringing suit or taking other legal action in any other jurisdiction to realize on the Collateral or any other security for the Obligations, or to enforce a judgment or other court order in favor of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Credit Party at the address set forth in (or otherwise provided in accordance with the terms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and that service so made shall be deemed completed upon the earlier to occur of such Credit Party’s actual receipt thereof or three (3) Business Days after deposit in the U.S. mails, proper postage prepaid.</w:t>
      </w:r>
    </w:p>
    <w:p>
      <w:pPr>
        <w:spacing w:after="0" w:line="17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b w:val="1"/>
          <w:bCs w:val="1"/>
          <w:color w:val="auto"/>
        </w:rPr>
        <w:t>TO THE FULLEST EXTENT PERMITTED BY APPLICABLE LAW, EACH OF THE CREDIT PARTIES AND LENDER WAIVE ITS RIGHT TO A JURY TRIAL OF ANY CLAIM OR CAUSE OF ACTION ARISING OUT OF OR BASED UPON THIS AGREEMENT, THE OTHER LOAN DOCUMENTS OR ANY TRANSACTION CONTEMPLATED HEREBY OR THEREBY, INCLUDING CONTRACT, TORT, BREACH OF DUTY AND ALL OTHER CLAIMS. EACH OF THE CREDIT PARTIES AND LENDER (A) CERTIFIES THAT NO OTHER PARTY HERETO (AND NO AFFILIATE OF ANY OTHER PARTY AND NO DIRECTOR, OFFICER, EMPLOYEE, AGENT, TRUSTEE, REPRESENTATIVE, ATTORNEY, ACCOUNTANT, ADVISOR OR CONSULTANT OF ANY OTHER PARTY OR AFFILIATE) HAS REPRESENTED, EXPRESSLY OR OTHERWISE, THAT SUCH OTHER PARTY WOULD NOT, IN THE EVENT OF LITIGATION, SEEK TO ENFORCE THE FOREGOING WAIVER, (B) ACKNOWLEDGES THAT THE FOREGOING MUTUAL WAIVERS AND CERTIFICATIONS ARE A MATERIAL INDUCEMENT FOR IT AND THE OTHER PARTIES HERETO TO ENTER INTO THIS AGREEMENT AND (C) HAS REVIEWED THIS WAIVER WITH ITS COUNSEL.</w:t>
      </w:r>
    </w:p>
    <w:p>
      <w:pPr>
        <w:spacing w:after="0" w:line="186" w:lineRule="exact"/>
        <w:rPr>
          <w:sz w:val="20"/>
          <w:szCs w:val="20"/>
          <w:color w:val="auto"/>
        </w:rPr>
      </w:pPr>
    </w:p>
    <w:p>
      <w:pPr>
        <w:ind w:left="700" w:hanging="256"/>
        <w:spacing w:after="0"/>
        <w:tabs>
          <w:tab w:leader="none" w:pos="70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60" w:firstLine="441"/>
        <w:spacing w:after="0" w:line="295" w:lineRule="auto"/>
        <w:rPr>
          <w:sz w:val="20"/>
          <w:szCs w:val="20"/>
          <w:color w:val="auto"/>
        </w:rPr>
      </w:pPr>
      <w:r>
        <w:rPr>
          <w:rFonts w:ascii="Arial" w:cs="Arial" w:eastAsia="Arial" w:hAnsi="Arial"/>
          <w:sz w:val="16"/>
          <w:szCs w:val="16"/>
          <w:b w:val="1"/>
          <w:bCs w:val="1"/>
          <w:color w:val="auto"/>
        </w:rPr>
        <w:t>11.1. Successors and Assigns</w:t>
      </w:r>
      <w:r>
        <w:rPr>
          <w:rFonts w:ascii="Arial" w:cs="Arial" w:eastAsia="Arial" w:hAnsi="Arial"/>
          <w:sz w:val="16"/>
          <w:szCs w:val="16"/>
          <w:color w:val="auto"/>
        </w:rPr>
        <w:t>. This Agreement binds and is for the benefit of the parties hereto and their respective successors and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No Credit Party may sell, transfer, assign or pledge this Agreement or any other Loan Document or any of its rights or obligations hereunder or thereunder without Lender’s prior written consent. Lender may sell, transfer, assign or pledge this Agreement or any other Loan Document or any of its rights or obligations hereunder or thereunder to any third party (other than any Vulture Fund or Competitor) without Borrower’s consent, including to grant or sell a participation in all or any part of, or any interest in, Lender’s obligations, rights or benefits under this Agreement and the other Loan Documents (any such sale, transfer, assignment, pledge or grant or sale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Lender shall record such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381" w:right="459" w:bottom="1440" w:gutter="0" w:footer="0" w:header="0"/>
        </w:sectPr>
      </w:pPr>
    </w:p>
    <w:bookmarkStart w:id="468" w:name="page469"/>
    <w:bookmarkEnd w:id="468"/>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Transfer in the “book entry system” maintained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Any attempted sale, transfer, assignment or pledge of this Agreement or any other Loan Document or any rights or obligations hereunder or thereunder in violation of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 Indemnification; Costs and Expenses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86" w:lineRule="auto"/>
        <w:tabs>
          <w:tab w:leader="none" w:pos="1126" w:val="left"/>
        </w:tabs>
        <w:numPr>
          <w:ilvl w:val="0"/>
          <w:numId w:val="460"/>
        </w:numPr>
        <w:rPr>
          <w:rFonts w:ascii="Arial" w:cs="Arial" w:eastAsia="Arial" w:hAnsi="Arial"/>
          <w:sz w:val="16"/>
          <w:szCs w:val="16"/>
          <w:color w:val="auto"/>
        </w:rPr>
      </w:pPr>
      <w:r>
        <w:rPr>
          <w:rFonts w:ascii="Arial" w:cs="Arial" w:eastAsia="Arial" w:hAnsi="Arial"/>
          <w:sz w:val="16"/>
          <w:szCs w:val="16"/>
          <w:color w:val="auto"/>
        </w:rPr>
        <w:t>Borrower agrees to indemnify and hold harmless each of Lender and its Affiliates (and its or their successors and assigns) and each of its and their respective managers, members, equityholders, partners, controlling Persons, directors, officers, employees, agents or sub-agents, advisors and affiliates (each such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from and against any and all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Borrower shall not have any obligation to any Indemnified Person hereunder with respect to any Indemnified Liabilities to the extent such Indemnified Liabilities arise from the bad faith, gross negligence or willful misconduct of such Indemnified Person (or its Affiliates or controlling Persons or its or their respective directors, officers, managers, partners, members, equityholders, agents, sub-agents or advisors), in each case, as determined by a final, non-appealable judgment of a court of competent jurisdiction, (ii) Borrower shall not have any obligation to any Indemnified Person hereunder with respect to any Indemnified Liabilities to the extent such Indemnified Liabilities arise from a material breach of any obligation of Lender hereunder, and (iii) Borrower shall not have any obligation to any Indemnified Person hereunder with respect to any Indemnified Liabilities to the extent such Indemnified Liabilities arise from any claim by one Indemnified Person against another Indemnified Person that does not relate to any act or omission of any Credit Party or any of its Subsidiaries, and (iv) Borrower shall not be liable for any settlement of any claim or proceeding effected by any Indemnified Person without the prior written consent of such Credit Party (which consent shall not be unreasonably conditioned, withheld or delayed), but if settled with such consent or if there shall be a final judgment against an Indemnified Person, Borrower shall indemnify and hold harmless such Indemnified Person from and against any loss or liability by reason of such settlement or judgment in the manner set forth in this Agreement.</w:t>
      </w:r>
    </w:p>
    <w:p>
      <w:pPr>
        <w:spacing w:after="0" w:line="63" w:lineRule="exact"/>
        <w:rPr>
          <w:rFonts w:ascii="Arial" w:cs="Arial" w:eastAsia="Arial" w:hAnsi="Arial"/>
          <w:sz w:val="16"/>
          <w:szCs w:val="16"/>
          <w:color w:val="auto"/>
        </w:rPr>
      </w:pPr>
    </w:p>
    <w:p>
      <w:pPr>
        <w:ind w:right="80" w:firstLine="885"/>
        <w:spacing w:after="0" w:line="290" w:lineRule="auto"/>
        <w:tabs>
          <w:tab w:leader="none" w:pos="1136"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To the extent permitted by Requirements of Law, no Credit Party shall assert, and each Credit Party hereby waives, any claim against Lender and its Affiliates (and its or their successors and assigns), and each manager, member, equityholder,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Loan Document or any Contract contemplated hereby or thereby or referred to herein or therein, the transactions contemplated hereby or thereby, any Term Loan or the use of the proceeds thereof or any act or omission or event occurring in connection therewith, and each Credit Party hereby waives, releases and agrees not to sue upon any such claim or any such damages, whether or not accrued and whether or not known or suspected to exist in its favor.</w:t>
      </w:r>
    </w:p>
    <w:p>
      <w:pPr>
        <w:spacing w:after="0" w:line="58" w:lineRule="exact"/>
        <w:rPr>
          <w:rFonts w:ascii="Arial" w:cs="Arial" w:eastAsia="Arial" w:hAnsi="Arial"/>
          <w:sz w:val="16"/>
          <w:szCs w:val="16"/>
          <w:color w:val="auto"/>
        </w:rPr>
      </w:pPr>
    </w:p>
    <w:p>
      <w:pPr>
        <w:ind w:firstLine="885"/>
        <w:spacing w:after="0" w:line="268" w:lineRule="auto"/>
        <w:tabs>
          <w:tab w:leader="none" w:pos="112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Any action taken by any Credit Party or any of its Subsidiaries under or with respect to any Loan Document, even if required under any Loan Document or at the request of Lender, shall be at the expense of such Credit Party or Subsidiary, and no Secured Party shall be required under any Loan Document to reimburse any Credit Party or any Subsidiary of any Credit Party therefor except as expressly provided therein. In addition, Borrower agrees to pay or reimburse upon demand (i) Lender (and its successors and assigns) for all reasonable out-of-pocket costs and expenses incurred by it or any of its Affiliates or any of its or their respective directors, officers, employees, agents and sub-agents, in connection with the investigation, development, preparation, negotiation, syndication, execution, interpretation or administration of, any modification of any term of or termination of, any Loan Document, any commitment or proposal letter therefor, any other document prepared in connection therewith or the consummation and administration of any transaction contemplated therein, (ii) Lender (and its successors and assigns) for all reasonable costs and expenses incurred by it or any of its Affiliates or any of its or their respective directors, officers, employees, agents and sub-agents in connection with internal audit reviews and Collateral audits and (iii) Lender (and its successors and assigns) and any of its Affiliates or any of its or their respective directors, officers, employees, agents and sub-agents for all costs and expenses incurred in connection with (A) any refinancing or restructuring of the credit arrangements provided hereunder in the nature of a “work-out,”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bankruptcy or insolvency proceeding) related to any Credit Party, any Subsidiary of any Credit Party, Loan Document or Obligation (or the response to and preparation for any subpoena or request for document production relating thereto), including Lender Expenses.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3" w:right="439" w:bottom="1440" w:gutter="0" w:footer="0" w:header="0"/>
        </w:sectPr>
      </w:pPr>
    </w:p>
    <w:bookmarkStart w:id="469" w:name="page470"/>
    <w:bookmarkEnd w:id="469"/>
    <w:p>
      <w:pPr>
        <w:ind w:right="20" w:firstLine="44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 Severability of Provisions</w:t>
      </w:r>
      <w:r>
        <w:rPr>
          <w:rFonts w:ascii="Arial" w:cs="Arial" w:eastAsia="Arial" w:hAnsi="Arial"/>
          <w:sz w:val="18"/>
          <w:szCs w:val="18"/>
          <w:color w:val="auto"/>
        </w:rPr>
        <w:t>. In case any provision in or obligation hereunder or under any other Loan Document shall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jurisdiction, the validity, legality and enforceability of the remaining provisions or obligations, or of such provision or obligation in any other jurisdiction, shall not in any way be affected or impaired thereby.</w:t>
      </w:r>
    </w:p>
    <w:p>
      <w:pPr>
        <w:spacing w:after="0" w:line="176" w:lineRule="exact"/>
        <w:rPr>
          <w:sz w:val="20"/>
          <w:szCs w:val="20"/>
          <w:color w:val="auto"/>
        </w:rPr>
      </w:pPr>
    </w:p>
    <w:p>
      <w:pPr>
        <w:ind w:right="360" w:firstLine="441"/>
        <w:spacing w:after="0" w:line="293" w:lineRule="auto"/>
        <w:rPr>
          <w:sz w:val="20"/>
          <w:szCs w:val="20"/>
          <w:color w:val="auto"/>
        </w:rPr>
      </w:pPr>
      <w:r>
        <w:rPr>
          <w:rFonts w:ascii="Arial" w:cs="Arial" w:eastAsia="Arial" w:hAnsi="Arial"/>
          <w:sz w:val="16"/>
          <w:szCs w:val="16"/>
          <w:b w:val="1"/>
          <w:bCs w:val="1"/>
          <w:color w:val="auto"/>
        </w:rPr>
        <w:t>11.4. Correction of Loan Documents</w:t>
      </w:r>
      <w:r>
        <w:rPr>
          <w:rFonts w:ascii="Arial" w:cs="Arial" w:eastAsia="Arial" w:hAnsi="Arial"/>
          <w:sz w:val="16"/>
          <w:szCs w:val="16"/>
          <w:color w:val="auto"/>
        </w:rPr>
        <w:t>. Lender may correct patent errors and fill in any blanks in the Loan Documents 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the parties hereto so long as Lender provides Credit Parties with written notice of such correction and allows Credit Parties at least ten</w:t>
      </w:r>
    </w:p>
    <w:p>
      <w:pPr>
        <w:spacing w:after="0" w:line="1" w:lineRule="exact"/>
        <w:rPr>
          <w:sz w:val="20"/>
          <w:szCs w:val="20"/>
          <w:color w:val="auto"/>
        </w:rPr>
      </w:pPr>
    </w:p>
    <w:p>
      <w:pPr>
        <w:ind w:right="160" w:firstLine="4"/>
        <w:spacing w:after="0" w:line="261" w:lineRule="auto"/>
        <w:tabs>
          <w:tab w:leader="none" w:pos="34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days to object to such correction. In the event of such objection, such correction shall not be made except by an amendment signed by Lender and Credit Parties.</w:t>
      </w:r>
    </w:p>
    <w:p>
      <w:pPr>
        <w:spacing w:after="0" w:line="180"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11.5. Amendments; Waivers; Integration</w:t>
      </w:r>
      <w:r>
        <w:rPr>
          <w:rFonts w:ascii="Arial" w:cs="Arial" w:eastAsia="Arial" w:hAnsi="Arial"/>
          <w:sz w:val="18"/>
          <w:szCs w:val="18"/>
          <w:color w:val="auto"/>
        </w:rPr>
        <w:t>. (a) No amendment or modification of any provision of this Agreement or any other 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or waiver, discharge or termination of any obligation hereunder or thereunder, no approval or consent hereunder or thereunder (including any consent by Borrower to any departure herefrom or therefrom), shall in any event be effective unless the same shall be in writing and signed by Borrower and Lender. Any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w:t>
      </w:r>
    </w:p>
    <w:p>
      <w:pPr>
        <w:spacing w:after="0" w:line="84" w:lineRule="exact"/>
        <w:rPr>
          <w:sz w:val="20"/>
          <w:szCs w:val="20"/>
          <w:color w:val="auto"/>
        </w:rPr>
      </w:pPr>
    </w:p>
    <w:p>
      <w:pPr>
        <w:ind w:right="200" w:firstLine="444"/>
        <w:spacing w:after="0" w:line="264" w:lineRule="auto"/>
        <w:tabs>
          <w:tab w:leader="none" w:pos="69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This Agreement and the other Loan Documents represent the entire agreement about this subject matter and supersede prior negotiations or Contracts. All prior Contracts, understandings, representations, warranties, and negotiations between the parties hereto about the subject matter of this Agreement and the other Loan Documents merge into this Agreement and the other Loan Documents.</w:t>
      </w:r>
    </w:p>
    <w:p>
      <w:pPr>
        <w:spacing w:after="0" w:line="177"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11.6.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right="220" w:firstLine="441"/>
        <w:spacing w:after="0" w:line="303" w:lineRule="auto"/>
        <w:rPr>
          <w:sz w:val="20"/>
          <w:szCs w:val="20"/>
          <w:color w:val="auto"/>
        </w:rPr>
      </w:pPr>
      <w:r>
        <w:rPr>
          <w:rFonts w:ascii="Arial" w:cs="Arial" w:eastAsia="Arial" w:hAnsi="Arial"/>
          <w:sz w:val="16"/>
          <w:szCs w:val="16"/>
          <w:b w:val="1"/>
          <w:bCs w:val="1"/>
          <w:color w:val="auto"/>
        </w:rPr>
        <w:t>11.7. Survival</w:t>
      </w:r>
      <w:r>
        <w:rPr>
          <w:rFonts w:ascii="Arial" w:cs="Arial" w:eastAsia="Arial" w:hAnsi="Arial"/>
          <w:sz w:val="16"/>
          <w:szCs w:val="16"/>
          <w:color w:val="auto"/>
        </w:rPr>
        <w:t>. All covenants, representations and warranties made in this Agreement continue in full force until this Agreement has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its terms and all Obligations (other than inchoate indemnity obligations and any other obligations which, by their terms, are to survive the termination of this Agreement) have been paid in full and satisfied. The obligation of Borrower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to indemnify Lender (including the obligations in </w:t>
      </w:r>
      <w:r>
        <w:rPr>
          <w:rFonts w:ascii="Arial" w:cs="Arial" w:eastAsia="Arial" w:hAnsi="Arial"/>
          <w:sz w:val="16"/>
          <w:szCs w:val="16"/>
          <w:u w:val="single" w:color="auto"/>
          <w:color w:val="auto"/>
        </w:rPr>
        <w:t>Section 11.2(c)</w:t>
      </w:r>
      <w:r>
        <w:rPr>
          <w:rFonts w:ascii="Arial" w:cs="Arial" w:eastAsia="Arial" w:hAnsi="Arial"/>
          <w:sz w:val="16"/>
          <w:szCs w:val="16"/>
          <w:color w:val="auto"/>
        </w:rPr>
        <w:t>) shall survive until the statute of limitations with respect to such claim or cause of action shall have run.</w:t>
      </w:r>
    </w:p>
    <w:p>
      <w:pPr>
        <w:spacing w:after="0" w:line="15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11.8. Confidentiality</w:t>
      </w:r>
      <w:r>
        <w:rPr>
          <w:rFonts w:ascii="Arial" w:cs="Arial" w:eastAsia="Arial" w:hAnsi="Arial"/>
          <w:sz w:val="17"/>
          <w:szCs w:val="17"/>
          <w:color w:val="auto"/>
        </w:rPr>
        <w:t>. Any information regarding Credit Parties and their Subsidiaries and their businesses provided to Lender by or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Credit Party pursuant to this Agreement shall be deemed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Confidential Information does not include information that is either: (i) in the public domain or in Lender’s or any of its Affiliate’s possession when disclosed to Lender or any of its Affiliates, or becomes part of the public domain after disclosure to Lender or any of its Affiliates other than as a result of a breach by Lender or any of its Affiliates of the obligations under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or (ii) disclosed to Lender or any of its Affiliates by a third party if Lender or any of its Affiliates do not know that the third party is prohibited from disclosing the information. Lender shall not disclose any Confidential Information to a third party or use Confidential Information for any purpose other than the exercise of Lender’s rights and the performance of Lender’s obligations under the Loan Documents. The foregoing in this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notwithstanding, Lender may disclose Confidential Information: (a) to any of Lender’s Subsidiaries or Affiliates; (b) to prospective transferees or purchasers of any interest in the Credit Extensions; (c) as required by law, regulation, subpoena, or other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Lender shall promptly notify the applicable Credit Party in writing, if not prohibited by Requirements of Law, and provide such Credit Party reasonable time to oppose such process; (d) to the extent requested by regulators having jurisdiction over Lender or as required in connection with Lender’s examination or audit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hereof; (e) as Lender considers appropriate in its reasonable, good faith discretion in exercising remedies under the Loan Documents; and (f) to third-party service providers of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third parties to which Confidential Information is disclosed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are bound by obligations of confidentiality and non-use that are no less restrictive than those contained 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0" w:right="439"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the immediately preceding paragraph shall survive the termination of this Agreement.</w:t>
      </w:r>
    </w:p>
    <w:p>
      <w:pPr>
        <w:spacing w:after="0" w:line="221"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11.9. Attorneys’ Fees, Costs and Expenses</w:t>
      </w:r>
      <w:r>
        <w:rPr>
          <w:rFonts w:ascii="Arial" w:cs="Arial" w:eastAsia="Arial" w:hAnsi="Arial"/>
          <w:sz w:val="18"/>
          <w:szCs w:val="18"/>
          <w:color w:val="auto"/>
        </w:rPr>
        <w:t>. In any action or proceeding between any Credit Party and Lender arising out of or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11.10. Right of Set-Off</w:t>
      </w:r>
      <w:r>
        <w:rPr>
          <w:rFonts w:ascii="Arial" w:cs="Arial" w:eastAsia="Arial" w:hAnsi="Arial"/>
          <w:sz w:val="17"/>
          <w:szCs w:val="17"/>
          <w:color w:val="auto"/>
        </w:rPr>
        <w:t>. In addition to any rights now or hereafter granted under Requirements of Law and not by way of limitation of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upon the occurrence of an Event of Default and at any time thereafter during the continuance of any Event of Default, Lender is hereby authorized by each Credit Party at any time or from time to time, without notice to any Credit Party or to any other Person,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Lender to or for the credit or the account of any Credit Party against and on account of the obligations and liabilities of any Credit Party to Lender hereunder and under the other Loan Documents, including all claims of any nature or description arising out of or connected hereto or with any other Loan Document, irrespective of whether or not (a) Lender shall have made any demand hereunder or (b) the principal of or the interest on the Term Loans or any other amounts due hereunder shall have become due and payable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although such obligations and liabilities, or any of them, may be contingent or unmatured.</w:t>
      </w:r>
    </w:p>
    <w:p>
      <w:pPr>
        <w:spacing w:after="0" w:line="178"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b w:val="1"/>
          <w:bCs w:val="1"/>
          <w:color w:val="auto"/>
        </w:rPr>
        <w:t>11.11. Marshalling; Payments Set Aside</w:t>
      </w:r>
      <w:r>
        <w:rPr>
          <w:rFonts w:ascii="Arial" w:cs="Arial" w:eastAsia="Arial" w:hAnsi="Arial"/>
          <w:sz w:val="16"/>
          <w:szCs w:val="16"/>
          <w:color w:val="auto"/>
        </w:rPr>
        <w:t>. Lender shall not be under any obligation to marshal any assets in favor of any Credit Party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against or in payment of any or all of the Obligations. To the extent that any Credit Party makes a payment or payments to Lender, or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62"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b w:val="1"/>
          <w:bCs w:val="1"/>
          <w:color w:val="auto"/>
        </w:rPr>
        <w:t>11.12. Electronic Execution of Documents</w:t>
      </w:r>
      <w:r>
        <w:rPr>
          <w:rFonts w:ascii="Arial" w:cs="Arial" w:eastAsia="Arial" w:hAnsi="Arial"/>
          <w:sz w:val="17"/>
          <w:szCs w:val="17"/>
          <w:color w:val="auto"/>
        </w:rPr>
        <w:t>. 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Requirements of Law, including any state law based on the Uniform Electronic Transactions Act.</w:t>
      </w:r>
    </w:p>
    <w:p>
      <w:pPr>
        <w:spacing w:after="0" w:line="16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11.13. Captions</w:t>
      </w:r>
      <w:r>
        <w:rPr>
          <w:rFonts w:ascii="Arial" w:cs="Arial" w:eastAsia="Arial" w:hAnsi="Arial"/>
          <w:sz w:val="18"/>
          <w:szCs w:val="18"/>
          <w:color w:val="auto"/>
        </w:rPr>
        <w:t>. Section headings herein are included herein for convenience of reference only and shall not constitute a part hereof for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or be given any substantive effect.</w:t>
      </w:r>
    </w:p>
    <w:p>
      <w:pPr>
        <w:spacing w:after="0" w:line="162" w:lineRule="exact"/>
        <w:rPr>
          <w:sz w:val="20"/>
          <w:szCs w:val="20"/>
          <w:color w:val="auto"/>
        </w:rPr>
      </w:pPr>
    </w:p>
    <w:p>
      <w:pPr>
        <w:jc w:val="both"/>
        <w:ind w:right="260" w:firstLine="441"/>
        <w:spacing w:after="0" w:line="266" w:lineRule="auto"/>
        <w:rPr>
          <w:sz w:val="20"/>
          <w:szCs w:val="20"/>
          <w:color w:val="auto"/>
        </w:rPr>
      </w:pPr>
      <w:r>
        <w:rPr>
          <w:rFonts w:ascii="Arial" w:cs="Arial" w:eastAsia="Arial" w:hAnsi="Arial"/>
          <w:sz w:val="18"/>
          <w:szCs w:val="18"/>
          <w:b w:val="1"/>
          <w:bCs w:val="1"/>
          <w:color w:val="auto"/>
        </w:rPr>
        <w:t>11.14. Construction of Agreement</w:t>
      </w:r>
      <w:r>
        <w:rPr>
          <w:rFonts w:ascii="Arial" w:cs="Arial" w:eastAsia="Arial" w:hAnsi="Arial"/>
          <w:sz w:val="18"/>
          <w:szCs w:val="18"/>
          <w:color w:val="auto"/>
        </w:rPr>
        <w:t>. The parties hereto mutually acknowledge that they and their attorneys have participated in the preparation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negotiation of this Agreement. In cases of uncertainty this Agreement shall be construed without regard to which of the parties hereto caused the uncertainty to exist.</w:t>
      </w:r>
    </w:p>
    <w:p>
      <w:pPr>
        <w:spacing w:after="0" w:line="176"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b w:val="1"/>
          <w:bCs w:val="1"/>
          <w:color w:val="auto"/>
        </w:rPr>
        <w:t>11.15. Third Parties</w:t>
      </w:r>
      <w:r>
        <w:rPr>
          <w:rFonts w:ascii="Arial" w:cs="Arial" w:eastAsia="Arial" w:hAnsi="Arial"/>
          <w:sz w:val="18"/>
          <w:szCs w:val="18"/>
          <w:color w:val="auto"/>
        </w:rPr>
        <w:t>. 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11.16. No Fiduciary Duty</w:t>
      </w:r>
      <w:r>
        <w:rPr>
          <w:rFonts w:ascii="Arial" w:cs="Arial" w:eastAsia="Arial" w:hAnsi="Arial"/>
          <w:sz w:val="18"/>
          <w:szCs w:val="18"/>
          <w:color w:val="auto"/>
        </w:rPr>
        <w:t>. Lender may have economic interests that conflict with those of the Credit Parties. Each Credit Party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Loan Documents or otherwise will be deemed to create an advisory, fiduciary or agency relationship or fiduciary or other implied duty between Lender, on the one hand,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471" w:name="page472"/>
    <w:bookmarkEnd w:id="471"/>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Credit Party, its Subsidiaries, and any of their respective stockholders or affiliates, on the other hand. Each Credit Party acknowledges and agrees that (i) the transactions contemplated by the Loan Documents are arm’s-length commercial transactions between Lender, on the one hand, and such Credit Party, its Subsidiaries and their respective affiliates, on the other, (ii) in connection therewith and with the process leading to such transaction, Lender is acting solely as a principal and not the agent or fiduciary of such Credit Party, its Subsidiaries or their respective affiliates, management, stockholders, creditors or any other person, (iii) Lender has not assumed an advisory or fiduciary responsibility in favor of any Credit Party, its Subsidiaries or their respective affiliates with respect to the transactions contemplated hereby or the process leading thereto (irrespective of whether Lender or any of its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w:t>
      </w:r>
    </w:p>
    <w:p>
      <w:pPr>
        <w:spacing w:after="0" w:line="1" w:lineRule="exact"/>
        <w:rPr>
          <w:sz w:val="20"/>
          <w:szCs w:val="20"/>
          <w:color w:val="auto"/>
        </w:rPr>
      </w:pPr>
    </w:p>
    <w:p>
      <w:pPr>
        <w:jc w:val="both"/>
        <w:ind w:right="200" w:firstLine="4"/>
        <w:spacing w:after="0" w:line="253" w:lineRule="auto"/>
        <w:tabs>
          <w:tab w:leader="none" w:pos="30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will not claim that Lender has rendered advisory services of any nature or respect, or owes a fiduciary or similar duty to such Credit Party, its Subsidiaries or their respective affiliates in connection with such transaction or the process leading thereto.</w:t>
      </w:r>
    </w:p>
    <w:p>
      <w:pPr>
        <w:spacing w:after="0" w:line="295" w:lineRule="exact"/>
        <w:rPr>
          <w:sz w:val="20"/>
          <w:szCs w:val="20"/>
          <w:color w:val="auto"/>
        </w:rPr>
      </w:pPr>
    </w:p>
    <w:p>
      <w:pPr>
        <w:ind w:left="720" w:hanging="276"/>
        <w:spacing w:after="0"/>
        <w:tabs>
          <w:tab w:leader="none" w:pos="72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LENDER AGREEMENTS</w:t>
      </w:r>
    </w:p>
    <w:p>
      <w:pPr>
        <w:spacing w:after="0" w:line="117"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b w:val="1"/>
          <w:bCs w:val="1"/>
          <w:color w:val="auto"/>
        </w:rPr>
        <w:t>12.1. Intercreditor Agreement</w:t>
      </w:r>
      <w:r>
        <w:rPr>
          <w:rFonts w:ascii="Arial" w:cs="Arial" w:eastAsia="Arial" w:hAnsi="Arial"/>
          <w:sz w:val="17"/>
          <w:szCs w:val="17"/>
          <w:color w:val="auto"/>
        </w:rPr>
        <w:t>. In connection with the incurrence by Borrower of any Permitted Indebtedness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clause (e)</w:t>
      </w:r>
      <w:r>
        <w:rPr>
          <w:rFonts w:ascii="Arial" w:cs="Arial" w:eastAsia="Arial" w:hAnsi="Arial"/>
          <w:sz w:val="17"/>
          <w:szCs w:val="17"/>
          <w:b w:val="1"/>
          <w:bCs w:val="1"/>
          <w:color w:val="auto"/>
        </w:rPr>
        <w:t xml:space="preserve"> </w:t>
      </w:r>
      <w:r>
        <w:rPr>
          <w:rFonts w:ascii="Arial" w:cs="Arial" w:eastAsia="Arial" w:hAnsi="Arial"/>
          <w:sz w:val="17"/>
          <w:szCs w:val="17"/>
          <w:color w:val="auto"/>
        </w:rPr>
        <w:t>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definition of Permitted Indebtedness, Lender hereby agrees that it will enter into a subordination, intercreditor or other similar Contract with the lender in respect of such Permitted Indebtedness and Borrower, which shall provide that the security interests and Liens of such lender in and on Inventory, accounts receivable, cash, supporting obligations and all proceeds of the foregoing to secure the obligations under such loan facility shall be senior in rank, order of priority and enforcement to the security interests and Liens of Lender in any such assets to secure the Obligations at all times until all of the obligations under such facility have been paid, performed or discharged in full and Borrower has no further right to obtain any extensions of credit thereunder, in form and substance reasonably satisfactory to Lender and such lender.</w:t>
      </w:r>
    </w:p>
    <w:p>
      <w:pPr>
        <w:spacing w:after="0" w:line="64"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12.2. Non-Disturbance Agreement</w:t>
      </w:r>
      <w:r>
        <w:rPr>
          <w:rFonts w:ascii="Arial" w:cs="Arial" w:eastAsia="Arial" w:hAnsi="Arial"/>
          <w:sz w:val="18"/>
          <w:szCs w:val="18"/>
          <w:color w:val="auto"/>
        </w:rPr>
        <w:t>. Lender hereby agrees that, at the written request of Borrower, Lender will enter into a customary</w:t>
      </w:r>
      <w:r>
        <w:rPr>
          <w:rFonts w:ascii="Arial" w:cs="Arial" w:eastAsia="Arial" w:hAnsi="Arial"/>
          <w:sz w:val="18"/>
          <w:szCs w:val="18"/>
          <w:b w:val="1"/>
          <w:bCs w:val="1"/>
          <w:color w:val="auto"/>
        </w:rPr>
        <w:t xml:space="preserve"> </w:t>
      </w:r>
      <w:r>
        <w:rPr>
          <w:rFonts w:ascii="Arial" w:cs="Arial" w:eastAsia="Arial" w:hAnsi="Arial"/>
          <w:sz w:val="18"/>
          <w:szCs w:val="18"/>
          <w:color w:val="auto"/>
        </w:rPr>
        <w:t>non-disturbance or similar agreement in connection with any Permitted License, in each case in form and substance reasonably satisfactory to Lender and the other party or parties thereto.</w:t>
      </w:r>
    </w:p>
    <w:p>
      <w:pPr>
        <w:spacing w:after="0" w:line="284" w:lineRule="exact"/>
        <w:rPr>
          <w:sz w:val="20"/>
          <w:szCs w:val="20"/>
          <w:color w:val="auto"/>
        </w:rPr>
      </w:pPr>
    </w:p>
    <w:p>
      <w:pPr>
        <w:ind w:left="720" w:hanging="276"/>
        <w:spacing w:after="0"/>
        <w:tabs>
          <w:tab w:leader="none" w:pos="72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13.1. Definitions</w:t>
      </w:r>
      <w:r>
        <w:rPr>
          <w:rFonts w:ascii="Arial" w:cs="Arial" w:eastAsia="Arial" w:hAnsi="Arial"/>
          <w:sz w:val="16"/>
          <w:szCs w:val="16"/>
          <w:color w:val="auto"/>
        </w:rPr>
        <w:t>. For the purposes of and as used in the Loan Documents: (a) references to any Person include its successors and assigns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of any Governmental Authority, any Person succeeding to its functions and capacities; (b) except as the context otherwise requires (including to the extent otherwise expressly provided in any Loan Document), (i) references to any law, treaty, order, policy, rule or regulation include amendments, supplements and successors thereto and (ii) references to any contract, agreement, instrument or other document (including any Contract) include any amendments, restatements, supplements or modifications thereto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Applicable Accounting Standards; (k) references to any time of day shall be to New York time; (l) the words “herein”, “hereof”, “hereby”, “hereto” and “hereunder” refer to this Agreement as a whole; and (m) references to specific sections, articles, annexes and exhibits are to this Agreement and references to specific schedules are to the Disclosure Letter. As used in this Agreement, the following capitalized terms have the following meanings:</w:t>
      </w:r>
    </w:p>
    <w:p>
      <w:pPr>
        <w:spacing w:after="0" w:line="61"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any “account” as defined in the Code with such additions to such term as may hereafter be made, and includes all accounts receivable, book debts, and other sums owing to Credit Parties.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472" w:name="page473"/>
    <w:bookmarkEnd w:id="4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means any “account debtor” as defined in the Code with such additions to such term as may hereafter be made.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(a) any Stock Acquisition or (b) any Asset Acquisition.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Proceeding</w:t>
      </w:r>
      <w:r>
        <w:rPr>
          <w:rFonts w:ascii="Arial" w:cs="Arial" w:eastAsia="Arial" w:hAnsi="Arial"/>
          <w:sz w:val="18"/>
          <w:szCs w:val="18"/>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each Credit Party or any of its Subsidiaries, threatened in writing against any Credit Party or any of its Subsidiaries or any properties or assets of any Credit Party or any of its Subsidiaries.</w:t>
      </w:r>
    </w:p>
    <w:p>
      <w:pPr>
        <w:spacing w:after="0" w:line="184"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w:t>
      </w:r>
    </w:p>
    <w:p>
      <w:pPr>
        <w:spacing w:after="0" w:line="2" w:lineRule="exact"/>
        <w:rPr>
          <w:sz w:val="20"/>
          <w:szCs w:val="20"/>
          <w:color w:val="auto"/>
        </w:rPr>
      </w:pPr>
    </w:p>
    <w:p>
      <w:pPr>
        <w:ind w:right="340" w:firstLine="4"/>
        <w:spacing w:after="0" w:line="255" w:lineRule="auto"/>
        <w:tabs>
          <w:tab w:leader="none" w:pos="24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means any Money Laundering Laws or other laws relating to terrorism or money laundering, including Executive Order No. 13224 (effective September 24, 2001), the Patriot Act, the laws comprising or implementing the Bank Secrecy Act, and the laws administered by OFAC.</w:t>
      </w:r>
    </w:p>
    <w:p>
      <w:pPr>
        <w:spacing w:after="0" w:line="176"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Accounting Standards</w:t>
      </w:r>
      <w:r>
        <w:rPr>
          <w:rFonts w:ascii="Arial" w:cs="Arial" w:eastAsia="Arial" w:hAnsi="Arial"/>
          <w:sz w:val="16"/>
          <w:szCs w:val="16"/>
          <w:color w:val="auto"/>
        </w:rPr>
        <w:t>” means with respect to Borrower and its Subsidiaries, generally accepted accounting principles in the United 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Assessments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4.20(g)</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Acquisition</w:t>
      </w:r>
      <w:r>
        <w:rPr>
          <w:rFonts w:ascii="Arial" w:cs="Arial" w:eastAsia="Arial" w:hAnsi="Arial"/>
          <w:sz w:val="16"/>
          <w:szCs w:val="16"/>
          <w:color w:val="auto"/>
        </w:rPr>
        <w:t xml:space="preserve">” means, with respect to Borrower or any of its Subsidiaries, any purchase, inbound license or other acquisition of any assets or properties of any other Person (or of any business, division, product line or line of business of any other Person (including rights in respect of any medical device)) other than the purchase, license or other acquisition for administrative expenses and other ordinary course operating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“Asset Acquisition” includes any co-promotion or co-marketing arrangement for the assets or properties owned by another Person (other than Borrower or any of its Subsidiaries), pursuant to which upfront payments in excess of $5,000,000 are payable. Notwithstanding the foregoing, an Asset Acquisition shall not include any license or grant described in </w:t>
      </w:r>
      <w:r>
        <w:rPr>
          <w:rFonts w:ascii="Arial" w:cs="Arial" w:eastAsia="Arial" w:hAnsi="Arial"/>
          <w:sz w:val="16"/>
          <w:szCs w:val="16"/>
          <w:u w:val="single" w:color="auto"/>
          <w:color w:val="auto"/>
        </w:rPr>
        <w:t>Section 6.1(e)</w:t>
      </w:r>
      <w:r>
        <w:rPr>
          <w:rFonts w:ascii="Arial" w:cs="Arial" w:eastAsia="Arial" w:hAnsi="Arial"/>
          <w:sz w:val="16"/>
          <w:szCs w:val="16"/>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means Title 11 of the United States Code entitled “Bankruptcy,” as now and hereafter in effect, or any successor statute.</w:t>
      </w:r>
    </w:p>
    <w:p>
      <w:pPr>
        <w:spacing w:after="0" w:line="24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means (a) any Person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69" w:right="459" w:bottom="1440" w:gutter="0" w:footer="0" w:header="0"/>
        </w:sectPr>
      </w:pPr>
    </w:p>
    <w:bookmarkStart w:id="473" w:name="page474"/>
    <w:bookmarkEnd w:id="473"/>
    <w:p>
      <w:pPr>
        <w:jc w:val="both"/>
        <w:ind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w:t>
      </w:r>
    </w:p>
    <w:p>
      <w:pPr>
        <w:spacing w:after="0" w:line="1" w:lineRule="exact"/>
        <w:rPr>
          <w:sz w:val="20"/>
          <w:szCs w:val="20"/>
          <w:color w:val="auto"/>
        </w:rPr>
      </w:pPr>
    </w:p>
    <w:p>
      <w:pPr>
        <w:ind w:right="240" w:firstLine="4"/>
        <w:spacing w:after="0" w:line="261" w:lineRule="auto"/>
        <w:tabs>
          <w:tab w:leader="none" w:pos="31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 the case of any partnership, the Board of Directors of the general partner of such Person and (iv) in any other case, the functional equivalent of the foregoing.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ind w:right="6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w:t>
      </w:r>
      <w:r>
        <w:rPr>
          <w:rFonts w:ascii="Arial" w:cs="Arial" w:eastAsia="Arial" w:hAnsi="Arial"/>
          <w:sz w:val="18"/>
          <w:szCs w:val="18"/>
          <w:color w:val="auto"/>
        </w:rPr>
        <w:t>” means all books and records including ledgers, federal, state and foreign Tax returns, records regarding a Credit Party’s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means, with respect to any Person, those resolutions adopted by such Person’s Board of Directors and delivered by such Person to Lender approving the Loan Documents to which such Person is a party and the transactions contemplated thereby (including the Term Loan), together with a certificate executed by its Secretary on behalf of such Person certifying that (a) such Person has the authority to execute, deliver, and perform its obligations under each of the Loan Documents to which it is a party, (b) that attached as Exhibit A to such certificate is a true, correct, and complete copy of the resolutions then in full force and effect authorizing and ratifying the execution, delivery, and performance by such Person of the Loan Documents to which it is a party and (c) the name(s) of the Person(s) authorized to execute the Loan Documents on behalf of such Person, together with a sample of the true signature(s) of such Person(s).</w:t>
      </w:r>
    </w:p>
    <w:p>
      <w:pPr>
        <w:spacing w:after="0" w:line="172"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or a Sunday or a day on which banks are authorized or required to be closed in New York, New York or San Jose, California.</w:t>
      </w:r>
    </w:p>
    <w:p>
      <w:pPr>
        <w:spacing w:after="0" w:line="162" w:lineRule="exact"/>
        <w:rPr>
          <w:sz w:val="20"/>
          <w:szCs w:val="20"/>
          <w:color w:val="auto"/>
        </w:rPr>
      </w:pPr>
    </w:p>
    <w:p>
      <w:pPr>
        <w:ind w:right="3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is pledged in support thereof) having maturities of not more than twelve</w:t>
      </w:r>
    </w:p>
    <w:p>
      <w:pPr>
        <w:spacing w:after="0" w:line="1" w:lineRule="exact"/>
        <w:rPr>
          <w:sz w:val="20"/>
          <w:szCs w:val="20"/>
          <w:color w:val="auto"/>
        </w:rPr>
      </w:pPr>
    </w:p>
    <w:p>
      <w:pPr>
        <w:ind w:right="80" w:firstLine="4"/>
        <w:spacing w:after="0" w:line="281" w:lineRule="auto"/>
        <w:tabs>
          <w:tab w:leader="none" w:pos="34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 xml:space="preserve">months from the date of acquisition; (b) commercial paper issued by any Person in the United States maturing no more than twelve (12) months after its creation and having the highest rating from either Standard &amp; Poor’s Ratings Group or Moody’s Investors Service, Inc.; (c) Dollar denominated certificates of deposit maturing no more than twelve (12) months after issue of any Lender or any commercial bank having, or which is the principal banking subsidiary of a bank holding company having, the highest long-term unsecured debt rating from either Standard &amp; Poor’s Ratings Group or Moody’s Investors Service, Inc.; (d) investments in money market funds substantially all of whose assets are comprised of securities of the types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(e) all foreign equivalents of the securities and investments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w:t>
      </w:r>
    </w:p>
    <w:p>
      <w:pPr>
        <w:spacing w:after="0" w:line="4"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(f) investments permitted by Borrower’s investment policy effective March 1, 2016 and previously made available to Lender. Notwithstanding the foregoing, “Cash Equivalents” do not include, and the Credit Parties and their Subsidiaries are prohibited from purchasing, purchasing participations in, entering into any type of swap or other equivalent derivative transaction or otherwise holding or engaging in any ownership interest in, any type of debt instrument, including any corporate or municipal bonds with a long-term nominal maturity for which the interest rate is reset through a Dutch auction and more commonly referred to as an auction rate security.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957(a) of the IRC.</w:t>
      </w:r>
    </w:p>
    <w:p>
      <w:pPr>
        <w:spacing w:after="0" w:line="225"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b w:val="1"/>
          <w:bCs w:val="1"/>
          <w:color w:val="auto"/>
        </w:rPr>
        <w:t xml:space="preserve">“CFC Holding Company” </w:t>
      </w:r>
      <w:r>
        <w:rPr>
          <w:rFonts w:ascii="Arial" w:cs="Arial" w:eastAsia="Arial" w:hAnsi="Arial"/>
          <w:sz w:val="17"/>
          <w:szCs w:val="17"/>
          <w:color w:val="auto"/>
        </w:rPr>
        <w:t>means a Domestic Subsidiary that is a United States person as defined in Section 7701(a)(3) of the IRC, the sole</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assets of which are Equity Interests in one or more CFCs and any Domestic Subsidiaries described in this definition.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69" w:right="439" w:bottom="1440" w:gutter="0" w:footer="0" w:header="0"/>
        </w:sectPr>
      </w:pPr>
    </w:p>
    <w:bookmarkStart w:id="474" w:name="page475"/>
    <w:bookmarkEnd w:id="474"/>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(a) a transaction or series of related transactions (including any merger or consolidation) in which any “person” or “group” (within the meaning of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14(d)(2)</w:t>
      </w:r>
      <w:r>
        <w:rPr>
          <w:rFonts w:ascii="Arial" w:cs="Arial" w:eastAsia="Arial" w:hAnsi="Arial"/>
          <w:sz w:val="18"/>
          <w:szCs w:val="18"/>
          <w:color w:val="auto"/>
        </w:rPr>
        <w:t xml:space="preserve"> of the Exchange Act) is or becomes the “beneficial owner” (as defined in Rule 13d-3 under the Exchange Act),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 and (b) a transaction or series of related transactions involving the sale, assignment, transfer or other conveyance of all or substantially all of the assets of Borrower and its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underwritten initial public offering of the equity interests of Borrower that results in a listing of Borrower’s equity interests on a public securities exchange shall not be deemed a Change of Control event.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2.2(c)(ii)</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xml:space="preserve">”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or directives thereunder or issued in connection therewith and (y) all requests, rules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 Notwithstanding the foregoing, a “Change in Law” shall not include any amendment made to FATCA after the Tranche A Closing Date.</w:t>
      </w:r>
    </w:p>
    <w:p>
      <w:pPr>
        <w:spacing w:after="0" w:line="160"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xml:space="preserve">” means the Uniform Commercial Code, as the same may, from time to time, be enacted and in effect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Code is used to define any term herein or in any Loan Document and such term is defined differently in different Articles of the Code, the definition of such term contained in Article 9 of the Code shall govern;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that, by reason of mandatory provisions of law, any or all of the attachment, perfection, or priority of, or remedies with respect to, Lender’s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collectively, “Collateral” (as such term is defined in the Security Agreement) and all other properties or assets of whatever kind and nature subject or purported to be subject from time to time to a Lien under any Collateral Document.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means any Deposit Account, Securities Account or Commodity Account.</w:t>
      </w:r>
    </w:p>
    <w:p>
      <w:pPr>
        <w:spacing w:after="0" w:line="225" w:lineRule="exact"/>
        <w:rPr>
          <w:sz w:val="20"/>
          <w:szCs w:val="20"/>
          <w:color w:val="auto"/>
        </w:rPr>
      </w:pPr>
    </w:p>
    <w:p>
      <w:pPr>
        <w:ind w:right="4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the Security Agreement, the Control Agreements, the IP Agreements, any Mortgages and all other landlord consents, bailee waivers, instruments, documents and Contracts delivered by any Credit Party pursuant to this Agreement or any of the other Loan Documents, in each case, in order to grant to Lender or perfect a Lien on any Collateral as security for the Obligations, and all amendments, restatements, modifications or supplements thereof or thereto.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“Commercialization</w:t>
      </w:r>
      <w:r>
        <w:rPr>
          <w:rFonts w:ascii="Arial" w:cs="Arial" w:eastAsia="Arial" w:hAnsi="Arial"/>
          <w:sz w:val="16"/>
          <w:szCs w:val="16"/>
          <w:color w:val="auto"/>
        </w:rPr>
        <w:t>” means, with respect to any Product, any activities undertaken with respect to commercialization of such Product, including</w:t>
      </w:r>
    </w:p>
    <w:p>
      <w:pPr>
        <w:spacing w:after="0" w:line="50" w:lineRule="exact"/>
        <w:rPr>
          <w:sz w:val="20"/>
          <w:szCs w:val="20"/>
          <w:color w:val="auto"/>
        </w:rPr>
      </w:pPr>
    </w:p>
    <w:p>
      <w:pPr>
        <w:ind w:firstLine="4"/>
        <w:spacing w:after="0" w:line="273" w:lineRule="auto"/>
        <w:tabs>
          <w:tab w:leader="none" w:pos="245"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advertising, promoting, marketing, offering, selling, importing, exporting, transporting, and distributing such Product, (b) strategic marketing or sales force detailing, educating, and liaising with the medical community, (c) obtaining necessary licenses and authorization from applicable Governmental Authorities, (d) interacting with the FDA and other Governmental Authorities regarding any of the foregoing, and (e) producing, Manufacturing and supplying such Product. “</w:t>
      </w:r>
      <w:r>
        <w:rPr>
          <w:rFonts w:ascii="Arial" w:cs="Arial" w:eastAsia="Arial" w:hAnsi="Arial"/>
          <w:sz w:val="17"/>
          <w:szCs w:val="17"/>
          <w:b w:val="1"/>
          <w:bCs w:val="1"/>
          <w:color w:val="auto"/>
        </w:rPr>
        <w:t>Commercialize</w:t>
      </w:r>
      <w:r>
        <w:rPr>
          <w:rFonts w:ascii="Arial" w:cs="Arial" w:eastAsia="Arial" w:hAnsi="Arial"/>
          <w:sz w:val="17"/>
          <w:szCs w:val="17"/>
          <w:color w:val="auto"/>
        </w:rPr>
        <w:t>” and “</w:t>
      </w:r>
      <w:r>
        <w:rPr>
          <w:rFonts w:ascii="Arial" w:cs="Arial" w:eastAsia="Arial" w:hAnsi="Arial"/>
          <w:sz w:val="17"/>
          <w:szCs w:val="17"/>
          <w:b w:val="1"/>
          <w:bCs w:val="1"/>
          <w:color w:val="auto"/>
        </w:rPr>
        <w:t>Commercialized</w:t>
      </w:r>
      <w:r>
        <w:rPr>
          <w:rFonts w:ascii="Arial" w:cs="Arial" w:eastAsia="Arial" w:hAnsi="Arial"/>
          <w:sz w:val="17"/>
          <w:szCs w:val="17"/>
          <w:color w:val="auto"/>
        </w:rPr>
        <w:t>” shall have comparable meanings.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475" w:name="page476"/>
    <w:bookmarkEnd w:id="47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Commodity Account</w:t>
      </w:r>
      <w:r>
        <w:rPr>
          <w:rFonts w:ascii="Arial" w:cs="Arial" w:eastAsia="Arial" w:hAnsi="Arial"/>
          <w:sz w:val="16"/>
          <w:szCs w:val="16"/>
          <w:color w:val="auto"/>
        </w:rPr>
        <w:t>” means any “commodity account” as defined in the Code with such additions to such term as may hereafter be made.</w:t>
      </w:r>
    </w:p>
    <w:p>
      <w:pPr>
        <w:spacing w:after="0" w:line="24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IP</w:t>
      </w:r>
      <w:r>
        <w:rPr>
          <w:rFonts w:ascii="Arial" w:cs="Arial" w:eastAsia="Arial" w:hAnsi="Arial"/>
          <w:sz w:val="17"/>
          <w:szCs w:val="17"/>
          <w:color w:val="auto"/>
        </w:rPr>
        <w:t>” means any and all of the following, as they exist throughout the world: (a) Current Company IP; (b) improvements, continuations, continuations-in-part, divisions, provisionals or any substitute applications, any patent issued with respect to any of the Current Company IP,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(c) trade secrets or trade secret rights, including any rights to unpatented inventions, know-how,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Product; (d) any and all IP Ancillary Rights specifically relating to any of the foregoing; and (e) regulatory filings, submissions and approvals related to the Products.</w:t>
      </w:r>
    </w:p>
    <w:p>
      <w:pPr>
        <w:spacing w:after="0" w:line="174"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 medical device company participating in the development, manufacture and commercialization of surgical devices for the treatment of patients with lower back symptoms.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means, with respect to Borrower and its Subsidiaries on a consolidated basis for any period,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each of the following to the extent deducted in calculating such Consolidated Net Income, without duplication: (i) Consolidated Net Interest Expense for such period; (ii) the sum of federal, state, local and foreign income Taxes accrued or paid in cash during such period; (iii) the amount of depreciation expense deducted in determining Consolidated Net Income for such period; (iv) the amount of amortization expense deducted in determining Consolidated Net Income for such period; (v) any non-cash stock compensation expense recorded pursuant to FASB 123R for such period; (vi) to the extent actually paid during such period, fees and expenses related to the consummation of the transactions contemplated to be closed on the Tranche A Closing Date; (vii) transaction costs related to Permitted Acquisitions, Permitted Investments or any offering by Borrower of its Equity Interests during such period; and (viii) litigation costs.</w:t>
      </w:r>
    </w:p>
    <w:p>
      <w:pPr>
        <w:spacing w:after="0" w:line="172"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 means, with respect to Borrower and its Subsidiaries on a consolidated basis for any period, the net income (loss) of Borrower and its Subsidiaries for such period, determined on a consolidated basis and in accordance with Applicable Accounting Standards, but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from the determination of Consolidated Net Income (without duplication): (a) any non-cash extraordinary or non-recurring gains or losses or non-cash gains or losses from Transfers for such period; (b) any restructuring charges; (c) effects of discontinued operations in such period; (d) any Tax refunds, net operating losses or other net Tax benefits received during such period on account of any prior period; and (e) the net income (or loss) of any Person accrued prior to the date (x) it becomes a Subsidiary of Borrower or (y) all or substantially all of the properties or assets of such Person are acquired by a Subsidiary of Borrower, in each case, determined on a consolidated basis and in accordance with Applicable Accounting Standards.</w:t>
      </w:r>
    </w:p>
    <w:p>
      <w:pPr>
        <w:spacing w:after="0" w:line="162"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Interest Expense</w:t>
      </w:r>
      <w:r>
        <w:rPr>
          <w:rFonts w:ascii="Arial" w:cs="Arial" w:eastAsia="Arial" w:hAnsi="Arial"/>
          <w:sz w:val="18"/>
          <w:szCs w:val="18"/>
          <w:color w:val="auto"/>
        </w:rPr>
        <w:t xml:space="preserve">” means, with respect to Borrower and its Subsidiaries on a consolidated basis for any period, total interest expense (including mark-to- market interest expense with respect to any warrants to purchase Equity Interests of Borrower), premium payments, debt discount, fees, charges and related expenses with respect to all outstanding Indebtedness (including Permitted Hedging Agreements) of Borrower and its Subsidiaries for such period, determined on a consolidated basis and in accordance with Applicable Accounting Standards (including interest expense paid to Affiliates of Borrower),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interest income of Borrower and its Subsidiaries for such period, determined on a consolidated basis and in accordance with Applicable Accounting Standards.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476" w:name="page477"/>
    <w:bookmarkEnd w:id="476"/>
    <w:p>
      <w:pPr>
        <w:ind w:right="120"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Consulting Royalties</w:t>
      </w:r>
      <w:r>
        <w:rPr>
          <w:rFonts w:ascii="Arial" w:cs="Arial" w:eastAsia="Arial" w:hAnsi="Arial"/>
          <w:sz w:val="18"/>
          <w:szCs w:val="18"/>
          <w:color w:val="auto"/>
        </w:rPr>
        <w:t xml:space="preserve">” means, with respect to any health care professional or other Person who is a counterparty to a health care professional consulting agreement or similar Contract with Borrower or any of its Subsidiaries, royalty payments due to, or obligations to make royalty payments to or enter into Contracts to pay royalties to, such Person arising out of consulting services provided to Borrower or any of its Subsidiaries relating to product development;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Consulting Royalties under any such agreement or Contract exceed more than eight percent (8%) of sales of the product identified in such agreement or Contract.</w:t>
      </w:r>
    </w:p>
    <w:p>
      <w:pPr>
        <w:spacing w:after="0" w:line="184" w:lineRule="exact"/>
        <w:rPr>
          <w:sz w:val="20"/>
          <w:szCs w:val="20"/>
          <w:color w:val="auto"/>
        </w:rPr>
      </w:pPr>
    </w:p>
    <w:p>
      <w:pPr>
        <w:jc w:val="both"/>
        <w:ind w:right="12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for any Person, any direct or indirect liability, contingent or not, of that Person for (a) any indebtedness, lease, dividend, letter of credit or other obligation of another Person directly or indirectly guaranteed, endorsed, co-made, discounted or sold with recourse by that Person, or for which that Person is directly or indirectly liable; (b) any obligation for undrawn letters of credit for the account of that Person; or</w:t>
      </w:r>
    </w:p>
    <w:p>
      <w:pPr>
        <w:spacing w:after="0" w:line="2" w:lineRule="exact"/>
        <w:rPr>
          <w:sz w:val="20"/>
          <w:szCs w:val="20"/>
          <w:color w:val="auto"/>
        </w:rPr>
      </w:pPr>
    </w:p>
    <w:p>
      <w:pPr>
        <w:ind w:left="240" w:hanging="236"/>
        <w:spacing w:after="0"/>
        <w:tabs>
          <w:tab w:leader="none" w:pos="2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any obligation to pay contingent or deferred consideration or other payments to a counterparty in connection with an Acquisition or a sale or other</w:t>
      </w:r>
    </w:p>
    <w:p>
      <w:pPr>
        <w:spacing w:after="0" w:line="32"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disposition or under any co-promotion or co-marketing arrangement, including, with respect to any purchase price holdback in respect of a portion of the purchase price of an asset sold to such Person to satisfy unperformed obligations of the seller of such asset, any obligation to pay such seller the excess of such holdback over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w:t>
      </w:r>
    </w:p>
    <w:p>
      <w:pPr>
        <w:spacing w:after="0" w:line="175" w:lineRule="exact"/>
        <w:rPr>
          <w:sz w:val="20"/>
          <w:szCs w:val="20"/>
          <w:color w:val="auto"/>
        </w:rPr>
      </w:pPr>
    </w:p>
    <w:p>
      <w:pPr>
        <w:ind w:right="2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lease, deed, sublease, other occupancy agreement, contract, note, mortgage, license, instrument, note, indenture, commitment, undertaking, joint venture or any other agreement, understanding, commitment or legally binding obligation or arrangement, whether written or oral.</w:t>
      </w:r>
    </w:p>
    <w:p>
      <w:pPr>
        <w:spacing w:after="0" w:line="176" w:lineRule="exact"/>
        <w:rPr>
          <w:sz w:val="20"/>
          <w:szCs w:val="20"/>
          <w:color w:val="auto"/>
        </w:rPr>
      </w:pPr>
    </w:p>
    <w:p>
      <w:pPr>
        <w:ind w:right="1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xml:space="preserve">” means any control Contract entered into among the depository institution at which a Credit Party maintains a Deposit Account or the securities intermediary or commodity intermediary at which a Credit Party maintains a Securities Account or a Commodity Account, such Credit Party and (a) if Borrower incurs any Permitted Indebtedness pursuant to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Permitted Indebtedness, the lender in respect of such Permitted Indebtedness, so long as such lender shall have agreed to hold control over such Deposit Account, Securities Account or Commodity Account for the benefit of Lender or (b) in all other cases, Lender, pursuant to which Lender obtains control (within the meaning of the Code) over such Deposit Account, Securities Account or Commodity Account.</w:t>
      </w:r>
    </w:p>
    <w:p>
      <w:pPr>
        <w:spacing w:after="0" w:line="188"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any Term Loan or any other extension of credit by Lender for 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means each of Borrower and any Guarantor.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Company IP</w:t>
      </w:r>
      <w:r>
        <w:rPr>
          <w:rFonts w:ascii="Arial" w:cs="Arial" w:eastAsia="Arial" w:hAnsi="Arial"/>
          <w:sz w:val="16"/>
          <w:szCs w:val="16"/>
          <w:color w:val="auto"/>
        </w:rPr>
        <w:t>” means any and all Intellectual Property pending, registered or issued, which is owned by or exclusively licensed to any of the Credit Parties or any of their Subsidiaries or that any of the Credit Parties or any of their Subsidiaries has the right to acquire or license.</w:t>
      </w:r>
    </w:p>
    <w:p>
      <w:pPr>
        <w:spacing w:after="0" w:line="116"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Company IP Agreement</w:t>
      </w:r>
      <w:r>
        <w:rPr>
          <w:rFonts w:ascii="Arial" w:cs="Arial" w:eastAsia="Arial" w:hAnsi="Arial"/>
          <w:sz w:val="17"/>
          <w:szCs w:val="17"/>
          <w:color w:val="auto"/>
        </w:rPr>
        <w:t>” means any Contract, pursuant to which any Credit Party or any of its Subsidiaries has the legal right to exploit Current Company IP that is owned by another Person for the Manufacture, use, Commercialization or supply of any Product.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Data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4.5(w)</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0" w:right="439" w:bottom="1440" w:gutter="0" w:footer="0" w:header="0"/>
        </w:sectPr>
      </w:pPr>
    </w:p>
    <w:bookmarkStart w:id="477" w:name="page478"/>
    <w:bookmarkEnd w:id="4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which, with the giving of notice or the lapse of time or both, would constitute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any “deposit account” as defined in the Code with such additions to such term as may hereafter be made.</w:t>
      </w:r>
    </w:p>
    <w:p>
      <w:pPr>
        <w:spacing w:after="0" w:line="225" w:lineRule="exact"/>
        <w:rPr>
          <w:sz w:val="20"/>
          <w:szCs w:val="20"/>
          <w:color w:val="auto"/>
        </w:rPr>
      </w:pPr>
    </w:p>
    <w:p>
      <w:pPr>
        <w:ind w:right="3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Letter</w:t>
      </w:r>
      <w:r>
        <w:rPr>
          <w:rFonts w:ascii="Arial" w:cs="Arial" w:eastAsia="Arial" w:hAnsi="Arial"/>
          <w:sz w:val="16"/>
          <w:szCs w:val="16"/>
          <w:color w:val="auto"/>
        </w:rPr>
        <w:t>” means the disclosure letter, dated as of the Effective Date, delivered by Borrower to Lender, as updated on the Tranche A Closing Date (if required), on the Tranche B Closing Date (if applicable) and from time to time pursuant to the terms of this Agreement.</w:t>
      </w:r>
    </w:p>
    <w:p>
      <w:pPr>
        <w:spacing w:after="0" w:line="116"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72" w:lineRule="exact"/>
        <w:rPr>
          <w:sz w:val="20"/>
          <w:szCs w:val="20"/>
          <w:color w:val="auto"/>
        </w:rPr>
      </w:pPr>
    </w:p>
    <w:p>
      <w:pPr>
        <w:ind w:right="140" w:firstLine="444"/>
        <w:spacing w:after="0" w:line="277" w:lineRule="auto"/>
        <w:tabs>
          <w:tab w:leader="none" w:pos="65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62" w:lineRule="exact"/>
        <w:rPr>
          <w:rFonts w:ascii="Arial" w:cs="Arial" w:eastAsia="Arial" w:hAnsi="Arial"/>
          <w:sz w:val="18"/>
          <w:szCs w:val="18"/>
          <w:color w:val="auto"/>
        </w:rPr>
      </w:pPr>
    </w:p>
    <w:p>
      <w:pPr>
        <w:ind w:right="120" w:firstLine="444"/>
        <w:spacing w:after="0" w:line="308" w:lineRule="auto"/>
        <w:tabs>
          <w:tab w:leader="none" w:pos="706" w:val="left"/>
        </w:tabs>
        <w:numPr>
          <w:ilvl w:val="0"/>
          <w:numId w:val="471"/>
        </w:numPr>
        <w:rPr>
          <w:rFonts w:ascii="Arial" w:cs="Arial" w:eastAsia="Arial" w:hAnsi="Arial"/>
          <w:sz w:val="17"/>
          <w:szCs w:val="17"/>
          <w:color w:val="auto"/>
        </w:rPr>
      </w:pPr>
      <w:r>
        <w:rPr>
          <w:rFonts w:ascii="Arial" w:cs="Arial" w:eastAsia="Arial" w:hAnsi="Arial"/>
          <w:sz w:val="17"/>
          <w:szCs w:val="17"/>
          <w:color w:val="auto"/>
        </w:rPr>
        <w:t>is convertible or exchangeable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38" w:lineRule="exact"/>
        <w:rPr>
          <w:rFonts w:ascii="Arial" w:cs="Arial" w:eastAsia="Arial" w:hAnsi="Arial"/>
          <w:sz w:val="17"/>
          <w:szCs w:val="17"/>
          <w:color w:val="auto"/>
        </w:rPr>
      </w:pPr>
    </w:p>
    <w:p>
      <w:pPr>
        <w:ind w:right="140" w:firstLine="444"/>
        <w:spacing w:after="0" w:line="259" w:lineRule="auto"/>
        <w:tabs>
          <w:tab w:leader="none" w:pos="75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is or may be redeemable (other than solely for Equity Interests in such Person that do not constitute Disqualified Equity Interests and cash in lieu of fractional shares of such Equity Interests) or is or may be required to be repurchased by such Person or any of its Affiliates (other than, at the option of such Person, solely for Equity Interests in such Person that do not constitute Disqualified Equity Interests and cash in lieu of fractional shares of such Equity Interests), in whole or in part, at the option of the holder thereof;</w:t>
      </w:r>
    </w:p>
    <w:p>
      <w:pPr>
        <w:spacing w:after="0" w:line="79"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in each case, on or prior to the date that occurs 91 days after the Term Loan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Equity Interests that would not constitute Disqualified Equity Interests but for provisions thereof giving holders thereof the right to require such Person to purchase or redeem such Equity Interests upon the occurrence of an “asset sale,” “fundamental change” or “change of control” occurring prior to the date that is 91 days after the Term Loan Maturity Date shall not constitute Disqualified Equity Interest if the “asset sale,” “fundamental change” or “change of control” provisions applicable to such Equity Interests are not more favorable to the holders of such Equity Interests than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the provisions relating to a Change in Control contained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Equity Interests are issued to any plan for the benefit of directors, managers, employees or consultants of Borrower or its Subsidiaries or by any such plan to such directors, managers, employees or consultants, such Equity Interests shall not constitute Disqualified Equity Interest solely because they may be required to be repurchased by Borrower or its Subsidiaries in order to satisfy applicable statutory or regulatory obligations.</w:t>
      </w:r>
    </w:p>
    <w:p>
      <w:pPr>
        <w:spacing w:after="0" w:line="178"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with respect to any Credit Party, a Subsidiary of such Credit Party that is incorporated or organized under the laws of the United States.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w:t>
      </w:r>
    </w:p>
    <w:p>
      <w:pPr>
        <w:spacing w:after="0" w:line="2" w:lineRule="exact"/>
        <w:rPr>
          <w:sz w:val="20"/>
          <w:szCs w:val="20"/>
          <w:color w:val="auto"/>
        </w:rPr>
      </w:pPr>
    </w:p>
    <w:p>
      <w:pPr>
        <w:ind w:left="5420" w:right="1640" w:hanging="5416"/>
        <w:spacing w:after="0" w:line="433" w:lineRule="auto"/>
        <w:tabs>
          <w:tab w:leader="none" w:pos="31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 connection with any actual or alleged damage, injury, threat or harm to health, safety, natural resources or the environment. 55</w:t>
      </w:r>
    </w:p>
    <w:p>
      <w:pPr>
        <w:sectPr>
          <w:pgSz w:w="11900" w:h="16838" w:orient="portrait"/>
          <w:cols w:equalWidth="0" w:num="1">
            <w:col w:w="11020"/>
          </w:cols>
          <w:pgMar w:left="440" w:top="269" w:right="439" w:bottom="1440" w:gutter="0" w:footer="0" w:header="0"/>
        </w:sectPr>
      </w:pPr>
    </w:p>
    <w:bookmarkStart w:id="478" w:name="page479"/>
    <w:bookmarkEnd w:id="478"/>
    <w:p>
      <w:pPr>
        <w:ind w:right="20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current or future foreign or domestic, federal or state (or any subdivision of either of them), statutes, ordinances, orders, rules, regulations, judgments, Governmental Approvals, or any other requirements of Governmental Authorities relating to</w:t>
      </w:r>
    </w:p>
    <w:p>
      <w:pPr>
        <w:spacing w:after="0" w:line="1" w:lineRule="exact"/>
        <w:rPr>
          <w:sz w:val="20"/>
          <w:szCs w:val="20"/>
          <w:color w:val="auto"/>
        </w:rPr>
      </w:pPr>
    </w:p>
    <w:p>
      <w:pPr>
        <w:ind w:right="20" w:firstLine="4"/>
        <w:spacing w:after="0" w:line="255" w:lineRule="auto"/>
        <w:tabs>
          <w:tab w:leader="none" w:pos="21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86" w:lineRule="exact"/>
        <w:rPr>
          <w:sz w:val="20"/>
          <w:szCs w:val="20"/>
          <w:color w:val="auto"/>
        </w:rPr>
      </w:pPr>
    </w:p>
    <w:p>
      <w:pPr>
        <w:ind w:right="7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means all “equipment” as defined in the Code with such additions to such term as may hereafter be made, and includes all machinery, fixtures, goods, vehicles (including motor vehicles and trailers), and any interest in any of the foregoing.</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Cure Right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Interests</w:t>
      </w:r>
      <w:r>
        <w:rPr>
          <w:rFonts w:ascii="Arial" w:cs="Arial" w:eastAsia="Arial" w:hAnsi="Arial"/>
          <w:sz w:val="17"/>
          <w:szCs w:val="17"/>
          <w:color w:val="auto"/>
        </w:rPr>
        <w:t>”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(including through convertible securities), and all other rights, powers, privileges, interests, claims and other property in any manner arising therefrom or relating thereto.</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and its regulations.</w:t>
      </w:r>
    </w:p>
    <w:p>
      <w:pPr>
        <w:spacing w:after="0" w:line="225"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person, any trade or business (whether or not incorporated) that, together with such person, is treated as a single employer under Section 414 of the IRC.</w:t>
      </w:r>
    </w:p>
    <w:p>
      <w:pPr>
        <w:spacing w:after="0" w:line="16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by regulation); (b) with respect to a Plan, the failure to satisfy the minimum funding standard of Section 412 of the IRC and Section 302 of ERISA, whether or not waived; (c) the failure to make by its due date a required installment under Section 430(j) of the IRC (or Section 430(j) of the IRC, as amended by the Pension Protection Act of 2006) with respect to any Plan or the failure to make any required contribution to a Multiemployer Plan; (d) the filing pursuant to Section 412(c) of the IRC or Section 303(d) of ERISA (or after the effective date of the Pension Protection Act of 2006, Section 412(c) of the IRC and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could reasonably be expected to constitute grounds under ERISA for the termination of, or the appointment of a trustee to administer, any Plan; (g) the incurrence by Borrower or its Subsidiaries or any of their respective ERISA Affiliates of any liability with respect to the withdrawal from any Plan or Multiemployer Plan; (h) the receipt by Borrower or its Subsidiaries or any of their respective ERISA Affiliates of any notice, concerning the imposition of Withdrawal Liability or a determination that a Multiemployer Plan is, or is expected to be, insolvent or in reorganization, within the meaning of Title IV of ERISA; (i) the “substantial cessation of operations” within the meaning of Section 4062(e) of ERISA with respect to a Plan; (j) the making of any amendment to any Plan which could result in the imposition of a lien or the posting of a bond or other security; and (k) the occurrence of a nonexempt prohibited transaction (within the meaning of Section 4975 of the IRC or Section 406 of ERISA) which could reasonably be expected to result in material liability to Borrower or its Subsidiaries.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Loss”</w:t>
      </w:r>
      <w:r>
        <w:rPr>
          <w:rFonts w:ascii="Arial" w:cs="Arial" w:eastAsia="Arial" w:hAnsi="Arial"/>
          <w:sz w:val="16"/>
          <w:szCs w:val="16"/>
          <w:color w:val="auto"/>
        </w:rPr>
        <w:t xml:space="preserve"> means, with respect to any properties or assets, any of the following: (a) any loss, destruction or damage of such properties or assets; (b) any transfer in lieu of any pending or threatened (in writing) institution of any proceedings for the condemnation or seizure of such properties or assets or for the exercise of any right of eminent domain; or (c) any actual condemnation, seizure or taking, by exercise of the power of eminent domain or otherwise, of such properties or assets, or confiscation of such properties or assets or the requisition of the use of such properties or assets.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69" w:right="439" w:bottom="1440" w:gutter="0" w:footer="0" w:header="0"/>
        </w:sectPr>
      </w:pPr>
    </w:p>
    <w:bookmarkStart w:id="479" w:name="page480"/>
    <w:bookmarkEnd w:id="4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Excluded Equity Interests</w:t>
      </w:r>
      <w:r>
        <w:rPr>
          <w:rFonts w:ascii="Arial" w:cs="Arial" w:eastAsia="Arial" w:hAnsi="Arial"/>
          <w:sz w:val="16"/>
          <w:szCs w:val="16"/>
          <w:color w:val="auto"/>
        </w:rPr>
        <w:t xml:space="preserve">” means, collectively, (i) any Equity Interests of any Domestic Subsidiary indirectly owned by a Credit Party through a Foreign Subsidiary; (ii) any voting stock in excess of 65% of the issued and outstanding voting stock of any Foreign Subsidiary directly owned by any Credit Party or any Domestic Subsidiary directly owned by any Credit Party that is a CFC Holding Company which, pursuant to </w:t>
      </w:r>
      <w:r>
        <w:rPr>
          <w:rFonts w:ascii="Arial" w:cs="Arial" w:eastAsia="Arial" w:hAnsi="Arial"/>
          <w:sz w:val="16"/>
          <w:szCs w:val="16"/>
          <w:u w:val="single" w:color="auto"/>
          <w:color w:val="auto"/>
        </w:rPr>
        <w:t>Section 5.14</w:t>
      </w:r>
      <w:r>
        <w:rPr>
          <w:rFonts w:ascii="Arial" w:cs="Arial" w:eastAsia="Arial" w:hAnsi="Arial"/>
          <w:sz w:val="16"/>
          <w:szCs w:val="16"/>
          <w:color w:val="auto"/>
        </w:rPr>
        <w:t>, is not required to be pledged to secure the Obligations; (iii) any Equity Interests of any other Domestic Subsidiary with respect to which, Borrower and Lender reasonably determine by mutual agreement that the cost of granting Lender a security interest, in and Lien upon, and pledging to Lender, such Equity Interests, to secure the Obligations (and any guaranty thereof) are excessive, relative to the value to be afforded to Lender thereby; (iv) any Equity Interests of any other Domestic Subsidiary with respect to which, Borrower and Lender reasonably determine by mutual agreement that the grant to Lender of a security interest in and Lien upon, and the pledge to Lender of, such Equity Interests, to secure the Obligations (and any guaranty thereof) are validly prohibited by Requirement of Law; (v) any Equity Interests of any other Domestic Subsidiary with respect to which, Borrower and Lender reasonably determine by mutual agreement that the grant to Lender of a security interest in and Lien upon, and the pledge to Lender of, such Equity Interests, to secure the Obligations (and any guaranty thereof) require the consent, approval or waiver of any Governmental Authority or other third party and such consent, approval or waiver has not been obtained by Borrower following Borrower’s commercially reasonable efforts to obtain the same; and (vi) any Equity Interests of any other Domestic Subsidiary that is a non-Wholly-Owned Subsidiary, with respect to which, Borrower and Lender reasonably determine by mutual agreement that the grant to Lender of a security interest in and Lien upon, and the pledge to Lender of, such Equity Interests, to secure the Obligations (and any guaranty thereof) are validly prohibited by, or would give any third party (other than Borrower or an Affiliate of Borrower) the right to terminate its obligations under, the Operating Documents of the joint venture agreement or shareholder agreement with respect to, or any other contract with such third party relating to such non-Wholly-Owned Subsidiary (other than customary non-assignment provisions which are ineffective under Article 9 of the Code or other Requirement of Law), but only, in each case, to the extent, and for so long as such Operating Document, joint venture agreement, shareholder agreement or other contract is in effect and Borrower has not obtained the consent, approval or waiver of such third party following Borrower’s commercially reasonable efforts to obtain the same.</w:t>
      </w:r>
    </w:p>
    <w:p>
      <w:pPr>
        <w:spacing w:after="0" w:line="16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License</w:t>
      </w:r>
      <w:r>
        <w:rPr>
          <w:rFonts w:ascii="Arial" w:cs="Arial" w:eastAsia="Arial" w:hAnsi="Arial"/>
          <w:sz w:val="18"/>
          <w:szCs w:val="18"/>
          <w:color w:val="auto"/>
        </w:rPr>
        <w:t xml:space="preserve">” means an exclusive license or sublicense of any Intellectual Property covering any Product that is tantamount to a sale of substantially all rights to such Intellectual Property in a particular geography or field of use because it conveys to the licensee or sublicensee exclusive rights to practice such Intellectual Property in the applicable geography or field of use for consideration that is not based upon future development or Commercialization of any Product (other than pursuant to so-called earn-out payments) or services by the licensee or sublicensee (other than transition services), such as, for example, consideration of only upfront advances or initial license fees or similar payments in consideration of such rights, with no anticipated subsequent payments 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payments to Borrower or any of its Subsidiaries (other than pursuant to so-called earn-out payments or transition services).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Subsidiaries</w:t>
      </w:r>
      <w:r>
        <w:rPr>
          <w:rFonts w:ascii="Arial" w:cs="Arial" w:eastAsia="Arial" w:hAnsi="Arial"/>
          <w:sz w:val="16"/>
          <w:szCs w:val="16"/>
          <w:color w:val="auto"/>
        </w:rPr>
        <w:t>” means, collectively, (i) any Domestic Subsidiary owned indirectly by any Credit Party through a Foreign Subsidiary;</w:t>
      </w:r>
    </w:p>
    <w:p>
      <w:pPr>
        <w:spacing w:after="0" w:line="50" w:lineRule="exact"/>
        <w:rPr>
          <w:sz w:val="20"/>
          <w:szCs w:val="20"/>
          <w:color w:val="auto"/>
        </w:rPr>
      </w:pPr>
    </w:p>
    <w:p>
      <w:pPr>
        <w:ind w:firstLine="4"/>
        <w:spacing w:after="0" w:line="251" w:lineRule="auto"/>
        <w:tabs>
          <w:tab w:leader="none" w:pos="26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Subsidiary with respect to which, Borrower and Lender reasonably determine by mutual agreement that the grant to Lender of a security interest in and Lien upon, and the pledge to Lender of, such Subsidiary’s properties and assets constituting Collateral and the Equity Interests of such Subsidiary, to secure the Obligations (and any guaranty thereof) are validly prohibited by Requirements of Law; (iii) any other Subsidiary with respect to which, Borrower and Lender reasonably determine by mutual agreement that the grant to Lender of a security interest in and Lien upon, and the pledge to Lender of, such Subsidiary’s properties and assets constituting Collateral and the Equity Interests of such Subsidiary, to secure the Obligations (and any guaranty thereof) require the consent, approval or waiver of any Governmental Authority or other third party (other than Borrower or an Affiliate of Borrower) and such consent, approval or waiver has not been obtained by Borrower or such Subsidiary following Borrower’s and such Subsidiary’s commercially reasonable efforts to obtain the same; (iv) any other Subsidiary that is a non-Wholly-Owned Subsidiary, with respect to which, Borrower and Lender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480" w:name="page481"/>
    <w:bookmarkEnd w:id="480"/>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determine by mutual agreement that the grant to Lender of a security interest in and Lien upon, and the pledge to Lender of, such non-Wholly-Owned Subsidiary’s properties and assets constituting Collateral and the Equity Interests of such non-Wholly-Owned Subsidiary, to secure the Obligations (and any guaranty thereof) are validly prohibited by the Operating Documents of such non-Wholly-Owned Subsidiary, but only, in each case, to the extent, and for so long as such Operating Documents are in effect; (v) any other Subsidiary that is a non-Wholly-Owned Subsidiary, with respect to which, Borrower and Lender reasonably determine by mutual agreement that the grant to Lender of a security interest in and Lien upon, and the pledge to Lender of, such non-Wholly-Owned Subsidiary’s properties and assets constituting Collateral and the Equity Interests of such non-Wholly-Owned Subsidiary, to secure the Obligations (and any guaranty thereof) are validly prohibited by, or would give any third party (other than Borrower or an Affiliate of Borrower) the right to terminate its obligations under, the joint venture agreement or shareholder agreement with respect to, or any other Contract with such third party relating to, such non-Wholly-Owned Subsidiary (other than customary non-assignment provisions which are ineffective under Article 9 of the Code or other Requirements of Law), but only, in each case, to the extent, and for so long as such joint venture agreement, shareholder agreement or other Contract is in effect, and Borrower has not obtained the consent, approval or waiver of such third party following Borrower’s commercially reasonable efforts to obtain the same; and (vi) any other Subsidiary with respect to which, Borrower and Lender reasonably determine by mutual agreement that the cost of granting Lender a security interest in and Lien upon, and pledging to Lender, such Subsidiary’s properties and assets constituting Collateral and the Equity Interests of such Subsidiary, to secure the Obligations (and any guaranty thereof) are excessive relative to the value to be afforded to Lender thereby.</w:t>
      </w:r>
    </w:p>
    <w:p>
      <w:pPr>
        <w:spacing w:after="0" w:line="179"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Lender or required to be withheld or deducted from a payment to a Lender: (a) Taxes imposed on or measured by net income (however denominated), franchise Taxes, and branch profits Taxes, in each case,</w:t>
      </w:r>
    </w:p>
    <w:p>
      <w:pPr>
        <w:spacing w:after="0" w:line="1" w:lineRule="exact"/>
        <w:rPr>
          <w:sz w:val="20"/>
          <w:szCs w:val="20"/>
          <w:color w:val="auto"/>
        </w:rPr>
      </w:pPr>
    </w:p>
    <w:p>
      <w:pPr>
        <w:jc w:val="both"/>
        <w:ind w:right="140" w:firstLine="4"/>
        <w:spacing w:after="0" w:line="281" w:lineRule="auto"/>
        <w:tabs>
          <w:tab w:leader="none" w:pos="215" w:val="left"/>
        </w:tabs>
        <w:numPr>
          <w:ilvl w:val="0"/>
          <w:numId w:val="476"/>
        </w:numPr>
        <w:rPr>
          <w:rFonts w:ascii="Arial" w:cs="Arial" w:eastAsia="Arial" w:hAnsi="Arial"/>
          <w:sz w:val="16"/>
          <w:szCs w:val="16"/>
          <w:color w:val="auto"/>
        </w:rPr>
      </w:pPr>
      <w:r>
        <w:rPr>
          <w:rFonts w:ascii="Arial" w:cs="Arial" w:eastAsia="Arial" w:hAnsi="Arial"/>
          <w:sz w:val="16"/>
          <w:szCs w:val="16"/>
          <w:color w:val="auto"/>
        </w:rPr>
        <w:t>imposed as a result of such Lender being organized under the laws of, or having its principal office or its applicable lending office located in, the jurisdiction imposing such Tax (or any political subdivision thereof) or (ii) that are otherwise Other Connection Taxes; (b) U.S. federal withholding Taxes imposed on amounts payable to or for the account of such Lender with respect to any Obligation pursuant to a law in effect on the date on which</w:t>
      </w:r>
    </w:p>
    <w:p>
      <w:pPr>
        <w:spacing w:after="0" w:line="2" w:lineRule="exact"/>
        <w:rPr>
          <w:rFonts w:ascii="Arial" w:cs="Arial" w:eastAsia="Arial" w:hAnsi="Arial"/>
          <w:sz w:val="16"/>
          <w:szCs w:val="16"/>
          <w:color w:val="auto"/>
        </w:rPr>
      </w:pPr>
    </w:p>
    <w:p>
      <w:pPr>
        <w:ind w:right="60" w:firstLine="4"/>
        <w:spacing w:after="0" w:line="273" w:lineRule="auto"/>
        <w:tabs>
          <w:tab w:leader="none" w:pos="215"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such Lender acquires an interest in any Obligation or (ii) such Lender changes its lending office (other than pursuant to a request from Borrower), except in each case to the extent that,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Lender’s failure to comply with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and (d) any U.S. federal withholding Taxes imposed under FATCA.</w:t>
      </w:r>
    </w:p>
    <w:p>
      <w:pPr>
        <w:spacing w:after="0" w:line="173"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Oxford Loan Agreement</w:t>
      </w:r>
      <w:r>
        <w:rPr>
          <w:rFonts w:ascii="Arial" w:cs="Arial" w:eastAsia="Arial" w:hAnsi="Arial"/>
          <w:sz w:val="18"/>
          <w:szCs w:val="18"/>
          <w:color w:val="auto"/>
        </w:rPr>
        <w:t>” means, collectively, that certain Loan and Security Agreement, dated as of October 20, 2015, among Oxford Finance LLC, a Delaware limited liability company, as collateral agent, the lenders party thereto from time to time and Borrower, as may be amended, restated, supplemented or otherwise modified, together with each other Loan Document (as such term is defined in the Existing Oxford Loan Agreement).</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means any real property (including all buildings, fixtures or other improvements located thereon) now, hereafter or heretofore owned, leased or operated by any Credit Party or any of its Subsidiaries or any of its or their respective predecessors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solely with respect to any leased office space, “Facility” shall include only those premises which are actually leased by such applicable Credit Party or Subsidiary.</w:t>
      </w:r>
    </w:p>
    <w:p>
      <w:pPr>
        <w:spacing w:after="0" w:line="180"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IRC, as of the date of this Agreement (including, for the avoidance of doubt, any agreements between the governments of the United States and the jurisdiction in which the applicable Lender is resident implementing such provisions),or any amended or successor version that is substantively comparable and not materially more onerous to comply with, and any current or future regulations promulgated thereunder or official interpretations thereof, any agreements entered into pursuant to Section 1471(b)(i) of the IRC and any law implementing an intergovernmental agreement that is included in this definition.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foreign equivalent).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481" w:name="page482"/>
    <w:bookmarkEnd w:id="481"/>
    <w:p>
      <w:pPr>
        <w:ind w:right="7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FDA Good Manufacturing Practices</w:t>
      </w:r>
      <w:r>
        <w:rPr>
          <w:rFonts w:ascii="Arial" w:cs="Arial" w:eastAsia="Arial" w:hAnsi="Arial"/>
          <w:sz w:val="18"/>
          <w:szCs w:val="18"/>
          <w:color w:val="auto"/>
        </w:rPr>
        <w:t>” means the current good manufacturing practices requirements as set forth in the quality system regulation 21 C.F.R. Part 820 and the Canadian equivalent set forth in ISO 13485.</w:t>
      </w:r>
    </w:p>
    <w:p>
      <w:pPr>
        <w:spacing w:after="0" w:line="162" w:lineRule="exact"/>
        <w:rPr>
          <w:sz w:val="20"/>
          <w:szCs w:val="20"/>
          <w:color w:val="auto"/>
        </w:rPr>
      </w:pPr>
    </w:p>
    <w:p>
      <w:pPr>
        <w:ind w:right="4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 Laws</w:t>
      </w:r>
      <w:r>
        <w:rPr>
          <w:rFonts w:ascii="Arial" w:cs="Arial" w:eastAsia="Arial" w:hAnsi="Arial"/>
          <w:sz w:val="17"/>
          <w:szCs w:val="17"/>
          <w:color w:val="auto"/>
        </w:rPr>
        <w:t>” means all applicable statutes, rules, regulations, standards, policies and orders administered or issued by FDA (and any foreign equivalent), including the FDA’s Fraud, Untrue Statements of Material Facts, Bribery and Illegal Gratuities Final Policy.</w:t>
      </w:r>
    </w:p>
    <w:p>
      <w:pPr>
        <w:spacing w:after="0" w:line="138"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 Registration and Listing Requirements</w:t>
      </w:r>
      <w:r>
        <w:rPr>
          <w:rFonts w:ascii="Arial" w:cs="Arial" w:eastAsia="Arial" w:hAnsi="Arial"/>
          <w:sz w:val="18"/>
          <w:szCs w:val="18"/>
          <w:color w:val="auto"/>
        </w:rPr>
        <w:t>” means the registration and listing requirements set forth in 21 U.S.C. § 360 and 21 C.F.R. Part 807 and all similar Requirements of Law (and any foreign equivalent).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FDCA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with respect to any Credit Party, any Subsidiary of such Credit Party that is not a Domestic Subsidiary.</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means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any agency, government department, authority, instrumentality, regulatory body, court, central bank or other entity exercising executive, legislative, judicial, taxing, regulatory or administrative functions of or pertaining to government, any securities exchange and any self-regulatory organization, in each case, whether domestic or foreign.</w:t>
      </w:r>
    </w:p>
    <w:p>
      <w:pPr>
        <w:spacing w:after="0" w:line="180"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Payor Programs</w:t>
      </w:r>
      <w:r>
        <w:rPr>
          <w:rFonts w:ascii="Arial" w:cs="Arial" w:eastAsia="Arial" w:hAnsi="Arial"/>
          <w:sz w:val="18"/>
          <w:szCs w:val="18"/>
          <w:color w:val="auto"/>
        </w:rPr>
        <w:t>” means all governmental third party payor programs in which any Credit Party or its Subsidiaries participates, including Medicare, Medicaid, TRICARE or any other federal or state health care programs (and any foreign equivalent).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Domestic Subsidiary that is a present or future guarantor of the Obligations.</w:t>
      </w:r>
    </w:p>
    <w:p>
      <w:pPr>
        <w:spacing w:after="0" w:line="225"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76"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 Activity</w:t>
      </w:r>
      <w:r>
        <w:rPr>
          <w:rFonts w:ascii="Arial" w:cs="Arial" w:eastAsia="Arial" w:hAnsi="Arial"/>
          <w:sz w:val="17"/>
          <w:szCs w:val="17"/>
          <w:color w:val="auto"/>
        </w:rPr>
        <w:t>” means any past, current, proposed or threatened (in writing) activity, event or occurrence involving any Hazardous Materials, including the use, manufacture, possession, storage, holding, presence, existence, location, Release, threatened (in writing)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6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Laws</w:t>
      </w:r>
      <w:r>
        <w:rPr>
          <w:rFonts w:ascii="Arial" w:cs="Arial" w:eastAsia="Arial" w:hAnsi="Arial"/>
          <w:sz w:val="18"/>
          <w:szCs w:val="18"/>
          <w:color w:val="auto"/>
        </w:rPr>
        <w:t>” means, collectively: (a) any and all federal, state or local laws, rules, regulations, orders, ordinances, statutes and requirements issued under or in connection with Medicare, Medicaid or any other Government Payor Program; (b) federal and state laws and regulations governing the confidentiality of patient information, including HIPAA; (c) accreditation standards and requirements of all applicable state laws or regulatory bodies; (d) any and all federal, state and local fraud and abuse laws of any Governmental Authority, including the federal Anti-Kickback Statute (42 U.S.C. § 1320a-7(b)), the civil False Claims Act (31 U.S.C. § 3729 et seq.), Sections 1320a-7 and 1320a-7a of Title 42 of the United States Code and the regulations promulgated pursuant to such statutes; (e) any and all Requirements of Law relating to the billing or submission of claims to Government Payor Programs or other third party payors; (f) the Physician Payment Sunshine Act (42 U.S.C. § 1320a-7h); (g) California Health &amp; Safety Code §§ 119400 – 119402; (h) all other applicable health care laws, rules, codes, statutes, regulations, orders, ordinances, policies, administrative guidance and requirements pertaining to Medicare or Medicaid, in each case, in any manner applicable to any Credit Party or any of its Subsidiaries; (i) 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0" w:right="439" w:bottom="1440" w:gutter="0" w:footer="0" w:header="0"/>
        </w:sectPr>
      </w:pPr>
    </w:p>
    <w:bookmarkStart w:id="482" w:name="page483"/>
    <w:bookmarkEnd w:id="48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all federal, state or local laws, rules, regulations, ordinances, statutes and requirements relating to billings to insurance companies, health maintenance organizations and other Managed Care Plans or otherwise relating to insurance fraud; and (j) any and all foreign health care laws, rules, codes, regulations, orders, ordinances, statutes and requirements which, in each case, are analogous to any of the foregoing and applicable to any Credit Party or any of its Subsidiaries in any manner.</w:t>
      </w:r>
    </w:p>
    <w:p>
      <w:pPr>
        <w:spacing w:after="0" w:line="183"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interest rate, currency, commodity or equity swap, collar, cap, floor or forward rate agreement, or other Contract or arrangement designed to protect a Person against fluctuations in interest rates, currency exchange rates or commodity or equity prices or values (including any option with respect to any of the foregoing and any combination of the foregoing agreements, Contracts or arrangements), and any confirmation executed in connection with any such agreement, Contract or arrangement.</w:t>
      </w:r>
    </w:p>
    <w:p>
      <w:pPr>
        <w:spacing w:after="0" w:line="180"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the Health Insurance Portability and Accountability Act of 1996, any and all rules or regulations promulgated from time to time thereunder, and any comparable U.S. state laws.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 Compliance Plan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without duplication: (a) all indebtedness for advanced or borrowed money of such Person;</w:t>
      </w:r>
    </w:p>
    <w:p>
      <w:pPr>
        <w:spacing w:after="0" w:line="50" w:lineRule="exact"/>
        <w:rPr>
          <w:sz w:val="20"/>
          <w:szCs w:val="20"/>
          <w:color w:val="auto"/>
        </w:rPr>
      </w:pPr>
    </w:p>
    <w:p>
      <w:pPr>
        <w:ind w:firstLine="4"/>
        <w:spacing w:after="0" w:line="284" w:lineRule="auto"/>
        <w:tabs>
          <w:tab w:leader="none" w:pos="255"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all obligations issued, undertaken or assumed by such Person as the deferred purchase price of property, services or rights (other than (i) accrued expenses and trade payables entered into in the ordinary course of business that are not more than one hundred twenty (120) days past due or subject to a bona fide dispute, (ii) obligations to pay for services provided by employees and individual independent contractors in the ordinary course of business that are not more than one hundred twenty (120) days past due or subject to a bona fide dispute (including any obligations in respect of deferred compensation and severance, pension, health and welfare retirement and equivalent benefits to current or former employees, directors, officers, consultants or managers of any acquired Person and its Subsidiaries in connection with any Permitted Acquisition), (iii) liabilities associated with customer prepayments and deposits and (iv) prepaid or deferred revenue arising in the ordinary course of business), including any obligation or liability to pay deferred or contingent purchase price or other consideration for such property, services or rights;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off-balance sheet loan or similar off balance sheet financing product provided to such Person; (h) all Disqualified Equity Interests (excluding any accrued dividends); (i) all indebtedness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of other Persons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and (j) all Contingent Obligations.</w:t>
      </w:r>
    </w:p>
    <w:p>
      <w:pPr>
        <w:spacing w:after="0" w:line="16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Liabilities</w:t>
      </w:r>
      <w:r>
        <w:rPr>
          <w:rFonts w:ascii="Arial" w:cs="Arial" w:eastAsia="Arial" w:hAnsi="Arial"/>
          <w:sz w:val="17"/>
          <w:szCs w:val="17"/>
          <w:color w:val="auto"/>
        </w:rPr>
        <w:t>” means, collectively, any and all liabilities, obligations, losses, damages (including natural resource damages), penalties, claims, actions, judgments, suits, costs, expenses and disbursements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any fees or expenses incurred by Indemnified Persons in enforcing the indemnity hereunder (including the reasonable and documented fees and disbursements of counsel for Indemnified Persons (it being agreed that such legal counsel fees and expenses shall be limited to one primary counsel and one Intellectual Property counsel (if and to the extent applicable) for the Indemnified Persons, except in the case of actual or potential conflicts of interest between or among the Indemnified Persons)),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3" w:right="439" w:bottom="1440" w:gutter="0" w:footer="0" w:header="0"/>
        </w:sectPr>
      </w:pPr>
    </w:p>
    <w:bookmarkStart w:id="483" w:name="page484"/>
    <w:bookmarkEnd w:id="48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 or the transactions contemplated hereby or thereby (including Lender’s agreement to make the Credit Extensions or the use or intended use of the proceeds thereof, or any enforcement of any of the Loan Documents (including any sale of, collection from, or other realization upon any of the Collateral or the enforcement of any guaranty of the Obligations)).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Other Taxes.</w:t>
      </w:r>
    </w:p>
    <w:p>
      <w:pPr>
        <w:spacing w:after="0" w:line="11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with respect to any Person, any proceeding by or against such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w:t>
      </w:r>
    </w:p>
    <w:p>
      <w:pPr>
        <w:spacing w:after="0" w:line="121" w:lineRule="exact"/>
        <w:rPr>
          <w:sz w:val="20"/>
          <w:szCs w:val="20"/>
          <w:color w:val="auto"/>
        </w:rPr>
      </w:pPr>
    </w:p>
    <w:p>
      <w:pPr>
        <w:ind w:left="680" w:hanging="236"/>
        <w:spacing w:after="0"/>
        <w:tabs>
          <w:tab w:leader="none" w:pos="6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Copyrights, Trademarks, and Patents;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trade secrets and trade secret rights, including any rights to unpatented inventions, know-how, operating manuals;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Software (as such term is defined in the Security Agreement);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Internet Domain Names (as such term is defined in the Security Agreement);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design rights;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IP Ancillary Rights; and</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similar or equivalent rights to any of the foregoing anywhere in the world.</w:t>
      </w:r>
    </w:p>
    <w:p>
      <w:pPr>
        <w:spacing w:after="0" w:line="221"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custody or possession or in transit and including any returned goods and any documents of title representing any of the above.</w:t>
      </w:r>
    </w:p>
    <w:p>
      <w:pPr>
        <w:spacing w:after="0" w:line="18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(i) any beneficial ownership interest in any Person (including Equity Interests), (ii) any Acquisition or (iii) the making of any advance, loan, extension of credit or capital contribution in or to, any Person.</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Agreements</w:t>
      </w:r>
      <w:r>
        <w:rPr>
          <w:rFonts w:ascii="Arial" w:cs="Arial" w:eastAsia="Arial" w:hAnsi="Arial"/>
          <w:sz w:val="18"/>
          <w:szCs w:val="18"/>
          <w:color w:val="auto"/>
        </w:rPr>
        <w:t>” means those certain Intellectual Property Security Agreements entered into by and between Borrower and Lender, each dated as of the Tranche A Closing Date, as such may be amended, restated, supplemented or otherwise modified from time to time.</w:t>
      </w:r>
    </w:p>
    <w:p>
      <w:pPr>
        <w:spacing w:after="0" w:line="162"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Ancillary Rights</w:t>
      </w:r>
      <w:r>
        <w:rPr>
          <w:rFonts w:ascii="Arial" w:cs="Arial" w:eastAsia="Arial" w:hAnsi="Arial"/>
          <w:sz w:val="17"/>
          <w:szCs w:val="17"/>
          <w:color w:val="auto"/>
        </w:rPr>
        <w:t>” means, with respect to any Copyright, Trademark, Patent, Software, trade secrets or trade secret rights, including any rights to unpatented inventions, know-how,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3" w:right="439" w:bottom="1440" w:gutter="0" w:footer="0" w:header="0"/>
        </w:sectPr>
      </w:pPr>
    </w:p>
    <w:bookmarkStart w:id="484" w:name="page485"/>
    <w:bookmarkEnd w:id="4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IRC</w:t>
      </w:r>
      <w:r>
        <w:rPr>
          <w:rFonts w:ascii="Arial" w:cs="Arial" w:eastAsia="Arial" w:hAnsi="Arial"/>
          <w:sz w:val="18"/>
          <w:szCs w:val="18"/>
          <w:color w:val="auto"/>
        </w:rPr>
        <w:t>” means the Internal Revenue Code of 1986, as amended, and any regulations promulgated thereunder.</w:t>
      </w:r>
    </w:p>
    <w:p>
      <w:pPr>
        <w:spacing w:after="0" w:line="225" w:lineRule="exact"/>
        <w:rPr>
          <w:sz w:val="20"/>
          <w:szCs w:val="20"/>
          <w:color w:val="auto"/>
        </w:rPr>
      </w:pPr>
    </w:p>
    <w:p>
      <w:pPr>
        <w:ind w:right="20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or to the “</w:t>
      </w:r>
      <w:r>
        <w:rPr>
          <w:rFonts w:ascii="Arial" w:cs="Arial" w:eastAsia="Arial" w:hAnsi="Arial"/>
          <w:sz w:val="16"/>
          <w:szCs w:val="16"/>
          <w:b w:val="1"/>
          <w:bCs w:val="1"/>
          <w:color w:val="auto"/>
        </w:rPr>
        <w:t>Knowledge</w:t>
      </w:r>
      <w:r>
        <w:rPr>
          <w:rFonts w:ascii="Arial" w:cs="Arial" w:eastAsia="Arial" w:hAnsi="Arial"/>
          <w:sz w:val="16"/>
          <w:szCs w:val="16"/>
          <w:color w:val="auto"/>
        </w:rPr>
        <w:t>” of any Credit Party or any Subsidiaries of any Credit Party means the actual knowledge, after reasonable investigation, of each of the Chief Executive Officer, Chief Financial Officer, Chief Commercial Officer, Chief Technology Officer, Chief Medical Officer, Chief Compliance Office, President, Vice-President and General Counsel of each Credit Party and each of its Subsidiaries.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defined in the preamble hereof and shall include any successors or assigns.</w:t>
      </w:r>
    </w:p>
    <w:p>
      <w:pPr>
        <w:spacing w:after="0" w:line="225" w:lineRule="exact"/>
        <w:rPr>
          <w:sz w:val="20"/>
          <w:szCs w:val="20"/>
          <w:color w:val="auto"/>
        </w:rPr>
      </w:pPr>
    </w:p>
    <w:p>
      <w:pPr>
        <w:ind w:right="6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Expenses</w:t>
      </w:r>
      <w:r>
        <w:rPr>
          <w:rFonts w:ascii="Arial" w:cs="Arial" w:eastAsia="Arial" w:hAnsi="Arial"/>
          <w:sz w:val="17"/>
          <w:szCs w:val="17"/>
          <w:color w:val="auto"/>
        </w:rPr>
        <w:t>” means all reasonable and documented costs, fees and expenses of Lender incurred in connection with preparing, amending, supplementing, modifying, negotiating, executing and delivering, administering, defending or enforcing, or otherwise preserving its rights and entitlements under, the Loan Documents (including those incurred in connection with appeals or Insolvency Proceedings) or otherwise incurred with respect to the Credit Parties in connection with the Loan Documents, including in all cases the reasonable and documented fees and expenses of legal counsel and any filing or recording fees and expenses (it being agreed that such legal counsel fees and expenses shall be limited to one primary counsel and one Intellectual Property counsel for Lender.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 claim, mortgage, deed of trust, levy, charge, pledge, security interest or other encumbrance of any kind or assignment for security purposes, whether voluntarily incurred or arising by operation of law or otherwise against any properties or assets.</w:t>
      </w:r>
    </w:p>
    <w:p>
      <w:pPr>
        <w:spacing w:after="0" w:line="138" w:lineRule="exact"/>
        <w:rPr>
          <w:sz w:val="20"/>
          <w:szCs w:val="20"/>
          <w:color w:val="auto"/>
        </w:rPr>
      </w:pPr>
    </w:p>
    <w:p>
      <w:pPr>
        <w:ind w:right="7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on any date of determination, the sum of the Credit Parties’ unrestricted cash and Cash Equivalents plus any unused availability under any revolving line of credit (not prohibited under the terms of this Agreement or any other Loan Document) on such date.</w:t>
      </w:r>
    </w:p>
    <w:p>
      <w:pPr>
        <w:spacing w:after="0" w:line="116"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the Disclosure Letter, the Term Loan Note, the Security Agreement, the IP Agreements, each Compliance Certificate, the Perfection Certificate, any Control Agreement, any other Collateral Document, any guaranties executed by a Credit Party and any other present or future Contract between a Credit Party and Lender in connection with this Agreement, as such may be amended, restated, supplemented or otherwise modified from time to time (including, for the avoidance of doubt, any annexes, exhibits or schedules thereto).</w:t>
      </w:r>
    </w:p>
    <w:p>
      <w:pPr>
        <w:spacing w:after="0" w:line="151" w:lineRule="exact"/>
        <w:rPr>
          <w:sz w:val="20"/>
          <w:szCs w:val="20"/>
          <w:color w:val="auto"/>
        </w:rPr>
      </w:pPr>
    </w:p>
    <w:p>
      <w:pPr>
        <w:ind w:right="4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Makewhole Amount</w:t>
      </w:r>
      <w:r>
        <w:rPr>
          <w:rFonts w:ascii="Arial" w:cs="Arial" w:eastAsia="Arial" w:hAnsi="Arial"/>
          <w:sz w:val="17"/>
          <w:szCs w:val="17"/>
          <w:color w:val="auto"/>
        </w:rPr>
        <w:t>” means, on any date of determination occurring prior to the 30-month anniversary of the Tranche A Closing Date, an amount equal to the sum of all interest accruing from such date through the 30-month anniversary of the Tranche A Closing Date.</w:t>
      </w:r>
    </w:p>
    <w:p>
      <w:pPr>
        <w:spacing w:after="0" w:line="138" w:lineRule="exact"/>
        <w:rPr>
          <w:sz w:val="20"/>
          <w:szCs w:val="20"/>
          <w:color w:val="auto"/>
        </w:rPr>
      </w:pPr>
    </w:p>
    <w:p>
      <w:pPr>
        <w:ind w:right="7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Managed Care Plans</w:t>
      </w:r>
      <w:r>
        <w:rPr>
          <w:rFonts w:ascii="Arial" w:cs="Arial" w:eastAsia="Arial" w:hAnsi="Arial"/>
          <w:sz w:val="18"/>
          <w:szCs w:val="18"/>
          <w:color w:val="auto"/>
        </w:rPr>
        <w:t>” means all health maintenance organizations, preferred provider organizations, individual practice associations, competitive medical plans and similar arrangements.</w:t>
      </w:r>
    </w:p>
    <w:p>
      <w:pPr>
        <w:spacing w:after="0" w:line="162" w:lineRule="exact"/>
        <w:rPr>
          <w:sz w:val="20"/>
          <w:szCs w:val="20"/>
          <w:color w:val="auto"/>
        </w:rPr>
      </w:pPr>
    </w:p>
    <w:p>
      <w:pPr>
        <w:ind w:right="2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w:t>
      </w:r>
      <w:r>
        <w:rPr>
          <w:rFonts w:ascii="Arial" w:cs="Arial" w:eastAsia="Arial" w:hAnsi="Arial"/>
          <w:sz w:val="18"/>
          <w:szCs w:val="18"/>
          <w:color w:val="auto"/>
        </w:rPr>
        <w:t>” means, with respect to any Product, any or all of the manufacturing services for the manufacture of such Product, including testing and releasing test material, compounds, raw materials or substances and packaging materials required or used in connection therewith, manufacturing, packaging, labeling, storing, inspecting, release testing and stability storage and testing of such Product. “</w:t>
      </w:r>
      <w:r>
        <w:rPr>
          <w:rFonts w:ascii="Arial" w:cs="Arial" w:eastAsia="Arial" w:hAnsi="Arial"/>
          <w:sz w:val="18"/>
          <w:szCs w:val="18"/>
          <w:b w:val="1"/>
          <w:bCs w:val="1"/>
          <w:color w:val="auto"/>
        </w:rPr>
        <w:t>Manufacture</w:t>
      </w:r>
      <w:r>
        <w:rPr>
          <w:rFonts w:ascii="Arial" w:cs="Arial" w:eastAsia="Arial" w:hAnsi="Arial"/>
          <w:sz w:val="18"/>
          <w:szCs w:val="18"/>
          <w:color w:val="auto"/>
        </w:rPr>
        <w:t>” and “</w:t>
      </w:r>
      <w:r>
        <w:rPr>
          <w:rFonts w:ascii="Arial" w:cs="Arial" w:eastAsia="Arial" w:hAnsi="Arial"/>
          <w:sz w:val="18"/>
          <w:szCs w:val="18"/>
          <w:b w:val="1"/>
          <w:bCs w:val="1"/>
          <w:color w:val="auto"/>
        </w:rPr>
        <w:t>Manufactured</w:t>
      </w:r>
      <w:r>
        <w:rPr>
          <w:rFonts w:ascii="Arial" w:cs="Arial" w:eastAsia="Arial" w:hAnsi="Arial"/>
          <w:sz w:val="18"/>
          <w:szCs w:val="18"/>
          <w:color w:val="auto"/>
        </w:rPr>
        <w:t>” shall have comparable meanings.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Agreements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4.13.</w:t>
      </w:r>
    </w:p>
    <w:p>
      <w:pPr>
        <w:spacing w:after="0" w:line="225" w:lineRule="exact"/>
        <w:rPr>
          <w:sz w:val="20"/>
          <w:szCs w:val="20"/>
          <w:color w:val="auto"/>
        </w:rPr>
      </w:pPr>
    </w:p>
    <w:p>
      <w:pPr>
        <w:ind w:right="4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material adverse change in or material adverse effect on: (i) the business, condition (financial or otherwise), assets (including all or a material portion of the Collateral), liabilities (actual or contingent), operations, management, performance or properties of the Credit Parties, taken as a whole,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0" w:right="499" w:bottom="1440" w:gutter="0" w:footer="0" w:header="0"/>
        </w:sectPr>
      </w:pPr>
    </w:p>
    <w:bookmarkStart w:id="485" w:name="page486"/>
    <w:bookmarkEnd w:id="485"/>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since December 31, 2016; (ii) without limiting the generality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any rights in or related to any material Product, individually, or the Products, taken as a whole, or the Commercialization, research or clinical development of any material Product, individually, or the Products, taken as a whole; (iii) the ability of Borrower, individually, or the Credit Parties, taken as a whole, to fulfill the payment or performance obligations under this Agreement or any other Loan Document to which it is party or they are parties (including as a result of Borrower failing to remain Solvent, Borrower and its Subsidiaries that are Credit Parties, on a consolidated basis, failing to remain Solvent, or Borrower and its Subsidiaries, on a consolidated basis, failing to remain Solvent); or (iv) the binding nature or validity of, or the ability of Lender to enforce, this Agreement or any other Loan Document or any of its rights or remedies hereunder or thereunder. Notwithstanding anything to the contrary herein, an adverse reimbursement decision by an insurance company in respect of a Product shall not be a “Material Adverse Change.”</w:t>
      </w:r>
    </w:p>
    <w:p>
      <w:pPr>
        <w:spacing w:after="0" w:line="175" w:lineRule="exact"/>
        <w:rPr>
          <w:sz w:val="20"/>
          <w:szCs w:val="20"/>
          <w:color w:val="auto"/>
        </w:rPr>
      </w:pPr>
    </w:p>
    <w:p>
      <w:pPr>
        <w:ind w:right="2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to which a Credit Party or any of its Subsidiaries is a party (other than the Loan Documents) or by which any of its assets is bound (as such may be amended, restated, supplemented or otherwise modified from time to time), for which breach, nonperformance, cancellation, termination or failure to renew could reasonably be expected to result in a Material Adverse Change, but excluding, in any case, any customer contracts. For the avoidance of doubt, “Material Contract” includes any Manufacturing Agreement.</w:t>
      </w:r>
    </w:p>
    <w:p>
      <w:pPr>
        <w:spacing w:after="0" w:line="16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Medicaid</w:t>
      </w:r>
      <w:r>
        <w:rPr>
          <w:rFonts w:ascii="Arial" w:cs="Arial" w:eastAsia="Arial" w:hAnsi="Arial"/>
          <w:sz w:val="18"/>
          <w:szCs w:val="18"/>
          <w:color w:val="auto"/>
        </w:rPr>
        <w:t>” means, collectively, the health care assistance program established by Title XIX of the SSA (42 U.S.C. 1396 et seq.) and any statutes succeeding thereto, and all laws, rules, regulations,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orders and administrative, reimbursement, and requirements of all Government Authorities promulgated in connection with such program, in each case as the same may be amended, supplemented or otherwise modified from time to time.</w:t>
      </w:r>
    </w:p>
    <w:p>
      <w:pPr>
        <w:spacing w:after="0" w:line="188"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Medicare</w:t>
      </w:r>
      <w:r>
        <w:rPr>
          <w:rFonts w:ascii="Arial" w:cs="Arial" w:eastAsia="Arial" w:hAnsi="Arial"/>
          <w:sz w:val="18"/>
          <w:szCs w:val="18"/>
          <w:color w:val="auto"/>
        </w:rPr>
        <w:t>” means, collectively, the health insurance program for the aged and disabled established by Title XVIII of the SSA (42 U.S.C. 1395 et seq.) and any statutes succeeding thereto, and all laws, rules, regulations or orders pertaining to such program including (a) all federal statutes (whether set forth in Title XVIII of the SSA or elsewhere) affecting such program; and (b) all applicable provisions of all rules, regulations, orders and administrative, reimbursement and requirements of all governmental authorities promulgated in connection with such program, in each case as the same may be amended, supplemented or otherwise modified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4.18(b)</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 means any deed of trust, leasehold deed of trust, mortgage, leasehold mortgage, deed to secure debt, leasehold deed to secure debt or other document creating a Lien on real estate or any interest in real estate.</w:t>
      </w:r>
    </w:p>
    <w:p>
      <w:pPr>
        <w:spacing w:after="0" w:line="162"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within the meaning of Section 4001(a)(3) or Section 3(37) of ERISA (a) to which Borrower or its Subsidiaries or their respective ERISA Affiliates is then making or accruing an obligation to make contributions; (b) to which Borrower or its Subsidiaries or their respective ERISA Affiliates has within the preceding five (5) plan years made contributions; or (c) with respect to which Borrower or its Subsidiaries could incur material liability.</w:t>
      </w:r>
    </w:p>
    <w:p>
      <w:pPr>
        <w:spacing w:after="0" w:line="180"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period and solely with respect to sales of Products, the line item “product sales” (which includes a reduction for product sales allowances) of Borrower and its Subsidiaries for the prior twelve (12) months, determined consistent with past practice on a consolidated basis in accordance with Applicable Accounting Standards.</w:t>
      </w:r>
    </w:p>
    <w:p>
      <w:pPr>
        <w:spacing w:after="0" w:line="176"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collectively, the Credit Parties’ obligations to pay when due any and all debts, principal, interest, Lender Expenses, the Additional Consideration, the Make whole Amount, the Prepayment Premium, and other fees, expenses, indemnities and amounts any Credit Party owes Lender now or later, under this Agreement or any other Loan Document, including interest accruing after Insolvency Proceedings begin (whether or not allowed) and debts, liabilities, or obligations of Borrower assigned to Lender, and to perform Borrower’s duties under the Loan Documents.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4.18(c)</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486" w:name="page487"/>
    <w:bookmarkEnd w:id="486"/>
    <w:p>
      <w:pPr>
        <w:ind w:right="2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OFAC Lists</w:t>
      </w:r>
      <w:r>
        <w:rPr>
          <w:rFonts w:ascii="Arial" w:cs="Arial" w:eastAsia="Arial" w:hAnsi="Arial"/>
          <w:sz w:val="18"/>
          <w:szCs w:val="18"/>
          <w:color w:val="auto"/>
        </w:rPr>
        <w:t>” means, collectively, the Specially Designated Nationals and Blocked Persons List maintained by OFAC pursuant to Executive Order No. 13224, 66 Fed. Reg. 49079 (Sept. 25, 2001) 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 Agreement and, (a) if such Person is a corporation, its bylaws (or similar organizational regulations) in current form, (b) if such Person is a limited liability company, its limited liability company agreement (or similar Contract), and (c) if such Person is a partnership, its partnership agreement (or similar Contract), in each case, with all current amendments, restatements, supplements or modifications thereto.</w:t>
      </w:r>
    </w:p>
    <w:p>
      <w:pPr>
        <w:spacing w:after="0" w:line="188" w:lineRule="exact"/>
        <w:rPr>
          <w:sz w:val="20"/>
          <w:szCs w:val="20"/>
          <w:color w:val="auto"/>
        </w:rPr>
      </w:pPr>
    </w:p>
    <w:p>
      <w:pPr>
        <w:ind w:right="3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course of business</w:t>
      </w:r>
      <w:r>
        <w:rPr>
          <w:rFonts w:ascii="Arial" w:cs="Arial" w:eastAsia="Arial" w:hAnsi="Arial"/>
          <w:sz w:val="16"/>
          <w:szCs w:val="16"/>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16"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Lender, Taxes imposed as a result of a present or former connection (including present or former connection of its agents) between such Lender and the jurisdiction imposing such Tax (other than connections arising solely from Lender having executed, delivered, become a party to, performed its obligations under, received payments under, received or perfected a security interest under, engaged in any other transaction pursuant to or enforced any Loan Document).</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sales, transfer, excise, mortgage or 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0"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 Licenses</w:t>
      </w:r>
      <w:r>
        <w:rPr>
          <w:rFonts w:ascii="Arial" w:cs="Arial" w:eastAsia="Arial" w:hAnsi="Arial"/>
          <w:sz w:val="17"/>
          <w:szCs w:val="17"/>
          <w:color w:val="auto"/>
        </w:rPr>
        <w:t>” means (a) any Contract providing for the grant by or to a Person of any right to manufacture, use or sell any invention covered by a Patent, together with the goodwill associated therewith, all registrations and recordings thereof, and all applications in connection therewith, whether in the United States Patent and Trademark Office or in any similar office or agency of the United States, any State thereof or any other country, multinational body or any political subdivision thereof (and all related IP Ancillary Rights) and (b) all renewals thereof.</w:t>
      </w:r>
    </w:p>
    <w:p>
      <w:pPr>
        <w:spacing w:after="0" w:line="165"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including any improvements, continuations, continuations-in-part, divisions, provisionals or any substitute applications, any patent issued based upon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means that certain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last day of each calendar quarter.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so long as:</w:t>
      </w:r>
    </w:p>
    <w:p>
      <w:pPr>
        <w:spacing w:after="0" w:line="121" w:lineRule="exact"/>
        <w:rPr>
          <w:sz w:val="20"/>
          <w:szCs w:val="20"/>
          <w:color w:val="auto"/>
        </w:rPr>
      </w:pPr>
    </w:p>
    <w:p>
      <w:pPr>
        <w:jc w:val="center"/>
        <w:ind w:left="5420" w:right="340" w:hanging="4976"/>
        <w:spacing w:after="0" w:line="449" w:lineRule="auto"/>
        <w:tabs>
          <w:tab w:leader="none" w:pos="68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consummation of the proposed Acquisition; 64</w:t>
      </w:r>
    </w:p>
    <w:p>
      <w:pPr>
        <w:sectPr>
          <w:pgSz w:w="11900" w:h="16838" w:orient="portrait"/>
          <w:cols w:equalWidth="0" w:num="1">
            <w:col w:w="11020"/>
          </w:cols>
          <w:pgMar w:left="440" w:top="270" w:right="439" w:bottom="1440" w:gutter="0" w:footer="0" w:header="0"/>
        </w:sectPr>
      </w:pPr>
    </w:p>
    <w:bookmarkStart w:id="487" w:name="page488"/>
    <w:bookmarkEnd w:id="487"/>
    <w:p>
      <w:pPr>
        <w:jc w:val="both"/>
        <w:ind w:right="20" w:firstLine="444"/>
        <w:spacing w:after="0" w:line="264" w:lineRule="auto"/>
        <w:tabs>
          <w:tab w:leader="none" w:pos="696" w:val="left"/>
        </w:tabs>
        <w:numPr>
          <w:ilvl w:val="0"/>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assets being acquired or licensed, or the Person whose Equity Interests are being acquired, are useful in or engaged in, as applicable, (i) the same or a related line of business as that then-conducted by Borrower or its Subsidiaries or (ii) a line of business that is ancillary to and in furtherance of a line of business as that then-conducted by Borrower or its Subsidiaries;</w:t>
      </w:r>
    </w:p>
    <w:p>
      <w:pPr>
        <w:spacing w:after="0" w:line="73" w:lineRule="exact"/>
        <w:rPr>
          <w:rFonts w:ascii="Arial" w:cs="Arial" w:eastAsia="Arial" w:hAnsi="Arial"/>
          <w:sz w:val="18"/>
          <w:szCs w:val="18"/>
          <w:color w:val="auto"/>
        </w:rPr>
      </w:pPr>
    </w:p>
    <w:p>
      <w:pPr>
        <w:ind w:right="200" w:firstLine="444"/>
        <w:spacing w:after="0" w:line="259" w:lineRule="auto"/>
        <w:tabs>
          <w:tab w:leader="none" w:pos="68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in the case of an Asset Acquisition, the subject assets are being acquired or licensed by Borrower or a Subsidiary of Borrower, and the applicable Person shall have executed and delivered or authorized, as applicable, any and all security agreements, financing statements, fixture filings, and other Contracts or documentation required pursuant to </w:t>
      </w:r>
      <w:r>
        <w:rPr>
          <w:rFonts w:ascii="Arial" w:cs="Arial" w:eastAsia="Arial" w:hAnsi="Arial"/>
          <w:sz w:val="18"/>
          <w:szCs w:val="18"/>
          <w:u w:val="single" w:color="auto"/>
          <w:color w:val="auto"/>
        </w:rPr>
        <w:t>Sections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in order to include the newly acquired or licensed assets within the Collateral;</w:t>
      </w:r>
    </w:p>
    <w:p>
      <w:pPr>
        <w:spacing w:after="0" w:line="78" w:lineRule="exact"/>
        <w:rPr>
          <w:rFonts w:ascii="Arial" w:cs="Arial" w:eastAsia="Arial" w:hAnsi="Arial"/>
          <w:sz w:val="18"/>
          <w:szCs w:val="18"/>
          <w:color w:val="auto"/>
        </w:rPr>
      </w:pPr>
    </w:p>
    <w:p>
      <w:pPr>
        <w:ind w:right="120" w:firstLine="444"/>
        <w:spacing w:after="0" w:line="308" w:lineRule="auto"/>
        <w:tabs>
          <w:tab w:leader="none" w:pos="696"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in the case of a Stock Acquisition, (i) the subject Equity Interests are being acquired in such Acquisition directly by a Credit Party and (ii) the relevant Credit Party shall have complied with its obligations under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within the time periods specified therein;</w:t>
      </w:r>
    </w:p>
    <w:p>
      <w:pPr>
        <w:spacing w:after="0" w:line="38" w:lineRule="exact"/>
        <w:rPr>
          <w:rFonts w:ascii="Arial" w:cs="Arial" w:eastAsia="Arial" w:hAnsi="Arial"/>
          <w:sz w:val="17"/>
          <w:szCs w:val="17"/>
          <w:color w:val="auto"/>
        </w:rPr>
      </w:pPr>
    </w:p>
    <w:p>
      <w:pPr>
        <w:ind w:left="680" w:hanging="236"/>
        <w:spacing w:after="0"/>
        <w:tabs>
          <w:tab w:leader="none" w:pos="68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any Indebtedness or Liens assumed in connection with such Acquisition are otherwise permitted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6.5</w:t>
      </w:r>
      <w:r>
        <w:rPr>
          <w:rFonts w:ascii="Arial" w:cs="Arial" w:eastAsia="Arial" w:hAnsi="Arial"/>
          <w:sz w:val="17"/>
          <w:szCs w:val="17"/>
          <w:color w:val="auto"/>
        </w:rPr>
        <w:t>, respectively;</w:t>
      </w:r>
    </w:p>
    <w:p>
      <w:pPr>
        <w:spacing w:after="0" w:line="128" w:lineRule="exact"/>
        <w:rPr>
          <w:rFonts w:ascii="Arial" w:cs="Arial" w:eastAsia="Arial" w:hAnsi="Arial"/>
          <w:sz w:val="17"/>
          <w:szCs w:val="17"/>
          <w:color w:val="auto"/>
        </w:rPr>
      </w:pPr>
    </w:p>
    <w:p>
      <w:pPr>
        <w:ind w:right="40" w:firstLine="444"/>
        <w:spacing w:after="0" w:line="264" w:lineRule="auto"/>
        <w:tabs>
          <w:tab w:leader="none" w:pos="66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such Acquisition shall be consensual and shall have been approved by the Board of Directors of the Person whose Equity Interests or assets are proposed to be acquired and shall not have been preceded by an unsolicited tender offer for such Equity Interests by, or proxy contest initiated by, Borrower or any of its Subsidiaries;</w:t>
      </w:r>
    </w:p>
    <w:p>
      <w:pPr>
        <w:spacing w:after="0" w:line="73" w:lineRule="exact"/>
        <w:rPr>
          <w:rFonts w:ascii="Arial" w:cs="Arial" w:eastAsia="Arial" w:hAnsi="Arial"/>
          <w:sz w:val="18"/>
          <w:szCs w:val="18"/>
          <w:color w:val="auto"/>
        </w:rPr>
      </w:pPr>
    </w:p>
    <w:p>
      <w:pPr>
        <w:ind w:right="60" w:firstLine="444"/>
        <w:spacing w:after="0" w:line="291" w:lineRule="auto"/>
        <w:tabs>
          <w:tab w:leader="none" w:pos="69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Borrower shall have delivered to Lender (i) to the extent prepared, projections for the Person whose Equity Interests or assets or properties are proposed to be acquired or, in the case of an applicable co-promotion or co-marketing arrangement, for the product that is the subject of such arrangement, (ii) for any Acquisition for consideration in excess of $5,000,000, updated pro forma projections for Borrower and its Subsidiaries evidencing compliance on a pro forma basis with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for the twelve (12) calendar months following the date of such Acquisition (on a quarter-by-quarter basis) and (iii) for any Acquisition, a Perfection Certificate, updated solely with respect to such Acquisition if the kind or nature of the Equity Interests, assets or properties which are the subject of such Acquisition is such as would require Lender to take any steps to establish, maintain, protect or enforce a first priority security interest therein and Lien thereon securing the Obligations; and</w:t>
      </w:r>
    </w:p>
    <w:p>
      <w:pPr>
        <w:spacing w:after="0" w:line="59" w:lineRule="exact"/>
        <w:rPr>
          <w:rFonts w:ascii="Arial" w:cs="Arial" w:eastAsia="Arial" w:hAnsi="Arial"/>
          <w:sz w:val="16"/>
          <w:szCs w:val="16"/>
          <w:color w:val="auto"/>
        </w:rPr>
      </w:pPr>
    </w:p>
    <w:p>
      <w:pPr>
        <w:ind w:firstLine="444"/>
        <w:spacing w:after="0" w:line="259" w:lineRule="auto"/>
        <w:tabs>
          <w:tab w:leader="none" w:pos="69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at least five (5) Business Days prior to the proposed date of consummation of such Acquisition, Borrower shall have delivered to Lender a certificate of a Responsible Officer of Borrower certifying that (i) such Acquisition complies with this definition of “Permitted Acquisition” (which shall have attached thereto reasonably detailed backup data and calculations showing such compliance) and (ii) such Acquisition could not reasonably be expected to result in a Material Adverse Change.</w:t>
      </w:r>
    </w:p>
    <w:p>
      <w:pPr>
        <w:spacing w:after="0" w:line="183" w:lineRule="exact"/>
        <w:rPr>
          <w:sz w:val="20"/>
          <w:szCs w:val="20"/>
          <w:color w:val="auto"/>
        </w:rPr>
      </w:pPr>
    </w:p>
    <w:p>
      <w:pPr>
        <w:ind w:right="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Hedging Agreement</w:t>
      </w:r>
      <w:r>
        <w:rPr>
          <w:rFonts w:ascii="Arial" w:cs="Arial" w:eastAsia="Arial" w:hAnsi="Arial"/>
          <w:sz w:val="16"/>
          <w:szCs w:val="16"/>
          <w:color w:val="auto"/>
        </w:rPr>
        <w:t xml:space="preserve">” means any currency agreement or other Contract or arrangement designed solely to protect a Person against fluctuations in currency exchange rates, and any confirmation executed in connection with any such agreement, Contract, or arrangement, in each case, entered into by Borrower or any of its Subsidiaries solely to hedge or mitigate the risks of foreign exchange rate fluctuations and not for any speculative or other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Contract or arrangement complies in all respects with the hedging policies or guidelines as are approved by the Board of Directors and as are approved by Lender (such approval not to be unreasonably withheld, delayed or conditioned).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w:t>
      </w:r>
    </w:p>
    <w:p>
      <w:pPr>
        <w:spacing w:after="0" w:line="121" w:lineRule="exact"/>
        <w:rPr>
          <w:sz w:val="20"/>
          <w:szCs w:val="20"/>
          <w:color w:val="auto"/>
        </w:rPr>
      </w:pPr>
    </w:p>
    <w:p>
      <w:pPr>
        <w:ind w:left="680" w:hanging="236"/>
        <w:spacing w:after="0"/>
        <w:tabs>
          <w:tab w:leader="none" w:pos="6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Credit Parties’ Indebtedness to Lender under this Agreement and the other Loan Documents;</w:t>
      </w:r>
    </w:p>
    <w:p>
      <w:pPr>
        <w:spacing w:after="0" w:line="117" w:lineRule="exact"/>
        <w:rPr>
          <w:rFonts w:ascii="Arial" w:cs="Arial" w:eastAsia="Arial" w:hAnsi="Arial"/>
          <w:sz w:val="18"/>
          <w:szCs w:val="18"/>
          <w:color w:val="auto"/>
        </w:rPr>
      </w:pPr>
    </w:p>
    <w:p>
      <w:pPr>
        <w:ind w:left="5420" w:right="2580" w:hanging="4976"/>
        <w:spacing w:after="0" w:line="449" w:lineRule="auto"/>
        <w:tabs>
          <w:tab w:leader="none" w:pos="69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Indebtedness existing on the Tranche A Closing Date and shown on </w:t>
      </w:r>
      <w:r>
        <w:rPr>
          <w:rFonts w:ascii="Arial" w:cs="Arial" w:eastAsia="Arial" w:hAnsi="Arial"/>
          <w:sz w:val="18"/>
          <w:szCs w:val="18"/>
          <w:u w:val="single" w:color="auto"/>
          <w:color w:val="auto"/>
        </w:rPr>
        <w:t>Schedule 13.1</w:t>
      </w:r>
      <w:r>
        <w:rPr>
          <w:rFonts w:ascii="Arial" w:cs="Arial" w:eastAsia="Arial" w:hAnsi="Arial"/>
          <w:sz w:val="18"/>
          <w:szCs w:val="18"/>
          <w:color w:val="auto"/>
        </w:rPr>
        <w:t xml:space="preserve"> of the Disclosure Letter; 65</w:t>
      </w:r>
    </w:p>
    <w:p>
      <w:pPr>
        <w:sectPr>
          <w:pgSz w:w="11900" w:h="16838" w:orient="portrait"/>
          <w:cols w:equalWidth="0" w:num="1">
            <w:col w:w="11020"/>
          </w:cols>
          <w:pgMar w:left="440" w:top="273" w:right="439" w:bottom="1440" w:gutter="0" w:footer="0" w:header="0"/>
        </w:sectPr>
      </w:pPr>
    </w:p>
    <w:bookmarkStart w:id="488" w:name="page489"/>
    <w:bookmarkEnd w:id="488"/>
    <w:p>
      <w:pPr>
        <w:ind w:left="-20" w:firstLine="444"/>
        <w:spacing w:after="0" w:line="257" w:lineRule="auto"/>
        <w:tabs>
          <w:tab w:leader="none" w:pos="665" w:val="left"/>
        </w:tabs>
        <w:numPr>
          <w:ilvl w:val="0"/>
          <w:numId w:val="4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consisting of Contingent Obligations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“Contingent Obligation” (i) of a Credit Party of Permitted Indebtedness of another Credit Party, (ii) of a Subsidiary of Borrower which is not a Credit Party of Permitted Indebtedness of another Subsidiary of Borrower which is not a Credit Party, (iii) of a Subsidiary of Borrower which is not a Credit Party of Permitted Indebtedness of a Credit Party and (iv) of a Credit Party of Permitted Indebtedness and non-debt obligations of a Subsidiary of Borrower which is not a Credit Party in an amount not to exceed $500,000 in any fiscal year;</w:t>
      </w:r>
    </w:p>
    <w:p>
      <w:pPr>
        <w:spacing w:after="0" w:line="80" w:lineRule="exact"/>
        <w:rPr>
          <w:rFonts w:ascii="Arial" w:cs="Arial" w:eastAsia="Arial" w:hAnsi="Arial"/>
          <w:sz w:val="18"/>
          <w:szCs w:val="18"/>
          <w:color w:val="auto"/>
        </w:rPr>
      </w:pPr>
    </w:p>
    <w:p>
      <w:pPr>
        <w:ind w:left="-20" w:right="280" w:firstLine="444"/>
        <w:spacing w:after="0" w:line="277" w:lineRule="auto"/>
        <w:tabs>
          <w:tab w:leader="none" w:pos="67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Indebtedness consisting of Contingent Obligations (i)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“Contingent Obligation” and (ii)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“Contingent Obligation” in connection with any Permitted Acquisition;</w:t>
      </w:r>
    </w:p>
    <w:p>
      <w:pPr>
        <w:spacing w:after="0" w:line="62" w:lineRule="exact"/>
        <w:rPr>
          <w:rFonts w:ascii="Arial" w:cs="Arial" w:eastAsia="Arial" w:hAnsi="Arial"/>
          <w:sz w:val="18"/>
          <w:szCs w:val="18"/>
          <w:color w:val="auto"/>
        </w:rPr>
      </w:pPr>
    </w:p>
    <w:p>
      <w:pPr>
        <w:ind w:left="-20" w:right="60" w:firstLine="444"/>
        <w:spacing w:after="0" w:line="269" w:lineRule="auto"/>
        <w:tabs>
          <w:tab w:leader="none" w:pos="665"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Indebtedness of Borrower in the form of a revolving loan facility with a maximum aggregate credit line of no more than $10,000,000 at any and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Consolidated EBITDA for each of the two (2) consecutive fiscal quarters immediately prior to the initial incurrence of any Indebtedness was no less than $0.00 (excluding extraordinary or non-recurring items);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Consolidated EBITDA for each of the two (2) consecutive fiscal quarters immediately prior to any subsequent draw down of any Indebtedness was no less than $0.00 (excluding extraordinary or non-recurring items);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proceeds of such Indebtedness shall not be used to fund, in whole or in part, any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Indebtedness is secured on a first-priority basis by Liens on Inventory, accounts receivable, cash, supporting obligations and all proceeds of the foregoing to secure the obligations under such facility shall be senior in rank, order of priority and enforcement to the security interests and Liens of Lender in any such assets to secure the Obligations at all times until all of the obligations under such facility have been paid, performed or discharged in full and Borrower has no further right to obtain any extension of credit thereunder, pursuant to a subordination, intercreditor or other similar Contract among Lender, Borrower and the lender under such facility, in form and substance reasonably satisfactory to Lender and the lender under such facility;</w:t>
      </w:r>
    </w:p>
    <w:p>
      <w:pPr>
        <w:spacing w:after="0" w:line="74" w:lineRule="exact"/>
        <w:rPr>
          <w:rFonts w:ascii="Arial" w:cs="Arial" w:eastAsia="Arial" w:hAnsi="Arial"/>
          <w:sz w:val="17"/>
          <w:szCs w:val="17"/>
          <w:color w:val="auto"/>
        </w:rPr>
      </w:pPr>
    </w:p>
    <w:p>
      <w:pPr>
        <w:ind w:left="-20" w:right="20" w:firstLine="444"/>
        <w:spacing w:after="0" w:line="287" w:lineRule="auto"/>
        <w:tabs>
          <w:tab w:leader="none" w:pos="64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Indebtedness of any Person that becomes a Subsidiary (or of any Person not previously a Subsidiary that is merged or consolidated with or into a Subsidiary in a transaction permitted hereunder) of Borrower after the Tranche A Closing Date, or Indebtedness of any Person that is assumed after the Tranche A Closing Date by any Subsidiary in connection with an acquisition of assets by such Subsidiary, in either case, in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exists at the time such Person becomes a Subsidiary (or such merger or consolidation) or such assets are acquired and is not created in contemplation of or in connection with such Person becoming a Subsidiary (or such merger or consolidation) or such assets being acquired or such Indebtedness arises as a result of an earn-out or similar arrangement, (ii) either: (A) no Subsidiary of Borrower (other than a Subsidiary without significant assets formed in order to effect such acquisition, including by way of a merger) or Borrower shall guarantee or otherwise become liable for the payment of such Indebtedness or (B) if any other Subsidiary of Borrower becomes liable for or guarantees such Indebtedness, its liability or guarantee with respect to such Indebtedness shall at all times be subordinated to its obligations hereunder, if any, pursuant to a subordination, intercreditor or other similar Contract in form and substance reasonably satisfactory to Lender and (iii) the creation, incurrence, assumption or guarantee of, or the liability with respect to, such Indebtedness would not otherwise result in a Default or Event of Default;</w:t>
      </w:r>
    </w:p>
    <w:p>
      <w:pPr>
        <w:spacing w:after="0" w:line="64" w:lineRule="exact"/>
        <w:rPr>
          <w:rFonts w:ascii="Arial" w:cs="Arial" w:eastAsia="Arial" w:hAnsi="Arial"/>
          <w:sz w:val="16"/>
          <w:szCs w:val="16"/>
          <w:color w:val="auto"/>
        </w:rPr>
      </w:pPr>
    </w:p>
    <w:p>
      <w:pPr>
        <w:ind w:left="-20" w:right="540" w:firstLine="444"/>
        <w:spacing w:after="0" w:line="277" w:lineRule="auto"/>
        <w:tabs>
          <w:tab w:leader="none" w:pos="67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secured and unsecured business credit card Indebtedness in an outstanding principal amount not to exceed at any time $1,000,000 in the aggregate;</w:t>
      </w:r>
    </w:p>
    <w:p>
      <w:pPr>
        <w:spacing w:after="0" w:line="62" w:lineRule="exact"/>
        <w:rPr>
          <w:rFonts w:ascii="Arial" w:cs="Arial" w:eastAsia="Arial" w:hAnsi="Arial"/>
          <w:sz w:val="18"/>
          <w:szCs w:val="18"/>
          <w:color w:val="auto"/>
        </w:rPr>
      </w:pPr>
    </w:p>
    <w:p>
      <w:pPr>
        <w:ind w:left="680" w:hanging="256"/>
        <w:spacing w:after="0"/>
        <w:tabs>
          <w:tab w:leader="none" w:pos="6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unsecured intercompany Indebtedness permitted under </w:t>
      </w:r>
      <w:r>
        <w:rPr>
          <w:rFonts w:ascii="Arial" w:cs="Arial" w:eastAsia="Arial" w:hAnsi="Arial"/>
          <w:sz w:val="18"/>
          <w:szCs w:val="18"/>
          <w:u w:val="single" w:color="auto"/>
          <w:color w:val="auto"/>
        </w:rPr>
        <w:t>clauses (m)</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t>
      </w:r>
      <w:r>
        <w:rPr>
          <w:rFonts w:ascii="Arial" w:cs="Arial" w:eastAsia="Arial" w:hAnsi="Arial"/>
          <w:sz w:val="18"/>
          <w:szCs w:val="18"/>
          <w:color w:val="auto"/>
        </w:rPr>
        <w:t xml:space="preserve"> under the definition of “Permitted Investments”;</w:t>
      </w:r>
    </w:p>
    <w:p>
      <w:pPr>
        <w:spacing w:after="0" w:line="117" w:lineRule="exact"/>
        <w:rPr>
          <w:rFonts w:ascii="Arial" w:cs="Arial" w:eastAsia="Arial" w:hAnsi="Arial"/>
          <w:sz w:val="18"/>
          <w:szCs w:val="18"/>
          <w:color w:val="auto"/>
        </w:rPr>
      </w:pPr>
    </w:p>
    <w:p>
      <w:pPr>
        <w:ind w:left="-20" w:right="120" w:firstLine="444"/>
        <w:spacing w:after="0" w:line="312" w:lineRule="auto"/>
        <w:tabs>
          <w:tab w:leader="none" w:pos="636"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spacing w:after="0" w:line="38" w:lineRule="exact"/>
        <w:rPr>
          <w:rFonts w:ascii="Arial" w:cs="Arial" w:eastAsia="Arial" w:hAnsi="Arial"/>
          <w:sz w:val="16"/>
          <w:szCs w:val="16"/>
          <w:color w:val="auto"/>
        </w:rPr>
      </w:pPr>
    </w:p>
    <w:p>
      <w:pPr>
        <w:ind w:left="-20" w:right="20" w:firstLine="444"/>
        <w:spacing w:after="0" w:line="277" w:lineRule="auto"/>
        <w:tabs>
          <w:tab w:leader="none" w:pos="63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completion guarantees and similar obligations arising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60" w:top="274" w:right="439" w:bottom="1440" w:gutter="0" w:footer="0" w:header="0"/>
        </w:sectPr>
      </w:pPr>
    </w:p>
    <w:bookmarkStart w:id="489" w:name="page490"/>
    <w:bookmarkEnd w:id="489"/>
    <w:p>
      <w:pPr>
        <w:ind w:left="700" w:hanging="256"/>
        <w:spacing w:after="0"/>
        <w:tabs>
          <w:tab w:leader="none" w:pos="7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 respect of netting services or overdraft protection in connection with deposit or securities accounts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660" w:hanging="216"/>
        <w:spacing w:after="0"/>
        <w:tabs>
          <w:tab w:leader="none" w:pos="6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17" w:lineRule="exact"/>
        <w:rPr>
          <w:rFonts w:ascii="Arial" w:cs="Arial" w:eastAsia="Arial" w:hAnsi="Arial"/>
          <w:sz w:val="18"/>
          <w:szCs w:val="18"/>
          <w:color w:val="auto"/>
        </w:rPr>
      </w:pPr>
    </w:p>
    <w:p>
      <w:pPr>
        <w:ind w:right="260" w:firstLine="444"/>
        <w:spacing w:after="0" w:line="277" w:lineRule="auto"/>
        <w:tabs>
          <w:tab w:leader="none" w:pos="74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Indebtedness not to exceed $1,000,000 in the aggregate at any time outstanding, consisting of capital lease obligations or secured by Liens permitted by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“Permitted Liens”;</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Permitted Hedging Agreements;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purchase price adjustments, indemnity payments and earn-out obligations in connection with any Permitted Acquisition;</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obligations in respect of Consulting Royalties;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Indebtedness of Subsidiaries owed to Credit Parties and their Subsidiaries in connection with the sale of Inventory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680" w:hanging="236"/>
        <w:spacing w:after="0"/>
        <w:tabs>
          <w:tab w:leader="none" w:pos="68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other Indebtedness in an aggregate amount not to exceed $500,000; and</w:t>
      </w:r>
    </w:p>
    <w:p>
      <w:pPr>
        <w:spacing w:after="0" w:line="117" w:lineRule="exact"/>
        <w:rPr>
          <w:rFonts w:ascii="Arial" w:cs="Arial" w:eastAsia="Arial" w:hAnsi="Arial"/>
          <w:sz w:val="18"/>
          <w:szCs w:val="18"/>
          <w:color w:val="auto"/>
        </w:rPr>
      </w:pPr>
    </w:p>
    <w:p>
      <w:pPr>
        <w:ind w:firstLine="444"/>
        <w:spacing w:after="0" w:line="259" w:lineRule="auto"/>
        <w:tabs>
          <w:tab w:leader="none" w:pos="65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subject to the proviso immediately below, extensions, refinancings, modifications, amendments and restatements of any items of Permitted Indebtedness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thereof is not increased other than by any reasonable premium or other reasonable amount paid and fees and expenses reasonably incurred in connection with the same and the terms thereof are not modified to shorten the maturity thereof.</w:t>
      </w:r>
    </w:p>
    <w:p>
      <w:pPr>
        <w:spacing w:after="0" w:line="187"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 xml:space="preserve">Notwithstanding the foregoing, “Permitted Indebtedness” shall not include any (x) Indebtedness incurred by Borrower or any of its Subsidiaries upon the conversion or exchange of any Disqualified Equity Interests which are not issued and outstanding as of the Effective Date and shown on </w:t>
      </w:r>
      <w:r>
        <w:rPr>
          <w:rFonts w:ascii="Arial" w:cs="Arial" w:eastAsia="Arial" w:hAnsi="Arial"/>
          <w:sz w:val="17"/>
          <w:szCs w:val="17"/>
          <w:u w:val="single" w:color="auto"/>
          <w:color w:val="auto"/>
        </w:rPr>
        <w:t>Schedule 13.2</w:t>
      </w:r>
      <w:r>
        <w:rPr>
          <w:rFonts w:ascii="Arial" w:cs="Arial" w:eastAsia="Arial" w:hAnsi="Arial"/>
          <w:sz w:val="17"/>
          <w:szCs w:val="17"/>
          <w:color w:val="auto"/>
        </w:rPr>
        <w:t xml:space="preserve"> of the Disclosure Letter and (y) Hedging Agreements other than Permitted Hedging Agreements.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21" w:lineRule="exact"/>
        <w:rPr>
          <w:sz w:val="20"/>
          <w:szCs w:val="20"/>
          <w:color w:val="auto"/>
        </w:rPr>
      </w:pPr>
    </w:p>
    <w:p>
      <w:pPr>
        <w:ind w:right="260" w:firstLine="444"/>
        <w:spacing w:after="0" w:line="277" w:lineRule="auto"/>
        <w:tabs>
          <w:tab w:leader="none" w:pos="68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Investments (including Investments in Subsidiaries) existing on the Tranche A Closing Date and shown on Schedule 13.1 of the Disclosure Letter, and any extensions, renewals or reinvestments thereof;</w:t>
      </w:r>
    </w:p>
    <w:p>
      <w:pPr>
        <w:spacing w:after="0" w:line="62" w:lineRule="exact"/>
        <w:rPr>
          <w:rFonts w:ascii="Arial" w:cs="Arial" w:eastAsia="Arial" w:hAnsi="Arial"/>
          <w:sz w:val="18"/>
          <w:szCs w:val="18"/>
          <w:color w:val="auto"/>
        </w:rPr>
      </w:pPr>
    </w:p>
    <w:p>
      <w:pPr>
        <w:ind w:right="220" w:firstLine="444"/>
        <w:spacing w:after="0" w:line="259" w:lineRule="auto"/>
        <w:tabs>
          <w:tab w:leader="none" w:pos="69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Investments (i) consisting of cash and Cash Equivalents and (ii) permitted by the proposed amendment to the investment policy provided to Lender and expected to be adopted immediately after Borrower becomes a Public Reporting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measuring compliance with any provision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“Cash Equivalents” shall only include Investments permitted by Borrower’s investment policy effective March 1, 2016 and previously made available to Lender;</w:t>
      </w:r>
    </w:p>
    <w:p>
      <w:pPr>
        <w:spacing w:after="0" w:line="78" w:lineRule="exact"/>
        <w:rPr>
          <w:rFonts w:ascii="Arial" w:cs="Arial" w:eastAsia="Arial" w:hAnsi="Arial"/>
          <w:sz w:val="18"/>
          <w:szCs w:val="18"/>
          <w:color w:val="auto"/>
        </w:rPr>
      </w:pPr>
    </w:p>
    <w:p>
      <w:pPr>
        <w:ind w:left="680" w:hanging="236"/>
        <w:spacing w:after="0"/>
        <w:tabs>
          <w:tab w:leader="none" w:pos="6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700" w:hanging="256"/>
        <w:spacing w:after="0"/>
        <w:tabs>
          <w:tab w:leader="none" w:pos="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Investments consisting of deposit accounts or securities accounts;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Investments by Borrower or any of its Subsidiaries pursuant to a Permitted License;</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Investments in connection with Permitted Transfers;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490" w:name="page491"/>
    <w:bookmarkEnd w:id="490"/>
    <w:p>
      <w:pPr>
        <w:ind w:right="160" w:firstLine="444"/>
        <w:spacing w:after="0" w:line="312" w:lineRule="auto"/>
        <w:tabs>
          <w:tab w:leader="none" w:pos="696" w:val="left"/>
        </w:tabs>
        <w:numPr>
          <w:ilvl w:val="0"/>
          <w:numId w:val="4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Contracts approved by Borrower’s Board of Directors, so long as the aggregate amount of all such loans does not exceed $500,000 in the aggregate;</w:t>
      </w:r>
    </w:p>
    <w:p>
      <w:pPr>
        <w:spacing w:after="0" w:line="38" w:lineRule="exact"/>
        <w:rPr>
          <w:rFonts w:ascii="Arial" w:cs="Arial" w:eastAsia="Arial" w:hAnsi="Arial"/>
          <w:sz w:val="16"/>
          <w:szCs w:val="16"/>
          <w:color w:val="auto"/>
        </w:rPr>
      </w:pPr>
    </w:p>
    <w:p>
      <w:pPr>
        <w:ind w:right="620" w:firstLine="444"/>
        <w:spacing w:after="0" w:line="308" w:lineRule="auto"/>
        <w:tabs>
          <w:tab w:leader="none" w:pos="696" w:val="left"/>
        </w:tabs>
        <w:numPr>
          <w:ilvl w:val="0"/>
          <w:numId w:val="486"/>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8" w:lineRule="exact"/>
        <w:rPr>
          <w:rFonts w:ascii="Arial" w:cs="Arial" w:eastAsia="Arial" w:hAnsi="Arial"/>
          <w:sz w:val="17"/>
          <w:szCs w:val="17"/>
          <w:color w:val="auto"/>
        </w:rPr>
      </w:pPr>
    </w:p>
    <w:p>
      <w:pPr>
        <w:ind w:right="260" w:firstLine="444"/>
        <w:spacing w:after="0" w:line="342" w:lineRule="auto"/>
        <w:tabs>
          <w:tab w:leader="none" w:pos="656"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not apply to Investments of any Credit Party in any of its Subsidiaries;</w:t>
      </w:r>
    </w:p>
    <w:p>
      <w:pPr>
        <w:spacing w:after="0" w:line="15" w:lineRule="exact"/>
        <w:rPr>
          <w:rFonts w:ascii="Arial" w:cs="Arial" w:eastAsia="Arial" w:hAnsi="Arial"/>
          <w:sz w:val="16"/>
          <w:szCs w:val="16"/>
          <w:color w:val="auto"/>
        </w:rPr>
      </w:pPr>
    </w:p>
    <w:p>
      <w:pPr>
        <w:ind w:right="120" w:firstLine="444"/>
        <w:spacing w:after="0" w:line="342" w:lineRule="auto"/>
        <w:tabs>
          <w:tab w:leader="none" w:pos="656"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joint ventures or strategic alliances consisting of the non-exclusive licensing of technology, the development of technology or the providing of technical support;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cash investments by Borrower and its Subsidiaries do not exceed $500,000 in the aggregate in any fiscal year;</w:t>
      </w:r>
    </w:p>
    <w:p>
      <w:pPr>
        <w:spacing w:after="0" w:line="15" w:lineRule="exact"/>
        <w:rPr>
          <w:rFonts w:ascii="Arial" w:cs="Arial" w:eastAsia="Arial" w:hAnsi="Arial"/>
          <w:sz w:val="16"/>
          <w:szCs w:val="16"/>
          <w:color w:val="auto"/>
        </w:rPr>
      </w:pPr>
    </w:p>
    <w:p>
      <w:pPr>
        <w:ind w:right="120" w:firstLine="444"/>
        <w:spacing w:after="0" w:line="259" w:lineRule="auto"/>
        <w:tabs>
          <w:tab w:leader="none" w:pos="69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Permitted Acquisitions and Investments required in connection with a Permitted Acquisition (including the formation of any Subsidiary for the purpose of effectuating such Permitted Acquisition, the capitalization of such Subsidiary whether by capital contribution or intercompany loans, in each case, to the extent permitted by the terms of this Agreement, related Investments in Subsidiaries necessary to consummate such Permitted Acquisition, and the receipt of any non-cash consideration in a Permitted Acquisition);</w:t>
      </w:r>
    </w:p>
    <w:p>
      <w:pPr>
        <w:spacing w:after="0" w:line="78" w:lineRule="exact"/>
        <w:rPr>
          <w:rFonts w:ascii="Arial" w:cs="Arial" w:eastAsia="Arial" w:hAnsi="Arial"/>
          <w:sz w:val="18"/>
          <w:szCs w:val="18"/>
          <w:color w:val="auto"/>
        </w:rPr>
      </w:pPr>
    </w:p>
    <w:p>
      <w:pPr>
        <w:ind w:right="320" w:firstLine="444"/>
        <w:spacing w:after="0" w:line="308" w:lineRule="auto"/>
        <w:tabs>
          <w:tab w:leader="none" w:pos="656" w:val="left"/>
        </w:tabs>
        <w:numPr>
          <w:ilvl w:val="0"/>
          <w:numId w:val="486"/>
        </w:numPr>
        <w:rPr>
          <w:rFonts w:ascii="Arial" w:cs="Arial" w:eastAsia="Arial" w:hAnsi="Arial"/>
          <w:sz w:val="17"/>
          <w:szCs w:val="17"/>
          <w:color w:val="auto"/>
        </w:rPr>
      </w:pPr>
      <w:r>
        <w:rPr>
          <w:rFonts w:ascii="Arial" w:cs="Arial" w:eastAsia="Arial" w:hAnsi="Arial"/>
          <w:sz w:val="17"/>
          <w:szCs w:val="17"/>
          <w:color w:val="auto"/>
        </w:rPr>
        <w:t xml:space="preserve">Investments constituting the formation of any Subsidiary for the purpose of consummating a merger or acquisition transaction permitted by </w:t>
      </w:r>
      <w:r>
        <w:rPr>
          <w:rFonts w:ascii="Arial" w:cs="Arial" w:eastAsia="Arial" w:hAnsi="Arial"/>
          <w:sz w:val="17"/>
          <w:szCs w:val="17"/>
          <w:u w:val="single" w:color="auto"/>
          <w:color w:val="auto"/>
        </w:rPr>
        <w:t>Section 6.3(a)(i)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merger or acquisition transaction is otherwise a Permitted Investment;</w:t>
      </w:r>
    </w:p>
    <w:p>
      <w:pPr>
        <w:spacing w:after="0" w:line="38" w:lineRule="exact"/>
        <w:rPr>
          <w:rFonts w:ascii="Arial" w:cs="Arial" w:eastAsia="Arial" w:hAnsi="Arial"/>
          <w:sz w:val="17"/>
          <w:szCs w:val="17"/>
          <w:color w:val="auto"/>
        </w:rPr>
      </w:pPr>
    </w:p>
    <w:p>
      <w:pPr>
        <w:ind w:firstLine="444"/>
        <w:spacing w:after="0" w:line="272" w:lineRule="auto"/>
        <w:tabs>
          <w:tab w:leader="none" w:pos="746" w:val="left"/>
        </w:tabs>
        <w:numPr>
          <w:ilvl w:val="0"/>
          <w:numId w:val="486"/>
        </w:numPr>
        <w:rPr>
          <w:rFonts w:ascii="Arial" w:cs="Arial" w:eastAsia="Arial" w:hAnsi="Arial"/>
          <w:sz w:val="17"/>
          <w:szCs w:val="17"/>
          <w:color w:val="auto"/>
        </w:rPr>
      </w:pPr>
      <w:r>
        <w:rPr>
          <w:rFonts w:ascii="Arial" w:cs="Arial" w:eastAsia="Arial" w:hAnsi="Arial"/>
          <w:sz w:val="17"/>
          <w:szCs w:val="17"/>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Tranche A Closing Date, or (ii) are assumed after the Tranche A Closing Date by any Subsidiary of Borrower in connection with an acquisition of assets from such Person by such Subsidiary, in either case, in a Permitted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a Default or Event of Default;</w:t>
      </w:r>
    </w:p>
    <w:p>
      <w:pPr>
        <w:spacing w:after="0" w:line="69" w:lineRule="exact"/>
        <w:rPr>
          <w:rFonts w:ascii="Arial" w:cs="Arial" w:eastAsia="Arial" w:hAnsi="Arial"/>
          <w:sz w:val="17"/>
          <w:szCs w:val="17"/>
          <w:color w:val="auto"/>
        </w:rPr>
      </w:pPr>
    </w:p>
    <w:p>
      <w:pPr>
        <w:ind w:left="700" w:hanging="256"/>
        <w:spacing w:after="0"/>
        <w:tabs>
          <w:tab w:leader="none" w:pos="7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Investments arising as a result of the licensing of Intellectual Property in the ordinary course of business;</w:t>
      </w:r>
    </w:p>
    <w:p>
      <w:pPr>
        <w:spacing w:after="0" w:line="117" w:lineRule="exact"/>
        <w:rPr>
          <w:rFonts w:ascii="Arial" w:cs="Arial" w:eastAsia="Arial" w:hAnsi="Arial"/>
          <w:sz w:val="18"/>
          <w:szCs w:val="18"/>
          <w:color w:val="auto"/>
        </w:rPr>
      </w:pPr>
    </w:p>
    <w:p>
      <w:pPr>
        <w:ind w:right="120" w:firstLine="444"/>
        <w:spacing w:after="0" w:line="259" w:lineRule="auto"/>
        <w:tabs>
          <w:tab w:leader="none" w:pos="69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Investments by (i) any Credit Party in or to any other Credit Party, (ii) any Subsidiary of Borrower which is not a Credit Party in or to another Subsidiary of Borrower which is not a Credit Party, (iii) any Subsidiary of Borrower which is not a Credit Party in or to any Credit Party and (iv) any Credit Party or any Subsidiary of a Credit Party to any Subsidiary of a Credit Party which is not a Credit Party in an amount not to exceed $2,000,000 per fiscal year;</w:t>
      </w:r>
    </w:p>
    <w:p>
      <w:pPr>
        <w:spacing w:after="0" w:line="78" w:lineRule="exact"/>
        <w:rPr>
          <w:rFonts w:ascii="Arial" w:cs="Arial" w:eastAsia="Arial" w:hAnsi="Arial"/>
          <w:sz w:val="18"/>
          <w:szCs w:val="18"/>
          <w:color w:val="auto"/>
        </w:rPr>
      </w:pPr>
    </w:p>
    <w:p>
      <w:pPr>
        <w:ind w:right="840" w:firstLine="444"/>
        <w:spacing w:after="0" w:line="342" w:lineRule="auto"/>
        <w:tabs>
          <w:tab w:leader="none" w:pos="696"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Investments arising out of Transfers of Inventory by Borrower to Subsidiaries that are not Credit Parties pursuant to transfer pricing arrangements in the ordinary course of business (and any related intercompany balances and any capitalization of such balances);</w:t>
      </w:r>
    </w:p>
    <w:p>
      <w:pPr>
        <w:spacing w:after="0" w:line="15" w:lineRule="exact"/>
        <w:rPr>
          <w:rFonts w:ascii="Arial" w:cs="Arial" w:eastAsia="Arial" w:hAnsi="Arial"/>
          <w:sz w:val="16"/>
          <w:szCs w:val="16"/>
          <w:color w:val="auto"/>
        </w:rPr>
      </w:pPr>
    </w:p>
    <w:p>
      <w:pPr>
        <w:ind w:left="700" w:hanging="256"/>
        <w:spacing w:after="0"/>
        <w:tabs>
          <w:tab w:leader="none" w:pos="7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Investments arising out of the receipt of non-cash consideration for any Permitted Transfer;</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Permitted Hedging Agreements;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3" w:right="439" w:bottom="1440" w:gutter="0" w:footer="0" w:header="0"/>
        </w:sectPr>
      </w:pPr>
    </w:p>
    <w:bookmarkStart w:id="491" w:name="page492"/>
    <w:bookmarkEnd w:id="491"/>
    <w:p>
      <w:pPr>
        <w:ind w:right="160" w:firstLine="444"/>
        <w:spacing w:after="0" w:line="277" w:lineRule="auto"/>
        <w:tabs>
          <w:tab w:leader="none" w:pos="676" w:val="left"/>
        </w:tabs>
        <w:numPr>
          <w:ilvl w:val="0"/>
          <w:numId w:val="4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the generality of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above, Investments consisting of earnest money deposits required in connection with a Permitted Acquisition or other acquisition of properties or assets not prohibited hereunder;</w:t>
      </w:r>
    </w:p>
    <w:p>
      <w:pPr>
        <w:spacing w:after="0" w:line="62" w:lineRule="exact"/>
        <w:rPr>
          <w:rFonts w:ascii="Arial" w:cs="Arial" w:eastAsia="Arial" w:hAnsi="Arial"/>
          <w:sz w:val="18"/>
          <w:szCs w:val="18"/>
          <w:color w:val="auto"/>
        </w:rPr>
      </w:pPr>
    </w:p>
    <w:p>
      <w:pPr>
        <w:ind w:right="400" w:firstLine="444"/>
        <w:spacing w:after="0" w:line="277" w:lineRule="auto"/>
        <w:tabs>
          <w:tab w:leader="none" w:pos="65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Investments consisting of Acquisitions from third parties of Inventory, Equipment, office supplies, software and other similar assets in the ordinary course of business; and</w:t>
      </w:r>
    </w:p>
    <w:p>
      <w:pPr>
        <w:spacing w:after="0" w:line="62" w:lineRule="exact"/>
        <w:rPr>
          <w:rFonts w:ascii="Arial" w:cs="Arial" w:eastAsia="Arial" w:hAnsi="Arial"/>
          <w:sz w:val="18"/>
          <w:szCs w:val="18"/>
          <w:color w:val="auto"/>
        </w:rPr>
      </w:pPr>
    </w:p>
    <w:p>
      <w:pPr>
        <w:ind w:right="160" w:firstLine="444"/>
        <w:spacing w:after="0" w:line="277" w:lineRule="auto"/>
        <w:tabs>
          <w:tab w:leader="none" w:pos="69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other Investments not otherwise permitted under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in an aggregate amount (valued at the time of the making thereof) not to exceed $500,000 at any time;</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none of the foregoing Investments shall be a “Permitted Investment” if any Indebtedness or Liens assumed in connection with such Investment are not otherwise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6.5</w:t>
      </w:r>
      <w:r>
        <w:rPr>
          <w:rFonts w:ascii="Arial" w:cs="Arial" w:eastAsia="Arial" w:hAnsi="Arial"/>
          <w:sz w:val="18"/>
          <w:szCs w:val="18"/>
          <w:color w:val="auto"/>
        </w:rPr>
        <w:t>,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the foregoing, “Permitted Investments” shall not include any Hedging Agreements other than Permitted Hedging Agreements.</w:t>
      </w:r>
    </w:p>
    <w:p>
      <w:pPr>
        <w:spacing w:after="0" w:line="244"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means: (a) a non-exclusive or an exclusive as to geography other than the United States license of (or covenant not to sue with respect to) Intellectual Property or grant of development, manufacture, distribution, co-promotion or similar commercial rights to third parties;</w:t>
      </w:r>
    </w:p>
    <w:p>
      <w:pPr>
        <w:spacing w:after="0" w:line="1" w:lineRule="exact"/>
        <w:rPr>
          <w:sz w:val="20"/>
          <w:szCs w:val="20"/>
          <w:color w:val="auto"/>
        </w:rPr>
      </w:pPr>
    </w:p>
    <w:p>
      <w:pPr>
        <w:ind w:firstLine="4"/>
        <w:spacing w:after="0" w:line="281" w:lineRule="auto"/>
        <w:tabs>
          <w:tab w:leader="none" w:pos="25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subject to prior satisfaction of the requirements set forth in the following sentence, a non-exclusive or an exclusive as to geography within the United States license of Intellectual Property or grant of development, manufacture, distribution, co-promotion or similar commercial rights to third parties;</w:t>
      </w:r>
    </w:p>
    <w:p>
      <w:pPr>
        <w:spacing w:after="0" w:line="1" w:lineRule="exact"/>
        <w:rPr>
          <w:rFonts w:ascii="Arial" w:cs="Arial" w:eastAsia="Arial" w:hAnsi="Arial"/>
          <w:sz w:val="16"/>
          <w:szCs w:val="16"/>
          <w:color w:val="auto"/>
        </w:rPr>
      </w:pPr>
    </w:p>
    <w:p>
      <w:pPr>
        <w:ind w:right="20" w:firstLine="4"/>
        <w:spacing w:after="0" w:line="281" w:lineRule="auto"/>
        <w:tabs>
          <w:tab w:leader="none" w:pos="24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non-exclusive licensing of (or granting of a covenant not to sue with respect to) technology or Intellectual Property, granting of development, manufacture, distribution, co-promotion or similar commercial rights, the development of technology or the providing of technical support; (d) a non-exclusive or an exclusive grant of manufacturing and distribution licenses to third parties in the ordinary course of business; and (e) intercompany licenses or other similar arrangements among the Credit Parties and their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licenses or similar arrangements described in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by any Credit Party to any Subsidiary that is not a Credit Party shall not permit any non-exclusive or exclusive as to geography within the United States license of (or covenant not to sue with respect to) Intellectual Property (including any out-licenses) or grant of development, manufacture, distribution, co-promotion or similar commercial rights (including the right to Commercialize Products) and shall only permit an exclusive as to geography other than the United States license of Intellectual Property if such Credit Party retains all rights to such Intellectual Property other than those rights that are the subject of such license. Notwithstanding the foregoing, any license or other arrangement described in </w:t>
      </w:r>
      <w:r>
        <w:rPr>
          <w:rFonts w:ascii="Arial" w:cs="Arial" w:eastAsia="Arial" w:hAnsi="Arial"/>
          <w:sz w:val="16"/>
          <w:szCs w:val="16"/>
          <w:u w:val="single" w:color="auto"/>
          <w:color w:val="auto"/>
        </w:rPr>
        <w:t>clause</w:t>
      </w:r>
    </w:p>
    <w:p>
      <w:pPr>
        <w:spacing w:after="0" w:line="6" w:lineRule="exact"/>
        <w:rPr>
          <w:rFonts w:ascii="Arial" w:cs="Arial" w:eastAsia="Arial" w:hAnsi="Arial"/>
          <w:sz w:val="16"/>
          <w:szCs w:val="16"/>
          <w:color w:val="auto"/>
        </w:rPr>
      </w:pPr>
    </w:p>
    <w:p>
      <w:pPr>
        <w:ind w:firstLine="4"/>
        <w:spacing w:after="0" w:line="285" w:lineRule="auto"/>
        <w:tabs>
          <w:tab w:leader="none" w:pos="25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above shall not constitute a Permitted License hereunder unless and until (i) Borrower shall have given written notice of such proposed license or other arrangement to Lender, which notice shall (A) identify the parties to such proposed license or other arrangement, (B) include a description of the material terms and conditions of such proposed license or other arrangement and (C) include copies of any and all Contracts relating to such proposed license or other arrangement, (ii) Lender shall have given its written consent to such proposed license or other arrangement;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Lender does not deliver in writing its rejection of such proposed license or other arrangement within ten (10) Business Days after the effective date of delivery of the notice from Borrower contemplated in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then Lender shall be deemed to have waived its right to reject such proposed license or other arrangement, and Borrower or its Subsidiary that is a party to such proposed license or other arrangement shall be permitted to enter into such proposed license or other arrangement, unless any of the terms or conditions thereof have changed in any material respect from the terms set forth in the materials provided to Lender pursuant to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in which event Lender’s right to consent to such proposed license or other arrangement shall be deemed to be revived and such proposed license or other arrangement shall not constitute a Permitted License unless and until Borrower delivers a new notice to Lender in accordance with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and the requirements of </w:t>
      </w:r>
      <w:r>
        <w:rPr>
          <w:rFonts w:ascii="Arial" w:cs="Arial" w:eastAsia="Arial" w:hAnsi="Arial"/>
          <w:sz w:val="16"/>
          <w:szCs w:val="16"/>
          <w:u w:val="single" w:color="auto"/>
          <w:color w:val="auto"/>
        </w:rPr>
        <w:t>sub-clause (ii)</w:t>
      </w:r>
      <w:r>
        <w:rPr>
          <w:rFonts w:ascii="Arial" w:cs="Arial" w:eastAsia="Arial" w:hAnsi="Arial"/>
          <w:sz w:val="16"/>
          <w:szCs w:val="16"/>
          <w:color w:val="auto"/>
        </w:rPr>
        <w:t xml:space="preserve"> above has been satisfied as to such proposed license or other arrangement (as so amended or modified). Notwithstanding the foregoing, “Permitted Licenses” shall not include any Excluded Licenses entered into after the Tranche A Closing Date unless first consented to in writing by Lender.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21" w:lineRule="exact"/>
        <w:rPr>
          <w:sz w:val="20"/>
          <w:szCs w:val="20"/>
          <w:color w:val="auto"/>
        </w:rPr>
      </w:pPr>
    </w:p>
    <w:p>
      <w:pPr>
        <w:ind w:right="380" w:firstLine="444"/>
        <w:spacing w:after="0" w:line="277" w:lineRule="auto"/>
        <w:tabs>
          <w:tab w:leader="none" w:pos="68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Liens existing on the Tranche A Closing Date and shown on the Perfection Certificate or arising under this Agreement and the other Loan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492" w:name="page493"/>
    <w:bookmarkEnd w:id="492"/>
    <w:p>
      <w:pPr>
        <w:ind w:left="700" w:hanging="256"/>
        <w:spacing w:after="0"/>
        <w:tabs>
          <w:tab w:leader="none" w:pos="7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existing on the Tranche A Closing Date and shown on </w:t>
      </w:r>
      <w:r>
        <w:rPr>
          <w:rFonts w:ascii="Arial" w:cs="Arial" w:eastAsia="Arial" w:hAnsi="Arial"/>
          <w:sz w:val="18"/>
          <w:szCs w:val="18"/>
          <w:u w:val="single" w:color="auto"/>
          <w:color w:val="auto"/>
        </w:rPr>
        <w:t>Schedule 13.1</w:t>
      </w:r>
      <w:r>
        <w:rPr>
          <w:rFonts w:ascii="Arial" w:cs="Arial" w:eastAsia="Arial" w:hAnsi="Arial"/>
          <w:sz w:val="18"/>
          <w:szCs w:val="18"/>
          <w:color w:val="auto"/>
        </w:rPr>
        <w:t xml:space="preserve"> of the Disclosure Letter;</w:t>
      </w:r>
    </w:p>
    <w:p>
      <w:pPr>
        <w:spacing w:after="0" w:line="117" w:lineRule="exact"/>
        <w:rPr>
          <w:rFonts w:ascii="Arial" w:cs="Arial" w:eastAsia="Arial" w:hAnsi="Arial"/>
          <w:sz w:val="18"/>
          <w:szCs w:val="18"/>
          <w:color w:val="auto"/>
        </w:rPr>
      </w:pPr>
    </w:p>
    <w:p>
      <w:pPr>
        <w:ind w:firstLine="444"/>
        <w:spacing w:after="0" w:line="342" w:lineRule="auto"/>
        <w:tabs>
          <w:tab w:leader="none" w:pos="68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Liens for Taxes, fees, assessments or other government charges or levies, either (i) not due and payable or (ii) being contested in good faith and for which such Credit Party maintains adequate reserves on its Books;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notice of any such Lien has been filed or recorded;</w:t>
      </w:r>
    </w:p>
    <w:p>
      <w:pPr>
        <w:spacing w:after="0" w:line="15" w:lineRule="exact"/>
        <w:rPr>
          <w:rFonts w:ascii="Arial" w:cs="Arial" w:eastAsia="Arial" w:hAnsi="Arial"/>
          <w:sz w:val="16"/>
          <w:szCs w:val="16"/>
          <w:color w:val="auto"/>
        </w:rPr>
      </w:pPr>
    </w:p>
    <w:p>
      <w:pPr>
        <w:ind w:right="60" w:firstLine="444"/>
        <w:spacing w:after="0" w:line="264" w:lineRule="auto"/>
        <w:tabs>
          <w:tab w:leader="none" w:pos="69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(i) Liens on any property acquired or held by any Credit Party or any Subsidiary of any Credit Party incurred or assumed for the purpose of financing (or refinancing) all or any part of the cost of acquiring, repairing, improving or constructing such property and (ii) Liens securing capital lease obligations, in each case, permitted under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of the definition of “Permitted Indebtedness”;</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Permitted Licenses and Liens incurred pursuant to Permitted Licenses, and the licenses or grants described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302" w:lineRule="auto"/>
        <w:tabs>
          <w:tab w:leader="none" w:pos="66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Liens of carriers, warehousemen, suppliers, landlords, mechanics, materialmen, repairmen or other Persons that are possessory in nature arising in the ordinary course of business, so long as no such Lien secures liabilities in an amount in excess of $250,000, individually, or $500,000, in the aggregate for all such Liens and, in each case, such liabilities are not delinquent or remain payable without penalty or are being contested in good faith and by appropriate proceedings diligently conducted, and for which such Credit Party maintains adequate reserves on its Books;</w:t>
      </w:r>
    </w:p>
    <w:p>
      <w:pPr>
        <w:spacing w:after="0" w:line="46" w:lineRule="exact"/>
        <w:rPr>
          <w:rFonts w:ascii="Arial" w:cs="Arial" w:eastAsia="Arial" w:hAnsi="Arial"/>
          <w:sz w:val="16"/>
          <w:szCs w:val="16"/>
          <w:color w:val="auto"/>
        </w:rPr>
      </w:pPr>
    </w:p>
    <w:p>
      <w:pPr>
        <w:ind w:right="420" w:firstLine="444"/>
        <w:spacing w:after="0" w:line="277" w:lineRule="auto"/>
        <w:tabs>
          <w:tab w:leader="none" w:pos="69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Liens to secure payment of workers’ compensation, unemployment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Liens arising from attachments or judgments, orders, or decrees in circumstances not constituting an Event of Default under either </w:t>
      </w:r>
      <w:r>
        <w:rPr>
          <w:rFonts w:ascii="Arial" w:cs="Arial" w:eastAsia="Arial" w:hAnsi="Arial"/>
          <w:sz w:val="16"/>
          <w:szCs w:val="16"/>
          <w:u w:val="single" w:color="auto"/>
          <w:color w:val="auto"/>
        </w:rPr>
        <w:t>Section 7.4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7.7</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80" w:firstLine="444"/>
        <w:spacing w:after="0" w:line="264" w:lineRule="auto"/>
        <w:tabs>
          <w:tab w:leader="none" w:pos="65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Liens in favor of other financial institutions arising in connection with deposit or securities accounts held at such institutions;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relate solely to obligations for administrative and other banking fees and expenses (but not Indebtedness) incurred in the ordinary course of business in connection with the maintenance of such accounts;</w:t>
      </w:r>
    </w:p>
    <w:p>
      <w:pPr>
        <w:spacing w:after="0" w:line="73" w:lineRule="exact"/>
        <w:rPr>
          <w:rFonts w:ascii="Arial" w:cs="Arial" w:eastAsia="Arial" w:hAnsi="Arial"/>
          <w:sz w:val="18"/>
          <w:szCs w:val="18"/>
          <w:color w:val="auto"/>
        </w:rPr>
      </w:pPr>
    </w:p>
    <w:p>
      <w:pPr>
        <w:ind w:left="660" w:hanging="216"/>
        <w:spacing w:after="0"/>
        <w:tabs>
          <w:tab w:leader="none" w:pos="6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6.2(c)</w:t>
      </w:r>
      <w:r>
        <w:rPr>
          <w:rFonts w:ascii="Arial" w:cs="Arial" w:eastAsia="Arial" w:hAnsi="Arial"/>
          <w:sz w:val="18"/>
          <w:szCs w:val="18"/>
          <w:color w:val="auto"/>
        </w:rPr>
        <w:t>, statutory or common law Liens of landlords;</w:t>
      </w:r>
    </w:p>
    <w:p>
      <w:pPr>
        <w:spacing w:after="0" w:line="117" w:lineRule="exact"/>
        <w:rPr>
          <w:rFonts w:ascii="Arial" w:cs="Arial" w:eastAsia="Arial" w:hAnsi="Arial"/>
          <w:sz w:val="18"/>
          <w:szCs w:val="18"/>
          <w:color w:val="auto"/>
        </w:rPr>
      </w:pPr>
    </w:p>
    <w:p>
      <w:pPr>
        <w:ind w:right="40" w:firstLine="444"/>
        <w:spacing w:after="0" w:line="257" w:lineRule="auto"/>
        <w:tabs>
          <w:tab w:leader="none" w:pos="69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consistent with past practice (or, if referring to another Person, in the ordinary course of such Person’s business), and leases, subleases, nonexclusive licenses or sublicenses of personal property (other than Intellectual Property) granted in the ordinary course of Borrower’s business consistent with past practice (or, if referring to another Person, in the ordinary course of such Person’s business), in each case, if such lease, sublease, license or sublicense does not prohibit granting Lender a security interest therein;</w:t>
      </w:r>
    </w:p>
    <w:p>
      <w:pPr>
        <w:spacing w:after="0" w:line="80" w:lineRule="exact"/>
        <w:rPr>
          <w:rFonts w:ascii="Arial" w:cs="Arial" w:eastAsia="Arial" w:hAnsi="Arial"/>
          <w:sz w:val="18"/>
          <w:szCs w:val="18"/>
          <w:color w:val="auto"/>
        </w:rPr>
      </w:pPr>
    </w:p>
    <w:p>
      <w:pPr>
        <w:ind w:right="60" w:firstLine="444"/>
        <w:spacing w:after="0" w:line="342" w:lineRule="auto"/>
        <w:tabs>
          <w:tab w:leader="none" w:pos="656" w:val="left"/>
        </w:tabs>
        <w:numPr>
          <w:ilvl w:val="0"/>
          <w:numId w:val="491"/>
        </w:numPr>
        <w:rPr>
          <w:rFonts w:ascii="Arial" w:cs="Arial" w:eastAsia="Arial" w:hAnsi="Arial"/>
          <w:sz w:val="16"/>
          <w:szCs w:val="16"/>
          <w:color w:val="auto"/>
        </w:rPr>
      </w:pPr>
      <w:r>
        <w:rPr>
          <w:rFonts w:ascii="Arial" w:cs="Arial" w:eastAsia="Arial" w:hAnsi="Arial"/>
          <w:sz w:val="16"/>
          <w:szCs w:val="16"/>
          <w:color w:val="auto"/>
        </w:rPr>
        <w:t>Liens incurred or deposits made to secure the performance of tenders, bids, leases, statutory or regulatory obligations, surety and appeal bonds, government contracts, performance and return-of-money bonds, and other obligations of like nature, in each case, in the ordinary course of business;</w:t>
      </w:r>
    </w:p>
    <w:p>
      <w:pPr>
        <w:spacing w:after="0" w:line="15" w:lineRule="exact"/>
        <w:rPr>
          <w:rFonts w:ascii="Arial" w:cs="Arial" w:eastAsia="Arial" w:hAnsi="Arial"/>
          <w:sz w:val="16"/>
          <w:szCs w:val="16"/>
          <w:color w:val="auto"/>
        </w:rPr>
      </w:pPr>
    </w:p>
    <w:p>
      <w:pPr>
        <w:ind w:left="740" w:hanging="296"/>
        <w:spacing w:after="0"/>
        <w:tabs>
          <w:tab w:leader="none" w:pos="74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Liens on the properties or assets of a Subsidiary which is not a Credit Party securing Indebtedness of such Subsidiary permitted hereunder;</w:t>
      </w:r>
    </w:p>
    <w:p>
      <w:pPr>
        <w:spacing w:after="0" w:line="140" w:lineRule="exact"/>
        <w:rPr>
          <w:rFonts w:ascii="Arial" w:cs="Arial" w:eastAsia="Arial" w:hAnsi="Arial"/>
          <w:sz w:val="16"/>
          <w:szCs w:val="16"/>
          <w:color w:val="auto"/>
        </w:rPr>
      </w:pPr>
    </w:p>
    <w:p>
      <w:pPr>
        <w:ind w:right="80" w:firstLine="444"/>
        <w:spacing w:after="0" w:line="279" w:lineRule="auto"/>
        <w:tabs>
          <w:tab w:leader="none" w:pos="696"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clauses (d)(i)</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xml:space="preserve"> of the definition of “Permitted Indebtedness” (as they relate to Indebtedness permitted under </w:t>
      </w:r>
      <w:r>
        <w:rPr>
          <w:rFonts w:ascii="Arial" w:cs="Arial" w:eastAsia="Arial" w:hAnsi="Arial"/>
          <w:sz w:val="17"/>
          <w:szCs w:val="17"/>
          <w:u w:val="single" w:color="auto"/>
          <w:color w:val="auto"/>
        </w:rPr>
        <w:t>clauses (d)(i)</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xml:space="preserve"> of such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Liens securing Indebtedness permitted pursuant to </w:t>
      </w:r>
      <w:r>
        <w:rPr>
          <w:rFonts w:ascii="Arial" w:cs="Arial" w:eastAsia="Arial" w:hAnsi="Arial"/>
          <w:sz w:val="17"/>
          <w:szCs w:val="17"/>
          <w:u w:val="single" w:color="auto"/>
          <w:color w:val="auto"/>
        </w:rPr>
        <w:t>clause (d)(i)</w:t>
      </w:r>
      <w:r>
        <w:rPr>
          <w:rFonts w:ascii="Arial" w:cs="Arial" w:eastAsia="Arial" w:hAnsi="Arial"/>
          <w:sz w:val="17"/>
          <w:szCs w:val="17"/>
          <w:color w:val="auto"/>
        </w:rPr>
        <w:t xml:space="preserve"> of the definition of “Permitted Indebtedness,” such Liens are limited to Liens on cash and Cash Equivalents in an amount not to exceed 110% of the face amount of the applicable letter of credit;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3" w:right="439" w:bottom="1440" w:gutter="0" w:footer="0" w:header="0"/>
        </w:sectPr>
      </w:pPr>
    </w:p>
    <w:bookmarkStart w:id="493" w:name="page494"/>
    <w:bookmarkEnd w:id="493"/>
    <w:p>
      <w:pPr>
        <w:ind w:right="520" w:firstLine="444"/>
        <w:spacing w:after="0" w:line="277" w:lineRule="auto"/>
        <w:tabs>
          <w:tab w:leader="none" w:pos="696" w:val="left"/>
        </w:tabs>
        <w:numPr>
          <w:ilvl w:val="0"/>
          <w:numId w:val="4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earnest money deposits in connection with any Permitted Acquisition or other acquisition of properties or assets not prohibited hereunder;</w:t>
      </w:r>
    </w:p>
    <w:p>
      <w:pPr>
        <w:spacing w:after="0" w:line="62" w:lineRule="exact"/>
        <w:rPr>
          <w:rFonts w:ascii="Arial" w:cs="Arial" w:eastAsia="Arial" w:hAnsi="Arial"/>
          <w:sz w:val="18"/>
          <w:szCs w:val="18"/>
          <w:color w:val="auto"/>
        </w:rPr>
      </w:pPr>
    </w:p>
    <w:p>
      <w:pPr>
        <w:ind w:right="240" w:firstLine="444"/>
        <w:spacing w:after="0" w:line="277" w:lineRule="auto"/>
        <w:tabs>
          <w:tab w:leader="none" w:pos="69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or sublessor under any lease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interest or title is subordinate to the interest of the Secured Parties;</w:t>
      </w:r>
    </w:p>
    <w:p>
      <w:pPr>
        <w:spacing w:after="0" w:line="62" w:lineRule="exact"/>
        <w:rPr>
          <w:rFonts w:ascii="Arial" w:cs="Arial" w:eastAsia="Arial" w:hAnsi="Arial"/>
          <w:sz w:val="18"/>
          <w:szCs w:val="18"/>
          <w:color w:val="auto"/>
        </w:rPr>
      </w:pPr>
    </w:p>
    <w:p>
      <w:pPr>
        <w:jc w:val="both"/>
        <w:ind w:right="60" w:firstLine="444"/>
        <w:spacing w:after="0" w:line="286" w:lineRule="auto"/>
        <w:tabs>
          <w:tab w:leader="none" w:pos="69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easements, rights-of-way, zoning and other restrictions, minor defects or other irregularities in title and other similar encumbrances incurred in the ordinary course of business which are not substantial in amount and which do not materially detract from the value of the property subject thereto or materially interfere with the ordinary conduct of the businesses of any Credit Party or any Subsidiary of any Credit Party;</w:t>
      </w:r>
    </w:p>
    <w:p>
      <w:pPr>
        <w:spacing w:after="0" w:line="57" w:lineRule="exact"/>
        <w:rPr>
          <w:rFonts w:ascii="Arial" w:cs="Arial" w:eastAsia="Arial" w:hAnsi="Arial"/>
          <w:sz w:val="17"/>
          <w:szCs w:val="17"/>
          <w:color w:val="auto"/>
        </w:rPr>
      </w:pPr>
    </w:p>
    <w:p>
      <w:pPr>
        <w:ind w:right="120" w:firstLine="444"/>
        <w:spacing w:after="0" w:line="277" w:lineRule="auto"/>
        <w:tabs>
          <w:tab w:leader="none" w:pos="66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Liens arising out of a conditional sale, title retention, consignment or similar arrangements for the sale of Product entered into by Borrower or any Subsidiary of Borrower in the ordinary course of business;</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Liens on cash and Cash Equivalents to secure obligations under Permitted Hedging Agreements; and</w:t>
      </w:r>
    </w:p>
    <w:p>
      <w:pPr>
        <w:spacing w:after="0" w:line="117" w:lineRule="exact"/>
        <w:rPr>
          <w:rFonts w:ascii="Arial" w:cs="Arial" w:eastAsia="Arial" w:hAnsi="Arial"/>
          <w:sz w:val="18"/>
          <w:szCs w:val="18"/>
          <w:color w:val="auto"/>
        </w:rPr>
      </w:pPr>
    </w:p>
    <w:p>
      <w:pPr>
        <w:ind w:right="20" w:firstLine="444"/>
        <w:spacing w:after="0" w:line="273" w:lineRule="auto"/>
        <w:tabs>
          <w:tab w:leader="none" w:pos="65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 xml:space="preserve">Liens incurred in the extension, renewal or refinancing of the indebtedness secured by Liens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w:t>
      </w:r>
      <w:r>
        <w:rPr>
          <w:rFonts w:ascii="Arial" w:cs="Arial" w:eastAsia="Arial" w:hAnsi="Arial"/>
          <w:sz w:val="17"/>
          <w:szCs w:val="17"/>
          <w:color w:val="auto"/>
        </w:rPr>
        <w:t xml:space="preserve">, but any extension, renewal or replacement Lien must be limited to the properties or assets encumbered by the existing Lien (and any additions, accessions, parts, improvements and attachments thereto and the proceeds thereof) and the principal amount of the indebtedness may not increase other than by any reasonable premium or other reasonable amount paid and fees and expenses reasonably incurred in connection with the same;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any of the foregoing Liens secure Indebtedness of a Credit Party, such Liens shall constitute Permitted Liens only if and to the extent that such Indebtedness constitutes Permitted Indebtedness.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right="7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1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 respect to which Borrower or its Subsidiaries are subject to liability (including under Section 4069 of ERISA).</w:t>
      </w:r>
    </w:p>
    <w:p>
      <w:pPr>
        <w:spacing w:after="0" w:line="176"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means, as applied to the Equity Interests of any Person, the Equity Interests of any class or classes (however designated) that is preferred with respect to the payment of dividends, or as to the distribution of assets upon any voluntary or involuntary liquidation or dissolution of such Person, over shares of Equity Interests of any other class of such Person.</w:t>
      </w:r>
    </w:p>
    <w:p>
      <w:pPr>
        <w:spacing w:after="0" w:line="176" w:lineRule="exact"/>
        <w:rPr>
          <w:sz w:val="20"/>
          <w:szCs w:val="20"/>
          <w:color w:val="auto"/>
        </w:rPr>
      </w:pPr>
    </w:p>
    <w:p>
      <w:pPr>
        <w:jc w:val="both"/>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xml:space="preserve">” means, with respect to any prepayment of the Term Loans by Borrower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an amount equal to the product of the amount of such prepayment (including, for the avoidance of doubt, all principal and accrued and unpaid interest thereon), multiplied by:</w:t>
      </w:r>
    </w:p>
    <w:p>
      <w:pPr>
        <w:spacing w:after="0" w:line="72" w:lineRule="exact"/>
        <w:rPr>
          <w:sz w:val="20"/>
          <w:szCs w:val="20"/>
          <w:color w:val="auto"/>
        </w:rPr>
      </w:pPr>
    </w:p>
    <w:p>
      <w:pPr>
        <w:ind w:left="1500" w:hanging="209"/>
        <w:spacing w:after="0"/>
        <w:tabs>
          <w:tab w:leader="none" w:pos="15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if such prepayment occurs prior to the four (4) year anniversary of the Tranche A Closing Date, 0.02; and</w:t>
      </w:r>
    </w:p>
    <w:p>
      <w:pPr>
        <w:spacing w:after="0" w:line="117" w:lineRule="exact"/>
        <w:rPr>
          <w:rFonts w:ascii="Arial" w:cs="Arial" w:eastAsia="Arial" w:hAnsi="Arial"/>
          <w:sz w:val="18"/>
          <w:szCs w:val="18"/>
          <w:color w:val="auto"/>
        </w:rPr>
      </w:pPr>
    </w:p>
    <w:p>
      <w:pPr>
        <w:ind w:left="440" w:right="440" w:firstLine="851"/>
        <w:spacing w:after="0" w:line="277" w:lineRule="auto"/>
        <w:tabs>
          <w:tab w:leader="none" w:pos="155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if such prepayment occurs on or after the four (4) year anniversary of the Tranche A Closing Date and prior to the Term Loan Maturity Date, 0.01.</w:t>
      </w:r>
    </w:p>
    <w:p>
      <w:pPr>
        <w:spacing w:after="0" w:line="166"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Private Third Party Payor Programs</w:t>
      </w:r>
      <w:r>
        <w:rPr>
          <w:rFonts w:ascii="Arial" w:cs="Arial" w:eastAsia="Arial" w:hAnsi="Arial"/>
          <w:sz w:val="16"/>
          <w:szCs w:val="16"/>
          <w:color w:val="auto"/>
        </w:rPr>
        <w:t>” means all third party payor programs in which any Credit Party or its Subsidiaries participates, including Managed Care Plans, or any other private insurance programs, whether domestic or foreign, but excluding all Governmental Payor Programs.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494" w:name="page495"/>
    <w:bookmarkEnd w:id="494"/>
    <w:p>
      <w:pPr>
        <w:ind w:right="5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Product</w:t>
      </w:r>
      <w:r>
        <w:rPr>
          <w:rFonts w:ascii="Arial" w:cs="Arial" w:eastAsia="Arial" w:hAnsi="Arial"/>
          <w:sz w:val="18"/>
          <w:szCs w:val="18"/>
          <w:color w:val="auto"/>
        </w:rPr>
        <w:t>” means, collectively, the iFuse Implant™, the iFuse-3D™ Implant and the iFuse Neuromonitoring Kit (or any successor products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IP</w:t>
      </w:r>
      <w:r>
        <w:rPr>
          <w:rFonts w:ascii="Arial" w:cs="Arial" w:eastAsia="Arial" w:hAnsi="Arial"/>
          <w:sz w:val="18"/>
          <w:szCs w:val="18"/>
          <w:color w:val="auto"/>
        </w:rPr>
        <w:t>” means any and all Current Company IP relating to the Products.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“Public Reporting Company” </w:t>
      </w:r>
      <w:r>
        <w:rPr>
          <w:rFonts w:ascii="Arial" w:cs="Arial" w:eastAsia="Arial" w:hAnsi="Arial"/>
          <w:sz w:val="17"/>
          <w:szCs w:val="17"/>
          <w:color w:val="auto"/>
        </w:rPr>
        <w:t>means an issuer generally subject to the reporting requirements of the Securities and Exchange Act of 1934.</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07"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Agency</w:t>
      </w:r>
      <w:r>
        <w:rPr>
          <w:rFonts w:ascii="Arial" w:cs="Arial" w:eastAsia="Arial" w:hAnsi="Arial"/>
          <w:sz w:val="18"/>
          <w:szCs w:val="18"/>
          <w:color w:val="auto"/>
        </w:rPr>
        <w:t>” means a Governmental Authority with responsibility for the approval of the marketing and sale of pharmaceutical, biologic or medical devices or other regulation of pharmaceutical, biologic or medical devices.</w:t>
      </w:r>
    </w:p>
    <w:p>
      <w:pPr>
        <w:spacing w:after="0" w:line="162"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(including where applicable, pricing and reimbursement approval and schedule classifications), licenses (including product or establishment licenses), registrations, clearances or authorizations of any Regulatory Agency necessary for the development, Manufacture, production, use, import, export, transport or sale of any Product.</w:t>
      </w:r>
    </w:p>
    <w:p>
      <w:pPr>
        <w:spacing w:after="0" w:line="176" w:lineRule="exact"/>
        <w:rPr>
          <w:sz w:val="20"/>
          <w:szCs w:val="20"/>
          <w:color w:val="auto"/>
        </w:rPr>
      </w:pPr>
    </w:p>
    <w:p>
      <w:pPr>
        <w:ind w:right="3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ind w:right="1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Requirements of Law</w:t>
      </w:r>
      <w:r>
        <w:rPr>
          <w:rFonts w:ascii="Arial" w:cs="Arial" w:eastAsia="Arial" w:hAnsi="Arial"/>
          <w:sz w:val="18"/>
          <w:szCs w:val="18"/>
          <w:color w:val="auto"/>
        </w:rPr>
        <w:t xml:space="preserve"> ” means, as to any Person, the organizational or governing documents of such Person, and any law (statutory or common), treaty, order, policy, rule or regulation or determination of an arbitrator or a court or other Governmental Authority (including Health Care Laws, FDA Laws and all applicable statutes, rules, regulations, standards, policies and orders administered or issued by any foreign Governmental Authority), in each case, applicable to or binding upon such Person or any of its properties or assets or to which such Person or any of its properties or assets is subject.</w:t>
      </w:r>
    </w:p>
    <w:p>
      <w:pPr>
        <w:spacing w:after="0" w:line="184"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any Credit Party or its Subsidiaries, any of the Chief Executive Officer, President, Chief Financial Officer and Controller of such Credit Party.</w:t>
      </w:r>
    </w:p>
    <w:p>
      <w:pPr>
        <w:spacing w:after="0" w:line="162" w:lineRule="exact"/>
        <w:rPr>
          <w:sz w:val="20"/>
          <w:szCs w:val="20"/>
          <w:color w:val="auto"/>
        </w:rPr>
      </w:pPr>
    </w:p>
    <w:p>
      <w:pPr>
        <w:ind w:right="4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means any Current Company IP Agreement that prohibits or otherwise restricts a Credit Party from granting a security interest in such Credit Party’s interest in such Current Company IP Agreement in a manner enforceable under applicable law.</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Lender, each other Indemnified Person and each other holder of any Obligation of a Credit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means any “securities account” as defined in the Code.</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the Guaranty and Security Agreement, dated as of the Tranche A Closing Date, by and among the Credit Parties and Lender, as such may be amended, restated, supplemented or otherwise modified from time to time.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0" w:right="459" w:bottom="1440" w:gutter="0" w:footer="0" w:header="0"/>
        </w:sectPr>
      </w:pPr>
    </w:p>
    <w:bookmarkStart w:id="495" w:name="page496"/>
    <w:bookmarkEnd w:id="495"/>
    <w:p>
      <w:pPr>
        <w:ind w:right="80" w:firstLine="44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Person as of any date of determination, that, as of such date, (a) the value of the assets of such Person (both at fair value and present fair saleable value) is greater than the total amount of liabilities (including contingent and unliquidated liabilities) of such Person, (b) such Person is able to pay all liabilities of such Person as such liabilities mature and (c) such Person does not have unreasonably small capital.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Disputes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Financial Covenants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6.17(c)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SSA</w:t>
      </w:r>
      <w:r>
        <w:rPr>
          <w:rFonts w:ascii="Arial" w:cs="Arial" w:eastAsia="Arial" w:hAnsi="Arial"/>
          <w:sz w:val="18"/>
          <w:szCs w:val="18"/>
          <w:color w:val="auto"/>
        </w:rPr>
        <w:t>” means the Social Security Act of 1935, codified at Title 42, Chapter 7, of the United States Code.</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Acquisition</w:t>
      </w:r>
      <w:r>
        <w:rPr>
          <w:rFonts w:ascii="Arial" w:cs="Arial" w:eastAsia="Arial" w:hAnsi="Arial"/>
          <w:sz w:val="18"/>
          <w:szCs w:val="18"/>
          <w:color w:val="auto"/>
        </w:rPr>
        <w:t>” means the purchase or other acquisition by Borrower or any of its Subsidiaries of all of the Equity Interests (by merger, stock purchase or otherwise) of any other Person.</w:t>
      </w:r>
    </w:p>
    <w:p>
      <w:pPr>
        <w:spacing w:after="0" w:line="162"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xml:space="preserve">” means, collectively, unsecured Indebtedness incurred by any Credit Party or any Subsidiary thereof (including any Indebtedness permitted in connection with any Permitted Acquisition) that (a) is subordinated in right of payment to the Obligations pursuant to a subordination, intercreditor or other similar Contract that is in form and substance satisfactory to Lender (which Contract shall include turnover provisions that are satisfactory to Lender), (b) is not subject to scheduled amortization, redemption (mandatory or voluntary), sinking fund or similar payment and does not have a final maturity, in each case, before the date that is six (6) months after the Term Loan Maturity Date, (c) does not include any covenants or any agreements that, individually or taken as a whole, are more restrictive or onerous on any Credit Party in any material respect than any comparable covenants in this Agreement and (d)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unless and until the Obligations have been declared, or have otherwise automatically become, immediately due and payable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w:t>
      </w:r>
    </w:p>
    <w:p>
      <w:pPr>
        <w:spacing w:after="0" w:line="169" w:lineRule="exact"/>
        <w:rPr>
          <w:sz w:val="20"/>
          <w:szCs w:val="20"/>
          <w:color w:val="auto"/>
        </w:rPr>
      </w:pPr>
    </w:p>
    <w:p>
      <w:pPr>
        <w:ind w:right="14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 means, with respect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direct or indirect Subsidiary of a Credit Party.</w:t>
      </w:r>
    </w:p>
    <w:p>
      <w:pPr>
        <w:spacing w:after="0" w:line="154"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United States federal, state, local or non-United States income, gross receipts, license, payroll, employment, occupation, premium, profits, withholding, franchise, alternative minimum, sales, use, transfer, value added, excise, stamp, customs, real property, personal property, escheat, capital stock, social security, unemployment or other similar charge or tax of any kind whatsoever, including any interest, penalties or additions to tax in respect of the foregoing, whether disputed or not.</w:t>
      </w:r>
    </w:p>
    <w:p>
      <w:pPr>
        <w:spacing w:after="0" w:line="180"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each of the Tranche A Loan and the Tranche B Loan, as applicable, and “</w:t>
      </w:r>
      <w:r>
        <w:rPr>
          <w:rFonts w:ascii="Arial" w:cs="Arial" w:eastAsia="Arial" w:hAnsi="Arial"/>
          <w:sz w:val="18"/>
          <w:szCs w:val="18"/>
          <w:b w:val="1"/>
          <w:bCs w:val="1"/>
          <w:color w:val="auto"/>
        </w:rPr>
        <w:t>Term Loans</w:t>
      </w:r>
      <w:r>
        <w:rPr>
          <w:rFonts w:ascii="Arial" w:cs="Arial" w:eastAsia="Arial" w:hAnsi="Arial"/>
          <w:sz w:val="18"/>
          <w:szCs w:val="18"/>
          <w:color w:val="auto"/>
        </w:rPr>
        <w:t>” means, collectively, the Tranche A Loan and the Tranche B Loan.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the five-year anniversary of the Tranche A Closing Date.</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Note</w:t>
      </w:r>
      <w:r>
        <w:rPr>
          <w:rFonts w:ascii="Arial" w:cs="Arial" w:eastAsia="Arial" w:hAnsi="Arial"/>
          <w:sz w:val="18"/>
          <w:szCs w:val="18"/>
          <w:color w:val="auto"/>
        </w:rPr>
        <w:t>” means each of the Tranche A Note and the Tranche B Note, as applicable, and “</w:t>
      </w:r>
      <w:r>
        <w:rPr>
          <w:rFonts w:ascii="Arial" w:cs="Arial" w:eastAsia="Arial" w:hAnsi="Arial"/>
          <w:sz w:val="18"/>
          <w:szCs w:val="18"/>
          <w:b w:val="1"/>
          <w:bCs w:val="1"/>
          <w:color w:val="auto"/>
        </w:rPr>
        <w:t>Term Loan Notes</w:t>
      </w:r>
      <w:r>
        <w:rPr>
          <w:rFonts w:ascii="Arial" w:cs="Arial" w:eastAsia="Arial" w:hAnsi="Arial"/>
          <w:sz w:val="18"/>
          <w:szCs w:val="18"/>
          <w:color w:val="auto"/>
        </w:rPr>
        <w:t>” means, collectively, the Tranche A Note and the Tranche B Note.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0" w:right="439" w:bottom="1440" w:gutter="0" w:footer="0" w:header="0"/>
        </w:sectPr>
      </w:pPr>
    </w:p>
    <w:bookmarkStart w:id="496" w:name="page497"/>
    <w:bookmarkEnd w:id="496"/>
    <w:p>
      <w:pPr>
        <w:ind w:right="7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Territory</w:t>
      </w:r>
      <w:r>
        <w:rPr>
          <w:rFonts w:ascii="Arial" w:cs="Arial" w:eastAsia="Arial" w:hAnsi="Arial"/>
          <w:sz w:val="18"/>
          <w:szCs w:val="18"/>
          <w:color w:val="auto"/>
        </w:rPr>
        <w:t>” means the United States and all other countries in which any Product has been Commercialized, or in which any attempt to Commercialize any Product has occurred (such as submission of applications to Governmental Authorities).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4.5(n)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License</w:t>
      </w:r>
      <w:r>
        <w:rPr>
          <w:rFonts w:ascii="Arial" w:cs="Arial" w:eastAsia="Arial" w:hAnsi="Arial"/>
          <w:sz w:val="18"/>
          <w:szCs w:val="18"/>
          <w:color w:val="auto"/>
        </w:rPr>
        <w:t>” means any Contract providing for the grant by or to a Person of any right to use any Trademark.</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whether in the United States Patent and Trademark Office or in any similar office or agency of the United States, any State thereof or any other country, multinational body or any political subdivision thereof (and all related IP Ancillary Rights) and (b) all renewals thereof.</w:t>
      </w:r>
    </w:p>
    <w:p>
      <w:pPr>
        <w:spacing w:after="0" w:line="168" w:lineRule="exact"/>
        <w:rPr>
          <w:sz w:val="20"/>
          <w:szCs w:val="20"/>
          <w:color w:val="auto"/>
        </w:rPr>
      </w:pPr>
    </w:p>
    <w:p>
      <w:pPr>
        <w:ind w:right="9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Closing Date</w:t>
      </w:r>
      <w:r>
        <w:rPr>
          <w:rFonts w:ascii="Arial" w:cs="Arial" w:eastAsia="Arial" w:hAnsi="Arial"/>
          <w:sz w:val="18"/>
          <w:szCs w:val="18"/>
          <w:color w:val="auto"/>
        </w:rPr>
        <w:t>” means the earlier to occur of (a) the date that is ten (10) Business Days following the Effective Date and (b) October 27, 2017.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Loan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w:t>
      </w:r>
      <w:r>
        <w:rPr>
          <w:rFonts w:ascii="Arial" w:cs="Arial" w:eastAsia="Arial" w:hAnsi="Arial"/>
          <w:sz w:val="18"/>
          <w:szCs w:val="18"/>
          <w:color w:val="auto"/>
        </w:rPr>
        <w:t>.</w:t>
      </w:r>
    </w:p>
    <w:p>
      <w:pPr>
        <w:spacing w:after="0" w:line="225"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C-1</w:t>
      </w:r>
      <w:r>
        <w:rPr>
          <w:rFonts w:ascii="Arial" w:cs="Arial" w:eastAsia="Arial" w:hAnsi="Arial"/>
          <w:sz w:val="18"/>
          <w:szCs w:val="18"/>
          <w:color w:val="auto"/>
        </w:rPr>
        <w:t>, as it may be amended, restated, supplemented or otherwise modified from time to time.</w:t>
      </w:r>
    </w:p>
    <w:p>
      <w:pPr>
        <w:spacing w:after="0" w:line="162" w:lineRule="exact"/>
        <w:rPr>
          <w:sz w:val="20"/>
          <w:szCs w:val="20"/>
          <w:color w:val="auto"/>
        </w:rPr>
      </w:pPr>
    </w:p>
    <w:p>
      <w:pPr>
        <w:jc w:val="both"/>
        <w:ind w:right="5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Closing Date</w:t>
      </w:r>
      <w:r>
        <w:rPr>
          <w:rFonts w:ascii="Arial" w:cs="Arial" w:eastAsia="Arial" w:hAnsi="Arial"/>
          <w:sz w:val="18"/>
          <w:szCs w:val="18"/>
          <w:color w:val="auto"/>
        </w:rPr>
        <w:t xml:space="preserve">” means the date on which the Tranche B Loan is advanced by Lender, which, subject to the satisfaction of the conditions precedent to the Tranche B Loan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w:t>
      </w:r>
      <w:r>
        <w:rPr>
          <w:rFonts w:ascii="Arial" w:cs="Arial" w:eastAsia="Arial" w:hAnsi="Arial"/>
          <w:sz w:val="18"/>
          <w:szCs w:val="18"/>
          <w:color w:val="auto"/>
        </w:rPr>
        <w:t>, shall be after the Tranche A Closing Date and on or prior to January 31, 2019.</w:t>
      </w:r>
    </w:p>
    <w:p>
      <w:pPr>
        <w:spacing w:after="0" w:line="176"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Note</w:t>
      </w:r>
      <w:r>
        <w:rPr>
          <w:rFonts w:ascii="Arial" w:cs="Arial" w:eastAsia="Arial" w:hAnsi="Arial"/>
          <w:sz w:val="18"/>
          <w:szCs w:val="18"/>
          <w:color w:val="auto"/>
        </w:rPr>
        <w:t xml:space="preserve">” means a promissory note in substantially the form attached hereto as </w:t>
      </w:r>
      <w:r>
        <w:rPr>
          <w:rFonts w:ascii="Arial" w:cs="Arial" w:eastAsia="Arial" w:hAnsi="Arial"/>
          <w:sz w:val="18"/>
          <w:szCs w:val="18"/>
          <w:u w:val="single" w:color="auto"/>
          <w:color w:val="auto"/>
        </w:rPr>
        <w:t>Exhibit C-2</w:t>
      </w:r>
      <w:r>
        <w:rPr>
          <w:rFonts w:ascii="Arial" w:cs="Arial" w:eastAsia="Arial" w:hAnsi="Arial"/>
          <w:sz w:val="18"/>
          <w:szCs w:val="18"/>
          <w:color w:val="auto"/>
        </w:rPr>
        <w:t>, as it may be amended,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 Loan Amount</w:t>
      </w:r>
      <w:r>
        <w:rPr>
          <w:rFonts w:ascii="Arial" w:cs="Arial" w:eastAsia="Arial" w:hAnsi="Arial"/>
          <w:sz w:val="17"/>
          <w:szCs w:val="17"/>
          <w:color w:val="auto"/>
        </w:rPr>
        <w:t>” means (a) if Net Sales for the two fiscal quarters preceding the Tranche B Closing Date taken together are greater than or equal to $28,500,000 but less than $33,000,000, $10,000,000; and (b) if Net Sales for the two fiscal quarters preceding the Tranche B Closing Date taken together are greater than or equal to $33,000,000, not less than $10,000,000 and not greater than $20,000,000, as selected by Borrower in its sole discretion in the Payment/Advance Form. For the avoidance of doubt if Net Sales for the two fiscal quarters preceding the Tranche B Closing Date taken together are less than $28,500,000, the Tranche B Loan Amount equals zero.</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TRICARE</w:t>
      </w:r>
      <w:r>
        <w:rPr>
          <w:rFonts w:ascii="Arial" w:cs="Arial" w:eastAsia="Arial" w:hAnsi="Arial"/>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7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its fifty (50) states, each territory thereof and the District of Columbia, including American Samoa, Puerto Rico, the U.S. Virgin Islands, Guam, Northern Marianas, Johnson Atoll, Kingman Reef, Midway Islands, Navassa Island, Howland Island, Palmyra Atoll, Baker Island, Jarvis Island and Wake Island.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20"/>
          </w:cols>
          <w:pgMar w:left="440" w:top="269" w:right="539" w:bottom="1440" w:gutter="0" w:footer="0" w:header="0"/>
        </w:sectPr>
      </w:pPr>
    </w:p>
    <w:bookmarkStart w:id="497" w:name="page498"/>
    <w:bookmarkEnd w:id="497"/>
    <w:p>
      <w:pPr>
        <w:ind w:right="2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Vulture Fund</w:t>
      </w:r>
      <w:r>
        <w:rPr>
          <w:rFonts w:ascii="Arial" w:cs="Arial" w:eastAsia="Arial" w:hAnsi="Arial"/>
          <w:sz w:val="18"/>
          <w:szCs w:val="18"/>
          <w:color w:val="auto"/>
        </w:rPr>
        <w:t>” means any hedge fund or private equity fund that exclusively buys distressed securities of commercial companies or sovereign nations and then uses various methods to gain a larger amount than the purchase price of such securities.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w:t>
      </w:r>
      <w:r>
        <w:rPr>
          <w:rFonts w:ascii="Arial" w:cs="Arial" w:eastAsia="Arial" w:hAnsi="Arial"/>
          <w:sz w:val="18"/>
          <w:szCs w:val="18"/>
          <w:color w:val="auto"/>
        </w:rPr>
        <w:t>” means the World Health Organization.</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w:t>
      </w:r>
    </w:p>
    <w:p>
      <w:pPr>
        <w:spacing w:after="0" w:line="180"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69" w:right="459" w:bottom="1440" w:gutter="0" w:footer="0" w:header="0"/>
        </w:sectPr>
      </w:pPr>
    </w:p>
    <w:bookmarkStart w:id="498" w:name="page499"/>
    <w:bookmarkEnd w:id="4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-10160</wp:posOffset>
            </wp:positionV>
            <wp:extent cx="179705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Loan Agreement</w:t>
      </w:r>
    </w:p>
    <w:p>
      <w:pPr>
        <w:sectPr>
          <w:pgSz w:w="11900" w:h="16838" w:orient="portrait"/>
          <w:cols w:equalWidth="0" w:num="1">
            <w:col w:w="11020"/>
          </w:cols>
          <w:pgMar w:left="440" w:top="270" w:right="43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BIOPHARMA CREDIT INVESTMENTS IV SUB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Lender</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 Pharmakon Advisors, 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 Pharmakon Management I,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Pedro Gonzalez de Cosio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-10160</wp:posOffset>
            </wp:positionV>
            <wp:extent cx="186626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8662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Loan Agreement</w:t>
      </w:r>
    </w:p>
    <w:p>
      <w:pPr>
        <w:sectPr>
          <w:pgSz w:w="11900" w:h="16838" w:orient="portrait"/>
          <w:cols w:equalWidth="0" w:num="1">
            <w:col w:w="11020"/>
          </w:cols>
          <w:pgMar w:left="440" w:top="270" w:right="439"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A – PAYMENT/ADVANCE FORM</w:t>
            </w:r>
          </w:p>
        </w:tc>
        <w:tc>
          <w:tcPr>
            <w:tcW w:w="3700" w:type="dxa"/>
            <w:vAlign w:val="bottom"/>
          </w:tcPr>
          <w:p>
            <w:pPr>
              <w:spacing w:after="0"/>
              <w:rPr>
                <w:sz w:val="17"/>
                <w:szCs w:val="17"/>
                <w:color w:val="auto"/>
              </w:rPr>
            </w:pPr>
          </w:p>
        </w:tc>
      </w:tr>
      <w:tr>
        <w:trPr>
          <w:trHeight w:val="453"/>
        </w:trPr>
        <w:tc>
          <w:tcPr>
            <w:tcW w:w="3760" w:type="dxa"/>
            <w:vAlign w:val="bottom"/>
          </w:tcPr>
          <w:p>
            <w:pPr>
              <w:spacing w:after="0"/>
              <w:rPr>
                <w:sz w:val="20"/>
                <w:szCs w:val="20"/>
                <w:color w:val="auto"/>
              </w:rPr>
            </w:pPr>
            <w:r>
              <w:rPr>
                <w:rFonts w:ascii="Arial" w:cs="Arial" w:eastAsia="Arial" w:hAnsi="Arial"/>
                <w:sz w:val="18"/>
                <w:szCs w:val="18"/>
                <w:color w:val="auto"/>
                <w:w w:val="91"/>
              </w:rPr>
              <w:t>The undersigned, being the duly elected and acting</w:t>
            </w:r>
          </w:p>
        </w:tc>
        <w:tc>
          <w:tcPr>
            <w:tcW w:w="7220" w:type="dxa"/>
            <w:vAlign w:val="bottom"/>
            <w:gridSpan w:val="2"/>
          </w:tcPr>
          <w:p>
            <w:pPr>
              <w:ind w:left="860"/>
              <w:spacing w:after="0"/>
              <w:rPr>
                <w:sz w:val="20"/>
                <w:szCs w:val="20"/>
                <w:color w:val="auto"/>
              </w:rPr>
            </w:pPr>
            <w:r>
              <w:rPr>
                <w:rFonts w:ascii="Arial" w:cs="Arial" w:eastAsia="Arial" w:hAnsi="Arial"/>
                <w:sz w:val="18"/>
                <w:szCs w:val="18"/>
                <w:color w:val="auto"/>
                <w:w w:val="92"/>
              </w:rPr>
              <w:t>of SI-BONE, INC., a Delaware corporation (“</w:t>
            </w:r>
            <w:r>
              <w:rPr>
                <w:rFonts w:ascii="Arial" w:cs="Arial" w:eastAsia="Arial" w:hAnsi="Arial"/>
                <w:sz w:val="18"/>
                <w:szCs w:val="18"/>
                <w:b w:val="1"/>
                <w:bCs w:val="1"/>
                <w:color w:val="auto"/>
                <w:w w:val="92"/>
              </w:rPr>
              <w:t>Borrower</w:t>
            </w:r>
            <w:r>
              <w:rPr>
                <w:rFonts w:ascii="Arial" w:cs="Arial" w:eastAsia="Arial" w:hAnsi="Arial"/>
                <w:sz w:val="18"/>
                <w:szCs w:val="18"/>
                <w:color w:val="auto"/>
                <w:w w:val="92"/>
              </w:rPr>
              <w:t>”), does hereby certify, solely in</w:t>
            </w:r>
          </w:p>
        </w:tc>
      </w:tr>
    </w:tbl>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his/her capacity as an authorized officer of Borrower and not in his/her personal capacity, to BIOPHARMA CREDIT INVESTMENTS IV SUB LP</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in connection with that certain Loan Agreement dated as of October 13, 2017 by and among Borrower, Lender and the other parties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 on the Tranche [A] [B] Closing Date:</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1. [the amount of the Tranche B Loan shall be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bl>
    <w:p>
      <w:pPr>
        <w:spacing w:after="0" w:line="94" w:lineRule="exact"/>
        <w:rPr>
          <w:sz w:val="20"/>
          <w:szCs w:val="20"/>
          <w:color w:val="auto"/>
        </w:rPr>
      </w:pPr>
    </w:p>
    <w:p>
      <w:pPr>
        <w:ind w:firstLine="444"/>
        <w:spacing w:after="0" w:line="257" w:lineRule="auto"/>
        <w:tabs>
          <w:tab w:leader="none" w:pos="62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representations and warranties made by the Credit Parties in Section 4 of the Loan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on the Tranche [A][B] Closing Date or as of such earlier date, as applicable);</w:t>
      </w:r>
    </w:p>
    <w:p>
      <w:pPr>
        <w:spacing w:after="0" w:line="80" w:lineRule="exact"/>
        <w:rPr>
          <w:rFonts w:ascii="Arial" w:cs="Arial" w:eastAsia="Arial" w:hAnsi="Arial"/>
          <w:sz w:val="18"/>
          <w:szCs w:val="18"/>
          <w:color w:val="auto"/>
        </w:rPr>
      </w:pPr>
    </w:p>
    <w:p>
      <w:pPr>
        <w:ind w:left="620" w:hanging="176"/>
        <w:spacing w:after="0"/>
        <w:tabs>
          <w:tab w:leader="none" w:pos="62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no Default or an Event of Default has occurred since the [Effective Date]</w:t>
      </w:r>
      <w:r>
        <w:rPr>
          <w:rFonts w:ascii="Arial" w:cs="Arial" w:eastAsia="Arial" w:hAnsi="Arial"/>
          <w:sz w:val="14"/>
          <w:szCs w:val="14"/>
          <w:color w:val="auto"/>
        </w:rPr>
        <w:t>2</w:t>
      </w:r>
      <w:r>
        <w:rPr>
          <w:rFonts w:ascii="Arial" w:cs="Arial" w:eastAsia="Arial" w:hAnsi="Arial"/>
          <w:sz w:val="17"/>
          <w:szCs w:val="17"/>
          <w:color w:val="auto"/>
        </w:rPr>
        <w:t xml:space="preserve"> [Tranche A Closing Date]</w:t>
      </w:r>
      <w:r>
        <w:rPr>
          <w:rFonts w:ascii="Arial" w:cs="Arial" w:eastAsia="Arial" w:hAnsi="Arial"/>
          <w:sz w:val="14"/>
          <w:szCs w:val="14"/>
          <w:color w:val="auto"/>
        </w:rPr>
        <w:t>3</w:t>
      </w:r>
      <w:r>
        <w:rPr>
          <w:rFonts w:ascii="Arial" w:cs="Arial" w:eastAsia="Arial" w:hAnsi="Arial"/>
          <w:sz w:val="17"/>
          <w:szCs w:val="17"/>
          <w:color w:val="auto"/>
        </w:rPr>
        <w:t xml:space="preserve"> or is occurring as of the date hereof;</w:t>
      </w:r>
    </w:p>
    <w:p>
      <w:pPr>
        <w:spacing w:after="0" w:line="128" w:lineRule="exact"/>
        <w:rPr>
          <w:rFonts w:ascii="Arial" w:cs="Arial" w:eastAsia="Arial" w:hAnsi="Arial"/>
          <w:sz w:val="17"/>
          <w:szCs w:val="17"/>
          <w:color w:val="auto"/>
        </w:rPr>
      </w:pPr>
    </w:p>
    <w:p>
      <w:pPr>
        <w:ind w:left="620" w:hanging="176"/>
        <w:spacing w:after="0"/>
        <w:tabs>
          <w:tab w:leader="none" w:pos="62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 xml:space="preserve">each of the Credit Parties is in compliance with the covenants and requirements contained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the Loan Agreement;</w:t>
      </w:r>
    </w:p>
    <w:p>
      <w:pPr>
        <w:spacing w:after="0" w:line="128" w:lineRule="exact"/>
        <w:rPr>
          <w:rFonts w:ascii="Arial" w:cs="Arial" w:eastAsia="Arial" w:hAnsi="Arial"/>
          <w:sz w:val="17"/>
          <w:szCs w:val="17"/>
          <w:color w:val="auto"/>
        </w:rPr>
      </w:pPr>
    </w:p>
    <w:p>
      <w:pPr>
        <w:ind w:right="60" w:firstLine="444"/>
        <w:spacing w:after="0" w:line="277" w:lineRule="auto"/>
        <w:tabs>
          <w:tab w:leader="none" w:pos="62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all conditions referred to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Loan Agreement to the making of the Term Loan to be made on or about the date hereof have been satisfied or waived in writing by Lender;</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Material Adverse Change or Change in Control has occurred;</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undersigned is a Responsible Officer; and</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the proceeds of the Term Loan shall be disbursed as set forth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hereto.</w:t>
      </w:r>
    </w:p>
    <w:p>
      <w:pPr>
        <w:spacing w:after="0" w:line="225"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-10160</wp:posOffset>
            </wp:positionV>
            <wp:extent cx="140017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946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hanging="116"/>
        <w:spacing w:after="0"/>
        <w:tabs>
          <w:tab w:leader="none" w:pos="120" w:val="left"/>
        </w:tabs>
        <w:numPr>
          <w:ilvl w:val="0"/>
          <w:numId w:val="495"/>
        </w:numPr>
        <w:rPr>
          <w:rFonts w:ascii="Arial" w:cs="Arial" w:eastAsia="Arial" w:hAnsi="Arial"/>
          <w:sz w:val="15"/>
          <w:szCs w:val="15"/>
          <w:color w:val="auto"/>
        </w:rPr>
      </w:pPr>
      <w:r>
        <w:rPr>
          <w:rFonts w:ascii="Arial" w:cs="Arial" w:eastAsia="Arial" w:hAnsi="Arial"/>
          <w:sz w:val="18"/>
          <w:szCs w:val="18"/>
          <w:color w:val="auto"/>
        </w:rPr>
        <w:t>To be included in Payment/Advance Form for Tranche B Loan only.</w:t>
      </w:r>
    </w:p>
    <w:p>
      <w:pPr>
        <w:spacing w:after="0" w:line="23" w:lineRule="exact"/>
        <w:rPr>
          <w:rFonts w:ascii="Arial" w:cs="Arial" w:eastAsia="Arial" w:hAnsi="Arial"/>
          <w:sz w:val="15"/>
          <w:szCs w:val="15"/>
          <w:color w:val="auto"/>
        </w:rPr>
      </w:pPr>
    </w:p>
    <w:p>
      <w:pPr>
        <w:jc w:val="both"/>
        <w:ind w:right="5960"/>
        <w:spacing w:after="0" w:line="323" w:lineRule="auto"/>
        <w:rPr>
          <w:rFonts w:ascii="Arial" w:cs="Arial" w:eastAsia="Arial" w:hAnsi="Arial"/>
          <w:sz w:val="15"/>
          <w:szCs w:val="15"/>
          <w:color w:val="auto"/>
        </w:rPr>
      </w:pPr>
      <w:r>
        <w:rPr>
          <w:rFonts w:ascii="Arial" w:cs="Arial" w:eastAsia="Arial" w:hAnsi="Arial"/>
          <w:sz w:val="14"/>
          <w:szCs w:val="14"/>
          <w:color w:val="auto"/>
        </w:rPr>
        <w:t xml:space="preserve">2 </w:t>
      </w:r>
      <w:r>
        <w:rPr>
          <w:rFonts w:ascii="Arial" w:cs="Arial" w:eastAsia="Arial" w:hAnsi="Arial"/>
          <w:sz w:val="16"/>
          <w:szCs w:val="16"/>
          <w:color w:val="auto"/>
        </w:rPr>
        <w:t>To be included in Payment/Advance Form for Tranche A Loan only.</w:t>
      </w:r>
      <w:r>
        <w:rPr>
          <w:rFonts w:ascii="Arial" w:cs="Arial" w:eastAsia="Arial" w:hAnsi="Arial"/>
          <w:sz w:val="14"/>
          <w:szCs w:val="14"/>
          <w:color w:val="auto"/>
        </w:rPr>
        <w:t xml:space="preserve"> 3 </w:t>
      </w:r>
      <w:r>
        <w:rPr>
          <w:rFonts w:ascii="Arial" w:cs="Arial" w:eastAsia="Arial" w:hAnsi="Arial"/>
          <w:sz w:val="16"/>
          <w:szCs w:val="16"/>
          <w:color w:val="auto"/>
        </w:rPr>
        <w:t>To be included in Payment/Advance Form for Tranche B Loan only.</w:t>
      </w:r>
    </w:p>
    <w:p>
      <w:pPr>
        <w:sectPr>
          <w:pgSz w:w="11900" w:h="16838" w:orient="portrait"/>
          <w:cols w:equalWidth="0" w:num="1">
            <w:col w:w="11000"/>
          </w:cols>
          <w:pgMar w:left="440" w:top="256" w:right="459" w:bottom="1440" w:gutter="0" w:footer="0" w:header="0"/>
        </w:sectPr>
      </w:pPr>
    </w:p>
    <w:bookmarkStart w:id="501" w:name="page502"/>
    <w:bookmarkEnd w:id="5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-10160</wp:posOffset>
            </wp:positionV>
            <wp:extent cx="208597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-19050</wp:posOffset>
            </wp:positionV>
            <wp:extent cx="20859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-19050</wp:posOffset>
            </wp:positionV>
            <wp:extent cx="208597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ectPr>
          <w:pgSz w:w="11900" w:h="16838" w:orient="portrait"/>
          <w:cols w:equalWidth="0" w:num="1">
            <w:col w:w="10019"/>
          </w:cols>
          <w:pgMar w:left="440" w:top="269" w:right="1440" w:bottom="1440" w:gutter="0" w:footer="0" w:header="0"/>
        </w:sectPr>
      </w:pPr>
    </w:p>
    <w:bookmarkStart w:id="502" w:name="page503"/>
    <w:bookmarkEnd w:id="502"/>
    <w:p>
      <w:pPr>
        <w:ind w:left="37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 COMPLIANCE CERTIFICATE</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tab/>
        <w:t>BIOPHARMA CREDIT INVESTMENTS IV SUB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FROM: SI-BONE, INC.</w:t>
      </w:r>
    </w:p>
    <w:p>
      <w:pPr>
        <w:spacing w:after="0" w:line="113" w:lineRule="exact"/>
        <w:rPr>
          <w:sz w:val="20"/>
          <w:szCs w:val="20"/>
          <w:color w:val="auto"/>
        </w:rPr>
      </w:pPr>
    </w:p>
    <w:p>
      <w:pPr>
        <w:ind w:left="440" w:right="100"/>
        <w:spacing w:after="0" w:line="261" w:lineRule="auto"/>
        <w:rPr>
          <w:sz w:val="20"/>
          <w:szCs w:val="20"/>
          <w:color w:val="auto"/>
        </w:rPr>
      </w:pPr>
      <w:r>
        <w:rPr>
          <w:rFonts w:ascii="Arial" w:cs="Arial" w:eastAsia="Arial" w:hAnsi="Arial"/>
          <w:sz w:val="18"/>
          <w:szCs w:val="18"/>
          <w:color w:val="auto"/>
        </w:rPr>
        <w:t>The undersigned authorized officer of SI-BONE,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solely in his/her capacity as an authorized officer of Borrower and not in his/her personal capacity, that in accordance with the terms and conditions of the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as of October 13, 2017 by and between Borrower and BioPharma Credit Investments IV Sub LP, a Cayman Islands limited partnership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76" w:lineRule="exact"/>
        <w:rPr>
          <w:sz w:val="20"/>
          <w:szCs w:val="20"/>
          <w:color w:val="auto"/>
        </w:rPr>
      </w:pPr>
    </w:p>
    <w:p>
      <w:pPr>
        <w:jc w:val="both"/>
        <w:ind w:left="440" w:right="100" w:firstLine="4"/>
        <w:spacing w:after="0" w:line="264" w:lineRule="auto"/>
        <w:tabs>
          <w:tab w:leader="none" w:pos="65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Credit Parties are in complete compliance for the period ending _______________ with all required covenants except as noted below; [it being understood and agreed that audited annual financial statements are due within one hundred eighty (180) days of the end of each fiscal year pursuant to Section 5.2(a)(i) of the Loan Agreement;]</w:t>
      </w:r>
      <w:r>
        <w:rPr>
          <w:rFonts w:ascii="Arial" w:cs="Arial" w:eastAsia="Arial" w:hAnsi="Arial"/>
          <w:sz w:val="15"/>
          <w:szCs w:val="15"/>
          <w:color w:val="auto"/>
        </w:rPr>
        <w:t>4</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except as noted below; and</w:t>
      </w:r>
    </w:p>
    <w:p>
      <w:pPr>
        <w:spacing w:after="0" w:line="117" w:lineRule="exact"/>
        <w:rPr>
          <w:rFonts w:ascii="Arial" w:cs="Arial" w:eastAsia="Arial" w:hAnsi="Arial"/>
          <w:sz w:val="18"/>
          <w:szCs w:val="18"/>
          <w:color w:val="auto"/>
        </w:rPr>
      </w:pPr>
    </w:p>
    <w:p>
      <w:pPr>
        <w:jc w:val="both"/>
        <w:ind w:left="440" w:right="80" w:firstLine="4"/>
        <w:spacing w:after="0" w:line="264" w:lineRule="auto"/>
        <w:tabs>
          <w:tab w:leader="none" w:pos="75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Each Credit Party, and each of its Subsidiaries, have timely filed all required Tax returns and reports or extensions therefor, have timely paid all foreign, federal, state, and local Taxes, assessments, deposits and contributions owed by such Credit Party and each of its Subsidiaries, except as otherwise permitted pursuant to the terms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of the Loan Agreement.</w:t>
      </w:r>
    </w:p>
    <w:p>
      <w:pPr>
        <w:spacing w:after="0" w:line="73" w:lineRule="exact"/>
        <w:rPr>
          <w:sz w:val="20"/>
          <w:szCs w:val="20"/>
          <w:color w:val="auto"/>
        </w:rPr>
      </w:pPr>
    </w:p>
    <w:p>
      <w:pPr>
        <w:jc w:val="both"/>
        <w:ind w:left="440"/>
        <w:spacing w:after="0" w:line="257" w:lineRule="auto"/>
        <w:rPr>
          <w:sz w:val="20"/>
          <w:szCs w:val="20"/>
          <w:color w:val="auto"/>
        </w:rPr>
      </w:pPr>
      <w:r>
        <w:rPr>
          <w:rFonts w:ascii="Arial" w:cs="Arial" w:eastAsia="Arial" w:hAnsi="Arial"/>
          <w:sz w:val="18"/>
          <w:szCs w:val="18"/>
          <w:color w:val="auto"/>
        </w:rPr>
        <w:t>Attached are the required documents, if any, supporting our certification(s). The undersigned officer on behalf of Borrower further certifies that the attached financial statements are prepared in accordance with Applicable Accounting Standards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 Capitalized terms used but not otherwise defined herein shall have the meanings given them in the Loan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______________________</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440" w:hanging="436"/>
        <w:spacing w:after="0"/>
        <w:tabs>
          <w:tab w:leader="none" w:pos="440" w:val="left"/>
        </w:tabs>
        <w:numPr>
          <w:ilvl w:val="0"/>
          <w:numId w:val="497"/>
        </w:numPr>
        <w:rPr>
          <w:rFonts w:ascii="Arial" w:cs="Arial" w:eastAsia="Arial" w:hAnsi="Arial"/>
          <w:sz w:val="15"/>
          <w:szCs w:val="15"/>
          <w:color w:val="auto"/>
        </w:rPr>
      </w:pPr>
      <w:r>
        <w:rPr>
          <w:rFonts w:ascii="Arial" w:cs="Arial" w:eastAsia="Arial" w:hAnsi="Arial"/>
          <w:sz w:val="18"/>
          <w:szCs w:val="18"/>
          <w:color w:val="auto"/>
        </w:rPr>
        <w:t>Include in fiscal year end Compliance Certificate only.</w:t>
      </w:r>
    </w:p>
    <w:p>
      <w:pPr>
        <w:sectPr>
          <w:pgSz w:w="11900" w:h="16838" w:orient="portrait"/>
          <w:cols w:equalWidth="0" w:num="1">
            <w:col w:w="10960"/>
          </w:cols>
          <w:pgMar w:left="440" w:top="270" w:right="499" w:bottom="1440" w:gutter="0" w:footer="0" w:header="0"/>
        </w:sectPr>
      </w:pPr>
    </w:p>
    <w:bookmarkStart w:id="503" w:name="page504"/>
    <w:bookmarkEnd w:id="50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504" w:name="page505"/>
    <w:bookmarkEnd w:id="504"/>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indicate compliance status since the last Compliance Certificate by circling Yes, No, or N/A under “Complies” column.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3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Reporting Covenant</w:t>
            </w:r>
          </w:p>
        </w:tc>
        <w:tc>
          <w:tcPr>
            <w:tcW w:w="120" w:type="dxa"/>
            <w:vAlign w:val="bottom"/>
          </w:tcPr>
          <w:p>
            <w:pPr>
              <w:spacing w:after="0"/>
              <w:rPr>
                <w:sz w:val="16"/>
                <w:szCs w:val="16"/>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Requirement</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Complies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Audited Annual Financial Statements</w:t>
            </w:r>
          </w:p>
        </w:tc>
        <w:tc>
          <w:tcPr>
            <w:tcW w:w="120" w:type="dxa"/>
            <w:vAlign w:val="bottom"/>
          </w:tcPr>
          <w:p>
            <w:pPr>
              <w:spacing w:after="0"/>
              <w:rPr>
                <w:sz w:val="19"/>
                <w:szCs w:val="19"/>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180 days after year end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Borders>
              <w:top w:val="single" w:sz="8" w:color="auto"/>
            </w:tcBorders>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2)</w:t>
            </w:r>
          </w:p>
        </w:tc>
        <w:tc>
          <w:tcPr>
            <w:tcW w:w="3660" w:type="dxa"/>
            <w:vAlign w:val="bottom"/>
            <w:gridSpan w:val="3"/>
          </w:tcPr>
          <w:p>
            <w:pPr>
              <w:spacing w:after="0"/>
              <w:rPr>
                <w:sz w:val="20"/>
                <w:szCs w:val="20"/>
                <w:color w:val="auto"/>
              </w:rPr>
            </w:pPr>
            <w:r>
              <w:rPr>
                <w:rFonts w:ascii="Arial" w:cs="Arial" w:eastAsia="Arial" w:hAnsi="Arial"/>
                <w:sz w:val="18"/>
                <w:szCs w:val="18"/>
                <w:color w:val="auto"/>
              </w:rPr>
              <w:t>Unaudited Annual Financial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60 days after year end</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660" w:type="dxa"/>
            <w:vAlign w:val="bottom"/>
            <w:gridSpan w:val="3"/>
          </w:tcPr>
          <w:p>
            <w:pPr>
              <w:spacing w:after="0"/>
              <w:rPr>
                <w:sz w:val="20"/>
                <w:szCs w:val="20"/>
                <w:color w:val="auto"/>
              </w:rPr>
            </w:pPr>
            <w:r>
              <w:rPr>
                <w:rFonts w:ascii="Arial" w:cs="Arial" w:eastAsia="Arial" w:hAnsi="Arial"/>
                <w:sz w:val="18"/>
                <w:szCs w:val="18"/>
                <w:color w:val="auto"/>
              </w:rPr>
              <w:t>Quarterly Financial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60 days after quarter end</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4)</w:t>
            </w:r>
          </w:p>
        </w:tc>
        <w:tc>
          <w:tcPr>
            <w:tcW w:w="3660" w:type="dxa"/>
            <w:vAlign w:val="bottom"/>
            <w:gridSpan w:val="3"/>
          </w:tcPr>
          <w:p>
            <w:pPr>
              <w:spacing w:after="0"/>
              <w:rPr>
                <w:sz w:val="20"/>
                <w:szCs w:val="20"/>
                <w:color w:val="auto"/>
              </w:rPr>
            </w:pPr>
            <w:r>
              <w:rPr>
                <w:rFonts w:ascii="Arial" w:cs="Arial" w:eastAsia="Arial" w:hAnsi="Arial"/>
                <w:sz w:val="18"/>
                <w:szCs w:val="18"/>
                <w:color w:val="auto"/>
              </w:rPr>
              <w:t>SEC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5 days after filing, if applicable</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5)</w:t>
            </w:r>
          </w:p>
        </w:tc>
        <w:tc>
          <w:tcPr>
            <w:tcW w:w="3660" w:type="dxa"/>
            <w:vAlign w:val="bottom"/>
            <w:gridSpan w:val="3"/>
          </w:tcPr>
          <w:p>
            <w:pPr>
              <w:spacing w:after="0"/>
              <w:rPr>
                <w:sz w:val="20"/>
                <w:szCs w:val="20"/>
                <w:color w:val="auto"/>
              </w:rPr>
            </w:pPr>
            <w:r>
              <w:rPr>
                <w:rFonts w:ascii="Arial" w:cs="Arial" w:eastAsia="Arial" w:hAnsi="Arial"/>
                <w:sz w:val="18"/>
                <w:szCs w:val="18"/>
                <w:color w:val="auto"/>
              </w:rPr>
              <w:t>Other Statements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5 days after delivery</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6)</w:t>
            </w:r>
          </w:p>
        </w:tc>
        <w:tc>
          <w:tcPr>
            <w:tcW w:w="3660" w:type="dxa"/>
            <w:vAlign w:val="bottom"/>
            <w:gridSpan w:val="3"/>
          </w:tcPr>
          <w:p>
            <w:pPr>
              <w:spacing w:after="0"/>
              <w:rPr>
                <w:sz w:val="20"/>
                <w:szCs w:val="20"/>
                <w:color w:val="auto"/>
              </w:rPr>
            </w:pPr>
            <w:r>
              <w:rPr>
                <w:rFonts w:ascii="Arial" w:cs="Arial" w:eastAsia="Arial" w:hAnsi="Arial"/>
                <w:sz w:val="18"/>
                <w:szCs w:val="18"/>
                <w:color w:val="auto"/>
              </w:rPr>
              <w:t>Legal Action Notice</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7)</w:t>
            </w:r>
          </w:p>
        </w:tc>
        <w:tc>
          <w:tcPr>
            <w:tcW w:w="3660" w:type="dxa"/>
            <w:vAlign w:val="bottom"/>
            <w:gridSpan w:val="3"/>
          </w:tcPr>
          <w:p>
            <w:pPr>
              <w:spacing w:after="0"/>
              <w:rPr>
                <w:sz w:val="20"/>
                <w:szCs w:val="20"/>
                <w:color w:val="auto"/>
              </w:rPr>
            </w:pPr>
            <w:r>
              <w:rPr>
                <w:rFonts w:ascii="Arial" w:cs="Arial" w:eastAsia="Arial" w:hAnsi="Arial"/>
                <w:sz w:val="18"/>
                <w:szCs w:val="18"/>
                <w:color w:val="auto"/>
              </w:rPr>
              <w:t>Consolidated Plan and Financial Forecast</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No later than March 1</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8)</w:t>
            </w:r>
          </w:p>
        </w:tc>
        <w:tc>
          <w:tcPr>
            <w:tcW w:w="3660" w:type="dxa"/>
            <w:vAlign w:val="bottom"/>
            <w:gridSpan w:val="3"/>
          </w:tcPr>
          <w:p>
            <w:pPr>
              <w:spacing w:after="0"/>
              <w:rPr>
                <w:sz w:val="20"/>
                <w:szCs w:val="20"/>
                <w:color w:val="auto"/>
              </w:rPr>
            </w:pPr>
            <w:r>
              <w:rPr>
                <w:rFonts w:ascii="Arial" w:cs="Arial" w:eastAsia="Arial" w:hAnsi="Arial"/>
                <w:sz w:val="18"/>
                <w:szCs w:val="18"/>
                <w:color w:val="auto"/>
              </w:rPr>
              <w:t>Notice of Default, etc.</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2 Business Days) after</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knowledge</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9)</w:t>
            </w:r>
          </w:p>
        </w:tc>
        <w:tc>
          <w:tcPr>
            <w:tcW w:w="3660" w:type="dxa"/>
            <w:vAlign w:val="bottom"/>
            <w:gridSpan w:val="3"/>
          </w:tcPr>
          <w:p>
            <w:pPr>
              <w:spacing w:after="0"/>
              <w:rPr>
                <w:sz w:val="20"/>
                <w:szCs w:val="20"/>
                <w:color w:val="auto"/>
              </w:rPr>
            </w:pPr>
            <w:r>
              <w:rPr>
                <w:rFonts w:ascii="Arial" w:cs="Arial" w:eastAsia="Arial" w:hAnsi="Arial"/>
                <w:sz w:val="18"/>
                <w:szCs w:val="18"/>
                <w:color w:val="auto"/>
              </w:rPr>
              <w:t>IP Notice</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5 Business Days), when</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required</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60" w:type="dxa"/>
            <w:vAlign w:val="bottom"/>
            <w:gridSpan w:val="3"/>
          </w:tcPr>
          <w:p>
            <w:pPr>
              <w:spacing w:after="0"/>
              <w:rPr>
                <w:sz w:val="20"/>
                <w:szCs w:val="20"/>
                <w:color w:val="auto"/>
              </w:rPr>
            </w:pPr>
            <w:r>
              <w:rPr>
                <w:rFonts w:ascii="Arial" w:cs="Arial" w:eastAsia="Arial" w:hAnsi="Arial"/>
                <w:sz w:val="18"/>
                <w:szCs w:val="18"/>
                <w:color w:val="auto"/>
              </w:rPr>
              <w:t>Governmental Recommendations</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5 Business Days after receipt</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3660" w:type="dxa"/>
            <w:vAlign w:val="bottom"/>
            <w:gridSpan w:val="3"/>
          </w:tcPr>
          <w:p>
            <w:pPr>
              <w:spacing w:after="0"/>
              <w:rPr>
                <w:sz w:val="20"/>
                <w:szCs w:val="20"/>
                <w:color w:val="auto"/>
              </w:rPr>
            </w:pPr>
            <w:r>
              <w:rPr>
                <w:rFonts w:ascii="Arial" w:cs="Arial" w:eastAsia="Arial" w:hAnsi="Arial"/>
                <w:sz w:val="18"/>
                <w:szCs w:val="18"/>
                <w:color w:val="auto"/>
              </w:rPr>
              <w:t>Change in Control</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2 Business Days), when</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required</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660" w:type="dxa"/>
            <w:vAlign w:val="bottom"/>
            <w:gridSpan w:val="3"/>
          </w:tcPr>
          <w:p>
            <w:pPr>
              <w:spacing w:after="0"/>
              <w:rPr>
                <w:sz w:val="20"/>
                <w:szCs w:val="20"/>
                <w:color w:val="auto"/>
              </w:rPr>
            </w:pPr>
            <w:r>
              <w:rPr>
                <w:rFonts w:ascii="Arial" w:cs="Arial" w:eastAsia="Arial" w:hAnsi="Arial"/>
                <w:sz w:val="18"/>
                <w:szCs w:val="18"/>
                <w:color w:val="auto"/>
              </w:rPr>
              <w:t>Liquidity Shortfall</w:t>
            </w: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Promptly (within 5 Business Days)</w:t>
            </w:r>
          </w:p>
        </w:tc>
        <w:tc>
          <w:tcPr>
            <w:tcW w:w="7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Yes</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1180" w:type="dxa"/>
            <w:vAlign w:val="bottom"/>
          </w:tcPr>
          <w:p>
            <w:pPr>
              <w:spacing w:after="0"/>
              <w:rPr>
                <w:sz w:val="24"/>
                <w:szCs w:val="24"/>
                <w:color w:val="auto"/>
              </w:rPr>
            </w:pPr>
          </w:p>
        </w:tc>
        <w:tc>
          <w:tcPr>
            <w:tcW w:w="5900" w:type="dxa"/>
            <w:vAlign w:val="bottom"/>
            <w:gridSpan w:val="7"/>
          </w:tcPr>
          <w:p>
            <w:pPr>
              <w:ind w:left="120"/>
              <w:spacing w:after="0"/>
              <w:rPr>
                <w:sz w:val="20"/>
                <w:szCs w:val="20"/>
                <w:color w:val="auto"/>
              </w:rPr>
            </w:pPr>
            <w:r>
              <w:rPr>
                <w:rFonts w:ascii="Arial" w:cs="Arial" w:eastAsia="Arial" w:hAnsi="Arial"/>
                <w:sz w:val="18"/>
                <w:szCs w:val="18"/>
                <w:b w:val="1"/>
                <w:bCs w:val="1"/>
                <w:i w:val="1"/>
                <w:iCs w:val="1"/>
                <w:color w:val="auto"/>
                <w:w w:val="90"/>
              </w:rPr>
              <w:t>(Please list all accounts; attach separate sheet if additional space needed)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9"/>
              </w:rPr>
              <w:t>Bank</w:t>
            </w:r>
          </w:p>
        </w:tc>
        <w:tc>
          <w:tcPr>
            <w:tcW w:w="120" w:type="dxa"/>
            <w:vAlign w:val="bottom"/>
          </w:tcPr>
          <w:p>
            <w:pPr>
              <w:spacing w:after="0"/>
              <w:rPr>
                <w:sz w:val="24"/>
                <w:szCs w:val="24"/>
                <w:color w:val="auto"/>
              </w:rPr>
            </w:pPr>
          </w:p>
        </w:tc>
        <w:tc>
          <w:tcPr>
            <w:tcW w:w="3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Account Number</w:t>
            </w:r>
          </w:p>
        </w:tc>
        <w:tc>
          <w:tcPr>
            <w:tcW w:w="14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New Account?</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Acct Control</w:t>
            </w:r>
          </w:p>
        </w:tc>
        <w:tc>
          <w:tcPr>
            <w:tcW w:w="0" w:type="dxa"/>
            <w:vAlign w:val="bottom"/>
          </w:tcPr>
          <w:p>
            <w:pPr>
              <w:spacing w:after="0"/>
              <w:rPr>
                <w:sz w:val="1"/>
                <w:szCs w:val="1"/>
                <w:color w:val="auto"/>
              </w:rPr>
            </w:pPr>
          </w:p>
        </w:tc>
      </w:tr>
      <w:tr>
        <w:trPr>
          <w:trHeight w:val="18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Agmt in place?</w:t>
            </w: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Yes</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No</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center"/>
              <w:ind w:right="13"/>
              <w:spacing w:after="0"/>
              <w:rPr>
                <w:sz w:val="20"/>
                <w:szCs w:val="20"/>
                <w:color w:val="auto"/>
              </w:rPr>
            </w:pPr>
            <w:r>
              <w:rPr>
                <w:rFonts w:ascii="Arial" w:cs="Arial" w:eastAsia="Arial" w:hAnsi="Arial"/>
                <w:sz w:val="18"/>
                <w:szCs w:val="18"/>
                <w:color w:val="auto"/>
                <w:w w:val="83"/>
              </w:rPr>
              <w:t>Yes</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Yes</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Yes</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720" w:type="dxa"/>
            <w:vAlign w:val="bottom"/>
          </w:tcPr>
          <w:p>
            <w:pPr>
              <w:jc w:val="center"/>
              <w:ind w:right="13"/>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505" w:name="page506"/>
    <w:bookmarkEnd w:id="5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4)</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24"/>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5)</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24"/>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6)</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Financial Covenants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650"/>
              <w:spacing w:after="0"/>
              <w:rPr>
                <w:sz w:val="20"/>
                <w:szCs w:val="20"/>
                <w:color w:val="auto"/>
              </w:rPr>
            </w:pPr>
            <w:r>
              <w:rPr>
                <w:rFonts w:ascii="Arial" w:cs="Arial" w:eastAsia="Arial" w:hAnsi="Arial"/>
                <w:sz w:val="18"/>
                <w:szCs w:val="18"/>
                <w:b w:val="1"/>
                <w:bCs w:val="1"/>
                <w:color w:val="auto"/>
                <w:w w:val="87"/>
              </w:rPr>
              <w:t>1)</w:t>
            </w: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Minimum Liquidity</w:t>
            </w:r>
          </w:p>
        </w:tc>
        <w:tc>
          <w:tcPr>
            <w:tcW w:w="1840" w:type="dxa"/>
            <w:vAlign w:val="bottom"/>
          </w:tcPr>
          <w:p>
            <w:pPr>
              <w:spacing w:after="0"/>
              <w:rPr>
                <w:sz w:val="24"/>
                <w:szCs w:val="24"/>
                <w:color w:val="auto"/>
              </w:rPr>
            </w:pP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See Section 5.12</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w w:val="87"/>
              </w:rPr>
              <w:t>2)</w:t>
            </w:r>
          </w:p>
        </w:tc>
        <w:tc>
          <w:tcPr>
            <w:tcW w:w="11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Minimum Net Sales</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See Section 6.17</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w w:val="87"/>
              </w:rPr>
              <w:t>3)</w:t>
            </w:r>
          </w:p>
        </w:tc>
        <w:tc>
          <w:tcPr>
            <w:tcW w:w="11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Minimum EBITDA</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See Section 6.17</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Matters</w:t>
            </w:r>
          </w:p>
        </w:tc>
        <w:tc>
          <w:tcPr>
            <w:tcW w:w="6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00" w:type="dxa"/>
            <w:vAlign w:val="bottom"/>
          </w:tcPr>
          <w:p>
            <w:pPr>
              <w:spacing w:after="0"/>
              <w:rPr>
                <w:sz w:val="24"/>
                <w:szCs w:val="24"/>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w w:val="99"/>
              </w:rPr>
              <w:t>Have there been any prohibited Transfers?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Yes</w:t>
            </w:r>
          </w:p>
        </w:tc>
        <w:tc>
          <w:tcPr>
            <w:tcW w:w="700" w:type="dxa"/>
            <w:vAlign w:val="bottom"/>
          </w:tcPr>
          <w:p>
            <w:pPr>
              <w:ind w:left="240"/>
              <w:spacing w:after="0"/>
              <w:rPr>
                <w:sz w:val="20"/>
                <w:szCs w:val="20"/>
                <w:color w:val="auto"/>
              </w:rPr>
            </w:pPr>
            <w:r>
              <w:rPr>
                <w:rFonts w:ascii="Arial" w:cs="Arial" w:eastAsia="Arial" w:hAnsi="Arial"/>
                <w:sz w:val="18"/>
                <w:szCs w:val="18"/>
                <w:color w:val="auto"/>
              </w:rPr>
              <w:t>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u w:val="single" w:color="auto"/>
          <w:color w:val="auto"/>
        </w:rPr>
        <w:t>Exceptions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explain any exceptions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certification above: (If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-113665</wp:posOffset>
            </wp:positionV>
            <wp:extent cx="4965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exceptions exist, state “No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-87630</wp:posOffset>
            </wp:positionV>
            <wp:extent cx="4965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Attach separate sheet if additional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-62230</wp:posOffset>
            </wp:positionV>
            <wp:extent cx="4965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-36195</wp:posOffset>
            </wp:positionV>
            <wp:extent cx="4965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33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LENDER USE ONLY</w:t>
      </w:r>
    </w:p>
    <w:p>
      <w:pPr>
        <w:spacing w:after="0" w:line="270" w:lineRule="exact"/>
        <w:rPr>
          <w:sz w:val="20"/>
          <w:szCs w:val="20"/>
          <w:color w:val="auto"/>
        </w:rPr>
      </w:pPr>
    </w:p>
    <w:p>
      <w:pPr>
        <w:jc w:val="right"/>
        <w:spacing w:after="0"/>
        <w:tabs>
          <w:tab w:leader="none" w:pos="740" w:val="left"/>
          <w:tab w:leader="none" w:pos="2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ectPr>
          <w:pgSz w:w="11900" w:h="16838" w:orient="portrait"/>
          <w:cols w:equalWidth="0" w:num="1">
            <w:col w:w="11000"/>
          </w:cols>
          <w:pgMar w:left="440" w:top="377" w:right="459" w:bottom="1440" w:gutter="0" w:footer="0" w:header="0"/>
        </w:sectPr>
      </w:pPr>
    </w:p>
    <w:bookmarkStart w:id="506" w:name="page507"/>
    <w:bookmarkEnd w:id="5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TRANCHE A NOTE</w:t>
      </w:r>
    </w:p>
    <w:p>
      <w:pPr>
        <w:spacing w:after="0" w:line="256" w:lineRule="exact"/>
        <w:rPr>
          <w:sz w:val="20"/>
          <w:szCs w:val="20"/>
          <w:color w:val="auto"/>
        </w:rPr>
      </w:pPr>
    </w:p>
    <w:p>
      <w:pPr>
        <w:spacing w:after="0"/>
        <w:tabs>
          <w:tab w:leader="none" w:pos="9100" w:val="left"/>
        </w:tabs>
        <w:rPr>
          <w:sz w:val="20"/>
          <w:szCs w:val="20"/>
          <w:color w:val="auto"/>
        </w:rPr>
      </w:pPr>
      <w:r>
        <w:rPr>
          <w:rFonts w:ascii="Arial" w:cs="Arial" w:eastAsia="Arial" w:hAnsi="Arial"/>
          <w:sz w:val="18"/>
          <w:szCs w:val="18"/>
          <w:color w:val="auto"/>
        </w:rPr>
        <w:t>$40,000,000.00</w:t>
      </w:r>
      <w:r>
        <w:rPr>
          <w:sz w:val="20"/>
          <w:szCs w:val="20"/>
          <w:color w:val="auto"/>
        </w:rPr>
        <w:tab/>
      </w:r>
      <w:r>
        <w:rPr>
          <w:rFonts w:ascii="Arial" w:cs="Arial" w:eastAsia="Arial" w:hAnsi="Arial"/>
          <w:sz w:val="16"/>
          <w:szCs w:val="16"/>
          <w:color w:val="auto"/>
        </w:rPr>
        <w:t>Dated: October [__], 2017</w:t>
      </w:r>
    </w:p>
    <w:p>
      <w:pPr>
        <w:spacing w:after="0" w:line="22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FOR VALUE RECEIVED, the undersigned, SI-BONE,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BIOPHARMA CREDIT INVESTMENTS IV SUB LP, a Cayman Islands limited partnership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FORTY MILLION DOLLARS ($40,000,000.00), plus interest on the aggregate unpaid principal amount hereof at a fixed per annum rate (which rate shall be fixed for the duration of this Tranche A Note) equal to eleven and one-half percent (11.50%) per annum, and in accordance with the terms of the Loan Agreement dated as of October 13, 2017 by and between Borrower and Lender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w:t>
      </w:r>
    </w:p>
    <w:p>
      <w:pPr>
        <w:spacing w:after="0" w:line="17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Borrower shall make equal quarterly payments of principal commencing on the Payment Date that is the 36</w:t>
      </w:r>
      <w:r>
        <w:rPr>
          <w:rFonts w:ascii="Arial" w:cs="Arial" w:eastAsia="Arial" w:hAnsi="Arial"/>
          <w:sz w:val="13"/>
          <w:szCs w:val="13"/>
          <w:color w:val="auto"/>
        </w:rPr>
        <w:t>th</w:t>
      </w:r>
      <w:r>
        <w:rPr>
          <w:rFonts w:ascii="Arial" w:cs="Arial" w:eastAsia="Arial" w:hAnsi="Arial"/>
          <w:sz w:val="16"/>
          <w:szCs w:val="16"/>
          <w:color w:val="auto"/>
        </w:rPr>
        <w:t>-month anniversary of the Tranche A Closing Date, and continuing on the Payment Date of each successive quarter thereafter. Interest shall accrue on this Tranche A Note commencing on, and including, the date of this Tranche A Note, and shall accrue on this Tranche A Note, or any portion thereof, for the day on which this Tranche A Note or such portion is paid. Interest on this Tranche A Note shall be payable in accordance with Section 2.3 of the Loan Agreement.</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Principal, interest and all other amounts due with respect to this Tranche A Note are payable in lawful money of the United States of America to Lender as set forth in the Loan Agreement and this Tranche A Note.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Tranche A Note may not be prepaid except as set forth in Section 2.2(c), Section 6.10(o) or Section 6.17(c) of the Loan Agreement.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Tranche A Note and the obligation of Borrower to repay the unpaid principal amount of this Tranche A Note, interest thereon, and all other amounts due Lender under the Loan Agreement are secured pursuant to the Collateral Documents.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Tranche A Note are hereby waived.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TRANCHE A NOTE SHALL BE GOVERNED BY, AND CONSTRUED AND INTERPRETED IN ACCORDANCE WITH, THE LAWS OF THE STATE OF NEW YORK, WITHOUT REGARD TO ANY PRINCIPLES OF CONFLICTS OF LAW THAT COULD REQUIRE THE APPLICATION OF THE LAW OF ANY OTHER JURISDICTION.</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Note Register; Ownership of Note. The ownership of an interest in this Tranche A Note shall be registered on a </w:t>
      </w:r>
      <w:r>
        <w:rPr>
          <w:rFonts w:ascii="Arial" w:cs="Arial" w:eastAsia="Arial" w:hAnsi="Arial"/>
          <w:sz w:val="18"/>
          <w:szCs w:val="18"/>
          <w:u w:val="single" w:color="auto"/>
          <w:color w:val="auto"/>
        </w:rPr>
        <w:t>record of ownership maintained b</w:t>
      </w:r>
      <w:r>
        <w:rPr>
          <w:rFonts w:ascii="Arial" w:cs="Arial" w:eastAsia="Arial" w:hAnsi="Arial"/>
          <w:sz w:val="18"/>
          <w:szCs w:val="18"/>
          <w:color w:val="auto"/>
        </w:rPr>
        <w:t>y Lender. Notwithstanding anything else in this Tranche A Note to the contrary, the right to the principal of, and stated interest on, this Tranche A Note may be transferred only if the transfer is</w:t>
      </w:r>
    </w:p>
    <w:p>
      <w:pPr>
        <w:sectPr>
          <w:pgSz w:w="11900" w:h="16838" w:orient="portrait"/>
          <w:cols w:equalWidth="0" w:num="1">
            <w:col w:w="11020"/>
          </w:cols>
          <w:pgMar w:left="440" w:top="270" w:right="439" w:bottom="1440" w:gutter="0" w:footer="0" w:header="0"/>
        </w:sectPr>
      </w:pPr>
    </w:p>
    <w:bookmarkStart w:id="507" w:name="page508"/>
    <w:bookmarkEnd w:id="507"/>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registered on such record of ownership and the transferee is identified as the owner of an interest in the obligation. Lender shall be entitled to treat the registered holder of this Tranche A Note (as recorded on such record of ownership) as the owner in fact thereof for all purposes and shall not be bound to recognize any equitable or other claim to or interest in this Tranche A Note on the part of any other Person.</w:t>
      </w:r>
    </w:p>
    <w:p>
      <w:pPr>
        <w:sectPr>
          <w:pgSz w:w="11900" w:h="16838" w:orient="portrait"/>
          <w:cols w:equalWidth="0" w:num="1">
            <w:col w:w="10840"/>
          </w:cols>
          <w:pgMar w:left="440" w:top="273" w:right="619" w:bottom="1440" w:gutter="0" w:footer="0" w:header="0"/>
        </w:sectPr>
      </w:pPr>
    </w:p>
    <w:bookmarkStart w:id="508" w:name="page509"/>
    <w:bookmarkEnd w:id="50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has caused this Tranche A Note to be duly executed by one of its officers thereunto duly authorized on the date hereof.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bookmarkStart w:id="509" w:name="page510"/>
    <w:bookmarkEnd w:id="5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TRANCHE B NOTE</w:t>
      </w:r>
    </w:p>
    <w:p>
      <w:pPr>
        <w:spacing w:after="0" w:line="256" w:lineRule="exact"/>
        <w:rPr>
          <w:sz w:val="20"/>
          <w:szCs w:val="20"/>
          <w:color w:val="auto"/>
        </w:rPr>
      </w:pPr>
    </w:p>
    <w:p>
      <w:pPr>
        <w:spacing w:after="0"/>
        <w:tabs>
          <w:tab w:leader="none" w:pos="980" w:val="left"/>
          <w:tab w:leader="none" w:pos="9040" w:val="left"/>
          <w:tab w:leader="none" w:pos="10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 201</w:t>
      </w:r>
    </w:p>
    <w:p>
      <w:pPr>
        <w:spacing w:after="0" w:line="2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FOR VALUE RECEIVED, the undersigned, SI-BONE,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BIOPHARMA CREDIT INVESTMENTS IV SUB LP, a Cayman Islands limited partnership (“</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MILLION DOLLARS ($__,000,000.00),</w:t>
      </w:r>
      <w:r>
        <w:rPr>
          <w:rFonts w:ascii="Arial" w:cs="Arial" w:eastAsia="Arial" w:hAnsi="Arial"/>
          <w:sz w:val="14"/>
          <w:szCs w:val="14"/>
          <w:color w:val="auto"/>
        </w:rPr>
        <w:t>5</w:t>
      </w:r>
      <w:r>
        <w:rPr>
          <w:rFonts w:ascii="Arial" w:cs="Arial" w:eastAsia="Arial" w:hAnsi="Arial"/>
          <w:sz w:val="17"/>
          <w:szCs w:val="17"/>
          <w:color w:val="auto"/>
        </w:rPr>
        <w:t xml:space="preserve"> plus interest on the aggregate unpaid principal amount hereof at a fixed per annum rate (which rate shall be fixed for the duration of this Tranche B Note) equal to eleven and one-half percent (11.50%) per annum, and in accordance with the terms of the Loan Agreement dated as of October 13, 2017 by and between Borrower and Lender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w:t>
      </w:r>
    </w:p>
    <w:p>
      <w:pPr>
        <w:spacing w:after="0" w:line="1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Borrower shall make equal quarterly payments of principal commencing on the Payment Date that is the 36</w:t>
      </w:r>
      <w:r>
        <w:rPr>
          <w:rFonts w:ascii="Arial" w:cs="Arial" w:eastAsia="Arial" w:hAnsi="Arial"/>
          <w:sz w:val="13"/>
          <w:szCs w:val="13"/>
          <w:color w:val="auto"/>
        </w:rPr>
        <w:t>th</w:t>
      </w:r>
      <w:r>
        <w:rPr>
          <w:rFonts w:ascii="Arial" w:cs="Arial" w:eastAsia="Arial" w:hAnsi="Arial"/>
          <w:sz w:val="16"/>
          <w:szCs w:val="16"/>
          <w:color w:val="auto"/>
        </w:rPr>
        <w:t xml:space="preserve">-month anniversary of the Tranche A Closing Date, and continuing on the Payment Date of each successive quarter thereafter. Interest shall accrue on this Tranche B Note commencing on, and including, the date of this Tranche B Note, and shall accrue on this Tranche B Note, or any portion thereof, for the day on which this Tranche B Note or such portion is paid. Interest on this Tranche B Note shall be payable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the Loan Agreement.</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Principal, interest and all other amounts due with respect to this Tranche B Note are payable in lawful money of the United States of America to Lender as set forth in the Loan Agreement and this Tranche B Note.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Loan Agreement, among other things, (a) provides for the making of secured Term Loans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Tranche B Note may not be prepaid except as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6.10(o)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6.17(c)</w:t>
      </w:r>
      <w:r>
        <w:rPr>
          <w:rFonts w:ascii="Arial" w:cs="Arial" w:eastAsia="Arial" w:hAnsi="Arial"/>
          <w:sz w:val="18"/>
          <w:szCs w:val="18"/>
          <w:color w:val="auto"/>
        </w:rPr>
        <w:t xml:space="preserve"> of the Loan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Tranche B Note and the obligation of Borrower to repay the unpaid principal amount of this Tranche B Note, interest thereon, and all other amounts due Lender under the Loan Agreement are secured pursuant to the Collateral Documents.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Tranche B Note are hereby waived.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TRANCHE B NOTE SHALL BE GOVERNED BY, AND CONSTRUED AND INTERPRETED IN ACCORDANCE WITH, THE LAWS OF THE STATE OF NEW YORK, WITHOUT REGARD TO ANY PRINCIPLES OF CONFLICTS OF LAW THAT COULD REQUIRE THE APPLICATION OF THE LAW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6946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440" w:hanging="436"/>
        <w:spacing w:after="0"/>
        <w:tabs>
          <w:tab w:leader="none" w:pos="440" w:val="left"/>
        </w:tabs>
        <w:numPr>
          <w:ilvl w:val="0"/>
          <w:numId w:val="498"/>
        </w:numPr>
        <w:rPr>
          <w:rFonts w:ascii="Arial" w:cs="Arial" w:eastAsia="Arial" w:hAnsi="Arial"/>
          <w:sz w:val="15"/>
          <w:szCs w:val="15"/>
          <w:color w:val="auto"/>
        </w:rPr>
      </w:pPr>
      <w:r>
        <w:rPr>
          <w:rFonts w:ascii="Arial" w:cs="Arial" w:eastAsia="Arial" w:hAnsi="Arial"/>
          <w:sz w:val="18"/>
          <w:szCs w:val="18"/>
          <w:color w:val="auto"/>
        </w:rPr>
        <w:t>Insert Tranche B Loan Amount</w:t>
      </w:r>
    </w:p>
    <w:p>
      <w:pPr>
        <w:sectPr>
          <w:pgSz w:w="11900" w:h="16838" w:orient="portrait"/>
          <w:cols w:equalWidth="0" w:num="1">
            <w:col w:w="11020"/>
          </w:cols>
          <w:pgMar w:left="440" w:top="270" w:right="439" w:bottom="1440" w:gutter="0" w:footer="0" w:header="0"/>
        </w:sectPr>
      </w:pPr>
    </w:p>
    <w:bookmarkStart w:id="510" w:name="page511"/>
    <w:bookmarkEnd w:id="510"/>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Register; Ownership of Note</w:t>
      </w:r>
      <w:r>
        <w:rPr>
          <w:rFonts w:ascii="Arial" w:cs="Arial" w:eastAsia="Arial" w:hAnsi="Arial"/>
          <w:sz w:val="18"/>
          <w:szCs w:val="18"/>
          <w:color w:val="auto"/>
        </w:rPr>
        <w:t>. The ownership of an interest in this Tranche B Note shall be registered on a record of ownership maintained by Lender. Notwithstanding anything else in this Tranche A Note to the contrary, the right to the principal of, and stated interest on, this Tranche B Note may be transferred only if the transfer is registered on such record of ownership and the transferee is identified as the owner of an interest in the obligation. Lender shall be entitled to treat the registered holder of this Tranche B Note (as recorded on such record of ownership) as the owner in fact thereof for all purposes and shall not be bound to recognize any equitable or other claim to or interest in this Tranche B Note on the part of any other Person.</w:t>
      </w:r>
    </w:p>
    <w:p>
      <w:pPr>
        <w:sectPr>
          <w:pgSz w:w="11900" w:h="16838" w:orient="portrait"/>
          <w:cols w:equalWidth="0" w:num="1">
            <w:col w:w="10820"/>
          </w:cols>
          <w:pgMar w:left="440" w:top="273" w:right="639" w:bottom="1440" w:gutter="0" w:footer="0" w:header="0"/>
        </w:sectPr>
      </w:pPr>
    </w:p>
    <w:bookmarkStart w:id="511" w:name="page512"/>
    <w:bookmarkEnd w:id="51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caused this Tranche B Note to be duly executed by one of its officers thereunto duly authorized on the date 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0820"/>
          </w:cols>
          <w:pgMar w:left="440" w:top="273" w:right="63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LOAN AGREEMENT</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1 TO LOAN AGREEMENT</w:t>
      </w:r>
      <w:r>
        <w:rPr>
          <w:rFonts w:ascii="Arial" w:cs="Arial" w:eastAsia="Arial" w:hAnsi="Arial"/>
          <w:sz w:val="18"/>
          <w:szCs w:val="18"/>
          <w:color w:val="auto"/>
        </w:rPr>
        <w:t>, dated as of June 15, 2018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between SI-BONE, INC.,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and BIOPHARMA CREDIT INVESTMENTS IV SUB LP, a Cayman Islands limited partnership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with respect to the Loan Agreement referred to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Borrower and Lender are parties to the Loan Agreement, dated as of October 13, 2017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and</w:t>
      </w:r>
    </w:p>
    <w:p>
      <w:pPr>
        <w:spacing w:after="0" w:line="221"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color w:val="auto"/>
        </w:rPr>
        <w:t xml:space="preserve">WHEREAS, Borrower has requested that Lender, and Lender has agreed to, amend </w:t>
      </w:r>
      <w:r>
        <w:rPr>
          <w:rFonts w:ascii="Arial" w:cs="Arial" w:eastAsia="Arial" w:hAnsi="Arial"/>
          <w:sz w:val="18"/>
          <w:szCs w:val="18"/>
          <w:b w:val="1"/>
          <w:bCs w:val="1"/>
          <w:color w:val="auto"/>
        </w:rPr>
        <w:t>Section 5.2(a)(i)</w:t>
      </w:r>
      <w:r>
        <w:rPr>
          <w:rFonts w:ascii="Arial" w:cs="Arial" w:eastAsia="Arial" w:hAnsi="Arial"/>
          <w:sz w:val="18"/>
          <w:szCs w:val="18"/>
          <w:color w:val="auto"/>
        </w:rPr>
        <w:t xml:space="preserve"> of the Loan Agreement to extend the due date for annual financial statements for the fiscal year ending December 31, 2017 and amend the definition of “</w:t>
      </w:r>
      <w:r>
        <w:rPr>
          <w:rFonts w:ascii="Arial" w:cs="Arial" w:eastAsia="Arial" w:hAnsi="Arial"/>
          <w:sz w:val="18"/>
          <w:szCs w:val="18"/>
          <w:b w:val="1"/>
          <w:bCs w:val="1"/>
          <w:color w:val="auto"/>
        </w:rPr>
        <w:t>Tranche B Term Amount</w:t>
      </w:r>
      <w:r>
        <w:rPr>
          <w:rFonts w:ascii="Arial" w:cs="Arial" w:eastAsia="Arial" w:hAnsi="Arial"/>
          <w:sz w:val="18"/>
          <w:szCs w:val="18"/>
          <w:color w:val="auto"/>
        </w:rPr>
        <w:t xml:space="preserve">” in </w:t>
      </w:r>
      <w:r>
        <w:rPr>
          <w:rFonts w:ascii="Arial" w:cs="Arial" w:eastAsia="Arial" w:hAnsi="Arial"/>
          <w:sz w:val="18"/>
          <w:szCs w:val="18"/>
          <w:b w:val="1"/>
          <w:bCs w:val="1"/>
          <w:color w:val="auto"/>
        </w:rPr>
        <w:t xml:space="preserve">Section 13.1 </w:t>
      </w:r>
      <w:r>
        <w:rPr>
          <w:rFonts w:ascii="Arial" w:cs="Arial" w:eastAsia="Arial" w:hAnsi="Arial"/>
          <w:sz w:val="18"/>
          <w:szCs w:val="18"/>
          <w:color w:val="auto"/>
        </w:rPr>
        <w:t>of the Loan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2" w:lineRule="auto"/>
        <w:tabs>
          <w:tab w:leader="none" w:pos="685"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Terms Defined in Loan Agreement</w:t>
      </w:r>
      <w:r>
        <w:rPr>
          <w:rFonts w:ascii="Arial" w:cs="Arial" w:eastAsia="Arial" w:hAnsi="Arial"/>
          <w:sz w:val="18"/>
          <w:szCs w:val="18"/>
          <w:color w:val="auto"/>
        </w:rPr>
        <w:t>. All capitalized terms used in this Amendment (including in the recitals hereof) and not otherwise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have the meanings assigned to them in the Loan Agreement.</w:t>
      </w:r>
    </w:p>
    <w:p>
      <w:pPr>
        <w:spacing w:after="0" w:line="53" w:lineRule="exact"/>
        <w:rPr>
          <w:rFonts w:ascii="Arial" w:cs="Arial" w:eastAsia="Arial" w:hAnsi="Arial"/>
          <w:sz w:val="18"/>
          <w:szCs w:val="18"/>
          <w:color w:val="auto"/>
        </w:rPr>
      </w:pPr>
    </w:p>
    <w:p>
      <w:pPr>
        <w:ind w:right="300" w:firstLine="444"/>
        <w:spacing w:after="0" w:line="282" w:lineRule="auto"/>
        <w:tabs>
          <w:tab w:leader="none" w:pos="695"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the first paragraph of</w:t>
      </w:r>
      <w:r>
        <w:rPr>
          <w:rFonts w:ascii="Arial" w:cs="Arial" w:eastAsia="Arial" w:hAnsi="Arial"/>
          <w:sz w:val="18"/>
          <w:szCs w:val="18"/>
          <w:b w:val="1"/>
          <w:bCs w:val="1"/>
          <w:color w:val="auto"/>
        </w:rPr>
        <w:t xml:space="preserve"> Section 13.1 </w:t>
      </w:r>
      <w:r>
        <w:rPr>
          <w:rFonts w:ascii="Arial" w:cs="Arial" w:eastAsia="Arial" w:hAnsi="Arial"/>
          <w:sz w:val="18"/>
          <w:szCs w:val="18"/>
          <w:color w:val="auto"/>
        </w:rPr>
        <w:t>of the Loan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Section 3 </w:t>
      </w:r>
      <w:r>
        <w:rPr>
          <w:rFonts w:ascii="Arial" w:cs="Arial" w:eastAsia="Arial" w:hAnsi="Arial"/>
          <w:sz w:val="18"/>
          <w:szCs w:val="18"/>
          <w:color w:val="auto"/>
        </w:rPr>
        <w:t>of this Amendment: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Section 5.2(a)(i)</w:t>
      </w:r>
      <w:r>
        <w:rPr>
          <w:rFonts w:ascii="Arial" w:cs="Arial" w:eastAsia="Arial" w:hAnsi="Arial"/>
          <w:sz w:val="18"/>
          <w:szCs w:val="18"/>
          <w:color w:val="auto"/>
        </w:rPr>
        <w:t xml:space="preserve"> of the Loan Agreement is hereby amended and restated in its entirety as follows: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So long as Borrower is not a Public Reporting Company, (1) as soon as available, but in any event (x) for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fiscal year ending December 31, 2017, on or before December 31, 2018 and (y) beginning with the fiscal year ending December 31, 2018, within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one hundred eighty (180) days after the end of each fiscal year of Borrower, a consolidated balance sheet of Borrower and its Subsidiaries as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end of such fiscal year, and the related consolidated statements of income, cash flows and stockholders’ equity for such fiscal year, setting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forth in each case in comparative form the figures for the previous fiscal year, with such consolidated financial statements to be audited and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accompanied by (A) a report and opinion of Borrower’s independent certified public accounting firm of recognized national or regional standing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(which report and opinion shall be prepared in accordance with Applicable Accounting Standards and shall not be subject to any qualification 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scope of audit, but which may be subject to a qualification as to “going concern”), stating that such financial statements fairly present, in all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material respects, the consolidated financial condition, results of operations and cash flows of Borrower as of the dates and for the periods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specified in accordance with Applicable Accounting Standards, and (B) (if and only if Borrower is required to comply with the internal control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provisions pursuant to Section 404 of the Sarbanes-Oxley Act of 2002 requiring an attestation report of such independent certified public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accounting firm) an attestation report of such independent certified public accounting firm as to Borrower’s internal controls pursuant to</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404 of the Sarbanes-Oxley Act of 2002 attesting that such internal controls meet the requirements of the Sarbanes-Oxley Act of 2002 and</w:t>
      </w:r>
    </w:p>
    <w:p>
      <w:pPr>
        <w:spacing w:after="0" w:line="32" w:lineRule="exact"/>
        <w:rPr>
          <w:sz w:val="20"/>
          <w:szCs w:val="20"/>
          <w:color w:val="auto"/>
        </w:rPr>
      </w:pPr>
    </w:p>
    <w:p>
      <w:pPr>
        <w:ind w:left="440" w:right="40" w:firstLine="4"/>
        <w:spacing w:after="0" w:line="255" w:lineRule="auto"/>
        <w:tabs>
          <w:tab w:leader="none" w:pos="69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as soon as available, but in any event within sixty (60) days after the end of each fiscal year of Borrower, beginning with the fiscal year ending December 31, 2017, an unaudited consolidated balance sheet of Borrower and its Subsidiaries as of the end of such fiscal year, and the related unaudited consolidated statements of</w:t>
      </w:r>
    </w:p>
    <w:p>
      <w:pPr>
        <w:sectPr>
          <w:pgSz w:w="11900" w:h="16838" w:orient="portrait"/>
          <w:cols w:equalWidth="0" w:num="1">
            <w:col w:w="11020"/>
          </w:cols>
          <w:pgMar w:left="440" w:top="273" w:right="439" w:bottom="1440" w:gutter="0" w:footer="0" w:header="0"/>
        </w:sectPr>
      </w:pPr>
    </w:p>
    <w:bookmarkStart w:id="513" w:name="page514"/>
    <w:bookmarkEnd w:id="513"/>
    <w:p>
      <w:pPr>
        <w:ind w:left="44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cash flows and stockholders’ equity for such fiscal year, setting forth in each case in comparative form the figures for the previous fiscal year. Each of the foregoing consolidated financial statements shall be certified by a Responsible Officer as, to his or her knowledge, fairly presenting, in all material respects, the consolidated financial condition, results of operations and cash flows of Borrower and its Subsidiaries as of the dates and for the periods specified in accordance with Applicable Accounting Standards consistently applied;</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(b) The definition of “Tranche </w:t>
      </w:r>
      <w:r>
        <w:rPr>
          <w:rFonts w:ascii="Arial" w:cs="Arial" w:eastAsia="Arial" w:hAnsi="Arial"/>
          <w:sz w:val="16"/>
          <w:szCs w:val="16"/>
          <w:b w:val="1"/>
          <w:bCs w:val="1"/>
          <w:color w:val="auto"/>
        </w:rPr>
        <w:t>B Term Amount”</w:t>
      </w:r>
      <w:r>
        <w:rPr>
          <w:rFonts w:ascii="Arial" w:cs="Arial" w:eastAsia="Arial" w:hAnsi="Arial"/>
          <w:sz w:val="16"/>
          <w:szCs w:val="16"/>
          <w:color w:val="auto"/>
        </w:rPr>
        <w:t xml:space="preserve"> in </w:t>
      </w:r>
      <w:r>
        <w:rPr>
          <w:rFonts w:ascii="Arial" w:cs="Arial" w:eastAsia="Arial" w:hAnsi="Arial"/>
          <w:sz w:val="16"/>
          <w:szCs w:val="16"/>
          <w:b w:val="1"/>
          <w:bCs w:val="1"/>
          <w:color w:val="auto"/>
        </w:rPr>
        <w:t>Section 13.1</w:t>
      </w:r>
      <w:r>
        <w:rPr>
          <w:rFonts w:ascii="Arial" w:cs="Arial" w:eastAsia="Arial" w:hAnsi="Arial"/>
          <w:sz w:val="16"/>
          <w:szCs w:val="16"/>
          <w:color w:val="auto"/>
        </w:rPr>
        <w:t xml:space="preserve"> of the Loan Agreement is hereby amended and restated in its entirety as follows:</w:t>
      </w:r>
    </w:p>
    <w:p>
      <w:pPr>
        <w:spacing w:after="0" w:line="140" w:lineRule="exact"/>
        <w:rPr>
          <w:sz w:val="20"/>
          <w:szCs w:val="20"/>
          <w:color w:val="auto"/>
        </w:rPr>
      </w:pPr>
    </w:p>
    <w:p>
      <w:pPr>
        <w:ind w:left="440" w:right="100" w:firstLine="423"/>
        <w:spacing w:after="0" w:line="266" w:lineRule="auto"/>
        <w:rPr>
          <w:sz w:val="20"/>
          <w:szCs w:val="20"/>
          <w:color w:val="auto"/>
        </w:rPr>
      </w:pPr>
      <w:r>
        <w:rPr>
          <w:rFonts w:ascii="Arial" w:cs="Arial" w:eastAsia="Arial" w:hAnsi="Arial"/>
          <w:sz w:val="18"/>
          <w:szCs w:val="18"/>
          <w:color w:val="auto"/>
        </w:rPr>
        <w:t xml:space="preserve">“Tranche </w:t>
      </w:r>
      <w:r>
        <w:rPr>
          <w:rFonts w:ascii="Arial" w:cs="Arial" w:eastAsia="Arial" w:hAnsi="Arial"/>
          <w:sz w:val="18"/>
          <w:szCs w:val="18"/>
          <w:b w:val="1"/>
          <w:bCs w:val="1"/>
          <w:color w:val="auto"/>
        </w:rPr>
        <w:t>B Loan Amount”</w:t>
      </w:r>
      <w:r>
        <w:rPr>
          <w:rFonts w:ascii="Arial" w:cs="Arial" w:eastAsia="Arial" w:hAnsi="Arial"/>
          <w:sz w:val="18"/>
          <w:szCs w:val="18"/>
          <w:color w:val="auto"/>
        </w:rPr>
        <w:t xml:space="preserve"> means, if Net Sales for the two fiscal quarters preceding the Tranche B Closing Date taken together are greater than or equal to $28,500,000, $10,000,000. For the avoidance of doubt, if Net Sales for the two fiscal quarters preceding the Tranche B Closing Date taken together are less than $28,500,000, the Tranche B Loan Amount equals zero.</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effectiveness of</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of this Amendment shall be subject to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w:t>
      </w:r>
    </w:p>
    <w:p>
      <w:pPr>
        <w:spacing w:after="0" w:line="54" w:lineRule="exact"/>
        <w:rPr>
          <w:sz w:val="20"/>
          <w:szCs w:val="20"/>
          <w:color w:val="auto"/>
        </w:rPr>
      </w:pPr>
    </w:p>
    <w:p>
      <w:pPr>
        <w:ind w:left="680" w:hanging="236"/>
        <w:spacing w:after="0"/>
        <w:tabs>
          <w:tab w:leader="none" w:pos="68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 xml:space="preserve">Borrower and Lender shall have duly executed and delivered this Amendment pursuant to </w:t>
      </w:r>
      <w:r>
        <w:rPr>
          <w:rFonts w:ascii="Arial" w:cs="Arial" w:eastAsia="Arial" w:hAnsi="Arial"/>
          <w:sz w:val="17"/>
          <w:szCs w:val="17"/>
          <w:b w:val="1"/>
          <w:bCs w:val="1"/>
          <w:color w:val="auto"/>
        </w:rPr>
        <w:t>Section 11.5</w:t>
      </w:r>
      <w:r>
        <w:rPr>
          <w:rFonts w:ascii="Arial" w:cs="Arial" w:eastAsia="Arial" w:hAnsi="Arial"/>
          <w:sz w:val="17"/>
          <w:szCs w:val="17"/>
          <w:color w:val="auto"/>
        </w:rPr>
        <w:t xml:space="preserve"> of the Loan Agreement; and</w:t>
      </w:r>
    </w:p>
    <w:p>
      <w:pPr>
        <w:spacing w:after="0" w:line="132" w:lineRule="exact"/>
        <w:rPr>
          <w:rFonts w:ascii="Arial" w:cs="Arial" w:eastAsia="Arial" w:hAnsi="Arial"/>
          <w:sz w:val="17"/>
          <w:szCs w:val="17"/>
          <w:color w:val="auto"/>
        </w:rPr>
      </w:pPr>
    </w:p>
    <w:p>
      <w:pPr>
        <w:ind w:right="860" w:firstLine="444"/>
        <w:spacing w:after="0" w:line="277" w:lineRule="auto"/>
        <w:tabs>
          <w:tab w:leader="none" w:pos="69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xml:space="preserve">Borrower shall have paid or reimbursed Lender for its reasonable out-of-pocket costs and expenses incurred in connection with this Amendment pursuant to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11.2(c)(i)</w:t>
      </w:r>
      <w:r>
        <w:rPr>
          <w:rFonts w:ascii="Arial" w:cs="Arial" w:eastAsia="Arial" w:hAnsi="Arial"/>
          <w:sz w:val="18"/>
          <w:szCs w:val="18"/>
          <w:color w:val="auto"/>
        </w:rPr>
        <w:t xml:space="preserve"> of the Loan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AND WARRANTIES; REAFFIRMATION</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36"/>
        <w:spacing w:after="0"/>
        <w:tabs>
          <w:tab w:leader="none" w:pos="6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Borrower hereby represents and warrants to each Lender as follows:</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1"/>
          <w:numId w:val="502"/>
        </w:numPr>
        <w:rPr>
          <w:rFonts w:ascii="Arial" w:cs="Arial" w:eastAsia="Arial" w:hAnsi="Arial"/>
          <w:sz w:val="17"/>
          <w:szCs w:val="17"/>
          <w:color w:val="auto"/>
        </w:rPr>
      </w:pPr>
      <w:r>
        <w:rPr>
          <w:rFonts w:ascii="Arial" w:cs="Arial" w:eastAsia="Arial" w:hAnsi="Arial"/>
          <w:sz w:val="17"/>
          <w:szCs w:val="17"/>
          <w:color w:val="auto"/>
        </w:rPr>
        <w:t>Borrower has all requisite power and authority to enter into this Amendment and to carry out the transactions contemplated hereby.</w:t>
      </w:r>
    </w:p>
    <w:p>
      <w:pPr>
        <w:spacing w:after="0" w:line="128" w:lineRule="exact"/>
        <w:rPr>
          <w:rFonts w:ascii="Arial" w:cs="Arial" w:eastAsia="Arial" w:hAnsi="Arial"/>
          <w:sz w:val="17"/>
          <w:szCs w:val="17"/>
          <w:color w:val="auto"/>
        </w:rPr>
      </w:pPr>
    </w:p>
    <w:p>
      <w:pPr>
        <w:ind w:right="180" w:firstLine="885"/>
        <w:spacing w:after="0" w:line="286" w:lineRule="auto"/>
        <w:tabs>
          <w:tab w:leader="none" w:pos="1146" w:val="left"/>
        </w:tabs>
        <w:numPr>
          <w:ilvl w:val="1"/>
          <w:numId w:val="502"/>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Borrower and is the legally valid and binding obligation of Borrower, enforceable against Borrower in accordance with its respective terms, except as may be limited by bankruptcy, insolvency, reorganization, moratorium or similar laws relating to or limiting creditors’ rights generally or by equitable principles relating to enforceability.</w:t>
      </w:r>
    </w:p>
    <w:p>
      <w:pPr>
        <w:spacing w:after="0" w:line="57" w:lineRule="exact"/>
        <w:rPr>
          <w:rFonts w:ascii="Arial" w:cs="Arial" w:eastAsia="Arial" w:hAnsi="Arial"/>
          <w:sz w:val="17"/>
          <w:szCs w:val="17"/>
          <w:color w:val="auto"/>
        </w:rPr>
      </w:pPr>
    </w:p>
    <w:p>
      <w:pPr>
        <w:ind w:right="20" w:firstLine="885"/>
        <w:spacing w:after="0" w:line="290" w:lineRule="auto"/>
        <w:tabs>
          <w:tab w:leader="none" w:pos="1196" w:val="left"/>
        </w:tabs>
        <w:numPr>
          <w:ilvl w:val="1"/>
          <w:numId w:val="502"/>
        </w:numPr>
        <w:rPr>
          <w:rFonts w:ascii="Arial" w:cs="Arial" w:eastAsia="Arial" w:hAnsi="Arial"/>
          <w:sz w:val="16"/>
          <w:szCs w:val="16"/>
          <w:color w:val="auto"/>
        </w:rPr>
      </w:pPr>
      <w:r>
        <w:rPr>
          <w:rFonts w:ascii="Arial" w:cs="Arial" w:eastAsia="Arial" w:hAnsi="Arial"/>
          <w:sz w:val="16"/>
          <w:szCs w:val="16"/>
          <w:color w:val="auto"/>
        </w:rPr>
        <w:t>The execution, delivery and performance by Borrower of this Amendment have been duly authorized and do not (a) conflict with any of Borrower’s Operating Documents, (b) contravene, conflict with, constitute a default under or violate any material Requirements of Law, (c) contravene, conflict or violate any applicable order, writ, judgment, injunction, decree, determination or award of any Governmental Authority by which Borrower or any of its Subsidiaries or any of its or their respective properties or assets may be bound, (d) require any action by, filing, registration, or qualification with, or Governmental Approval from, any Governmental Authority (except such Governmental Approvals which have already been obtained and are in full force and effect), (e) constitute a material breach of or a material default or an event of default under, or result in or permit the termination or acceleration of, any Material Contract by which Borrower is bound or (f) require any approval of stockholders, members or partners or any approval or consent of any Person except for such approvals or consents which will be obtained on or before the date hereof.</w:t>
      </w:r>
    </w:p>
    <w:p>
      <w:pPr>
        <w:spacing w:after="0" w:line="58" w:lineRule="exact"/>
        <w:rPr>
          <w:rFonts w:ascii="Arial" w:cs="Arial" w:eastAsia="Arial" w:hAnsi="Arial"/>
          <w:sz w:val="16"/>
          <w:szCs w:val="16"/>
          <w:color w:val="auto"/>
        </w:rPr>
      </w:pPr>
    </w:p>
    <w:p>
      <w:pPr>
        <w:ind w:right="280" w:firstLine="444"/>
        <w:spacing w:after="0" w:line="286" w:lineRule="auto"/>
        <w:tabs>
          <w:tab w:leader="none" w:pos="696" w:val="left"/>
        </w:tabs>
        <w:numPr>
          <w:ilvl w:val="0"/>
          <w:numId w:val="502"/>
        </w:numPr>
        <w:rPr>
          <w:rFonts w:ascii="Arial" w:cs="Arial" w:eastAsia="Arial" w:hAnsi="Arial"/>
          <w:sz w:val="17"/>
          <w:szCs w:val="17"/>
          <w:color w:val="auto"/>
        </w:rPr>
      </w:pPr>
      <w:r>
        <w:rPr>
          <w:rFonts w:ascii="Arial" w:cs="Arial" w:eastAsia="Arial" w:hAnsi="Arial"/>
          <w:sz w:val="17"/>
          <w:szCs w:val="17"/>
          <w:color w:val="auto"/>
        </w:rPr>
        <w:t>Borrower hereby ratifies, confirms, reaffirms, and acknowledges its obligations under the Loan Documents to which it is a party and agrees that the Loan Documents remain in full force and effect, undiminished by this Amendment, except as expressly provided herein. By executing this Amendment, Borrower acknowledges that it has read, consulted with its attorneys regarding, and understands, this Amendment.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14" w:name="page515"/>
    <w:bookmarkEnd w:id="5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CHOICE OF LAW, VENUE AND JURY TRIAL WAIVER</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THIS AMENDMENT SHALL BE GOVERNED BY, AND CONSTRUED AND INTERPRETED IN ACCORDANCE WITH THE LAWS OF THE STATE OF NEW YORK, WITHOUT REGARD TO ANY PRINCIPLES OF CONFLICTS OF LAW THAT COULD REQUIRE THE APPLICATION OF THE LAW OF ANY OTHER JURISDICTION. Borrower and Lender submit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Amendment shall be deemed to operate to preclude Lender from bringing suit or taking other legal action in any other jurisdiction to realize on the Collateral or any other security for the Obligations, or to enforce a judgment or other court order in favor of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otherwise provided in accordance with the terms of) </w:t>
      </w:r>
      <w:r>
        <w:rPr>
          <w:rFonts w:ascii="Arial" w:cs="Arial" w:eastAsia="Arial" w:hAnsi="Arial"/>
          <w:sz w:val="16"/>
          <w:szCs w:val="16"/>
          <w:b w:val="1"/>
          <w:bCs w:val="1"/>
          <w:color w:val="auto"/>
        </w:rPr>
        <w:t>Section 9</w:t>
      </w:r>
      <w:r>
        <w:rPr>
          <w:rFonts w:ascii="Arial" w:cs="Arial" w:eastAsia="Arial" w:hAnsi="Arial"/>
          <w:sz w:val="16"/>
          <w:szCs w:val="16"/>
          <w:color w:val="auto"/>
        </w:rPr>
        <w:t xml:space="preserve"> of the Loan Agreement and that service so made shall be deemed completed upon the earlier to occur of Borrower’s actual receipt thereof or three (3) Business Days after deposit in the U.S. mails, proper postage prepaid.</w:t>
      </w:r>
    </w:p>
    <w:p>
      <w:pPr>
        <w:spacing w:after="0" w:line="172"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TO THE FULLEST EXTENT PERMITTED BY APPLICABLE LAW, EACH OF BORROWER AND LENDER WAIVES ITS RIGHT TO A JURY TRIAL OF ANY CLAIM OR CAUSE OF ACTION ARISING OUT OF OR BASED UPON THIS AMENDMENT OR ANY TRANSACTION CONTEMPLATED HEREBY, INCLUDING CONTRACT, TORT, BREACH OF DUTY AND ALL OTHER CLAIMS. EACH OF BORROWER AND LENDER (A) CERTIFIES THAT NO OTHER PARTY HERETO (AND NO AFFILIATE OF ANY OTHER PARTY AND NO DIRECTOR, OFFICER, EMPLOYEE, AGENT, TRUSTEE, REPRESENTATIVE, ATTORNEY, ACCOUNTANT, ADVISOR OR CONSULTANT OF ANY OTHER PARTY OR AFFILIATE) HAS REPRESENTED, EXPRESSLY OR OTHERWISE, THAT SUCH OTHER PARTY WOULD NOT, IN THE EVENT OF LITIGATION, SEEK TO ENFORCE THE FOREGOING WAIVER, (B) ACKNOWLEDGES THAT THE FOREGOING MUTUAL WAIVERS AND CERTIFICATIONS ARE A MATERIAL INDUCEMENT FOR IT AND THE OTHER PARTIES HERETO TO ENTER INTO THIS AMENDMENT AND (C) HAS REVIEWED THIS WAIVER WITH ITS COUNSEL.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444"/>
        <w:spacing w:after="0" w:line="277" w:lineRule="auto"/>
        <w:tabs>
          <w:tab w:leader="none" w:pos="685" w:val="left"/>
        </w:tabs>
        <w:numPr>
          <w:ilvl w:val="0"/>
          <w:numId w:val="503"/>
        </w:numPr>
        <w:rPr>
          <w:rFonts w:ascii="Arial" w:cs="Arial" w:eastAsia="Arial" w:hAnsi="Arial"/>
          <w:sz w:val="17"/>
          <w:szCs w:val="17"/>
          <w:color w:val="auto"/>
        </w:rPr>
      </w:pPr>
      <w:r>
        <w:rPr>
          <w:rFonts w:ascii="Arial" w:cs="Arial" w:eastAsia="Arial" w:hAnsi="Arial"/>
          <w:sz w:val="17"/>
          <w:szCs w:val="17"/>
          <w:b w:val="1"/>
          <w:bCs w:val="1"/>
          <w:color w:val="auto"/>
        </w:rPr>
        <w:t xml:space="preserve">No Waiver. </w:t>
      </w:r>
      <w:r>
        <w:rPr>
          <w:rFonts w:ascii="Arial" w:cs="Arial" w:eastAsia="Arial" w:hAnsi="Arial"/>
          <w:sz w:val="17"/>
          <w:szCs w:val="17"/>
          <w:color w:val="auto"/>
        </w:rPr>
        <w:t>Except as expressly stated herein, nothing contained herein shall be deemed to constitute a waiver of compliance with any term or</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contained in the Loan Agreement or any of the other Loan Documents or constitute a course of conduct or dealing among the parties. Except as expressly stated herein, Lender reserves all rights, privileges and remedies under the Loan Documents. Except as amended hereby, the Loan Agreement and other Loan Documents remain unmodified and in full force and effect. All references in the Loan Documents to the Loan Agreement shall be deemed to be references to the Loan Agreement as amended hereby.</w:t>
      </w:r>
    </w:p>
    <w:p>
      <w:pPr>
        <w:spacing w:after="0" w:line="60" w:lineRule="exact"/>
        <w:rPr>
          <w:rFonts w:ascii="Arial" w:cs="Arial" w:eastAsia="Arial" w:hAnsi="Arial"/>
          <w:sz w:val="17"/>
          <w:szCs w:val="17"/>
          <w:color w:val="auto"/>
        </w:rPr>
      </w:pPr>
    </w:p>
    <w:p>
      <w:pPr>
        <w:jc w:val="both"/>
        <w:ind w:right="200" w:firstLine="444"/>
        <w:spacing w:after="0" w:line="266" w:lineRule="auto"/>
        <w:tabs>
          <w:tab w:leader="none" w:pos="695"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of Provisions. </w:t>
      </w:r>
      <w:r>
        <w:rPr>
          <w:rFonts w:ascii="Arial" w:cs="Arial" w:eastAsia="Arial" w:hAnsi="Arial"/>
          <w:sz w:val="18"/>
          <w:szCs w:val="18"/>
          <w:color w:val="auto"/>
        </w:rPr>
        <w:t>In case any provision in or obligation hereunder shall be invalid, illegal or unenforceable in any jurisdiction,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legality and enforceability of the remaining provisions or obligations, or of such provision or obligation in any other jurisdiction, shall not in any way be affected or impaired thereby.</w:t>
      </w:r>
    </w:p>
    <w:p>
      <w:pPr>
        <w:spacing w:after="0" w:line="68" w:lineRule="exact"/>
        <w:rPr>
          <w:rFonts w:ascii="Arial" w:cs="Arial" w:eastAsia="Arial" w:hAnsi="Arial"/>
          <w:sz w:val="18"/>
          <w:szCs w:val="18"/>
          <w:color w:val="auto"/>
        </w:rPr>
      </w:pPr>
    </w:p>
    <w:p>
      <w:pPr>
        <w:ind w:right="280" w:firstLine="444"/>
        <w:spacing w:after="0" w:line="282" w:lineRule="auto"/>
        <w:tabs>
          <w:tab w:leader="none" w:pos="685"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Section headings herein are included herein for convenience of reference only and shall not constitute a part hereof for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or be given any substantive effect.</w:t>
      </w:r>
    </w:p>
    <w:p>
      <w:pPr>
        <w:spacing w:after="0" w:line="53" w:lineRule="exact"/>
        <w:rPr>
          <w:rFonts w:ascii="Arial" w:cs="Arial" w:eastAsia="Arial" w:hAnsi="Arial"/>
          <w:sz w:val="18"/>
          <w:szCs w:val="18"/>
          <w:color w:val="auto"/>
        </w:rPr>
      </w:pPr>
    </w:p>
    <w:p>
      <w:pPr>
        <w:ind w:right="40" w:firstLine="444"/>
        <w:spacing w:after="0" w:line="266" w:lineRule="auto"/>
        <w:tabs>
          <w:tab w:leader="none" w:pos="695"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Amendment constitutes a Loan Document and, together with the other Loan Documents, incorporates all negotiations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with respect to the subject matter hereof and is the final expression and agreement of the parties hereto with respect to the subject matter hereof.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515" w:name="page516"/>
    <w:bookmarkEnd w:id="515"/>
    <w:p>
      <w:pPr>
        <w:ind w:left="-40" w:right="140" w:firstLine="444"/>
        <w:spacing w:after="0" w:line="289" w:lineRule="auto"/>
        <w:tabs>
          <w:tab w:leader="none" w:pos="645" w:val="left"/>
        </w:tabs>
        <w:numPr>
          <w:ilvl w:val="0"/>
          <w:numId w:val="50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Counterparts. </w:t>
      </w:r>
      <w:r>
        <w:rPr>
          <w:rFonts w:ascii="Arial" w:cs="Arial" w:eastAsia="Arial" w:hAnsi="Arial"/>
          <w:sz w:val="17"/>
          <w:szCs w:val="17"/>
          <w:color w:val="auto"/>
        </w:rPr>
        <w:t>This Amendment may be executed in any number of counterparts and by different parties on separate counterparts,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when executed and delivered, is an original, and all taken together, constitute one Amendment. Executed counterparts delivered by facsimile or other electronic transmission (e.g., “PDF” or “TIF”) shall be effective as delivery of a manually executed counterpart.</w:t>
      </w:r>
    </w:p>
    <w:p>
      <w:pPr>
        <w:spacing w:after="0" w:line="50" w:lineRule="exact"/>
        <w:rPr>
          <w:rFonts w:ascii="Arial" w:cs="Arial" w:eastAsia="Arial" w:hAnsi="Arial"/>
          <w:sz w:val="17"/>
          <w:szCs w:val="17"/>
          <w:color w:val="auto"/>
        </w:rPr>
      </w:pPr>
    </w:p>
    <w:p>
      <w:pPr>
        <w:ind w:left="-40" w:firstLine="444"/>
        <w:spacing w:after="0" w:line="266" w:lineRule="auto"/>
        <w:tabs>
          <w:tab w:leader="none" w:pos="625"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 xml:space="preserve">Controlling Provisions. </w:t>
      </w:r>
      <w:r>
        <w:rPr>
          <w:rFonts w:ascii="Arial" w:cs="Arial" w:eastAsia="Arial" w:hAnsi="Arial"/>
          <w:sz w:val="18"/>
          <w:szCs w:val="18"/>
          <w:color w:val="auto"/>
        </w:rPr>
        <w:t>In the event of any inconsistencies between the provisions of this Amendment and the provisions of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provisions of this Amendment shall govern and prevail. Except as expressly modified by this Amendment, the Loan Documents shall not be modified and shall remain in full force and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80" w:top="269" w:right="459" w:bottom="1440" w:gutter="0" w:footer="0" w:header="0"/>
        </w:sectPr>
      </w:pPr>
    </w:p>
    <w:bookmarkStart w:id="516" w:name="page517"/>
    <w:bookmarkEnd w:id="5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executed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Borrower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Laura Francis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Laura Francis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Amendment No. 1</w:t>
      </w:r>
    </w:p>
    <w:p>
      <w:pPr>
        <w:sectPr>
          <w:pgSz w:w="11900" w:h="16838" w:orient="portrait"/>
          <w:cols w:equalWidth="0" w:num="1">
            <w:col w:w="11020"/>
          </w:cols>
          <w:pgMar w:left="440" w:top="274" w:right="43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BIOPHARMA CREDIT INVESTMENTS IV SUB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By: Pharmakon Advisors, LP,</w:t>
            </w:r>
          </w:p>
        </w:tc>
      </w:tr>
      <w:tr>
        <w:trPr>
          <w:trHeight w:val="230"/>
        </w:trPr>
        <w:tc>
          <w:tcPr>
            <w:tcW w:w="58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its Investment Manager</w:t>
            </w:r>
          </w:p>
        </w:tc>
      </w:tr>
      <w:tr>
        <w:trPr>
          <w:trHeight w:val="418"/>
        </w:trPr>
        <w:tc>
          <w:tcPr>
            <w:tcW w:w="58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By: Pharmakon Management I, LLC,</w:t>
            </w:r>
          </w:p>
        </w:tc>
      </w:tr>
      <w:tr>
        <w:trPr>
          <w:trHeight w:val="230"/>
        </w:trPr>
        <w:tc>
          <w:tcPr>
            <w:tcW w:w="58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Pedro Gonzalez de Cosio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Pedro Gonzalez de Cosio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Managing Member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Amendment No. 1</w:t>
      </w:r>
    </w:p>
    <w:p>
      <w:pPr>
        <w:sectPr>
          <w:pgSz w:w="11900" w:h="16838" w:orient="portrait"/>
          <w:cols w:equalWidth="0" w:num="1">
            <w:col w:w="11020"/>
          </w:cols>
          <w:pgMar w:left="440" w:top="270" w:right="439" w:bottom="1440" w:gutter="0" w:footer="0" w:header="0"/>
        </w:sectPr>
      </w:pPr>
    </w:p>
    <w:bookmarkStart w:id="518" w:name="page519"/>
    <w:bookmarkEnd w:id="518"/>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LEASE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STATION</w:t>
      </w:r>
    </w:p>
    <w:p>
      <w:pPr>
        <w:spacing w:after="0" w:line="225" w:lineRule="exact"/>
        <w:rPr>
          <w:sz w:val="20"/>
          <w:szCs w:val="20"/>
          <w:color w:val="auto"/>
        </w:rPr>
      </w:pPr>
    </w:p>
    <w:p>
      <w:pPr>
        <w:ind w:right="80" w:firstLine="551"/>
        <w:spacing w:after="0" w:line="255" w:lineRule="auto"/>
        <w:rPr>
          <w:sz w:val="20"/>
          <w:szCs w:val="20"/>
          <w:color w:val="auto"/>
        </w:rPr>
      </w:pPr>
      <w:r>
        <w:rPr>
          <w:rFonts w:ascii="Arial" w:cs="Arial" w:eastAsia="Arial" w:hAnsi="Arial"/>
          <w:sz w:val="18"/>
          <w:szCs w:val="18"/>
          <w:b w:val="1"/>
          <w:bCs w:val="1"/>
          <w:color w:val="auto"/>
        </w:rPr>
        <w:t xml:space="preserve">THIS OFFICE LEASE AGREEMENT </w:t>
      </w:r>
      <w:r>
        <w:rPr>
          <w:rFonts w:ascii="Arial" w:cs="Arial" w:eastAsia="Arial" w:hAnsi="Arial"/>
          <w:sz w:val="18"/>
          <w:szCs w:val="18"/>
          <w:color w:val="auto"/>
        </w:rPr>
        <w:t>(the “</w:t>
      </w:r>
      <w:r>
        <w:rPr>
          <w:rFonts w:ascii="Arial" w:cs="Arial" w:eastAsia="Arial" w:hAnsi="Arial"/>
          <w:sz w:val="18"/>
          <w:szCs w:val="18"/>
          <w:b w:val="1"/>
          <w:bCs w:val="1"/>
          <w:color w:val="auto"/>
        </w:rPr>
        <w:t>Lease</w:t>
      </w:r>
      <w:r>
        <w:rPr>
          <w:rFonts w:ascii="Arial" w:cs="Arial" w:eastAsia="Arial" w:hAnsi="Arial"/>
          <w:sz w:val="18"/>
          <w:szCs w:val="18"/>
          <w:color w:val="auto"/>
        </w:rPr>
        <w:t>”) is made and entered into as of the 2/2/2018 day of January, 2018, by and between</w:t>
      </w:r>
      <w:r>
        <w:rPr>
          <w:rFonts w:ascii="Arial" w:cs="Arial" w:eastAsia="Arial" w:hAnsi="Arial"/>
          <w:sz w:val="18"/>
          <w:szCs w:val="18"/>
          <w:b w:val="1"/>
          <w:bCs w:val="1"/>
          <w:color w:val="auto"/>
        </w:rPr>
        <w:t xml:space="preserve"> BIXBY SPE FINANCE 11,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the terms of this Lease, Landlord agrees to lease the Premises (hereinafter defined) to Tenant and Tenant agrees to lease the Premises from Landlord. The Lease includes the following exhibits and attachments: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(Outline and Location of Premises),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(Development Site Plan),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(Operating Expenses and Taxes),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(Work Letter),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(Building Rules and Regulations),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(Statement of Tenant Regarding Lease Commencement),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(Recorded Restrictions),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(Extension Option Rider), </w:t>
      </w:r>
      <w:r>
        <w:rPr>
          <w:rFonts w:ascii="Arial" w:cs="Arial" w:eastAsia="Arial" w:hAnsi="Arial"/>
          <w:sz w:val="18"/>
          <w:szCs w:val="18"/>
          <w:u w:val="single" w:color="auto"/>
          <w:color w:val="auto"/>
        </w:rPr>
        <w:t>Rider No. 2</w:t>
      </w:r>
      <w:r>
        <w:rPr>
          <w:rFonts w:ascii="Arial" w:cs="Arial" w:eastAsia="Arial" w:hAnsi="Arial"/>
          <w:sz w:val="18"/>
          <w:szCs w:val="18"/>
          <w:color w:val="auto"/>
        </w:rPr>
        <w:t xml:space="preserve"> (Fair Market Rental Rate), and </w:t>
      </w:r>
      <w:r>
        <w:rPr>
          <w:rFonts w:ascii="Arial" w:cs="Arial" w:eastAsia="Arial" w:hAnsi="Arial"/>
          <w:sz w:val="18"/>
          <w:szCs w:val="18"/>
          <w:u w:val="single" w:color="auto"/>
          <w:color w:val="auto"/>
        </w:rPr>
        <w:t>Rider No. 3</w:t>
      </w:r>
      <w:r>
        <w:rPr>
          <w:rFonts w:ascii="Arial" w:cs="Arial" w:eastAsia="Arial" w:hAnsi="Arial"/>
          <w:sz w:val="18"/>
          <w:szCs w:val="18"/>
          <w:color w:val="auto"/>
        </w:rPr>
        <w:t xml:space="preserve"> (Options in General).</w:t>
      </w:r>
    </w:p>
    <w:p>
      <w:pPr>
        <w:spacing w:after="0" w:line="216" w:lineRule="exact"/>
        <w:rPr>
          <w:sz w:val="20"/>
          <w:szCs w:val="20"/>
          <w:color w:val="auto"/>
        </w:rPr>
      </w:pPr>
    </w:p>
    <w:p>
      <w:pPr>
        <w:ind w:left="540" w:hanging="536"/>
        <w:spacing w:after="0"/>
        <w:tabs>
          <w:tab w:leader="none" w:pos="54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Basic Lease Information.</w:t>
      </w:r>
    </w:p>
    <w:p>
      <w:pPr>
        <w:spacing w:after="0" w:line="130" w:lineRule="exact"/>
        <w:rPr>
          <w:rFonts w:ascii="Arial" w:cs="Arial" w:eastAsia="Arial" w:hAnsi="Arial"/>
          <w:sz w:val="18"/>
          <w:szCs w:val="18"/>
          <w:b w:val="1"/>
          <w:bCs w:val="1"/>
          <w:color w:val="auto"/>
        </w:rPr>
      </w:pPr>
    </w:p>
    <w:p>
      <w:pPr>
        <w:ind w:left="1080" w:right="20" w:hanging="5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1.01 “</w:t>
      </w:r>
      <w:r>
        <w:rPr>
          <w:rFonts w:ascii="Arial" w:cs="Arial" w:eastAsia="Arial" w:hAnsi="Arial"/>
          <w:sz w:val="17"/>
          <w:szCs w:val="17"/>
          <w:b w:val="1"/>
          <w:bCs w:val="1"/>
          <w:color w:val="auto"/>
        </w:rPr>
        <w:t>Building</w:t>
      </w:r>
      <w:r>
        <w:rPr>
          <w:rFonts w:ascii="Arial" w:cs="Arial" w:eastAsia="Arial" w:hAnsi="Arial"/>
          <w:sz w:val="17"/>
          <w:szCs w:val="17"/>
          <w:color w:val="auto"/>
        </w:rPr>
        <w:t>” shall mean the building located at 471 El Camino Real, Santa Clara, California. “</w:t>
      </w:r>
      <w:r>
        <w:rPr>
          <w:rFonts w:ascii="Arial" w:cs="Arial" w:eastAsia="Arial" w:hAnsi="Arial"/>
          <w:sz w:val="17"/>
          <w:szCs w:val="17"/>
          <w:b w:val="1"/>
          <w:bCs w:val="1"/>
          <w:color w:val="auto"/>
        </w:rPr>
        <w:t>Rentable Square Footage of the Building</w:t>
      </w:r>
      <w:r>
        <w:rPr>
          <w:rFonts w:ascii="Arial" w:cs="Arial" w:eastAsia="Arial" w:hAnsi="Arial"/>
          <w:sz w:val="17"/>
          <w:szCs w:val="17"/>
          <w:color w:val="auto"/>
        </w:rPr>
        <w:t>” is deemed to be 55,480 square feet. The “</w:t>
      </w:r>
      <w:r>
        <w:rPr>
          <w:rFonts w:ascii="Arial" w:cs="Arial" w:eastAsia="Arial" w:hAnsi="Arial"/>
          <w:sz w:val="17"/>
          <w:szCs w:val="17"/>
          <w:b w:val="1"/>
          <w:bCs w:val="1"/>
          <w:color w:val="auto"/>
        </w:rPr>
        <w:t>Development</w:t>
      </w:r>
      <w:r>
        <w:rPr>
          <w:rFonts w:ascii="Arial" w:cs="Arial" w:eastAsia="Arial" w:hAnsi="Arial"/>
          <w:sz w:val="17"/>
          <w:szCs w:val="17"/>
          <w:color w:val="auto"/>
        </w:rPr>
        <w:t xml:space="preserve">” consists of the parcel(s) of real property commonly known as University Station and located in the City of Santa Clara, County of Santa Clara, State of California, as shown on the site plan attached hereto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A-1</w:t>
      </w:r>
      <w:r>
        <w:rPr>
          <w:rFonts w:ascii="Arial" w:cs="Arial" w:eastAsia="Arial" w:hAnsi="Arial"/>
          <w:sz w:val="17"/>
          <w:szCs w:val="17"/>
          <w:color w:val="auto"/>
        </w:rPr>
        <w:t xml:space="preserve"> as such area may be expanded or reduced from time to time. Currently, the aggregate rentable square feet of the buildings located within the Development is approximately 213,093 square feet. “</w:t>
      </w:r>
      <w:r>
        <w:rPr>
          <w:rFonts w:ascii="Arial" w:cs="Arial" w:eastAsia="Arial" w:hAnsi="Arial"/>
          <w:sz w:val="17"/>
          <w:szCs w:val="17"/>
          <w:b w:val="1"/>
          <w:bCs w:val="1"/>
          <w:color w:val="auto"/>
        </w:rPr>
        <w:t>Common Areas</w:t>
      </w:r>
      <w:r>
        <w:rPr>
          <w:rFonts w:ascii="Arial" w:cs="Arial" w:eastAsia="Arial" w:hAnsi="Arial"/>
          <w:sz w:val="17"/>
          <w:szCs w:val="17"/>
          <w:color w:val="auto"/>
        </w:rPr>
        <w:t>” shall mean the portion of the Building and Development that are designated by Landlord for the common use of tenants and others.</w:t>
      </w:r>
    </w:p>
    <w:p>
      <w:pPr>
        <w:spacing w:after="0" w:line="79" w:lineRule="exact"/>
        <w:rPr>
          <w:rFonts w:ascii="Arial" w:cs="Arial" w:eastAsia="Arial" w:hAnsi="Arial"/>
          <w:sz w:val="18"/>
          <w:szCs w:val="18"/>
          <w:b w:val="1"/>
          <w:bCs w:val="1"/>
          <w:color w:val="auto"/>
        </w:rPr>
      </w:pPr>
    </w:p>
    <w:p>
      <w:pPr>
        <w:ind w:left="1080" w:right="280" w:hanging="540"/>
        <w:spacing w:after="0" w:line="313" w:lineRule="auto"/>
        <w:rPr>
          <w:rFonts w:ascii="Arial" w:cs="Arial" w:eastAsia="Arial" w:hAnsi="Arial"/>
          <w:sz w:val="18"/>
          <w:szCs w:val="18"/>
          <w:b w:val="1"/>
          <w:bCs w:val="1"/>
          <w:color w:val="auto"/>
        </w:rPr>
      </w:pPr>
      <w:r>
        <w:rPr>
          <w:rFonts w:ascii="Arial" w:cs="Arial" w:eastAsia="Arial" w:hAnsi="Arial"/>
          <w:sz w:val="17"/>
          <w:szCs w:val="17"/>
          <w:color w:val="auto"/>
        </w:rPr>
        <w:t>1.02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shall mean the area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Lease. The Premises are located on the first (1st) floor of the Building and known as Suite 100. The “</w:t>
      </w:r>
      <w:r>
        <w:rPr>
          <w:rFonts w:ascii="Arial" w:cs="Arial" w:eastAsia="Arial" w:hAnsi="Arial"/>
          <w:sz w:val="17"/>
          <w:szCs w:val="17"/>
          <w:b w:val="1"/>
          <w:bCs w:val="1"/>
          <w:color w:val="auto"/>
        </w:rPr>
        <w:t>Rentable Square Footage of the Premises</w:t>
      </w:r>
      <w:r>
        <w:rPr>
          <w:rFonts w:ascii="Arial" w:cs="Arial" w:eastAsia="Arial" w:hAnsi="Arial"/>
          <w:sz w:val="17"/>
          <w:szCs w:val="17"/>
          <w:color w:val="auto"/>
        </w:rPr>
        <w:t>” is deemed to be 21,848 square feet.</w:t>
      </w:r>
    </w:p>
    <w:p>
      <w:pPr>
        <w:spacing w:after="0" w:line="4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1.03   “</w:t>
      </w:r>
      <w:r>
        <w:rPr>
          <w:rFonts w:ascii="Arial" w:cs="Arial" w:eastAsia="Arial" w:hAnsi="Arial"/>
          <w:sz w:val="18"/>
          <w:szCs w:val="18"/>
          <w:b w:val="1"/>
          <w:bCs w:val="1"/>
          <w:color w:val="auto"/>
        </w:rPr>
        <w:t>Base Rent</w:t>
      </w:r>
      <w:r>
        <w:rPr>
          <w:rFonts w:ascii="Arial" w:cs="Arial" w:eastAsia="Arial" w:hAnsi="Arial"/>
          <w:sz w:val="18"/>
          <w:szCs w:val="18"/>
          <w:color w:val="auto"/>
        </w:rPr>
        <w:t>”:</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Period or Months of Term</w:t>
            </w:r>
          </w:p>
        </w:tc>
        <w:tc>
          <w:tcPr>
            <w:tcW w:w="5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Monthly Base Rent</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 – 9 *</w:t>
            </w:r>
          </w:p>
        </w:tc>
        <w:tc>
          <w:tcPr>
            <w:tcW w:w="4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10 – 12</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54,620.00</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13 – 24</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56,258.60</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25 – 36</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57,946.36</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37 – 48</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59,684.75</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49 – 60</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61,475.29</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61 – 72</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63,319.55</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73 – 84</w:t>
            </w:r>
          </w:p>
        </w:tc>
        <w:tc>
          <w:tcPr>
            <w:tcW w:w="4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65,219.14</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85 – 86</w:t>
            </w:r>
          </w:p>
        </w:tc>
        <w:tc>
          <w:tcPr>
            <w:tcW w:w="49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67,175.71</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40" w:hanging="436"/>
        <w:spacing w:after="0"/>
        <w:tabs>
          <w:tab w:leader="none" w:pos="4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Subject to Abatement Period, as defined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below.</w:t>
      </w:r>
    </w:p>
    <w:p>
      <w:pPr>
        <w:spacing w:after="0" w:line="248" w:lineRule="exact"/>
        <w:rPr>
          <w:sz w:val="20"/>
          <w:szCs w:val="20"/>
          <w:color w:val="auto"/>
        </w:rPr>
      </w:pPr>
    </w:p>
    <w:p>
      <w:pPr>
        <w:ind w:left="1080" w:right="280" w:hanging="539"/>
        <w:spacing w:after="0" w:line="266" w:lineRule="auto"/>
        <w:tabs>
          <w:tab w:leader="none" w:pos="1060" w:val="left"/>
        </w:tabs>
        <w:rPr>
          <w:sz w:val="20"/>
          <w:szCs w:val="20"/>
          <w:color w:val="auto"/>
        </w:rPr>
      </w:pPr>
      <w:r>
        <w:rPr>
          <w:rFonts w:ascii="Arial" w:cs="Arial" w:eastAsia="Arial" w:hAnsi="Arial"/>
          <w:sz w:val="18"/>
          <w:szCs w:val="18"/>
          <w:color w:val="auto"/>
        </w:rPr>
        <w:t>1.04</w:t>
        <w:tab/>
        <w:t>“</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s Share</w:t>
      </w:r>
      <w:r>
        <w:rPr>
          <w:rFonts w:ascii="Arial" w:cs="Arial" w:eastAsia="Arial" w:hAnsi="Arial"/>
          <w:sz w:val="18"/>
          <w:szCs w:val="18"/>
          <w:color w:val="auto"/>
        </w:rPr>
        <w:t xml:space="preserve">”: The sum of Tenant’s Common Area Share (as defined below) of Common Area Operating Expenses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Taxes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Tenant’s Building Share (as defined below) of Building Operating Expenses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Taxes.</w:t>
      </w:r>
    </w:p>
    <w:p>
      <w:pPr>
        <w:spacing w:after="0" w:line="68" w:lineRule="exact"/>
        <w:rPr>
          <w:sz w:val="20"/>
          <w:szCs w:val="20"/>
          <w:color w:val="auto"/>
        </w:rPr>
      </w:pPr>
    </w:p>
    <w:p>
      <w:pPr>
        <w:ind w:left="1100" w:right="5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w:t>
      </w:r>
      <w:r>
        <w:rPr>
          <w:rFonts w:ascii="Arial" w:cs="Arial" w:eastAsia="Arial" w:hAnsi="Arial"/>
          <w:sz w:val="16"/>
          <w:szCs w:val="16"/>
          <w:color w:val="auto"/>
        </w:rPr>
        <w:t>’</w:t>
      </w:r>
      <w:r>
        <w:rPr>
          <w:rFonts w:ascii="Arial" w:cs="Arial" w:eastAsia="Arial" w:hAnsi="Arial"/>
          <w:sz w:val="16"/>
          <w:szCs w:val="16"/>
          <w:b w:val="1"/>
          <w:bCs w:val="1"/>
          <w:color w:val="auto"/>
        </w:rPr>
        <w:t>s Common Area Share</w:t>
      </w:r>
      <w:r>
        <w:rPr>
          <w:rFonts w:ascii="Arial" w:cs="Arial" w:eastAsia="Arial" w:hAnsi="Arial"/>
          <w:sz w:val="16"/>
          <w:szCs w:val="16"/>
          <w:color w:val="auto"/>
        </w:rPr>
        <w:t>”: 10.25%; Tenant’s percentage of Common Area Operating Expenses and Taxes is calculated by dividing the rentable square footage of the Premises by the rentable square footage of all buildings located in the Development.</w:t>
      </w:r>
    </w:p>
    <w:p>
      <w:pPr>
        <w:spacing w:after="0" w:line="8" w:lineRule="exact"/>
        <w:rPr>
          <w:sz w:val="20"/>
          <w:szCs w:val="20"/>
          <w:color w:val="auto"/>
        </w:rPr>
      </w:pPr>
    </w:p>
    <w:p>
      <w:pPr>
        <w:ind w:left="110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s Building Share</w:t>
      </w:r>
      <w:r>
        <w:rPr>
          <w:rFonts w:ascii="Arial" w:cs="Arial" w:eastAsia="Arial" w:hAnsi="Arial"/>
          <w:sz w:val="18"/>
          <w:szCs w:val="18"/>
          <w:color w:val="auto"/>
        </w:rPr>
        <w:t>”: 39.38%; Tenant’s percentage of Building Operating Expenses and Taxes is calculated by dividing the rentable square footage of the Premises by the rentable square footage of the Building.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19" w:name="page520"/>
    <w:bookmarkEnd w:id="519"/>
    <w:p>
      <w:pPr>
        <w:ind w:left="1080" w:right="240" w:hanging="539"/>
        <w:spacing w:after="0" w:line="266"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tab/>
        <w:t>“</w:t>
      </w:r>
      <w:r>
        <w:rPr>
          <w:rFonts w:ascii="Arial" w:cs="Arial" w:eastAsia="Arial" w:hAnsi="Arial"/>
          <w:sz w:val="18"/>
          <w:szCs w:val="18"/>
          <w:b w:val="1"/>
          <w:bCs w:val="1"/>
          <w:color w:val="auto"/>
        </w:rPr>
        <w:t>Term</w:t>
      </w:r>
      <w:r>
        <w:rPr>
          <w:rFonts w:ascii="Arial" w:cs="Arial" w:eastAsia="Arial" w:hAnsi="Arial"/>
          <w:sz w:val="18"/>
          <w:szCs w:val="18"/>
          <w:color w:val="auto"/>
        </w:rPr>
        <w:t xml:space="preserve">”: A period of eighty-six (86) months. Subject to </w:t>
      </w:r>
      <w:r>
        <w:rPr>
          <w:rFonts w:ascii="Arial" w:cs="Arial" w:eastAsia="Arial" w:hAnsi="Arial"/>
          <w:sz w:val="18"/>
          <w:szCs w:val="18"/>
          <w:u w:val="single" w:color="auto"/>
          <w:color w:val="auto"/>
        </w:rPr>
        <w:t>Section 2</w:t>
      </w:r>
      <w:r>
        <w:rPr>
          <w:rFonts w:ascii="Arial" w:cs="Arial" w:eastAsia="Arial" w:hAnsi="Arial"/>
          <w:sz w:val="18"/>
          <w:szCs w:val="18"/>
          <w:color w:val="auto"/>
        </w:rPr>
        <w:t>, the Term shall commence on April 1, 2018 (the “</w:t>
      </w:r>
      <w:r>
        <w:rPr>
          <w:rFonts w:ascii="Arial" w:cs="Arial" w:eastAsia="Arial" w:hAnsi="Arial"/>
          <w:sz w:val="18"/>
          <w:szCs w:val="18"/>
          <w:b w:val="1"/>
          <w:bCs w:val="1"/>
          <w:color w:val="auto"/>
        </w:rPr>
        <w:t>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shall expire on May 31, 2025 (the “</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if applicable,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Lease.</w:t>
      </w:r>
    </w:p>
    <w:p>
      <w:pPr>
        <w:spacing w:after="0" w:line="8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Security Deposit</w:t>
      </w:r>
      <w:r>
        <w:rPr>
          <w:rFonts w:ascii="Arial" w:cs="Arial" w:eastAsia="Arial" w:hAnsi="Arial"/>
          <w:sz w:val="16"/>
          <w:szCs w:val="16"/>
          <w:color w:val="auto"/>
        </w:rPr>
        <w:t>”: $199,570.56.</w:t>
      </w:r>
    </w:p>
    <w:p>
      <w:pPr>
        <w:spacing w:after="0" w:line="131" w:lineRule="exact"/>
        <w:rPr>
          <w:sz w:val="20"/>
          <w:szCs w:val="20"/>
          <w:color w:val="auto"/>
        </w:rPr>
      </w:pPr>
    </w:p>
    <w:p>
      <w:pPr>
        <w:ind w:left="1080" w:hanging="539"/>
        <w:spacing w:after="0" w:line="282" w:lineRule="auto"/>
        <w:tabs>
          <w:tab w:leader="none" w:pos="1060" w:val="left"/>
        </w:tabs>
        <w:rPr>
          <w:sz w:val="20"/>
          <w:szCs w:val="20"/>
          <w:color w:val="auto"/>
        </w:rPr>
      </w:pPr>
      <w:r>
        <w:rPr>
          <w:rFonts w:ascii="Arial" w:cs="Arial" w:eastAsia="Arial" w:hAnsi="Arial"/>
          <w:sz w:val="18"/>
          <w:szCs w:val="18"/>
          <w:color w:val="auto"/>
        </w:rPr>
        <w:t>1.07</w:t>
        <w:tab/>
        <w:t>“</w:t>
      </w:r>
      <w:r>
        <w:rPr>
          <w:rFonts w:ascii="Arial" w:cs="Arial" w:eastAsia="Arial" w:hAnsi="Arial"/>
          <w:sz w:val="18"/>
          <w:szCs w:val="18"/>
          <w:b w:val="1"/>
          <w:bCs w:val="1"/>
          <w:color w:val="auto"/>
        </w:rPr>
        <w:t>Broker</w:t>
      </w:r>
      <w:r>
        <w:rPr>
          <w:rFonts w:ascii="Arial" w:cs="Arial" w:eastAsia="Arial" w:hAnsi="Arial"/>
          <w:sz w:val="18"/>
          <w:szCs w:val="18"/>
          <w:color w:val="auto"/>
        </w:rPr>
        <w:t>”: Newmark Cornish &amp; Carey (Todd Shaffer) representing Tenant; CBRE, Inc. (Ben Knight, Rob Shannon and Christian Marent) representing Landlord.</w:t>
      </w:r>
    </w:p>
    <w:p>
      <w:pPr>
        <w:spacing w:after="0" w:line="67" w:lineRule="exact"/>
        <w:rPr>
          <w:sz w:val="20"/>
          <w:szCs w:val="20"/>
          <w:color w:val="auto"/>
        </w:rPr>
      </w:pPr>
    </w:p>
    <w:p>
      <w:pPr>
        <w:ind w:left="1080" w:right="100" w:hanging="539"/>
        <w:spacing w:after="0" w:line="298"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Permitted Use</w:t>
      </w:r>
      <w:r>
        <w:rPr>
          <w:rFonts w:ascii="Arial" w:cs="Arial" w:eastAsia="Arial" w:hAnsi="Arial"/>
          <w:sz w:val="16"/>
          <w:szCs w:val="16"/>
          <w:color w:val="auto"/>
        </w:rPr>
        <w:t xml:space="preserve">”: To the extent permitted pursuant to terms applicable Laws (as defined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Lease) and matters of record (including as referenced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general office, research and development, employee training, surgeon education and training, engineering, warehousing and administrative support and sales and such other activities as are consistent with a mature medical device company with commercially marketed products and an active R&amp;D pipeline. Tenant shall be responsible for securing from the City of Santa Clara, California, any conditional use permit which may be required with respect to Tenant’s Permitted Use.</w:t>
      </w:r>
    </w:p>
    <w:p>
      <w:pPr>
        <w:spacing w:after="0" w:line="6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 Addresses</w:t>
      </w:r>
      <w:r>
        <w:rPr>
          <w:rFonts w:ascii="Arial" w:cs="Arial" w:eastAsia="Arial" w:hAnsi="Arial"/>
          <w:sz w:val="16"/>
          <w:szCs w:val="16"/>
          <w:color w:val="auto"/>
        </w:rPr>
        <w:t>”:</w:t>
      </w:r>
    </w:p>
    <w:p>
      <w:pPr>
        <w:spacing w:after="0" w:line="252"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r>
      <w:tr>
        <w:trPr>
          <w:trHeight w:val="190"/>
        </w:trPr>
        <w:tc>
          <w:tcPr>
            <w:tcW w:w="4560" w:type="dxa"/>
            <w:vAlign w:val="bottom"/>
          </w:tcPr>
          <w:p>
            <w:pPr>
              <w:spacing w:after="0" w:line="190" w:lineRule="exact"/>
              <w:rPr>
                <w:sz w:val="20"/>
                <w:szCs w:val="20"/>
                <w:color w:val="auto"/>
              </w:rPr>
            </w:pPr>
            <w:r>
              <w:rPr>
                <w:rFonts w:ascii="Arial" w:cs="Arial" w:eastAsia="Arial" w:hAnsi="Arial"/>
                <w:sz w:val="18"/>
                <w:szCs w:val="18"/>
                <w:color w:val="auto"/>
              </w:rPr>
              <w:t>c/o Bixby Land Company</w:t>
            </w:r>
          </w:p>
        </w:tc>
        <w:tc>
          <w:tcPr>
            <w:tcW w:w="24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Prior to Commencement</w:t>
            </w:r>
            <w:r>
              <w:rPr>
                <w:rFonts w:ascii="Arial" w:cs="Arial" w:eastAsia="Arial" w:hAnsi="Arial"/>
                <w:sz w:val="18"/>
                <w:szCs w:val="18"/>
                <w:color w:val="auto"/>
              </w:rPr>
              <w:t>:</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1501 Quail, Suite 230</w:t>
            </w: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SI-BONE, Inc.</w:t>
            </w:r>
          </w:p>
        </w:tc>
        <w:tc>
          <w:tcPr>
            <w:tcW w:w="62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Newport Beach, California 92660</w:t>
            </w:r>
          </w:p>
        </w:tc>
        <w:tc>
          <w:tcPr>
            <w:tcW w:w="2400" w:type="dxa"/>
            <w:vAlign w:val="bottom"/>
            <w:gridSpan w:val="3"/>
          </w:tcPr>
          <w:p>
            <w:pPr>
              <w:spacing w:after="0"/>
              <w:rPr>
                <w:sz w:val="20"/>
                <w:szCs w:val="20"/>
                <w:color w:val="auto"/>
              </w:rPr>
            </w:pPr>
            <w:r>
              <w:rPr>
                <w:rFonts w:ascii="Arial" w:cs="Arial" w:eastAsia="Arial" w:hAnsi="Arial"/>
                <w:sz w:val="18"/>
                <w:szCs w:val="18"/>
                <w:color w:val="auto"/>
              </w:rPr>
              <w:t>3055 Olin Ave., Ste 2200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Attention: Property Manager, University</w:t>
            </w:r>
          </w:p>
        </w:tc>
        <w:tc>
          <w:tcPr>
            <w:tcW w:w="2400" w:type="dxa"/>
            <w:vAlign w:val="bottom"/>
            <w:gridSpan w:val="3"/>
          </w:tcPr>
          <w:p>
            <w:pPr>
              <w:spacing w:after="0"/>
              <w:rPr>
                <w:sz w:val="20"/>
                <w:szCs w:val="20"/>
                <w:color w:val="auto"/>
              </w:rPr>
            </w:pPr>
            <w:r>
              <w:rPr>
                <w:rFonts w:ascii="Arial" w:cs="Arial" w:eastAsia="Arial" w:hAnsi="Arial"/>
                <w:sz w:val="18"/>
                <w:szCs w:val="18"/>
                <w:color w:val="auto"/>
              </w:rPr>
              <w:t>San Jose, California 95128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Station</w:t>
            </w:r>
          </w:p>
        </w:tc>
        <w:tc>
          <w:tcPr>
            <w:tcW w:w="2400" w:type="dxa"/>
            <w:vAlign w:val="bottom"/>
            <w:gridSpan w:val="3"/>
          </w:tcPr>
          <w:p>
            <w:pPr>
              <w:spacing w:after="0"/>
              <w:rPr>
                <w:sz w:val="20"/>
                <w:szCs w:val="20"/>
                <w:color w:val="auto"/>
              </w:rPr>
            </w:pPr>
            <w:r>
              <w:rPr>
                <w:rFonts w:ascii="Arial" w:cs="Arial" w:eastAsia="Arial" w:hAnsi="Arial"/>
                <w:sz w:val="18"/>
                <w:szCs w:val="18"/>
                <w:color w:val="auto"/>
              </w:rPr>
              <w:t>Attention: General Counsel</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Lock box address for payment of Rent:</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0"/>
        </w:trPr>
        <w:tc>
          <w:tcPr>
            <w:tcW w:w="4560" w:type="dxa"/>
            <w:vAlign w:val="bottom"/>
          </w:tcPr>
          <w:p>
            <w:pPr>
              <w:spacing w:after="0" w:line="190" w:lineRule="exact"/>
              <w:rPr>
                <w:sz w:val="20"/>
                <w:szCs w:val="20"/>
                <w:color w:val="auto"/>
              </w:rPr>
            </w:pPr>
            <w:r>
              <w:rPr>
                <w:rFonts w:ascii="Arial" w:cs="Arial" w:eastAsia="Arial" w:hAnsi="Arial"/>
                <w:sz w:val="18"/>
                <w:szCs w:val="18"/>
                <w:color w:val="auto"/>
              </w:rPr>
              <w:t>Bixby SPE Finance 11, LLC</w:t>
            </w:r>
          </w:p>
        </w:tc>
        <w:tc>
          <w:tcPr>
            <w:tcW w:w="24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After to Commencement</w:t>
            </w:r>
            <w:r>
              <w:rPr>
                <w:rFonts w:ascii="Arial" w:cs="Arial" w:eastAsia="Arial" w:hAnsi="Arial"/>
                <w:sz w:val="18"/>
                <w:szCs w:val="18"/>
                <w:color w:val="auto"/>
              </w:rPr>
              <w:t>:</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P.O. Box 51239</w:t>
            </w: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SI-BONE, Inc.</w:t>
            </w:r>
          </w:p>
        </w:tc>
        <w:tc>
          <w:tcPr>
            <w:tcW w:w="660" w:type="dxa"/>
            <w:vAlign w:val="bottom"/>
            <w:gridSpan w:val="2"/>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Los Angeles, California 90051-5539</w:t>
            </w:r>
          </w:p>
        </w:tc>
        <w:tc>
          <w:tcPr>
            <w:tcW w:w="2400" w:type="dxa"/>
            <w:vAlign w:val="bottom"/>
            <w:gridSpan w:val="3"/>
          </w:tcPr>
          <w:p>
            <w:pPr>
              <w:spacing w:after="0"/>
              <w:rPr>
                <w:sz w:val="20"/>
                <w:szCs w:val="20"/>
                <w:color w:val="auto"/>
              </w:rPr>
            </w:pPr>
            <w:r>
              <w:rPr>
                <w:rFonts w:ascii="Arial" w:cs="Arial" w:eastAsia="Arial" w:hAnsi="Arial"/>
                <w:sz w:val="18"/>
                <w:szCs w:val="18"/>
                <w:color w:val="auto"/>
                <w:w w:val="96"/>
              </w:rPr>
              <w:t>471 El Camino Real, Suite 100</w:t>
            </w:r>
          </w:p>
        </w:tc>
      </w:tr>
      <w:tr>
        <w:trPr>
          <w:trHeight w:val="216"/>
        </w:trPr>
        <w:tc>
          <w:tcPr>
            <w:tcW w:w="456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Santa Clara, California 95050</w:t>
            </w:r>
          </w:p>
        </w:tc>
      </w:tr>
      <w:tr>
        <w:trPr>
          <w:trHeight w:val="230"/>
        </w:trPr>
        <w:tc>
          <w:tcPr>
            <w:tcW w:w="456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w w:val="92"/>
              </w:rPr>
              <w:t>Attention: Director of Operations</w:t>
            </w:r>
          </w:p>
        </w:tc>
      </w:tr>
    </w:tbl>
    <w:p>
      <w:pPr>
        <w:spacing w:after="0" w:line="103" w:lineRule="exact"/>
        <w:rPr>
          <w:sz w:val="20"/>
          <w:szCs w:val="20"/>
          <w:color w:val="auto"/>
        </w:rPr>
      </w:pPr>
    </w:p>
    <w:p>
      <w:pPr>
        <w:ind w:left="1080" w:right="540" w:hanging="539"/>
        <w:spacing w:after="0" w:line="282" w:lineRule="auto"/>
        <w:tabs>
          <w:tab w:leader="none" w:pos="1060" w:val="left"/>
        </w:tabs>
        <w:rPr>
          <w:sz w:val="20"/>
          <w:szCs w:val="20"/>
          <w:color w:val="auto"/>
        </w:rPr>
      </w:pPr>
      <w:r>
        <w:rPr>
          <w:rFonts w:ascii="Arial" w:cs="Arial" w:eastAsia="Arial" w:hAnsi="Arial"/>
          <w:sz w:val="18"/>
          <w:szCs w:val="18"/>
          <w:color w:val="auto"/>
        </w:rPr>
        <w:t>1.10</w:t>
        <w:tab/>
        <w:t>“</w:t>
      </w:r>
      <w:r>
        <w:rPr>
          <w:rFonts w:ascii="Arial" w:cs="Arial" w:eastAsia="Arial" w:hAnsi="Arial"/>
          <w:sz w:val="18"/>
          <w:szCs w:val="18"/>
          <w:b w:val="1"/>
          <w:bCs w:val="1"/>
          <w:color w:val="auto"/>
        </w:rPr>
        <w:t>Landlord Work</w:t>
      </w:r>
      <w:r>
        <w:rPr>
          <w:rFonts w:ascii="Arial" w:cs="Arial" w:eastAsia="Arial" w:hAnsi="Arial"/>
          <w:sz w:val="18"/>
          <w:szCs w:val="18"/>
          <w:color w:val="auto"/>
        </w:rPr>
        <w:t>” means the work, if any, that Landlord is obligated to perform in the Premises pursuant to a separate work letter agreement (the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attached to this Lease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67" w:lineRule="exact"/>
        <w:rPr>
          <w:sz w:val="20"/>
          <w:szCs w:val="20"/>
          <w:color w:val="auto"/>
        </w:rPr>
      </w:pPr>
    </w:p>
    <w:p>
      <w:pPr>
        <w:jc w:val="both"/>
        <w:ind w:left="1080" w:right="60" w:hanging="539"/>
        <w:spacing w:after="0" w:line="281" w:lineRule="auto"/>
        <w:tabs>
          <w:tab w:leader="none" w:pos="10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Parking</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below, Tenant shall have non-exclusive access to seventy-eight (78) surface parking spaces in common with other tenants and occupants of the Development. All parking rights granted to Tenant hereunder may be utilized by Tenant’s agents, licensees, assignees, subtenants, customers, employees, contractors, suppliers and invitees (“</w:t>
      </w:r>
      <w:r>
        <w:rPr>
          <w:rFonts w:ascii="Arial" w:cs="Arial" w:eastAsia="Arial" w:hAnsi="Arial"/>
          <w:sz w:val="17"/>
          <w:szCs w:val="17"/>
          <w:b w:val="1"/>
          <w:bCs w:val="1"/>
          <w:color w:val="auto"/>
        </w:rPr>
        <w:t>Tenant’s Parties</w:t>
      </w:r>
      <w:r>
        <w:rPr>
          <w:rFonts w:ascii="Arial" w:cs="Arial" w:eastAsia="Arial" w:hAnsi="Arial"/>
          <w:sz w:val="17"/>
          <w:szCs w:val="17"/>
          <w:color w:val="auto"/>
        </w:rPr>
        <w:t>” or “</w:t>
      </w:r>
      <w:r>
        <w:rPr>
          <w:rFonts w:ascii="Arial" w:cs="Arial" w:eastAsia="Arial" w:hAnsi="Arial"/>
          <w:sz w:val="17"/>
          <w:szCs w:val="17"/>
          <w:b w:val="1"/>
          <w:bCs w:val="1"/>
          <w:color w:val="auto"/>
        </w:rPr>
        <w:t>Tenant Parties</w:t>
      </w:r>
      <w:r>
        <w:rPr>
          <w:rFonts w:ascii="Arial" w:cs="Arial" w:eastAsia="Arial" w:hAnsi="Arial"/>
          <w:sz w:val="17"/>
          <w:szCs w:val="17"/>
          <w:color w:val="auto"/>
        </w:rPr>
        <w:t xml:space="preserve">”) on the same basis as they are available to Tenant (subject to the terms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w:t>
      </w:r>
    </w:p>
    <w:p>
      <w:pPr>
        <w:spacing w:after="0" w:line="7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None.</w:t>
      </w:r>
    </w:p>
    <w:p>
      <w:pPr>
        <w:spacing w:after="0" w:line="131" w:lineRule="exact"/>
        <w:rPr>
          <w:sz w:val="20"/>
          <w:szCs w:val="20"/>
          <w:color w:val="auto"/>
        </w:rPr>
      </w:pPr>
    </w:p>
    <w:p>
      <w:pPr>
        <w:ind w:left="540" w:hanging="536"/>
        <w:spacing w:after="0"/>
        <w:tabs>
          <w:tab w:leader="none" w:pos="54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Date; Possession.</w:t>
      </w:r>
    </w:p>
    <w:p>
      <w:pPr>
        <w:spacing w:after="0" w:line="121" w:lineRule="exact"/>
        <w:rPr>
          <w:sz w:val="20"/>
          <w:szCs w:val="20"/>
          <w:color w:val="auto"/>
        </w:rPr>
      </w:pPr>
    </w:p>
    <w:p>
      <w:pPr>
        <w:ind w:right="20" w:firstLine="551"/>
        <w:spacing w:after="0" w:line="271" w:lineRule="auto"/>
        <w:rPr>
          <w:sz w:val="20"/>
          <w:szCs w:val="20"/>
          <w:color w:val="auto"/>
        </w:rPr>
      </w:pPr>
      <w:r>
        <w:rPr>
          <w:rFonts w:ascii="Arial" w:cs="Arial" w:eastAsia="Arial" w:hAnsi="Arial"/>
          <w:sz w:val="17"/>
          <w:szCs w:val="17"/>
          <w:color w:val="auto"/>
        </w:rPr>
        <w:t xml:space="preserve">2.01 If Landlord is required to perform Landlord Work (defined in the Work Letter) prior to the Commencement Date: (a) the date set forth in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above as the Commencement Date shall instead be defined as the “</w:t>
      </w:r>
      <w:r>
        <w:rPr>
          <w:rFonts w:ascii="Arial" w:cs="Arial" w:eastAsia="Arial" w:hAnsi="Arial"/>
          <w:sz w:val="17"/>
          <w:szCs w:val="17"/>
          <w:b w:val="1"/>
          <w:bCs w:val="1"/>
          <w:color w:val="auto"/>
        </w:rPr>
        <w:t>Target Commencement Date</w:t>
      </w:r>
      <w:r>
        <w:rPr>
          <w:rFonts w:ascii="Arial" w:cs="Arial" w:eastAsia="Arial" w:hAnsi="Arial"/>
          <w:sz w:val="17"/>
          <w:szCs w:val="17"/>
          <w:color w:val="auto"/>
        </w:rPr>
        <w:t>”; (b) the actual Commencement Date shall be the date on which the Landlord Work is Substantially Complete (as defined in the Work Letter); and (c) the Expiration Date will be the last day of the Term as determined based upon the actual Commencement Date. Landlord’s failure to Substantially Complete the Landlord Work by the Target Commencement Date shall not be a default by Landlord or otherwise render Landlord liable for damages. If Landlord is delayed in the performance of the Landlord Work as a result of a Tenant Delay (as defined in the Work Letter), the Landlord Work shall be deemed to be Substantially Complete on the date that Landlord could reasonably have been expected to Substantially Complete the Landlord Work absent any Tenant Delay. It is further understood and agreed that if for any reason the Commencement Date occurs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20" w:name="page521"/>
    <w:bookmarkEnd w:id="520"/>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terms of this Lease on a day other than the first (1</w:t>
      </w:r>
      <w:r>
        <w:rPr>
          <w:rFonts w:ascii="Arial" w:cs="Arial" w:eastAsia="Arial" w:hAnsi="Arial"/>
          <w:sz w:val="14"/>
          <w:szCs w:val="14"/>
          <w:color w:val="auto"/>
        </w:rPr>
        <w:t>st</w:t>
      </w:r>
      <w:r>
        <w:rPr>
          <w:rFonts w:ascii="Arial" w:cs="Arial" w:eastAsia="Arial" w:hAnsi="Arial"/>
          <w:sz w:val="17"/>
          <w:szCs w:val="17"/>
          <w:color w:val="auto"/>
        </w:rPr>
        <w:t xml:space="preserve">) day of a calendar month, the period commencing on the Commencement Date and ending on the last day of the calendar month in which the Commencement Date occurs shall be an initial stub period which shall be added to the initial Term and Tenant shall pay all Rent (defined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and other charges with respect to such stub period (on a prorated basis as referenced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at the same rate applicable to the first (1st) full calendar month of this Lease. Following such stub period and commencing as of the first (1</w:t>
      </w:r>
      <w:r>
        <w:rPr>
          <w:rFonts w:ascii="Arial" w:cs="Arial" w:eastAsia="Arial" w:hAnsi="Arial"/>
          <w:sz w:val="14"/>
          <w:szCs w:val="14"/>
          <w:color w:val="auto"/>
        </w:rPr>
        <w:t>st</w:t>
      </w:r>
      <w:r>
        <w:rPr>
          <w:rFonts w:ascii="Arial" w:cs="Arial" w:eastAsia="Arial" w:hAnsi="Arial"/>
          <w:sz w:val="17"/>
          <w:szCs w:val="17"/>
          <w:color w:val="auto"/>
        </w:rPr>
        <w:t>) day of the first (1</w:t>
      </w:r>
      <w:r>
        <w:rPr>
          <w:rFonts w:ascii="Arial" w:cs="Arial" w:eastAsia="Arial" w:hAnsi="Arial"/>
          <w:sz w:val="14"/>
          <w:szCs w:val="14"/>
          <w:color w:val="auto"/>
        </w:rPr>
        <w:t>st</w:t>
      </w:r>
      <w:r>
        <w:rPr>
          <w:rFonts w:ascii="Arial" w:cs="Arial" w:eastAsia="Arial" w:hAnsi="Arial"/>
          <w:sz w:val="17"/>
          <w:szCs w:val="17"/>
          <w:color w:val="auto"/>
        </w:rPr>
        <w:t>) full calendar month following the month in which the Commencement Date occurs, Tenant shall commence the payment of Rent and other charges payable hereunder as if the initial Term had actually commenced on such date. The use of the stub period described above is intended to provide for ease of administration and calculation of all amounts owed hereunder, it being agreed that all rental adjustments will be determined as of the first (1st) day of a calendar month and the Term of the Lease will end as of the last day of a calendar month (unless earlier terminated pursuant to the terms hereof).</w:t>
      </w:r>
    </w:p>
    <w:p>
      <w:pPr>
        <w:spacing w:after="0" w:line="74" w:lineRule="exact"/>
        <w:rPr>
          <w:sz w:val="20"/>
          <w:szCs w:val="20"/>
          <w:color w:val="auto"/>
        </w:rPr>
      </w:pPr>
    </w:p>
    <w:p>
      <w:pPr>
        <w:ind w:right="80" w:firstLine="551"/>
        <w:spacing w:after="0" w:line="279" w:lineRule="auto"/>
        <w:rPr>
          <w:sz w:val="20"/>
          <w:szCs w:val="20"/>
          <w:color w:val="auto"/>
        </w:rPr>
      </w:pPr>
      <w:r>
        <w:rPr>
          <w:rFonts w:ascii="Arial" w:cs="Arial" w:eastAsia="Arial" w:hAnsi="Arial"/>
          <w:sz w:val="17"/>
          <w:szCs w:val="17"/>
          <w:color w:val="auto"/>
        </w:rPr>
        <w:t>2.02 Subject to Landlord performing the required Landlord Work, the Premises are accepted by Tenant in “AS-IS” condition and configuration without any representations or warranties by Landlord. Landlord shall not be liable for any failure to deliver possession of the Premises or any other space due to the holdover or unlawful possession of such space by any party. In such event, the Commencement Date for such space shall be postponed until the date Landlord delivers possession of the Premises to Tenant free from occupancy by any party.</w:t>
      </w:r>
    </w:p>
    <w:p>
      <w:pPr>
        <w:spacing w:after="0" w:line="63" w:lineRule="exact"/>
        <w:rPr>
          <w:sz w:val="20"/>
          <w:szCs w:val="20"/>
          <w:color w:val="auto"/>
        </w:rPr>
      </w:pPr>
    </w:p>
    <w:p>
      <w:pPr>
        <w:ind w:right="420" w:firstLine="551"/>
        <w:spacing w:after="0" w:line="264" w:lineRule="auto"/>
        <w:rPr>
          <w:sz w:val="20"/>
          <w:szCs w:val="20"/>
          <w:color w:val="auto"/>
        </w:rPr>
      </w:pPr>
      <w:r>
        <w:rPr>
          <w:rFonts w:ascii="Arial" w:cs="Arial" w:eastAsia="Arial" w:hAnsi="Arial"/>
          <w:sz w:val="18"/>
          <w:szCs w:val="18"/>
          <w:color w:val="auto"/>
        </w:rPr>
        <w:t xml:space="preserve">2.03 Within thirty (30) days after the Commencement Date, Tenant shall return an executed Statement of Tenant Regarding Lease Commencement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The Statement of Tenant Regarding Lease Commencement shall be binding upon Tenant unless Tenant objects thereto in writing within such 30-day period.</w:t>
      </w:r>
    </w:p>
    <w:p>
      <w:pPr>
        <w:spacing w:after="0" w:line="73" w:lineRule="exact"/>
        <w:rPr>
          <w:sz w:val="20"/>
          <w:szCs w:val="20"/>
          <w:color w:val="auto"/>
        </w:rPr>
      </w:pPr>
    </w:p>
    <w:p>
      <w:pPr>
        <w:ind w:firstLine="551"/>
        <w:spacing w:after="0" w:line="286" w:lineRule="auto"/>
        <w:rPr>
          <w:sz w:val="20"/>
          <w:szCs w:val="20"/>
          <w:color w:val="auto"/>
        </w:rPr>
      </w:pPr>
      <w:r>
        <w:rPr>
          <w:rFonts w:ascii="Arial" w:cs="Arial" w:eastAsia="Arial" w:hAnsi="Arial"/>
          <w:sz w:val="16"/>
          <w:szCs w:val="16"/>
          <w:color w:val="auto"/>
        </w:rPr>
        <w:t xml:space="preserve">2.04 So long as (i) this Lease has been fully executed and delivered by the parties hereto, (ii) Landlord has received the first (1st) monthly installment of Base Rent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and the Security Deposit (to be maintained pursuant to the terms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below), (iii) Landlord Work is Substantially Complete, and (iv) Landlord has received insurance certificates evidencing that Tenant is carrying the insurance required to be carried by Tenant pursuant to the terms of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below, Tenant shall have the right to access the Premises on the date that is two (2) weeks prior to the actual Commencement Date, for the purpose of the installation of Tenant’s furniture, fixtures and equipment therein (the “</w:t>
      </w:r>
      <w:r>
        <w:rPr>
          <w:rFonts w:ascii="Arial" w:cs="Arial" w:eastAsia="Arial" w:hAnsi="Arial"/>
          <w:sz w:val="16"/>
          <w:szCs w:val="16"/>
          <w:b w:val="1"/>
          <w:bCs w:val="1"/>
          <w:color w:val="auto"/>
        </w:rPr>
        <w:t>Early Access</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During such Early Access Period, all of the terms and conditions of this Lease shall apply, including, without limitation, Tenant’s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 to Landlord all sums and charges required to be paid by Tenant under this Lease including, without limitation, charges in excess of the Building standard level of services supplied by Landlord pursuant to the terms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 but excluding Base Rent, Tenant’s Common Area Share and Tenant’s Building Share. Further, any work to be performed by Tenant or its contractors within the Premises during such Early Access Period shall be performed in strict accordance with the terms of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Lease, including obtaining Landlord’s prior approval of plans for any cabling, wiring or other work which may affect systems or structure or be visible from outside the Premises and causing all contractors to comply with the Development’s construction rules and regulations. Tenant shall have the use of the parking passes during the Early Access Period. During such Early Access Period, Tenant shall not be obligated to pay Base Rent, Tenant’s Common Area Share or Tenant’s Building Share (as such terms are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for the Premises so accessed by Tenant until the occurrence of the Commencement Date (and no such Base Rent, Tenant’s Common Area Share or Tenant’s Building Share shall accrue during such Early Access Period).</w:t>
      </w:r>
    </w:p>
    <w:p>
      <w:pPr>
        <w:spacing w:after="0" w:line="70" w:lineRule="exact"/>
        <w:rPr>
          <w:sz w:val="20"/>
          <w:szCs w:val="20"/>
          <w:color w:val="auto"/>
        </w:rPr>
      </w:pPr>
    </w:p>
    <w:p>
      <w:pPr>
        <w:ind w:left="540" w:hanging="536"/>
        <w:spacing w:after="0"/>
        <w:tabs>
          <w:tab w:leader="none" w:pos="54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21" w:lineRule="exact"/>
        <w:rPr>
          <w:sz w:val="20"/>
          <w:szCs w:val="20"/>
          <w:color w:val="auto"/>
        </w:rPr>
      </w:pPr>
    </w:p>
    <w:p>
      <w:pPr>
        <w:ind w:right="20" w:firstLine="551"/>
        <w:spacing w:after="0" w:line="288" w:lineRule="auto"/>
        <w:rPr>
          <w:sz w:val="20"/>
          <w:szCs w:val="20"/>
          <w:color w:val="auto"/>
        </w:rPr>
      </w:pPr>
      <w:r>
        <w:rPr>
          <w:rFonts w:ascii="Arial" w:cs="Arial" w:eastAsia="Arial" w:hAnsi="Arial"/>
          <w:sz w:val="16"/>
          <w:szCs w:val="16"/>
          <w:color w:val="auto"/>
        </w:rPr>
        <w:t>3.01 Upon execution of this Lease, Tenant shall pay to Landlord the sum of $47,500.00 constituting Rent due and payable by Tenant for the first full calendar month of the Term for which Rent is payable hereunder. Tenant shall pay Landlord, without any setoff or deduction, all Base Rent and Additional Rent for the Term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when due. “</w:t>
      </w:r>
      <w:r>
        <w:rPr>
          <w:rFonts w:ascii="Arial" w:cs="Arial" w:eastAsia="Arial" w:hAnsi="Arial"/>
          <w:sz w:val="16"/>
          <w:szCs w:val="16"/>
          <w:b w:val="1"/>
          <w:bCs w:val="1"/>
          <w:color w:val="auto"/>
        </w:rPr>
        <w:t>Additional Rent</w:t>
      </w:r>
      <w:r>
        <w:rPr>
          <w:rFonts w:ascii="Arial" w:cs="Arial" w:eastAsia="Arial" w:hAnsi="Arial"/>
          <w:sz w:val="16"/>
          <w:szCs w:val="16"/>
          <w:color w:val="auto"/>
        </w:rPr>
        <w:t xml:space="preserve">” means all sums (exclusive of Base Rent) that Tenant is required to pay Landlord under this Lease, including, without limitation, payments for insurance, repairs and parking lot maintenance/repair and Tenant’s Common Area Share and Tenant’s Building Share of Taxes and Operating Expenses. Tenant shall pay and be liable for all rental, sales and use taxes (but excluding income taxes), if any, imposed upon or measured by Rent. Base Rent and recurring monthly charges of estimated Additional Rent shall be due and payable in advance on the first day of each calendar month without notice or demand. All other items of Rent shall be due and payable by Tenant on or before thirty (30) days after billing by Landlord. All Rent payable by Tenant hereunder shall be paid to Landlord in lawful money of the United States of America, by check or wire transfer made payable to the entity constituting Landlord hereunder and sent to the lock box designated in </w:t>
      </w:r>
      <w:r>
        <w:rPr>
          <w:rFonts w:ascii="Arial" w:cs="Arial" w:eastAsia="Arial" w:hAnsi="Arial"/>
          <w:sz w:val="16"/>
          <w:szCs w:val="16"/>
          <w:u w:val="single" w:color="auto"/>
          <w:color w:val="auto"/>
        </w:rPr>
        <w:t>Section 1.0</w:t>
      </w:r>
      <w:r>
        <w:rPr>
          <w:rFonts w:ascii="Arial" w:cs="Arial" w:eastAsia="Arial" w:hAnsi="Arial"/>
          <w:sz w:val="16"/>
          <w:szCs w:val="16"/>
          <w:color w:val="auto"/>
        </w:rPr>
        <w:t>9 of the Basic Lease Information, or to such other location or address as Landlord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21" w:name="page522"/>
    <w:bookmarkEnd w:id="521"/>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designate from time to time. Tenant shall pay Landlord an administration fee equal to five percent (5%) of all Rent past due beyond any applicable grace period. In addition, past due Rent shall accrue interest at twelve percent (12%) per annum (or the maximum rate legally permissible, whichever is less). Rent for any partial month during the Term shall be prorated. No endorsement or statement on a check or letter accompanying payment shall be considered an accord and satisfaction. Tenant’s covenant to pay Rent is independent of every other covenant in this Lease.</w:t>
      </w:r>
    </w:p>
    <w:p>
      <w:pPr>
        <w:spacing w:after="0" w:line="46" w:lineRule="exact"/>
        <w:rPr>
          <w:sz w:val="20"/>
          <w:szCs w:val="20"/>
          <w:color w:val="auto"/>
        </w:rPr>
      </w:pPr>
    </w:p>
    <w:p>
      <w:pPr>
        <w:ind w:right="20" w:firstLine="551"/>
        <w:spacing w:after="0" w:line="255" w:lineRule="auto"/>
        <w:rPr>
          <w:sz w:val="20"/>
          <w:szCs w:val="20"/>
          <w:color w:val="auto"/>
        </w:rPr>
      </w:pPr>
      <w:r>
        <w:rPr>
          <w:rFonts w:ascii="Arial" w:cs="Arial" w:eastAsia="Arial" w:hAnsi="Arial"/>
          <w:sz w:val="18"/>
          <w:szCs w:val="18"/>
          <w:color w:val="auto"/>
        </w:rPr>
        <w:t xml:space="preserve">3.02 Notwithstanding anything to the contrary contained herein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by Tenant occurs hereunder, Landlord hereby agrees that Tenant shall not be required to pay monthly Base Rent for the first (</w:t>
      </w:r>
      <w:r>
        <w:rPr>
          <w:rFonts w:ascii="Arial" w:cs="Arial" w:eastAsia="Arial" w:hAnsi="Arial"/>
          <w:sz w:val="15"/>
          <w:szCs w:val="15"/>
          <w:color w:val="auto"/>
        </w:rPr>
        <w:t>1st</w:t>
      </w:r>
      <w:r>
        <w:rPr>
          <w:rFonts w:ascii="Arial" w:cs="Arial" w:eastAsia="Arial" w:hAnsi="Arial"/>
          <w:sz w:val="18"/>
          <w:szCs w:val="18"/>
          <w:color w:val="auto"/>
        </w:rPr>
        <w:t>) and second (2</w:t>
      </w:r>
      <w:r>
        <w:rPr>
          <w:rFonts w:ascii="Arial" w:cs="Arial" w:eastAsia="Arial" w:hAnsi="Arial"/>
          <w:sz w:val="15"/>
          <w:szCs w:val="15"/>
          <w:color w:val="auto"/>
        </w:rPr>
        <w:t>nd</w:t>
      </w:r>
      <w:r>
        <w:rPr>
          <w:rFonts w:ascii="Arial" w:cs="Arial" w:eastAsia="Arial" w:hAnsi="Arial"/>
          <w:sz w:val="18"/>
          <w:szCs w:val="18"/>
          <w:color w:val="auto"/>
        </w:rPr>
        <w:t>) full months of the initial Term (the “</w:t>
      </w:r>
      <w:r>
        <w:rPr>
          <w:rFonts w:ascii="Arial" w:cs="Arial" w:eastAsia="Arial" w:hAnsi="Arial"/>
          <w:sz w:val="18"/>
          <w:szCs w:val="18"/>
          <w:b w:val="1"/>
          <w:bCs w:val="1"/>
          <w:color w:val="auto"/>
        </w:rPr>
        <w:t>Abatement</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During the Abatement Period, Tenant shall still be responsible for the payment of all of its other monetary obligations under this Lease.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of a Default by Tenant under the terms of this Lease that results in termination of this Lease in accordance with the provisions of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hereof, then as a part of the recovery set forth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of this Lease, Landlord shall be entitled to the recovery of the monthly Base Rent that was abated under the provisions of this Section 3.</w:t>
      </w:r>
    </w:p>
    <w:p>
      <w:pPr>
        <w:spacing w:after="0" w:line="85" w:lineRule="exact"/>
        <w:rPr>
          <w:sz w:val="20"/>
          <w:szCs w:val="20"/>
          <w:color w:val="auto"/>
        </w:rPr>
      </w:pPr>
    </w:p>
    <w:p>
      <w:pPr>
        <w:ind w:right="80" w:firstLine="551"/>
        <w:spacing w:after="0" w:line="293" w:lineRule="auto"/>
        <w:rPr>
          <w:sz w:val="20"/>
          <w:szCs w:val="20"/>
          <w:color w:val="auto"/>
        </w:rPr>
      </w:pPr>
      <w:r>
        <w:rPr>
          <w:rFonts w:ascii="Arial" w:cs="Arial" w:eastAsia="Arial" w:hAnsi="Arial"/>
          <w:sz w:val="16"/>
          <w:szCs w:val="16"/>
          <w:color w:val="auto"/>
        </w:rPr>
        <w:t xml:space="preserve">3.03 In accordance with the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above, Tenant shall be obligated to pay Base Rent with respect to only 19,000 rentable square feet of the Premises for the first (1st) nine (9) months of the initial Term (the “</w:t>
      </w:r>
      <w:r>
        <w:rPr>
          <w:rFonts w:ascii="Arial" w:cs="Arial" w:eastAsia="Arial" w:hAnsi="Arial"/>
          <w:sz w:val="16"/>
          <w:szCs w:val="16"/>
          <w:b w:val="1"/>
          <w:bCs w:val="1"/>
          <w:color w:val="auto"/>
        </w:rPr>
        <w:t>Phase-In Period</w:t>
      </w:r>
      <w:r>
        <w:rPr>
          <w:rFonts w:ascii="Arial" w:cs="Arial" w:eastAsia="Arial" w:hAnsi="Arial"/>
          <w:sz w:val="16"/>
          <w:szCs w:val="16"/>
          <w:color w:val="auto"/>
        </w:rPr>
        <w:t xml:space="preserve">”) at the rate of $47,500.00 per month (calculated at the rate of $2.50 per rentable square foot per month). Upon the expiration of the Phase-In Period, and for the remainder of the Term, Tenant shall be obligated to pay Base Rent with respect to the entire rentable square footage of the Premises at the rates listed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above. During the Phase-In Period, Tenant shall remain liable for the full payment of all of its other monetary obligations under this Lease, and Tenant’s Common Area Share and Tenant’s Building Share shall continue to be calculated as specified in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above, using the entire rentable square footage of the Premises.</w:t>
      </w:r>
    </w:p>
    <w:p>
      <w:pPr>
        <w:spacing w:after="0" w:line="53" w:lineRule="exact"/>
        <w:rPr>
          <w:sz w:val="20"/>
          <w:szCs w:val="20"/>
          <w:color w:val="auto"/>
        </w:rPr>
      </w:pPr>
    </w:p>
    <w:p>
      <w:pPr>
        <w:ind w:firstLine="4"/>
        <w:spacing w:after="0" w:line="268" w:lineRule="auto"/>
        <w:tabs>
          <w:tab w:leader="none" w:pos="180" w:val="left"/>
        </w:tabs>
        <w:numPr>
          <w:ilvl w:val="0"/>
          <w:numId w:val="5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Laws; Use. </w:t>
      </w:r>
      <w:r>
        <w:rPr>
          <w:rFonts w:ascii="Arial" w:cs="Arial" w:eastAsia="Arial" w:hAnsi="Arial"/>
          <w:sz w:val="17"/>
          <w:szCs w:val="17"/>
          <w:color w:val="auto"/>
        </w:rPr>
        <w:t>The Premises shall be used for the Permitted Use and for no other use whatsoever. Tenant shall comply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statutes, codes, ordinances, orders, rules and regulations of any municipal or governmental entity (collectively, “</w:t>
      </w:r>
      <w:r>
        <w:rPr>
          <w:rFonts w:ascii="Arial" w:cs="Arial" w:eastAsia="Arial" w:hAnsi="Arial"/>
          <w:sz w:val="17"/>
          <w:szCs w:val="17"/>
          <w:b w:val="1"/>
          <w:bCs w:val="1"/>
          <w:color w:val="auto"/>
        </w:rPr>
        <w:t>Laws</w:t>
      </w:r>
      <w:r>
        <w:rPr>
          <w:rFonts w:ascii="Arial" w:cs="Arial" w:eastAsia="Arial" w:hAnsi="Arial"/>
          <w:sz w:val="17"/>
          <w:szCs w:val="17"/>
          <w:color w:val="auto"/>
        </w:rPr>
        <w:t xml:space="preserve">”), regarding the operation of Tenant’s business and the use, condition, configuration and occupancy of the Premises. Tenant shall comply with the Rules and Regulations of the Development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such other reasonable rules and regulations adopted by Landlord from time to time. In addition, Tenant shall comply with all covenants, conditions and restrictions in effect from time to time with respect to the Development, including, as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Furthermore, as part of its obligations hereunder, from and after the Commencement Date, Tenant shall, at its sole cost and expense, observe and comply with the provisions of Title III of the Americans with Disabilities Act of 1990, as amended and any regulations promulgated pursuant thereto (collectively, the “</w:t>
      </w:r>
      <w:r>
        <w:rPr>
          <w:rFonts w:ascii="Arial" w:cs="Arial" w:eastAsia="Arial" w:hAnsi="Arial"/>
          <w:sz w:val="17"/>
          <w:szCs w:val="17"/>
          <w:b w:val="1"/>
          <w:bCs w:val="1"/>
          <w:color w:val="auto"/>
        </w:rPr>
        <w:t>ADA</w:t>
      </w:r>
      <w:r>
        <w:rPr>
          <w:rFonts w:ascii="Arial" w:cs="Arial" w:eastAsia="Arial" w:hAnsi="Arial"/>
          <w:sz w:val="17"/>
          <w:szCs w:val="17"/>
          <w:color w:val="auto"/>
        </w:rPr>
        <w:t>”), as it pertains to Tenant’s use, occupancy, improvement and alteration of the Premises. Tenant shall not use or allow the Premises to be used for any improper, immoral, unlawful or reasonably objectionable purpose, provided that Landlord understands and acknowledges that Tenant’s activities sometimes include simulated surgical procedures using human tissue and/or portions of human cadavers. Provided Tenant conducts such activities in a discreet and respectful manner that does not disturb other Building tenants, and in compliance with all applicable laws, rules, regulations, codes and the like, Landlord acknowledges that such activities are not reasonably objectionable. Tenant shall not do or permit to be done anything which will obstruct or interfere with the rights of other tenants or occupants of the Development, or injure or annoy them. Tenant shall not cause, maintain or permit any nuisance in, on or about the Premises or the Development, nor commit or suffer to be committed any waste in, on or about the Premises.</w:t>
      </w:r>
    </w:p>
    <w:p>
      <w:pPr>
        <w:spacing w:after="0" w:line="75" w:lineRule="exact"/>
        <w:rPr>
          <w:rFonts w:ascii="Arial" w:cs="Arial" w:eastAsia="Arial" w:hAnsi="Arial"/>
          <w:sz w:val="17"/>
          <w:szCs w:val="17"/>
          <w:b w:val="1"/>
          <w:bCs w:val="1"/>
          <w:color w:val="auto"/>
        </w:rPr>
      </w:pPr>
    </w:p>
    <w:p>
      <w:pPr>
        <w:ind w:firstLine="4"/>
        <w:spacing w:after="0" w:line="290" w:lineRule="auto"/>
        <w:tabs>
          <w:tab w:leader="none" w:pos="180" w:val="left"/>
        </w:tabs>
        <w:numPr>
          <w:ilvl w:val="0"/>
          <w:numId w:val="5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Security Deposit. </w:t>
      </w:r>
      <w:r>
        <w:rPr>
          <w:rFonts w:ascii="Arial" w:cs="Arial" w:eastAsia="Arial" w:hAnsi="Arial"/>
          <w:sz w:val="16"/>
          <w:szCs w:val="16"/>
          <w:color w:val="auto"/>
        </w:rPr>
        <w:t>The Security Deposit shall be delivered to Landlord upon the execution of this Lease by Tenant and held by Landlord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for interest (unless required by Laws) as security for the performance of Tenant’s obligations. The Security Deposit is not an advance payment of Rent or a measure of damages. Landlord may use all or a portion of the Security Deposit to satisfy past due Rent, to cure any Default (defined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below) by Tenant, or to compensate Landlord for any other loss or damage Landlord may suffer by reason of Tenant’s Default. If Landlord reasonably uses any portion of the Security Deposit, Tenant shall on demand restore the Security Deposit to its original amount, and Tenant’s failure to do so shall be a Default under this Lease. Landlord shall return any unapplied portion of the Security Deposit to Tenant within forty-five (45) days after the later to occur of: (a) payment of the final Rent due from Tenant; or (b) the later to occur of the Expiration Date or the date Tenant surrenders the Premises to Landlord in compliance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below. Landlord shall not be required to keep the Security Deposit separate from its other accounts. Tenant hereby waives the provisions of Section 1950.7 of the California Civil Code, or any successor Laws now or hereafter in effect.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522" w:name="page523"/>
    <w:bookmarkEnd w:id="522"/>
    <w:p>
      <w:pPr>
        <w:ind w:right="20" w:firstLine="4"/>
        <w:spacing w:after="0" w:line="288" w:lineRule="auto"/>
        <w:tabs>
          <w:tab w:leader="none" w:pos="180" w:val="left"/>
        </w:tabs>
        <w:numPr>
          <w:ilvl w:val="0"/>
          <w:numId w:val="51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Tenant’s Use of Common Areas. </w:t>
      </w:r>
      <w:r>
        <w:rPr>
          <w:rFonts w:ascii="Arial" w:cs="Arial" w:eastAsia="Arial" w:hAnsi="Arial"/>
          <w:sz w:val="16"/>
          <w:szCs w:val="16"/>
          <w:color w:val="auto"/>
        </w:rPr>
        <w:t>During the Term of this Lease, Tenant shall have the nonexclusive right to use in common with Landlord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firms and corporations conducting business in the Development and their respective customers, guests, licensees, invitees, subtenants, employees and agents (collectively, “</w:t>
      </w:r>
      <w:r>
        <w:rPr>
          <w:rFonts w:ascii="Arial" w:cs="Arial" w:eastAsia="Arial" w:hAnsi="Arial"/>
          <w:sz w:val="16"/>
          <w:szCs w:val="16"/>
          <w:b w:val="1"/>
          <w:bCs w:val="1"/>
          <w:color w:val="auto"/>
        </w:rPr>
        <w:t>Development Occupants</w:t>
      </w:r>
      <w:r>
        <w:rPr>
          <w:rFonts w:ascii="Arial" w:cs="Arial" w:eastAsia="Arial" w:hAnsi="Arial"/>
          <w:sz w:val="16"/>
          <w:szCs w:val="16"/>
          <w:color w:val="auto"/>
        </w:rPr>
        <w:t xml:space="preserve">”), subject to the terms of this Lease, the Rules and Regulations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all covenants, conditions and restrictions now or hereafter affecting the Development, including the covenants, conditions and restrictions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(collectively, the “</w:t>
      </w:r>
      <w:r>
        <w:rPr>
          <w:rFonts w:ascii="Arial" w:cs="Arial" w:eastAsia="Arial" w:hAnsi="Arial"/>
          <w:sz w:val="16"/>
          <w:szCs w:val="16"/>
          <w:b w:val="1"/>
          <w:bCs w:val="1"/>
          <w:color w:val="auto"/>
        </w:rPr>
        <w:t>Common Areas</w:t>
      </w:r>
      <w:r>
        <w:rPr>
          <w:rFonts w:ascii="Arial" w:cs="Arial" w:eastAsia="Arial" w:hAnsi="Arial"/>
          <w:sz w:val="16"/>
          <w:szCs w:val="16"/>
          <w:color w:val="auto"/>
        </w:rPr>
        <w:t>”): the parking facilities of the Development which serve the Building, loading and unloading areas, trash areas, roadways, sidewalks, walkways, parkways, driveways, landscaped areas, and similar areas and facilities situated within the Development and appurtenant to the Building which are not reserved for the exclusive use of any Development Occupants. Subject to Tenant’s obligation to pay Tenant’s Common Area Share of the cost thereof through Common Area Operating Expenses and Taxes, Landlord shall maintain the Common Areas (including, without limitation, the truck loading and parking areas and trash removal) in a clean, orderly, lighted and reasonably attractive condition comparable with similar projects in the vicinity with, subject to the remainder of this Lease, continuous ingress and egress to and from public roadways to the Premises and the parking areas appurtenant to the Premises.</w:t>
      </w:r>
    </w:p>
    <w:p>
      <w:pPr>
        <w:spacing w:after="0" w:line="56" w:lineRule="exact"/>
        <w:rPr>
          <w:rFonts w:ascii="Arial" w:cs="Arial" w:eastAsia="Arial" w:hAnsi="Arial"/>
          <w:sz w:val="16"/>
          <w:szCs w:val="16"/>
          <w:b w:val="1"/>
          <w:bCs w:val="1"/>
          <w:color w:val="auto"/>
        </w:rPr>
      </w:pPr>
    </w:p>
    <w:p>
      <w:pPr>
        <w:ind w:firstLine="4"/>
        <w:spacing w:after="0" w:line="271" w:lineRule="auto"/>
        <w:tabs>
          <w:tab w:leader="none" w:pos="180" w:val="left"/>
        </w:tabs>
        <w:numPr>
          <w:ilvl w:val="0"/>
          <w:numId w:val="5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Landlord’s Reservation of Rights.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use of and access to the Premises and parking to be provided to Tenant under this Lease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interfered with in an unreasonable manner, Landlord reserves for itself and for all other owner(s) and operator(s) of the Common Areas and the balance of the Development, the right from time to time, with at least one business day of notice (except in emergencies) to: (i) install, use, maintain, repair, replace and relocate pipes, ducts, conduits, wires and appurtenant meters and equipment above the ceiling surfaces, below the floor surfaces, within the walls and in the central core areas of the Building; (ii) make changes to the design and layout of the Development, including, without limitation, changes to buildings, driveways, entrances, loading and unloading areas, direction of traffic, landscaped areas and walkways, and, subject to the parking provisions contained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below and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parking spaces and parking areas; and (iii) use or close temporarily the Common Areas and/or other portions of the Development while engaged in making improvements, repairs or alterations to the Building, the Development, or any portion thereof.</w:t>
      </w:r>
    </w:p>
    <w:p>
      <w:pPr>
        <w:spacing w:after="0" w:line="79" w:lineRule="exact"/>
        <w:rPr>
          <w:rFonts w:ascii="Arial" w:cs="Arial" w:eastAsia="Arial" w:hAnsi="Arial"/>
          <w:sz w:val="17"/>
          <w:szCs w:val="17"/>
          <w:b w:val="1"/>
          <w:bCs w:val="1"/>
          <w:color w:val="auto"/>
        </w:rPr>
      </w:pPr>
    </w:p>
    <w:p>
      <w:pPr>
        <w:ind w:left="540" w:hanging="536"/>
        <w:spacing w:after="0"/>
        <w:tabs>
          <w:tab w:leader="none" w:pos="54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Taxes.</w:t>
      </w:r>
    </w:p>
    <w:p>
      <w:pPr>
        <w:spacing w:after="0" w:line="121" w:lineRule="exact"/>
        <w:rPr>
          <w:sz w:val="20"/>
          <w:szCs w:val="20"/>
          <w:color w:val="auto"/>
        </w:rPr>
      </w:pPr>
    </w:p>
    <w:p>
      <w:pPr>
        <w:ind w:right="40" w:firstLine="551"/>
        <w:spacing w:after="0" w:line="259" w:lineRule="auto"/>
        <w:rPr>
          <w:sz w:val="20"/>
          <w:szCs w:val="20"/>
          <w:color w:val="auto"/>
        </w:rPr>
      </w:pPr>
      <w:r>
        <w:rPr>
          <w:rFonts w:ascii="Arial" w:cs="Arial" w:eastAsia="Arial" w:hAnsi="Arial"/>
          <w:sz w:val="18"/>
          <w:szCs w:val="18"/>
          <w:color w:val="auto"/>
        </w:rPr>
        <w:t xml:space="preserve">8.01 Throughout the Term of this Lease, commencing on the Commencement Date, Tenant agrees to pay Landlord as Additional Rent in accordance with the terms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Tenant’s Common Area Share of the Common Area Operating Expenses and Tenant’s Building Share of the Building Operating Expenses and Taxes and all costs and expenses for the operation, maintenance, repair, and replacement of the Development including, without limitation, those costs and expenses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79" w:lineRule="exact"/>
        <w:rPr>
          <w:sz w:val="20"/>
          <w:szCs w:val="20"/>
          <w:color w:val="auto"/>
        </w:rPr>
      </w:pPr>
    </w:p>
    <w:p>
      <w:pPr>
        <w:ind w:right="40" w:firstLine="551"/>
        <w:spacing w:after="0" w:line="284" w:lineRule="auto"/>
        <w:rPr>
          <w:sz w:val="20"/>
          <w:szCs w:val="20"/>
          <w:color w:val="auto"/>
        </w:rPr>
      </w:pPr>
      <w:r>
        <w:rPr>
          <w:rFonts w:ascii="Arial" w:cs="Arial" w:eastAsia="Arial" w:hAnsi="Arial"/>
          <w:sz w:val="16"/>
          <w:szCs w:val="16"/>
          <w:color w:val="auto"/>
        </w:rPr>
        <w:t>8.02 Prior to the Commencement Date and on or about April 15th of each subsequent calendar year during the Term of this Lease, Landlord will endeavor to deliver to Tenant a statement (“</w:t>
      </w:r>
      <w:r>
        <w:rPr>
          <w:rFonts w:ascii="Arial" w:cs="Arial" w:eastAsia="Arial" w:hAnsi="Arial"/>
          <w:sz w:val="16"/>
          <w:szCs w:val="16"/>
          <w:b w:val="1"/>
          <w:bCs w:val="1"/>
          <w:color w:val="auto"/>
        </w:rPr>
        <w:t>Estimate Statement</w:t>
      </w:r>
      <w:r>
        <w:rPr>
          <w:rFonts w:ascii="Arial" w:cs="Arial" w:eastAsia="Arial" w:hAnsi="Arial"/>
          <w:sz w:val="16"/>
          <w:szCs w:val="16"/>
          <w:color w:val="auto"/>
        </w:rPr>
        <w:t xml:space="preserve">”) wherein Landlord will reasonably estimate both the Operating Expenses and Taxes and Tenant’s Share thereof (the “Monthly </w:t>
      </w:r>
      <w:r>
        <w:rPr>
          <w:rFonts w:ascii="Arial" w:cs="Arial" w:eastAsia="Arial" w:hAnsi="Arial"/>
          <w:sz w:val="16"/>
          <w:szCs w:val="16"/>
          <w:b w:val="1"/>
          <w:bCs w:val="1"/>
          <w:color w:val="auto"/>
        </w:rPr>
        <w:t>Operating Expense Charge</w:t>
      </w:r>
      <w:r>
        <w:rPr>
          <w:rFonts w:ascii="Arial" w:cs="Arial" w:eastAsia="Arial" w:hAnsi="Arial"/>
          <w:sz w:val="16"/>
          <w:szCs w:val="16"/>
          <w:color w:val="auto"/>
        </w:rPr>
        <w:t>”) for the then current calendar year. Tenant agrees to pay Landlord, as Additional Rent, Tenant’s estimated Monthly Operating Expense Charge each month thereafter, beginning with the next installment of rent due, until such time as Landlord issues a revised Estimate Statement or the Estimate Statement for the succeeding calendar year; except that, concurrently with the regular monthly rent payment next due following the receipt of each such Estimate Statement, Tenant agrees to pay Landlord an amount equal to one</w:t>
      </w:r>
    </w:p>
    <w:p>
      <w:pPr>
        <w:spacing w:after="0" w:line="5" w:lineRule="exact"/>
        <w:rPr>
          <w:sz w:val="20"/>
          <w:szCs w:val="20"/>
          <w:color w:val="auto"/>
        </w:rPr>
      </w:pPr>
    </w:p>
    <w:p>
      <w:pPr>
        <w:ind w:right="60" w:firstLine="4"/>
        <w:spacing w:after="0" w:line="268" w:lineRule="auto"/>
        <w:tabs>
          <w:tab w:leader="none" w:pos="255" w:val="left"/>
        </w:tabs>
        <w:numPr>
          <w:ilvl w:val="0"/>
          <w:numId w:val="511"/>
        </w:numPr>
        <w:rPr>
          <w:rFonts w:ascii="Arial" w:cs="Arial" w:eastAsia="Arial" w:hAnsi="Arial"/>
          <w:sz w:val="17"/>
          <w:szCs w:val="17"/>
          <w:color w:val="auto"/>
        </w:rPr>
      </w:pPr>
      <w:r>
        <w:rPr>
          <w:rFonts w:ascii="Arial" w:cs="Arial" w:eastAsia="Arial" w:hAnsi="Arial"/>
          <w:sz w:val="17"/>
          <w:szCs w:val="17"/>
          <w:color w:val="auto"/>
        </w:rPr>
        <w:t>monthly installment of Tenant’s estimated Monthly Operating Expense Charge multiplied by the number of months from January, in the current calendar year, to the month of such rent payment next due, all months inclusive (less any applicable Operating Expenses and Taxes already paid). If at any time during the Term of this Lease, but not more often than quarterly, Landlord reasonably determines that Tenant’s Share of Operating Expenses and Taxes for the current calendar year will be greater than the amount set forth in the then current Estimate Statement, Landlord may issue a revised Estimate Statement and Tenant agrees to pay Landlord, with the next month’s rent payment due following receipt of the revised Estimate Statement, the difference between the amount owed by Tenant under such revised Estimate Statement and the amount owed by Tenant under the original Estimate Statement for the portion of the then current calendar year which has expired (“</w:t>
      </w:r>
      <w:r>
        <w:rPr>
          <w:rFonts w:ascii="Arial" w:cs="Arial" w:eastAsia="Arial" w:hAnsi="Arial"/>
          <w:sz w:val="17"/>
          <w:szCs w:val="17"/>
          <w:b w:val="1"/>
          <w:bCs w:val="1"/>
          <w:color w:val="auto"/>
        </w:rPr>
        <w:t>Makeup Payment</w:t>
      </w:r>
      <w:r>
        <w:rPr>
          <w:rFonts w:ascii="Arial" w:cs="Arial" w:eastAsia="Arial" w:hAnsi="Arial"/>
          <w:sz w:val="17"/>
          <w:szCs w:val="17"/>
          <w:color w:val="auto"/>
        </w:rPr>
        <w:t>”). Thereafter, Tenant agrees to pay Tenant’s Monthly Operating Expense Charge based on such revised Estimate Statement until Tenant receives the next calendar year’s Estimate Statement or a new revised Estimate Statement for the current calendar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523" w:name="page524"/>
    <w:bookmarkEnd w:id="523"/>
    <w:p>
      <w:pPr>
        <w:ind w:right="60" w:firstLine="55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8.03 By April 15</w:t>
      </w:r>
      <w:r>
        <w:rPr>
          <w:rFonts w:ascii="Arial" w:cs="Arial" w:eastAsia="Arial" w:hAnsi="Arial"/>
          <w:sz w:val="15"/>
          <w:szCs w:val="15"/>
          <w:color w:val="auto"/>
        </w:rPr>
        <w:t>th</w:t>
      </w:r>
      <w:r>
        <w:rPr>
          <w:rFonts w:ascii="Arial" w:cs="Arial" w:eastAsia="Arial" w:hAnsi="Arial"/>
          <w:sz w:val="18"/>
          <w:szCs w:val="18"/>
          <w:color w:val="auto"/>
        </w:rPr>
        <w:t xml:space="preserve"> of each calendar year during the Term of this Lease, Landlord will also endeavor to deliver to Tenant a statement (“</w:t>
      </w:r>
      <w:r>
        <w:rPr>
          <w:rFonts w:ascii="Arial" w:cs="Arial" w:eastAsia="Arial" w:hAnsi="Arial"/>
          <w:sz w:val="18"/>
          <w:szCs w:val="18"/>
          <w:b w:val="1"/>
          <w:bCs w:val="1"/>
          <w:color w:val="auto"/>
        </w:rPr>
        <w:t>Actual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which states Tenant’s Share of the actual Operating Expenses and Taxes for the preceding calendar year. If the Actual Statement reveals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Tenant’s Share of the actual Operating Expenses and Taxes is more than the total Additional Rent paid by Tenant for Operating Expenses and Taxes on account of the preceding calendar year, Tenant agrees to pay Landlord the difference in a lump sum within thirty (30) days of receipt of the Actual Statement. If the Actual Statement reveals that Tenant’s Share of the actual Operating Expenses and Taxes is less than the Additional Rent paid by Tenant for Operating Expenses and Taxes on account of the preceding calendar year, Landlord will credit any overpayment toward the next monthly installment(s) of Tenant’s Share of the Operating Expenses and Taxes due under this Lease or, in the event this Lease terminates before Tenant is able to receive such credit, Landlord will pay the amount of such overpayment to Tenant within thirty (30) days of the date Landlord finalizes the Actual Statement.</w:t>
      </w:r>
    </w:p>
    <w:p>
      <w:pPr>
        <w:spacing w:after="0" w:line="85" w:lineRule="exact"/>
        <w:rPr>
          <w:sz w:val="20"/>
          <w:szCs w:val="20"/>
          <w:color w:val="auto"/>
        </w:rPr>
      </w:pPr>
    </w:p>
    <w:p>
      <w:pPr>
        <w:ind w:firstLine="551"/>
        <w:spacing w:after="0" w:line="269" w:lineRule="auto"/>
        <w:rPr>
          <w:sz w:val="20"/>
          <w:szCs w:val="20"/>
          <w:color w:val="auto"/>
        </w:rPr>
      </w:pPr>
      <w:r>
        <w:rPr>
          <w:rFonts w:ascii="Arial" w:cs="Arial" w:eastAsia="Arial" w:hAnsi="Arial"/>
          <w:sz w:val="17"/>
          <w:szCs w:val="17"/>
          <w:color w:val="auto"/>
        </w:rPr>
        <w:t xml:space="preserve">8.04 Any delay or failure by Landlord in delivering any Estimate Statement or Actual Statement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will not constitute a waiver of its right to require an increase in rent nor will it relieve Tenant of its obligations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except that Tenant will not be obligated to make any payments based on such Estimate Statement or Actual Statement until thirty (30) days after receipt of such Estimate Statement or Actual Statement. If Tenant does not object to any Estimate Statement or Actual Statement within ninety (90) days after Tenant receives any such statement, such statement will be deemed final and binding on Tenant. Even though the Term has expired and Tenant has vacated the Premises, when the final determination is made of Tenant’s Share of the actual Operating Expenses and Taxes for the year in which this Lease terminates, Tenant agrees to promptly pay any increase due over the estimated expenses paid and, conversely, any overpayment made in the event said expenses decrease shall promptly be rebated by Landlord to Tenant. Such obligation will be a continuing one which will survive the expiration or termination of this Lease. Prior to the expiration or sooner termination of the Lease Term and Landlord’s acceptance of Tenant’s surrender of the Premises, Landlord will have the right to estimate the actual Operating Expenses and Taxes for the then current Lease Year and to collect from Tenant prior to Tenant’s surrender of the Premises, Tenant’s Share of any excess of such actual Operating Expenses and Taxes over the estimated Operating Expenses and Taxes paid by Tenant in such Lease Year.</w:t>
      </w:r>
    </w:p>
    <w:p>
      <w:pPr>
        <w:spacing w:after="0" w:line="72" w:lineRule="exact"/>
        <w:rPr>
          <w:sz w:val="20"/>
          <w:szCs w:val="20"/>
          <w:color w:val="auto"/>
        </w:rPr>
      </w:pPr>
    </w:p>
    <w:p>
      <w:pPr>
        <w:ind w:right="60" w:firstLine="551"/>
        <w:spacing w:after="0" w:line="276" w:lineRule="auto"/>
        <w:rPr>
          <w:sz w:val="20"/>
          <w:szCs w:val="20"/>
          <w:color w:val="auto"/>
        </w:rPr>
      </w:pPr>
      <w:r>
        <w:rPr>
          <w:rFonts w:ascii="Arial" w:cs="Arial" w:eastAsia="Arial" w:hAnsi="Arial"/>
          <w:sz w:val="17"/>
          <w:szCs w:val="17"/>
          <w:color w:val="auto"/>
        </w:rPr>
        <w:t>8.05 Notwithstanding anything to the contrary in this Lease, Landlord shall have the right, from time to time, to equitably allocate some or all of the Operating Expenses and Taxes among different tenants and/or different buildings of the Development (the “</w:t>
      </w:r>
      <w:r>
        <w:rPr>
          <w:rFonts w:ascii="Arial" w:cs="Arial" w:eastAsia="Arial" w:hAnsi="Arial"/>
          <w:sz w:val="17"/>
          <w:szCs w:val="17"/>
          <w:b w:val="1"/>
          <w:bCs w:val="1"/>
          <w:color w:val="auto"/>
        </w:rPr>
        <w:t>Cost Pools</w:t>
      </w:r>
      <w:r>
        <w:rPr>
          <w:rFonts w:ascii="Arial" w:cs="Arial" w:eastAsia="Arial" w:hAnsi="Arial"/>
          <w:sz w:val="17"/>
          <w:szCs w:val="17"/>
          <w:color w:val="auto"/>
        </w:rPr>
        <w:t>”). Such Cost Pools may include, without limitation, office space tenants and retail space tenants in the Development and may be modified to take into account the addition of any additional buildings within the Development. Accordingly, in the event of such allocation into Cost Pools, Tenant’s Share, Tenant’s Common Area Share and Tenant’s Building Share shall be appropriately adjusted to reflect such allocation.</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8.06 Landlord shall provide the following services (“</w:t>
      </w:r>
      <w:r>
        <w:rPr>
          <w:rFonts w:ascii="Arial" w:cs="Arial" w:eastAsia="Arial" w:hAnsi="Arial"/>
          <w:sz w:val="16"/>
          <w:szCs w:val="16"/>
          <w:b w:val="1"/>
          <w:bCs w:val="1"/>
          <w:color w:val="auto"/>
        </w:rPr>
        <w:t>Landlord’s Services</w:t>
      </w:r>
      <w:r>
        <w:rPr>
          <w:rFonts w:ascii="Arial" w:cs="Arial" w:eastAsia="Arial" w:hAnsi="Arial"/>
          <w:sz w:val="16"/>
          <w:szCs w:val="16"/>
          <w:color w:val="auto"/>
        </w:rPr>
        <w:t>”) on all days (unless otherwise stated below) during the Lease Term.</w:t>
      </w:r>
    </w:p>
    <w:p>
      <w:pPr>
        <w:spacing w:after="0" w:line="144" w:lineRule="exact"/>
        <w:rPr>
          <w:sz w:val="20"/>
          <w:szCs w:val="20"/>
          <w:color w:val="auto"/>
        </w:rPr>
      </w:pPr>
    </w:p>
    <w:p>
      <w:pPr>
        <w:ind w:right="20" w:firstLine="555"/>
        <w:spacing w:after="0" w:line="267" w:lineRule="auto"/>
        <w:tabs>
          <w:tab w:leader="none" w:pos="796" w:val="left"/>
        </w:tabs>
        <w:numPr>
          <w:ilvl w:val="0"/>
          <w:numId w:val="512"/>
        </w:numPr>
        <w:rPr>
          <w:rFonts w:ascii="Arial" w:cs="Arial" w:eastAsia="Arial" w:hAnsi="Arial"/>
          <w:sz w:val="17"/>
          <w:szCs w:val="17"/>
          <w:color w:val="auto"/>
        </w:rPr>
      </w:pPr>
      <w:r>
        <w:rPr>
          <w:rFonts w:ascii="Arial" w:cs="Arial" w:eastAsia="Arial" w:hAnsi="Arial"/>
          <w:sz w:val="17"/>
          <w:szCs w:val="17"/>
          <w:color w:val="auto"/>
        </w:rPr>
        <w:t>Subject to limitations imposed by all governmental rules, regulations and guidelines applicable thereto, Landlord shall provide heating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for normal comfort for normal office use in the Premises during Building Hours (defined below). As used in this Lease, “</w:t>
      </w:r>
      <w:r>
        <w:rPr>
          <w:rFonts w:ascii="Arial" w:cs="Arial" w:eastAsia="Arial" w:hAnsi="Arial"/>
          <w:sz w:val="17"/>
          <w:szCs w:val="17"/>
          <w:b w:val="1"/>
          <w:bCs w:val="1"/>
          <w:color w:val="auto"/>
        </w:rPr>
        <w:t>Building Hours</w:t>
      </w:r>
      <w:r>
        <w:rPr>
          <w:rFonts w:ascii="Arial" w:cs="Arial" w:eastAsia="Arial" w:hAnsi="Arial"/>
          <w:sz w:val="17"/>
          <w:szCs w:val="17"/>
          <w:color w:val="auto"/>
        </w:rPr>
        <w:t>” are from 8:00 a.m. to 6:00 p.m. Monday through Friday, except for the date of observation of New Year’s Day, Memorial Day, Independence Day, Labor Day, Thanksgiving Day, and Christmas Day (collectively, the “</w:t>
      </w:r>
      <w:r>
        <w:rPr>
          <w:rFonts w:ascii="Arial" w:cs="Arial" w:eastAsia="Arial" w:hAnsi="Arial"/>
          <w:sz w:val="17"/>
          <w:szCs w:val="17"/>
          <w:b w:val="1"/>
          <w:bCs w:val="1"/>
          <w:color w:val="auto"/>
        </w:rPr>
        <w:t>Holidays</w:t>
      </w:r>
      <w:r>
        <w:rPr>
          <w:rFonts w:ascii="Arial" w:cs="Arial" w:eastAsia="Arial" w:hAnsi="Arial"/>
          <w:sz w:val="17"/>
          <w:szCs w:val="17"/>
          <w:color w:val="auto"/>
        </w:rPr>
        <w:t xml:space="preserve">”). If Tenant desires to use HVAC during non-Building Hours, Tenant shall give Landlord such prior notice, if any, as Landlord shall from time to time establish as appropriate, of Tenant’s desired use in order to supply such utilities, and Landlord shall supply such utilities to Tenant at such hourly cost to Tenant (which shall be treated as Additional Rent) as Landlord shall from time to time establish. The current hourly cost, which is subject to increase in Landlord’s reasonable discretion, is Thirty-Five Dollars ($35.00). Notwithstanding the foregoing, pursuant to and in accordance with the terms of this </w:t>
      </w:r>
      <w:r>
        <w:rPr>
          <w:rFonts w:ascii="Arial" w:cs="Arial" w:eastAsia="Arial" w:hAnsi="Arial"/>
          <w:sz w:val="17"/>
          <w:szCs w:val="17"/>
          <w:u w:val="single" w:color="auto"/>
          <w:color w:val="auto"/>
        </w:rPr>
        <w:t>Section 8.06</w:t>
      </w:r>
      <w:r>
        <w:rPr>
          <w:rFonts w:ascii="Arial" w:cs="Arial" w:eastAsia="Arial" w:hAnsi="Arial"/>
          <w:sz w:val="17"/>
          <w:szCs w:val="17"/>
          <w:color w:val="auto"/>
        </w:rPr>
        <w:t>, Tenant shall be entitled to the continued use and maintenance of the existing supplemental HVAC equipment within the Premises (collectively, the “</w:t>
      </w:r>
      <w:r>
        <w:rPr>
          <w:rFonts w:ascii="Arial" w:cs="Arial" w:eastAsia="Arial" w:hAnsi="Arial"/>
          <w:sz w:val="17"/>
          <w:szCs w:val="17"/>
          <w:b w:val="1"/>
          <w:bCs w:val="1"/>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color w:val="auto"/>
        </w:rPr>
        <w:t>HVAC Equipment</w:t>
      </w:r>
      <w:r>
        <w:rPr>
          <w:rFonts w:ascii="Arial" w:cs="Arial" w:eastAsia="Arial" w:hAnsi="Arial"/>
          <w:sz w:val="17"/>
          <w:szCs w:val="17"/>
          <w:color w:val="auto"/>
        </w:rPr>
        <w:t>”). Tenant’s installation, use and maintenance of the Supplemental HVAC Equipment shall be at Tenant’s sole cost and expense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installed in a location approved by Landlord, which approval shall not be unreasonably withheld, and Tenant shall at all times maintain the Supplemental HVAC Equipment in good condition and repair. The Supplemental HVAC Equipment shall be separately metered at Tenant’s sole cost and expense (including condensor water and electricity, as applicable), and all costs and utility charges relating to the installation, operation, maintenance and repair of such Supplemental HVAC Equipment shall be paid for by Tenant. If Tenant elects to install any additional supplemental HVAC equipment pursuant to the terms of this </w:t>
      </w:r>
      <w:r>
        <w:rPr>
          <w:rFonts w:ascii="Arial" w:cs="Arial" w:eastAsia="Arial" w:hAnsi="Arial"/>
          <w:sz w:val="17"/>
          <w:szCs w:val="17"/>
          <w:u w:val="single" w:color="auto"/>
          <w:color w:val="auto"/>
        </w:rPr>
        <w:t>Section 8.06</w:t>
      </w:r>
      <w:r>
        <w:rPr>
          <w:rFonts w:ascii="Arial" w:cs="Arial" w:eastAsia="Arial" w:hAnsi="Arial"/>
          <w:sz w:val="17"/>
          <w:szCs w:val="17"/>
          <w:color w:val="auto"/>
        </w:rPr>
        <w:t>, Tenant shall install and operate the additional supplemental HVAC equipment in compliance with applicable laws and shall at all times maintain the additional supplemental HVAC equipment, in good condition and repair. If Tenant desires to relocate the Supplemental HVAC Equipment, Tenant shall obtain Landlord’s prior written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9" w:right="439" w:bottom="1440" w:gutter="0" w:footer="0" w:header="0"/>
        </w:sectPr>
      </w:pPr>
    </w:p>
    <w:bookmarkStart w:id="524" w:name="page525"/>
    <w:bookmarkEnd w:id="52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the new location, and any costs incurred due to the relocation shall be Tenant’s sole responsibility. Upon the expiration or earlier termination of this Lease, Tenant shall surrender the Supplemental HVAC Equipment to Landlord in good condition, normal wear and tear excepted, or, at Landlord’s option, Tenant shall remove the Supplemental HVAC Equipment and repair any damage to the Premises and/or the Building caused by such removal.</w:t>
      </w:r>
    </w:p>
    <w:p>
      <w:pPr>
        <w:spacing w:after="0" w:line="79" w:lineRule="exact"/>
        <w:rPr>
          <w:sz w:val="20"/>
          <w:szCs w:val="20"/>
          <w:color w:val="auto"/>
        </w:rPr>
      </w:pPr>
    </w:p>
    <w:p>
      <w:pPr>
        <w:ind w:right="20" w:firstLine="885"/>
        <w:spacing w:after="0" w:line="286" w:lineRule="auto"/>
        <w:tabs>
          <w:tab w:leader="none" w:pos="1136" w:val="left"/>
        </w:tabs>
        <w:numPr>
          <w:ilvl w:val="1"/>
          <w:numId w:val="513"/>
        </w:numPr>
        <w:rPr>
          <w:rFonts w:ascii="Arial" w:cs="Arial" w:eastAsia="Arial" w:hAnsi="Arial"/>
          <w:sz w:val="16"/>
          <w:szCs w:val="16"/>
          <w:color w:val="auto"/>
        </w:rPr>
      </w:pPr>
      <w:r>
        <w:rPr>
          <w:rFonts w:ascii="Arial" w:cs="Arial" w:eastAsia="Arial" w:hAnsi="Arial"/>
          <w:sz w:val="16"/>
          <w:szCs w:val="16"/>
          <w:color w:val="auto"/>
        </w:rPr>
        <w:t xml:space="preserve">Except as otherwise approved in writing by Landlord: (1) Landlord shall provide adequate electrical wiring and facilities for connection to Tenant’s lighting fixtures and incidental use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connected electrical load of the incidental use equipment does not exceed an average of 2.5 watts per rentable square foot of the Premises and the electricity so furnished for incidental use equipment will be at a nominal one hundred twenty (120) volts and no electrical circuit for the supply of such incidental use equipment will require a current capacity exceeding twenty</w:t>
      </w:r>
    </w:p>
    <w:p>
      <w:pPr>
        <w:spacing w:after="0" w:line="1" w:lineRule="exact"/>
        <w:rPr>
          <w:rFonts w:ascii="Arial" w:cs="Arial" w:eastAsia="Arial" w:hAnsi="Arial"/>
          <w:sz w:val="16"/>
          <w:szCs w:val="16"/>
          <w:color w:val="auto"/>
        </w:rPr>
      </w:pPr>
    </w:p>
    <w:p>
      <w:pPr>
        <w:ind w:firstLine="4"/>
        <w:spacing w:after="0" w:line="269" w:lineRule="auto"/>
        <w:tabs>
          <w:tab w:leader="none" w:pos="345"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amperes, and (ii) the connected electrical load of Tenant’s lighting fixtures does not exceed an average of 1.5 watts per rentable square foot of the Premises and the electricity so furnished for Tenant’s lighting will be at a nominal one hundred twenty (120) volts, which electrical usage shall be subject to applicable laws and regulations, including Title 24. Tenant will design Tenant’s electrical system serving any equipment producing nonlinear electrical loads to accommodate such nonlinear electrical loads, including, but not limited to, oversizing neutral conductors, derating transformers and/or providing power-line filters; (3) engineering plans shall include a calculation of Tenant’s fully connected electrical design load with and without demand factors and shall indicate the number of watts of unmetered and submetered loads; and (4) Tenant shall bear the cost of replacement of lamps, starters and ballasts for non-Building standard lighting fixtures within the Premises.</w:t>
      </w:r>
    </w:p>
    <w:p>
      <w:pPr>
        <w:spacing w:after="0" w:line="72" w:lineRule="exact"/>
        <w:rPr>
          <w:rFonts w:ascii="Arial" w:cs="Arial" w:eastAsia="Arial" w:hAnsi="Arial"/>
          <w:sz w:val="17"/>
          <w:szCs w:val="17"/>
          <w:color w:val="auto"/>
        </w:rPr>
      </w:pPr>
    </w:p>
    <w:p>
      <w:pPr>
        <w:ind w:left="1140" w:hanging="255"/>
        <w:spacing w:after="0"/>
        <w:tabs>
          <w:tab w:leader="none" w:pos="1140" w:val="left"/>
        </w:tabs>
        <w:numPr>
          <w:ilvl w:val="1"/>
          <w:numId w:val="514"/>
        </w:numPr>
        <w:rPr>
          <w:rFonts w:ascii="Arial" w:cs="Arial" w:eastAsia="Arial" w:hAnsi="Arial"/>
          <w:sz w:val="17"/>
          <w:szCs w:val="17"/>
          <w:color w:val="auto"/>
        </w:rPr>
      </w:pPr>
      <w:r>
        <w:rPr>
          <w:rFonts w:ascii="Arial" w:cs="Arial" w:eastAsia="Arial" w:hAnsi="Arial"/>
          <w:sz w:val="17"/>
          <w:szCs w:val="17"/>
          <w:color w:val="auto"/>
        </w:rPr>
        <w:t>Landlord shall provide city water from the regular Building outlets for drinking, lavatory and toilet purposes in the Building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Areas.</w:t>
      </w:r>
    </w:p>
    <w:p>
      <w:pPr>
        <w:spacing w:after="0" w:line="102" w:lineRule="exact"/>
        <w:rPr>
          <w:rFonts w:ascii="Arial" w:cs="Arial" w:eastAsia="Arial" w:hAnsi="Arial"/>
          <w:sz w:val="17"/>
          <w:szCs w:val="17"/>
          <w:color w:val="auto"/>
        </w:rPr>
      </w:pPr>
    </w:p>
    <w:p>
      <w:pPr>
        <w:ind w:left="1140" w:hanging="255"/>
        <w:spacing w:after="0"/>
        <w:tabs>
          <w:tab w:leader="none" w:pos="11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220" w:firstLine="885"/>
        <w:spacing w:after="0" w:line="277" w:lineRule="auto"/>
        <w:tabs>
          <w:tab w:leader="none" w:pos="1126" w:val="left"/>
        </w:tabs>
        <w:numPr>
          <w:ilvl w:val="1"/>
          <w:numId w:val="514"/>
        </w:numPr>
        <w:rPr>
          <w:rFonts w:ascii="Arial" w:cs="Arial" w:eastAsia="Arial" w:hAnsi="Arial"/>
          <w:sz w:val="18"/>
          <w:szCs w:val="18"/>
          <w:color w:val="auto"/>
        </w:rPr>
      </w:pPr>
      <w:r>
        <w:rPr>
          <w:rFonts w:ascii="Arial" w:cs="Arial" w:eastAsia="Arial" w:hAnsi="Arial"/>
          <w:sz w:val="18"/>
          <w:szCs w:val="18"/>
          <w:color w:val="auto"/>
        </w:rPr>
        <w:t>Landlord shall provide nonexclusive, non-attended automatic passenger elevator service during the Building Hours and shall have one elevator available at all other times.</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Landlord shall provide nonexclusive freight elevator service subject to scheduling by Landlord.</w:t>
      </w:r>
    </w:p>
    <w:p>
      <w:pPr>
        <w:spacing w:after="0" w:line="117" w:lineRule="exact"/>
        <w:rPr>
          <w:rFonts w:ascii="Arial" w:cs="Arial" w:eastAsia="Arial" w:hAnsi="Arial"/>
          <w:sz w:val="18"/>
          <w:szCs w:val="18"/>
          <w:color w:val="auto"/>
        </w:rPr>
      </w:pPr>
    </w:p>
    <w:p>
      <w:pPr>
        <w:ind w:right="440" w:firstLine="885"/>
        <w:spacing w:after="0" w:line="259" w:lineRule="auto"/>
        <w:tabs>
          <w:tab w:leader="none" w:pos="1136" w:val="left"/>
        </w:tabs>
        <w:numPr>
          <w:ilvl w:val="1"/>
          <w:numId w:val="514"/>
        </w:numPr>
        <w:rPr>
          <w:rFonts w:ascii="Arial" w:cs="Arial" w:eastAsia="Arial" w:hAnsi="Arial"/>
          <w:sz w:val="18"/>
          <w:szCs w:val="18"/>
          <w:color w:val="auto"/>
        </w:rPr>
      </w:pPr>
      <w:r>
        <w:rPr>
          <w:rFonts w:ascii="Arial" w:cs="Arial" w:eastAsia="Arial" w:hAnsi="Arial"/>
          <w:sz w:val="18"/>
          <w:szCs w:val="18"/>
          <w:color w:val="auto"/>
        </w:rPr>
        <w:t>Except as otherwise provided in this Lease and subject to the Rules and Regulations, Tenant shall have full access and use of the Premises, the Building and the Common Areas (including, without limitation, the parking lot) twenty-four (24) hours a day, seven (7) days a week, fifty-two (52) weeks a year, subject to Landlord’s reasonable security requirements, any construction in the Development and/or closures due to emergency.</w:t>
      </w:r>
    </w:p>
    <w:p>
      <w:pPr>
        <w:spacing w:after="0" w:line="79" w:lineRule="exact"/>
        <w:rPr>
          <w:sz w:val="20"/>
          <w:szCs w:val="20"/>
          <w:color w:val="auto"/>
        </w:rPr>
      </w:pPr>
    </w:p>
    <w:p>
      <w:pPr>
        <w:ind w:right="80" w:firstLine="551"/>
        <w:spacing w:after="0" w:line="277" w:lineRule="auto"/>
        <w:rPr>
          <w:sz w:val="20"/>
          <w:szCs w:val="20"/>
          <w:color w:val="auto"/>
        </w:rPr>
      </w:pPr>
      <w:r>
        <w:rPr>
          <w:rFonts w:ascii="Arial" w:cs="Arial" w:eastAsia="Arial" w:hAnsi="Arial"/>
          <w:sz w:val="18"/>
          <w:szCs w:val="18"/>
          <w:color w:val="auto"/>
        </w:rPr>
        <w:t>Tenant shall cooperate fully with Landlord at all times and abide by all regulations and requirements that Landlord may reasonably prescribe for the proper functioning and protection of the HVAC, electrical, mechanical and plumbing systems.</w:t>
      </w:r>
    </w:p>
    <w:p>
      <w:pPr>
        <w:spacing w:after="0" w:line="58" w:lineRule="exact"/>
        <w:rPr>
          <w:sz w:val="20"/>
          <w:szCs w:val="20"/>
          <w:color w:val="auto"/>
        </w:rPr>
      </w:pPr>
    </w:p>
    <w:p>
      <w:pPr>
        <w:ind w:right="20" w:firstLine="551"/>
        <w:spacing w:after="0" w:line="287" w:lineRule="auto"/>
        <w:rPr>
          <w:sz w:val="20"/>
          <w:szCs w:val="20"/>
          <w:color w:val="auto"/>
        </w:rPr>
      </w:pPr>
      <w:r>
        <w:rPr>
          <w:rFonts w:ascii="Arial" w:cs="Arial" w:eastAsia="Arial" w:hAnsi="Arial"/>
          <w:sz w:val="16"/>
          <w:szCs w:val="16"/>
          <w:color w:val="auto"/>
        </w:rPr>
        <w:t>8.07 Tenant agrees to contract directly for and pay for any utilities other than Landlord’s Services (“</w:t>
      </w:r>
      <w:r>
        <w:rPr>
          <w:rFonts w:ascii="Arial" w:cs="Arial" w:eastAsia="Arial" w:hAnsi="Arial"/>
          <w:sz w:val="16"/>
          <w:szCs w:val="16"/>
          <w:b w:val="1"/>
          <w:bCs w:val="1"/>
          <w:color w:val="auto"/>
        </w:rPr>
        <w:t>Tenant’s Utilities</w:t>
      </w:r>
      <w:r>
        <w:rPr>
          <w:rFonts w:ascii="Arial" w:cs="Arial" w:eastAsia="Arial" w:hAnsi="Arial"/>
          <w:sz w:val="16"/>
          <w:szCs w:val="16"/>
          <w:color w:val="auto"/>
        </w:rPr>
        <w:t>”). All expenses incurred by Landlord for Landlord’s Services shall be included as part of Building Operating Expenses. Landlord will not be liable to Tenant for any failure to furnish any of the foregoing utilities and services if such failure is caused by all or any of the following: (i) accident, breakage or repairs; (ii) strikes, lockouts or other labor disturbance or labor dispute of any character; (iii) governmental regulation, moratorium or other governmental action or inaction;</w:t>
      </w:r>
    </w:p>
    <w:p>
      <w:pPr>
        <w:spacing w:after="0" w:line="3" w:lineRule="exact"/>
        <w:rPr>
          <w:sz w:val="20"/>
          <w:szCs w:val="20"/>
          <w:color w:val="auto"/>
        </w:rPr>
      </w:pPr>
    </w:p>
    <w:p>
      <w:pPr>
        <w:ind w:right="20" w:firstLine="4"/>
        <w:spacing w:after="0" w:line="254" w:lineRule="auto"/>
        <w:tabs>
          <w:tab w:leader="none" w:pos="30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inability despite the exercise of reasonable diligence to obtain electricity, water or fuel; or (v) any other cause beyond Landlord’s reasonable control. In addition, in the event of any stoppage or interruption of services or utilities, Tenant shall not be entitled to any abatement or reduction of rent and no eviction of Tenant will result from such failure and Tenant will not be relieved from the performance of any covenant or agreement in this Lease because of such failure.</w:t>
      </w:r>
    </w:p>
    <w:p>
      <w:pPr>
        <w:spacing w:after="0" w:line="82" w:lineRule="exact"/>
        <w:rPr>
          <w:sz w:val="20"/>
          <w:szCs w:val="20"/>
          <w:color w:val="auto"/>
        </w:rPr>
      </w:pPr>
    </w:p>
    <w:p>
      <w:pPr>
        <w:ind w:right="20" w:firstLine="551"/>
        <w:spacing w:after="0" w:line="279" w:lineRule="auto"/>
        <w:rPr>
          <w:sz w:val="20"/>
          <w:szCs w:val="20"/>
          <w:color w:val="auto"/>
        </w:rPr>
      </w:pPr>
      <w:r>
        <w:rPr>
          <w:rFonts w:ascii="Arial" w:cs="Arial" w:eastAsia="Arial" w:hAnsi="Arial"/>
          <w:sz w:val="17"/>
          <w:szCs w:val="17"/>
          <w:color w:val="auto"/>
        </w:rPr>
        <w:t xml:space="preserve">8.08 Tenant shall not, without Landlord’s prior written consent, use heat-generating machines, machines other than normal fractional horsepower office machines, or equipment or lighting other than Building standard lights in the Premises outside of Tenant’s lab space which is intended to be served by separate HVAC systems, which may affect the temperature otherwise maintained by the air conditioning system or increase the water normally furnished for the Premises by Landlord pursuant to the terms of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of this Lease. If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25" w:name="page526"/>
    <w:bookmarkEnd w:id="52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 is given, Landlord shall have the right to install supplementary air conditioning units or other facilities in the Premises, including supplementary or additional metering devices, and the cost thereof, including the cost of installation, operation and maintenance, increased wear and tear on existing equipment and other similar charges, shall be paid by Tenant to Landlord upon billing by Landlord. All costs incurred during the term for Tenant’s HVAC, including, without limitation, electricity, maintenance and repair, shall be paid by Tenant to Landlord upon demand as Additional Rent. If Tenant uses water, electricity, heat or air conditioning in excess of that supplied by Landlord pursuant to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of this Lease,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at the rates charged by the public utility company furnishing the same, including the cost of such additional metering devices. Tenant’s use of electricity shall never exceed the capacity of the feeders to the Development or the risers or wiring installation, and Tenant shall not install or use or permit the installation or use of any computer or electronic data processing equipment in the Premises, without the prior written consent of Landlord.</w:t>
      </w:r>
    </w:p>
    <w:p>
      <w:pPr>
        <w:spacing w:after="0" w:line="65" w:lineRule="exact"/>
        <w:rPr>
          <w:sz w:val="20"/>
          <w:szCs w:val="20"/>
          <w:color w:val="auto"/>
        </w:rPr>
      </w:pPr>
    </w:p>
    <w:p>
      <w:pPr>
        <w:ind w:right="20" w:firstLine="551"/>
        <w:spacing w:after="0" w:line="268" w:lineRule="auto"/>
        <w:rPr>
          <w:sz w:val="20"/>
          <w:szCs w:val="20"/>
          <w:color w:val="auto"/>
        </w:rPr>
      </w:pPr>
      <w:r>
        <w:rPr>
          <w:rFonts w:ascii="Arial" w:cs="Arial" w:eastAsia="Arial" w:hAnsi="Arial"/>
          <w:sz w:val="17"/>
          <w:szCs w:val="17"/>
          <w:color w:val="auto"/>
        </w:rPr>
        <w:t>8.09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Development after reasonable effort to do so, by any riot or other dangerous condition, emergency, accident or casualty whatsoever, by act or default of Tenant or other parties, or by any other cause.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herein. Landlord may comply with voluntary controls or guidelines promulgated by any governmental entity relating to the use or conservation of energy, water, gas, light or electricity or the reduction of automobile or other emissions without creating any liability of Landlord to Tenant under this Lease. In no event shall any failure to furnish, delay in furnishing, unavailability or diminution in quality or quantity of any such utility or other services or interference with Tenant’s business operations as a result of any such occurrence constitute an actual or constructive eviction of Tenant or a breach of an implied warranty by Landlord, provided Landlord is making commercially reasonable efforts to restore such failure, delay, unavailability or diminution.</w:t>
      </w:r>
    </w:p>
    <w:p>
      <w:pPr>
        <w:spacing w:after="0" w:line="80" w:lineRule="exact"/>
        <w:rPr>
          <w:sz w:val="20"/>
          <w:szCs w:val="20"/>
          <w:color w:val="auto"/>
        </w:rPr>
      </w:pPr>
    </w:p>
    <w:p>
      <w:pPr>
        <w:ind w:right="280" w:firstLine="551"/>
        <w:spacing w:after="0" w:line="291" w:lineRule="auto"/>
        <w:rPr>
          <w:sz w:val="20"/>
          <w:szCs w:val="20"/>
          <w:color w:val="auto"/>
        </w:rPr>
      </w:pPr>
      <w:r>
        <w:rPr>
          <w:rFonts w:ascii="Arial" w:cs="Arial" w:eastAsia="Arial" w:hAnsi="Arial"/>
          <w:sz w:val="16"/>
          <w:szCs w:val="16"/>
          <w:color w:val="auto"/>
        </w:rPr>
        <w:t>8.10 Landlord shall not be obligated to provide any janitorial services or window washing services to the Premises or replace any light bulbs, lamps, starters and ballasts for lighting fixtures within the Premises. Tenant shall be solely responsible, at Tenant’s sole cost and expense, for</w:t>
      </w:r>
    </w:p>
    <w:p>
      <w:pPr>
        <w:ind w:left="220" w:hanging="216"/>
        <w:spacing w:after="0"/>
        <w:tabs>
          <w:tab w:leader="none" w:pos="2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performing all janitorial services (including, without limitation, window washing services), trash removal and other cleaning of the Premises, and</w:t>
      </w:r>
    </w:p>
    <w:p>
      <w:pPr>
        <w:spacing w:after="0" w:line="20" w:lineRule="exact"/>
        <w:rPr>
          <w:rFonts w:ascii="Arial" w:cs="Arial" w:eastAsia="Arial" w:hAnsi="Arial"/>
          <w:sz w:val="17"/>
          <w:szCs w:val="17"/>
          <w:color w:val="auto"/>
        </w:rPr>
      </w:pPr>
    </w:p>
    <w:p>
      <w:pPr>
        <w:ind w:right="40" w:firstLine="4"/>
        <w:spacing w:after="0" w:line="288" w:lineRule="auto"/>
        <w:tabs>
          <w:tab w:leader="none" w:pos="26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 xml:space="preserve">replacement of all light bulbs, lamps, starters and ballasts for lighting fixtures within the Premises, all as appropriate to maintain the Premises in a first-class manner consistent with the first-class nature of the Building and Development. Such services to be provided by Tenant shall be performed by contractors and pursuant to service contracts approved by Landlord, which approval shall not be unreasonably withheld. Landlord shall have the right to inspect the Premises upon reasonable notice to Tenant and to require Tenant to provide additional cleaning, if necessary. In the event Tenant shall fail to provide any of the services described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to be performed by Tenant within five (5) days after notice from Landlord, which notice shall not be required in the event of an emergency, Landlord shall have the right to provide such services and any charge or cost incurred by Landlord in connection therewith shall be deemed Additional Rent due and payable by Tenant upon receipt by Tenant of a written statement of cost from Landlord.</w:t>
      </w:r>
    </w:p>
    <w:p>
      <w:pPr>
        <w:spacing w:after="0" w:line="61" w:lineRule="exact"/>
        <w:rPr>
          <w:sz w:val="20"/>
          <w:szCs w:val="20"/>
          <w:color w:val="auto"/>
        </w:rPr>
      </w:pPr>
    </w:p>
    <w:p>
      <w:pPr>
        <w:ind w:right="100" w:firstLine="551"/>
        <w:spacing w:after="0" w:line="253" w:lineRule="auto"/>
        <w:rPr>
          <w:sz w:val="20"/>
          <w:szCs w:val="20"/>
          <w:color w:val="auto"/>
        </w:rPr>
      </w:pPr>
      <w:r>
        <w:rPr>
          <w:rFonts w:ascii="Arial" w:cs="Arial" w:eastAsia="Arial" w:hAnsi="Arial"/>
          <w:sz w:val="18"/>
          <w:szCs w:val="18"/>
          <w:color w:val="auto"/>
        </w:rPr>
        <w:t>8.11 Tenant acknowledges that Landlord and/or Tenant may from time to time be requested or required to obtain, report and/or disclose certain energy consumption information with regard to the Premises, which may include, without limitation, benchmarking data for the U.S. Environmental Protection Agency’s ENERGY STAR</w:t>
      </w:r>
      <w:r>
        <w:rPr>
          <w:rFonts w:ascii="Arial" w:cs="Arial" w:eastAsia="Arial" w:hAnsi="Arial"/>
          <w:sz w:val="15"/>
          <w:szCs w:val="15"/>
          <w:color w:val="auto"/>
        </w:rPr>
        <w:t>®</w:t>
      </w:r>
      <w:r>
        <w:rPr>
          <w:rFonts w:ascii="Arial" w:cs="Arial" w:eastAsia="Arial" w:hAnsi="Arial"/>
          <w:sz w:val="18"/>
          <w:szCs w:val="18"/>
          <w:color w:val="auto"/>
        </w:rPr>
        <w:t xml:space="preserve"> Portfolio Manager and information relating to compliance with “green building” initiatives, including, if applicable, the Leadership in Energy &amp; Environmental Design (LEED) certification program. Tenant shall throughout the Term of this Lease, comply with all Federal, State or local laws, rules and regulations relating to consumption of utilities, energy or energy efficiency (as they may be in enacted or in effect from time to time, “</w:t>
      </w:r>
      <w:r>
        <w:rPr>
          <w:rFonts w:ascii="Arial" w:cs="Arial" w:eastAsia="Arial" w:hAnsi="Arial"/>
          <w:sz w:val="18"/>
          <w:szCs w:val="18"/>
          <w:b w:val="1"/>
          <w:bCs w:val="1"/>
          <w:color w:val="auto"/>
        </w:rPr>
        <w:t>Energy Regulations</w:t>
      </w:r>
      <w:r>
        <w:rPr>
          <w:rFonts w:ascii="Arial" w:cs="Arial" w:eastAsia="Arial" w:hAnsi="Arial"/>
          <w:sz w:val="18"/>
          <w:szCs w:val="18"/>
          <w:color w:val="auto"/>
        </w:rPr>
        <w:t>”), and Tenant shall, upon request by Landlord or Landlord’s lender, deliver and/or disclose such information regarding the consumption of utilities at the Premises as may be required to comply with applicable Energy Regulations. Further, Tenant authorizes Landlord to disclose such information and data regarding the Premises as may be requested or required from time to time to comply with Energy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26" w:name="page527"/>
    <w:bookmarkEnd w:id="526"/>
    <w:p>
      <w:pPr>
        <w:ind w:firstLine="4"/>
        <w:spacing w:after="0" w:line="273" w:lineRule="auto"/>
        <w:tabs>
          <w:tab w:leader="none" w:pos="180" w:val="left"/>
        </w:tabs>
        <w:numPr>
          <w:ilvl w:val="0"/>
          <w:numId w:val="51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Leasehold Improvements. </w:t>
      </w:r>
      <w:r>
        <w:rPr>
          <w:rFonts w:ascii="Arial" w:cs="Arial" w:eastAsia="Arial" w:hAnsi="Arial"/>
          <w:sz w:val="17"/>
          <w:szCs w:val="17"/>
          <w:color w:val="auto"/>
        </w:rPr>
        <w:t>All improvements in and to the Premises, including any Alterations (defined below) (collectively, “</w:t>
      </w:r>
      <w:r>
        <w:rPr>
          <w:rFonts w:ascii="Arial" w:cs="Arial" w:eastAsia="Arial" w:hAnsi="Arial"/>
          <w:sz w:val="17"/>
          <w:szCs w:val="17"/>
          <w:b w:val="1"/>
          <w:bCs w:val="1"/>
          <w:color w:val="auto"/>
        </w:rPr>
        <w:t>Leasehold Improvements</w:t>
      </w:r>
      <w:r>
        <w:rPr>
          <w:rFonts w:ascii="Arial" w:cs="Arial" w:eastAsia="Arial" w:hAnsi="Arial"/>
          <w:sz w:val="17"/>
          <w:szCs w:val="17"/>
          <w:color w:val="auto"/>
        </w:rPr>
        <w:t>”) shall remain upon the Premises at the end of the Term without compensation to Tenant. Landlord, however, by written notice to Tenant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Expiration Date, may require Tenant, at its expense, to remove any electronic, phone and data cabling and related equipment (collectively, “</w:t>
      </w:r>
      <w:r>
        <w:rPr>
          <w:rFonts w:ascii="Arial" w:cs="Arial" w:eastAsia="Arial" w:hAnsi="Arial"/>
          <w:sz w:val="17"/>
          <w:szCs w:val="17"/>
          <w:b w:val="1"/>
          <w:bCs w:val="1"/>
          <w:color w:val="auto"/>
        </w:rPr>
        <w:t>Cable</w:t>
      </w:r>
      <w:r>
        <w:rPr>
          <w:rFonts w:ascii="Arial" w:cs="Arial" w:eastAsia="Arial" w:hAnsi="Arial"/>
          <w:sz w:val="17"/>
          <w:szCs w:val="17"/>
          <w:color w:val="auto"/>
        </w:rPr>
        <w:t>”) installed by or for the benefit of Tenant and/or any Landlord Work or Alterations that, in Landlord’s reasonable judgment, are not standard office improvements and are of a nature that would require material removal and repair costs (collectively referred to as “</w:t>
      </w:r>
      <w:r>
        <w:rPr>
          <w:rFonts w:ascii="Arial" w:cs="Arial" w:eastAsia="Arial" w:hAnsi="Arial"/>
          <w:sz w:val="17"/>
          <w:szCs w:val="17"/>
          <w:b w:val="1"/>
          <w:bCs w:val="1"/>
          <w:color w:val="auto"/>
        </w:rPr>
        <w:t>Required Removables</w:t>
      </w:r>
      <w:r>
        <w:rPr>
          <w:rFonts w:ascii="Arial" w:cs="Arial" w:eastAsia="Arial" w:hAnsi="Arial"/>
          <w:sz w:val="17"/>
          <w:szCs w:val="17"/>
          <w:color w:val="auto"/>
        </w:rPr>
        <w:t>”), unless Tenant requests and obtains Landlord’s written agreement, at the time of Landlord’s approval of the Leasehold Improvements to be made by Tenant, that such Leasehold Improvements need not be removed.</w:t>
      </w:r>
    </w:p>
    <w:p>
      <w:pPr>
        <w:spacing w:after="0" w:line="77" w:lineRule="exact"/>
        <w:rPr>
          <w:rFonts w:ascii="Arial" w:cs="Arial" w:eastAsia="Arial" w:hAnsi="Arial"/>
          <w:sz w:val="17"/>
          <w:szCs w:val="17"/>
          <w:b w:val="1"/>
          <w:bCs w:val="1"/>
          <w:color w:val="auto"/>
        </w:rPr>
      </w:pPr>
    </w:p>
    <w:p>
      <w:pPr>
        <w:ind w:left="540" w:hanging="536"/>
        <w:spacing w:after="0"/>
        <w:tabs>
          <w:tab w:leader="none" w:pos="5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Repairs and Alterations.</w:t>
      </w:r>
    </w:p>
    <w:p>
      <w:pPr>
        <w:spacing w:after="0" w:line="121" w:lineRule="exact"/>
        <w:rPr>
          <w:sz w:val="20"/>
          <w:szCs w:val="20"/>
          <w:color w:val="auto"/>
        </w:rPr>
      </w:pPr>
    </w:p>
    <w:p>
      <w:pPr>
        <w:ind w:right="100" w:firstLine="551"/>
        <w:spacing w:after="0" w:line="287" w:lineRule="auto"/>
        <w:rPr>
          <w:sz w:val="20"/>
          <w:szCs w:val="20"/>
          <w:color w:val="auto"/>
        </w:rPr>
      </w:pPr>
      <w:r>
        <w:rPr>
          <w:rFonts w:ascii="Arial" w:cs="Arial" w:eastAsia="Arial" w:hAnsi="Arial"/>
          <w:sz w:val="16"/>
          <w:szCs w:val="16"/>
          <w:color w:val="auto"/>
        </w:rPr>
        <w:t>10.01 Tenant shall periodically inspect the Premises to identify any conditions that are dangerous or in need of maintenance or repair and shall promptly provide Landlord with notice of any such conditions. Tenant shall, at its sole cost and expense, promptly perform all maintenance and repairs to the Premises that are not Landlord’s express responsibility under this Lease, and shall keep the Premises in good condition and repair, reasonable wear and tear excepted. Tenant shall perform repairs in conformance with any and all applicable rules and regulations of any federal, state, county or municipal code or ordinance (including, California Energy Code, Title 24) and pursuant to a valid building permit, issued by the city in which the Building is located, and in conformance with Landlord’s construction rules and regulations. If Tenant fails to make any repairs to the Premises for more than fifteen (15) days after notice from Landlord (although notice shall not be required in an emergency), Landlord may make the repairs, and Tenant shall pay the reasonable cost of the repairs, together with an administrative charge in an amount equal to ten percent (10%) of the cost of the repairs. Landlord shall perform all maintenance and repairs upon the: (a) structural elements of the Building; (b) mechanical, electrical, plumbing and fire/life safety systems serving the Building in general; (c) Common Areas; (d) roof of the Building; (e) exterior windows of the Building; and (f) elevators serving the Building. Tenant hereby waives any and all rights under and benefits of subsection 1 of Section 1932, and Sections 1941 and 1942 of the California Civil Code, or any similar or successor Laws now or hereinafter in effect.</w:t>
      </w:r>
    </w:p>
    <w:p>
      <w:pPr>
        <w:spacing w:after="0" w:line="57" w:lineRule="exact"/>
        <w:rPr>
          <w:sz w:val="20"/>
          <w:szCs w:val="20"/>
          <w:color w:val="auto"/>
        </w:rPr>
      </w:pPr>
    </w:p>
    <w:p>
      <w:pPr>
        <w:ind w:right="60" w:firstLine="551"/>
        <w:spacing w:after="0" w:line="283" w:lineRule="auto"/>
        <w:rPr>
          <w:sz w:val="20"/>
          <w:szCs w:val="20"/>
          <w:color w:val="auto"/>
        </w:rPr>
      </w:pPr>
      <w:r>
        <w:rPr>
          <w:rFonts w:ascii="Arial" w:cs="Arial" w:eastAsia="Arial" w:hAnsi="Arial"/>
          <w:sz w:val="16"/>
          <w:szCs w:val="16"/>
          <w:color w:val="auto"/>
        </w:rPr>
        <w:t>10.02 Tenant shall not make alterations, repairs, additions or improvements or install any cable (collectively referred to as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obtaining the written consent of Landlord in each instance, which consent Landlord shall not unreasonably delay, withhold or condition unless the same affects the structural integrity of the Building or would likely have an adverse effect on other Building tenants. In order to obtain such approvals, Tenant shall furnish Landlord with plans and specifications; names of contractors acceptable to Landlord; required permits and approvals; evidence of contractor’s and subcontractor’s insurance in amounts reasonably required by Landlord and naming Landlord as an additional insured; and any security for performance in amounts reasonably required by Landlord. Tenant shall construct such Alterations in conformance with any and all applicable rules and regulations of any federal, state, county or municipal code or ordinance (including, California Energy Code, Title 24) and pursuant to a valid building permit, issued by the city in which the Building is located, and in conformance with Landlord’s construction rules and regulations. Tenant shall reimburse Landlord for any sums paid by Landlord for third party examination of Tenant’s plans for Alterations. In addition, Tenant shall pay Landlord a fee for Landlord’s oversight and coordination of any Alterations equal to three percent (3%) of the cost of the Alterations. Upon completion, Tenant shall furnish “as-built” plans for Alterations, completion affidavits and full and final waivers of lien. Notwithstanding the foregoing, Tenant shall have the right, without Landlord’s consent, but upon three (3) business days prior written notice to Landlord, to make strictly cosmetic, non-structural additions and alterations to the Premises that do not (i) involve the expenditure of more than $25,000.00 in the aggregate in any twelve</w:t>
      </w:r>
    </w:p>
    <w:p>
      <w:pPr>
        <w:spacing w:after="0" w:line="7" w:lineRule="exact"/>
        <w:rPr>
          <w:sz w:val="20"/>
          <w:szCs w:val="20"/>
          <w:color w:val="auto"/>
        </w:rPr>
      </w:pPr>
    </w:p>
    <w:p>
      <w:pPr>
        <w:ind w:right="200" w:firstLine="4"/>
        <w:spacing w:after="0" w:line="261" w:lineRule="auto"/>
        <w:tabs>
          <w:tab w:leader="none" w:pos="34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month period during the initial Term, (ii) affect the appearance of the Building or any areas outside the Premises, (iii) affect or impact in any way the systems or structure of the Building, or (iv) require the issuance of a building permit.</w:t>
      </w:r>
    </w:p>
    <w:p>
      <w:pPr>
        <w:spacing w:after="0" w:line="72" w:lineRule="exact"/>
        <w:rPr>
          <w:sz w:val="20"/>
          <w:szCs w:val="20"/>
          <w:color w:val="auto"/>
        </w:rPr>
      </w:pPr>
    </w:p>
    <w:p>
      <w:pPr>
        <w:ind w:right="60" w:firstLine="4"/>
        <w:spacing w:after="0" w:line="281" w:lineRule="auto"/>
        <w:tabs>
          <w:tab w:leader="none" w:pos="260" w:val="left"/>
        </w:tabs>
        <w:numPr>
          <w:ilvl w:val="0"/>
          <w:numId w:val="5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Entry by Landlord. </w:t>
      </w:r>
      <w:r>
        <w:rPr>
          <w:rFonts w:ascii="Arial" w:cs="Arial" w:eastAsia="Arial" w:hAnsi="Arial"/>
          <w:sz w:val="17"/>
          <w:szCs w:val="17"/>
          <w:color w:val="auto"/>
        </w:rPr>
        <w:t>Landlord may enter the Premises to inspect or, within nine months prior to expiration of this Lease, show the Premises to other</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tenants, to clean and make repairs, alterations or additions and to perform or facilitate maintenance, repairs, alterations or additions to any portion of the Building. Except in emergencies or to provide Building services, Landlord shall provide Tenant with reasonable prior verbal notice of entry. Entry by Landlord shall not constitute a constructive eviction or entitle Tenant to an abatement or reduction of Rent.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527" w:name="page528"/>
    <w:bookmarkEnd w:id="527"/>
    <w:p>
      <w:pPr>
        <w:ind w:left="540" w:hanging="536"/>
        <w:spacing w:after="0"/>
        <w:tabs>
          <w:tab w:leader="none" w:pos="54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Subletting.</w:t>
      </w:r>
    </w:p>
    <w:p>
      <w:pPr>
        <w:spacing w:after="0" w:line="121" w:lineRule="exact"/>
        <w:rPr>
          <w:sz w:val="20"/>
          <w:szCs w:val="20"/>
          <w:color w:val="auto"/>
        </w:rPr>
      </w:pPr>
    </w:p>
    <w:p>
      <w:pPr>
        <w:ind w:firstLine="551"/>
        <w:spacing w:after="0" w:line="268" w:lineRule="auto"/>
        <w:rPr>
          <w:sz w:val="20"/>
          <w:szCs w:val="20"/>
          <w:color w:val="auto"/>
        </w:rPr>
      </w:pPr>
      <w:r>
        <w:rPr>
          <w:rFonts w:ascii="Arial" w:cs="Arial" w:eastAsia="Arial" w:hAnsi="Arial"/>
          <w:sz w:val="17"/>
          <w:szCs w:val="17"/>
          <w:color w:val="auto"/>
        </w:rPr>
        <w:t>12.01 Tenant shall not assign, sublease, transfer or encumber any interest in this Lease or allow any third party to use any portion of the Premises (collectively or individually, a “</w:t>
      </w:r>
      <w:r>
        <w:rPr>
          <w:rFonts w:ascii="Arial" w:cs="Arial" w:eastAsia="Arial" w:hAnsi="Arial"/>
          <w:sz w:val="17"/>
          <w:szCs w:val="17"/>
          <w:b w:val="1"/>
          <w:bCs w:val="1"/>
          <w:color w:val="auto"/>
        </w:rPr>
        <w:t>Transfer</w:t>
      </w:r>
      <w:r>
        <w:rPr>
          <w:rFonts w:ascii="Arial" w:cs="Arial" w:eastAsia="Arial" w:hAnsi="Arial"/>
          <w:sz w:val="17"/>
          <w:szCs w:val="17"/>
          <w:color w:val="auto"/>
        </w:rPr>
        <w:t>”) without the prior written consent of Landlord, which such consent shall not be unreasonably delayed, withheld or conditioned if Landlord does not exercise its recapture rights. Any attempted Transfer in violation of this Section shall, at Landlord’s option, be void. Within fifteen (15) business days after receipt of executed copies of the transfer documentation and such other information as Landlord may request, Landlord shall either: (a) consent to the Transfer by execution of a consent agreement in a form reasonably designated by Landlord; (b) refuse to consent to the Transfer; (c) recapture the portion of the Premises that Tenant is proposing to Transfer; or (d) elect to increase the Base Rent payable hereunder with respect to the portion of the Premises to be assigned or sublet to the Market Rent, as set forth below. If Landlord exercises its right to recapture, the Lease shall automatically be amended to delete the applicable portion of the Premises effective on the proposed effective date of the Transfer. “</w:t>
      </w:r>
      <w:r>
        <w:rPr>
          <w:rFonts w:ascii="Arial" w:cs="Arial" w:eastAsia="Arial" w:hAnsi="Arial"/>
          <w:sz w:val="17"/>
          <w:szCs w:val="17"/>
          <w:b w:val="1"/>
          <w:bCs w:val="1"/>
          <w:color w:val="auto"/>
        </w:rPr>
        <w:t>Market Rent</w:t>
      </w:r>
      <w:r>
        <w:rPr>
          <w:rFonts w:ascii="Arial" w:cs="Arial" w:eastAsia="Arial" w:hAnsi="Arial"/>
          <w:sz w:val="17"/>
          <w:szCs w:val="17"/>
          <w:color w:val="auto"/>
        </w:rPr>
        <w:t>” shall mean the monthly amount per square foot in the Premises that a willing, non-equity new tenant would pay and a willing landlord would accept at arm’s length for space in a comparable office park, with comparable tenant improvements, in a comparable location, giving appropriate consideration to monthly rental rates per square foot, the presence or absence of rent escalation clauses such as operating expense and tax pass-throughs, length of lease term, size and location of premises being leased and other generally applicable terms and conditions of tenancy for a similar office park.</w:t>
      </w:r>
    </w:p>
    <w:p>
      <w:pPr>
        <w:spacing w:after="0" w:line="80" w:lineRule="exact"/>
        <w:rPr>
          <w:sz w:val="20"/>
          <w:szCs w:val="20"/>
          <w:color w:val="auto"/>
        </w:rPr>
      </w:pPr>
    </w:p>
    <w:p>
      <w:pPr>
        <w:ind w:right="220" w:firstLine="551"/>
        <w:spacing w:after="0" w:line="288" w:lineRule="auto"/>
        <w:rPr>
          <w:sz w:val="20"/>
          <w:szCs w:val="20"/>
          <w:color w:val="auto"/>
        </w:rPr>
      </w:pPr>
      <w:r>
        <w:rPr>
          <w:rFonts w:ascii="Arial" w:cs="Arial" w:eastAsia="Arial" w:hAnsi="Arial"/>
          <w:sz w:val="16"/>
          <w:szCs w:val="16"/>
          <w:color w:val="auto"/>
        </w:rPr>
        <w:t>12.02 Landlord and Tenant hereby acknowledge that Landlord’s disapproval of any proposed Transfer pursuant to this Section will not be deemed unreasonably withheld if based upon any reasonable factor, including, without limitation, any or all of the following factors: (i) the portion of the Premises to be sublet or assigned is irregular in shape with inadequate means of ingress and egress; (ii) the use of the Premises by the transferee</w:t>
      </w:r>
    </w:p>
    <w:p>
      <w:pPr>
        <w:ind w:right="60" w:firstLine="4"/>
        <w:spacing w:after="0" w:line="270" w:lineRule="auto"/>
        <w:tabs>
          <w:tab w:leader="none" w:pos="295" w:val="left"/>
        </w:tabs>
        <w:numPr>
          <w:ilvl w:val="0"/>
          <w:numId w:val="521"/>
        </w:numPr>
        <w:rPr>
          <w:rFonts w:ascii="Arial" w:cs="Arial" w:eastAsia="Arial" w:hAnsi="Arial"/>
          <w:sz w:val="17"/>
          <w:szCs w:val="17"/>
          <w:color w:val="auto"/>
        </w:rPr>
      </w:pPr>
      <w:r>
        <w:rPr>
          <w:rFonts w:ascii="Arial" w:cs="Arial" w:eastAsia="Arial" w:hAnsi="Arial"/>
          <w:sz w:val="17"/>
          <w:szCs w:val="17"/>
          <w:color w:val="auto"/>
        </w:rPr>
        <w:t xml:space="preserve">is not permitted by the use provisions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(B) violates any exclusive use granted by Landlord to another tenant in the Development, or (C) otherwise poses a risk of increased liability to Landlord; (iii) the Transfer would likely result in a significant and inappropriate increase in the use of the parking areas or Common Areas by the transferee’s employees or visitors, and/or significantly increase the demand upon utilities and services to be provided by Landlord to the Premises; (iv) the Transferee does not have the financial capability to fulfill the obligations imposed by the Transfer and this Lease; (v) the transferee is not in Landlord’s reasonable opinion consistent with Landlord’s desired tenant mix; or (vi) the transferee poses a business or other economic risk which Landlord deems unacceptable.</w:t>
      </w:r>
    </w:p>
    <w:p>
      <w:pPr>
        <w:spacing w:after="0" w:line="71" w:lineRule="exact"/>
        <w:rPr>
          <w:sz w:val="20"/>
          <w:szCs w:val="20"/>
          <w:color w:val="auto"/>
        </w:rPr>
      </w:pPr>
    </w:p>
    <w:p>
      <w:pPr>
        <w:ind w:right="20" w:firstLine="551"/>
        <w:spacing w:after="0" w:line="272" w:lineRule="auto"/>
        <w:rPr>
          <w:sz w:val="20"/>
          <w:szCs w:val="20"/>
          <w:color w:val="auto"/>
        </w:rPr>
      </w:pPr>
      <w:r>
        <w:rPr>
          <w:rFonts w:ascii="Arial" w:cs="Arial" w:eastAsia="Arial" w:hAnsi="Arial"/>
          <w:sz w:val="17"/>
          <w:szCs w:val="17"/>
          <w:color w:val="auto"/>
        </w:rPr>
        <w:t>12.03 Tenant hereby waives the provisions of Section 1995.310 of the California Civil Code, or any similar or successor Laws, now or hereinafter in effect, and all other remedies, including, without limitation, any right at law or equity to terminate this Lease, on its own behalf and, to the extent permitted under all applicable Laws, on behalf of the proposed transferee. In no event shall any Transfer release or relieve Tenant from any obligation under this Lease. Tenant shall pay Landlord a review fee of five hundred dollars ($500.00) for Landlord’s review of any requested Transfer. Additionally, Tenant shall reimburse Landlord for all reasonable attorneys’ fees and costs incurred by Landlord with respect to any Transfer, whether consented to or not. If Tenant is in Default, Landlord may require that all sublease payments be made directly to Landlord, in which case Tenant shall receive a credit against Rent in the amount of Tenant’s share of payments received by Landlord.</w:t>
      </w:r>
    </w:p>
    <w:p>
      <w:pPr>
        <w:spacing w:after="0" w:line="70" w:lineRule="exact"/>
        <w:rPr>
          <w:sz w:val="20"/>
          <w:szCs w:val="20"/>
          <w:color w:val="auto"/>
        </w:rPr>
      </w:pPr>
    </w:p>
    <w:p>
      <w:pPr>
        <w:ind w:right="20" w:firstLine="551"/>
        <w:spacing w:after="0" w:line="270" w:lineRule="auto"/>
        <w:rPr>
          <w:sz w:val="20"/>
          <w:szCs w:val="20"/>
          <w:color w:val="auto"/>
        </w:rPr>
      </w:pPr>
      <w:r>
        <w:rPr>
          <w:rFonts w:ascii="Arial" w:cs="Arial" w:eastAsia="Arial" w:hAnsi="Arial"/>
          <w:sz w:val="17"/>
          <w:szCs w:val="17"/>
          <w:color w:val="auto"/>
        </w:rPr>
        <w:t>12.04 If Landlord consents to any Transfer, Tenant agrees to pay to Landlord, as Additional Rent, fifty percent (50%) of all sums and other consideration actually paid to and for the benefit of Tenant by the transferee on account of the Transfer, as and when such sums and other consideration are paid by the transferee to or for the benefit of Tenant (or, if Landlord so requires, and without any release of Tenant’s liability for the same, Tenant agrees to instruct the transferee to pay such sums and other consideration directly to Landlord). If for any Transfer, Tenant receives rent or other consideration, either initially or over the term of the Transfer term, in excess of the rent fairly allocable to the portion of the Premises which is subleased based on square footage, Tenant agrees to pay to Landlord as Additional Rent fifty percent (50%) of the excess of each such payment of rent or other consideration received by Tenant promptly after its receipt. In calculating excess rent or other consideration which may be payable to Landlord under this paragraph, Tenant will be entitled to deduct commercially reasonable third party brokerage commissions and attorneys’ fees, tenant improvement construction costs and other amounts reasonably and actually expended by Tenant in connection with such assignment or subletting. Upon request, Tenant will provide reasonable evidence of such expenditures to Landlord.</w:t>
      </w:r>
    </w:p>
    <w:p>
      <w:pPr>
        <w:spacing w:after="0" w:line="66" w:lineRule="exact"/>
        <w:rPr>
          <w:sz w:val="20"/>
          <w:szCs w:val="20"/>
          <w:color w:val="auto"/>
        </w:rPr>
      </w:pPr>
    </w:p>
    <w:p>
      <w:pPr>
        <w:jc w:val="both"/>
        <w:ind w:right="120" w:firstLine="4"/>
        <w:spacing w:after="0" w:line="303" w:lineRule="auto"/>
        <w:tabs>
          <w:tab w:leader="none" w:pos="270" w:val="left"/>
        </w:tabs>
        <w:numPr>
          <w:ilvl w:val="0"/>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Liens. </w:t>
      </w:r>
      <w:r>
        <w:rPr>
          <w:rFonts w:ascii="Arial" w:cs="Arial" w:eastAsia="Arial" w:hAnsi="Arial"/>
          <w:sz w:val="16"/>
          <w:szCs w:val="16"/>
          <w:color w:val="auto"/>
        </w:rPr>
        <w:t>Tenant shall not permit mechanic’s or other liens to be placed upon the Development or Premises in connection with any work purportedly</w:t>
      </w:r>
      <w:r>
        <w:rPr>
          <w:rFonts w:ascii="Arial" w:cs="Arial" w:eastAsia="Arial" w:hAnsi="Arial"/>
          <w:sz w:val="16"/>
          <w:szCs w:val="16"/>
          <w:b w:val="1"/>
          <w:bCs w:val="1"/>
          <w:color w:val="auto"/>
        </w:rPr>
        <w:t xml:space="preserve"> </w:t>
      </w:r>
      <w:r>
        <w:rPr>
          <w:rFonts w:ascii="Arial" w:cs="Arial" w:eastAsia="Arial" w:hAnsi="Arial"/>
          <w:sz w:val="16"/>
          <w:szCs w:val="16"/>
          <w:color w:val="auto"/>
        </w:rPr>
        <w:t>done by or for the benefit of Tenant or its transferees. Tenant shall, within 10 days of notice from Landlord, fully discharge any lien by settlement, by bonding or by insuring over the lien in the manner prescribed by Laws. If Tenant fails to do so, Landlord may bond, insure over or otherwise discharge the lien. Tenant shall reimburse Landlord for any amount paid by Landlord, including, without limitation, reasonable attorneys’ fees.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69" w:right="459" w:bottom="1440" w:gutter="0" w:footer="0" w:header="0"/>
        </w:sectPr>
      </w:pPr>
    </w:p>
    <w:bookmarkStart w:id="528" w:name="page529"/>
    <w:bookmarkEnd w:id="528"/>
    <w:p>
      <w:pPr>
        <w:ind w:left="-4" w:firstLine="4"/>
        <w:spacing w:after="0" w:line="285" w:lineRule="auto"/>
        <w:tabs>
          <w:tab w:leader="none" w:pos="266" w:val="left"/>
        </w:tabs>
        <w:numPr>
          <w:ilvl w:val="0"/>
          <w:numId w:val="52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Indemnity and Waiver of Claims. </w:t>
      </w:r>
      <w:r>
        <w:rPr>
          <w:rFonts w:ascii="Arial" w:cs="Arial" w:eastAsia="Arial" w:hAnsi="Arial"/>
          <w:sz w:val="16"/>
          <w:szCs w:val="16"/>
          <w:color w:val="auto"/>
        </w:rPr>
        <w:t>Tenant hereby waives all claims against and releases Landlord and its trustees, members, principals,</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beneficiaries, partners, officers, directors, employees, Mortgagees (as defined herein) and agents (the “</w:t>
      </w:r>
      <w:r>
        <w:rPr>
          <w:rFonts w:ascii="Arial" w:cs="Arial" w:eastAsia="Arial" w:hAnsi="Arial"/>
          <w:sz w:val="16"/>
          <w:szCs w:val="16"/>
          <w:b w:val="1"/>
          <w:bCs w:val="1"/>
          <w:color w:val="auto"/>
        </w:rPr>
        <w:t>Landlord Related Parties</w:t>
      </w:r>
      <w:r>
        <w:rPr>
          <w:rFonts w:ascii="Arial" w:cs="Arial" w:eastAsia="Arial" w:hAnsi="Arial"/>
          <w:sz w:val="16"/>
          <w:szCs w:val="16"/>
          <w:color w:val="auto"/>
        </w:rPr>
        <w:t>”) from all claims for any injury to or death of persons, damage to property or business loss in any manner related to (a) acts of God, (b) acts of third parties, (c) the bursting or leaking of any tank, water closet, drain or other pipe; (d) the inadequacy or failure of any security services, personnel or equipment, or (e) any matter outside of the reasonable control of Landlord. Except to the extent caused by the gross negligence or willful misconduct of Landlord or any Landlord Related Parties, Tenant shall indemnify, defend and hold Landlord and Landlord Related Parties harmless against and from all liabilities, obligations, damages, penalties, claims, actions, costs, charges and expenses, including, without limitation, reasonable attorneys’ fees and other professional fees (if and to the extent permitted by Laws), which may be imposed upon, incurred by or asserted against Landlord or any of the Landlord Related Parties by any third party and arising out of or in connection with any damage or injury occurring in, on or about the Premises or any acts or omissions (including violations of Laws) of Tenant and its trustees, members, principals, beneficiaries, partners, officers, directors, employees, Mortgagees and agents (the “</w:t>
      </w:r>
      <w:r>
        <w:rPr>
          <w:rFonts w:ascii="Arial" w:cs="Arial" w:eastAsia="Arial" w:hAnsi="Arial"/>
          <w:sz w:val="16"/>
          <w:szCs w:val="16"/>
          <w:b w:val="1"/>
          <w:bCs w:val="1"/>
          <w:color w:val="auto"/>
        </w:rPr>
        <w:t>Tenant Related Parties</w:t>
      </w:r>
      <w:r>
        <w:rPr>
          <w:rFonts w:ascii="Arial" w:cs="Arial" w:eastAsia="Arial" w:hAnsi="Arial"/>
          <w:sz w:val="16"/>
          <w:szCs w:val="16"/>
          <w:color w:val="auto"/>
        </w:rPr>
        <w:t>”) or any of Tenant’s transferees, contractors or licensees. Notwithstanding the provisions of this Section 14 above to the contrary, Tenant’s indemnity of Landlord and the Landlord Related Parties shall not apply to: (i) any claims to the extent resulting from the gross negligence or willful misconduct of the Landlord Related Parties and not insured or required to be insured by Tenant under this Lease (collectively, the “</w:t>
      </w:r>
      <w:r>
        <w:rPr>
          <w:rFonts w:ascii="Arial" w:cs="Arial" w:eastAsia="Arial" w:hAnsi="Arial"/>
          <w:sz w:val="16"/>
          <w:szCs w:val="16"/>
          <w:b w:val="1"/>
          <w:bCs w:val="1"/>
          <w:color w:val="auto"/>
        </w:rPr>
        <w:t>Excluded Claims</w:t>
      </w:r>
      <w:r>
        <w:rPr>
          <w:rFonts w:ascii="Arial" w:cs="Arial" w:eastAsia="Arial" w:hAnsi="Arial"/>
          <w:sz w:val="16"/>
          <w:szCs w:val="16"/>
          <w:color w:val="auto"/>
        </w:rPr>
        <w:t xml:space="preserve">”); or (ii) any loss of or damage to Landlord’s property to the extent Landlord has waived such loss or damage pursuant to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In addition, Landlord shall indemnify, defend, protect and hold Tenant harmless from all such Excluded Claims, except for (A) any loss or damage to Tenant’s property to the extent Tenant has waived such loss or damage pursuant to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and (B) any lost profits, loss of business or other consequential damages.</w:t>
      </w:r>
    </w:p>
    <w:p>
      <w:pPr>
        <w:spacing w:after="0" w:line="67" w:lineRule="exact"/>
        <w:rPr>
          <w:rFonts w:ascii="Arial" w:cs="Arial" w:eastAsia="Arial" w:hAnsi="Arial"/>
          <w:sz w:val="16"/>
          <w:szCs w:val="16"/>
          <w:b w:val="1"/>
          <w:bCs w:val="1"/>
          <w:color w:val="auto"/>
        </w:rPr>
      </w:pPr>
    </w:p>
    <w:p>
      <w:pPr>
        <w:ind w:left="276" w:hanging="276"/>
        <w:spacing w:after="0"/>
        <w:tabs>
          <w:tab w:leader="none" w:pos="276"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556"/>
        <w:spacing w:after="0"/>
        <w:rPr>
          <w:sz w:val="20"/>
          <w:szCs w:val="20"/>
          <w:color w:val="auto"/>
        </w:rPr>
      </w:pPr>
      <w:r>
        <w:rPr>
          <w:rFonts w:ascii="Arial" w:cs="Arial" w:eastAsia="Arial" w:hAnsi="Arial"/>
          <w:sz w:val="18"/>
          <w:szCs w:val="18"/>
          <w:color w:val="auto"/>
        </w:rPr>
        <w:t>15.01 Tenant shall obtain and maintain throughout the Term the following insurance (“Tenant’s Insurance”):</w:t>
      </w:r>
    </w:p>
    <w:p>
      <w:pPr>
        <w:spacing w:after="0" w:line="117" w:lineRule="exact"/>
        <w:rPr>
          <w:sz w:val="20"/>
          <w:szCs w:val="20"/>
          <w:color w:val="auto"/>
        </w:rPr>
      </w:pPr>
    </w:p>
    <w:p>
      <w:pPr>
        <w:ind w:left="-4" w:right="20" w:firstLine="885"/>
        <w:spacing w:after="0" w:line="257" w:lineRule="auto"/>
        <w:tabs>
          <w:tab w:leader="none" w:pos="112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an ISO CG 00 01 12 07 form or equivalent covering the insured against claims of bodily injury, personal and advertising injury and property damage arising out of Tenant’s operations, assumed liabilities or use of the Premises, with no exclusion or limitation to the policy definition of “Insured Contract”, covering the insuring provisions of this Lease and the performance by Tenant of the indemnity agreements set forth in Section 14 of this Lease, and liquor liability coverage (in the event alcoholic beverages are served on the Premises) for limits of liability not less than:</w:t>
      </w:r>
    </w:p>
    <w:p>
      <w:pPr>
        <w:spacing w:after="0" w:line="230" w:lineRule="exact"/>
        <w:rPr>
          <w:sz w:val="20"/>
          <w:szCs w:val="20"/>
          <w:color w:val="auto"/>
        </w:rPr>
      </w:pPr>
    </w:p>
    <w:tbl>
      <w:tblPr>
        <w:tblLayout w:type="fixed"/>
        <w:tblInd w:w="1776"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w:t>
            </w: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$2,000,000.00 each occurrence</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Property Damage Liability</w:t>
            </w:r>
          </w:p>
        </w:tc>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$2,000,000.00 general aggregate</w:t>
            </w:r>
          </w:p>
        </w:tc>
      </w:tr>
      <w:tr>
        <w:trPr>
          <w:trHeight w:val="202"/>
        </w:trPr>
        <w:tc>
          <w:tcPr>
            <w:tcW w:w="3820" w:type="dxa"/>
            <w:vAlign w:val="bottom"/>
            <w:shd w:val="clear" w:color="auto" w:fill="CCEEFF"/>
          </w:tcPr>
          <w:p>
            <w:pPr>
              <w:spacing w:after="0"/>
              <w:rPr>
                <w:sz w:val="17"/>
                <w:szCs w:val="17"/>
                <w:color w:val="auto"/>
              </w:rPr>
            </w:pPr>
          </w:p>
        </w:tc>
        <w:tc>
          <w:tcPr>
            <w:tcW w:w="36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0"/>
              </w:rPr>
              <w:t>$2,000,000.00 Products/Completed Operations</w:t>
            </w:r>
          </w:p>
        </w:tc>
      </w:tr>
      <w:tr>
        <w:trPr>
          <w:trHeight w:val="230"/>
        </w:trPr>
        <w:tc>
          <w:tcPr>
            <w:tcW w:w="3820" w:type="dxa"/>
            <w:vAlign w:val="bottom"/>
            <w:shd w:val="clear" w:color="auto" w:fill="CCEEFF"/>
          </w:tcPr>
          <w:p>
            <w:pPr>
              <w:spacing w:after="0"/>
              <w:rPr>
                <w:sz w:val="20"/>
                <w:szCs w:val="20"/>
                <w:color w:val="auto"/>
              </w:rPr>
            </w:pPr>
          </w:p>
        </w:tc>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Aggregate</w:t>
            </w:r>
          </w:p>
        </w:tc>
      </w:tr>
      <w:tr>
        <w:trPr>
          <w:trHeight w:val="310"/>
        </w:trPr>
        <w:tc>
          <w:tcPr>
            <w:tcW w:w="3820" w:type="dxa"/>
            <w:vAlign w:val="bottom"/>
          </w:tcPr>
          <w:p>
            <w:pPr>
              <w:spacing w:after="0"/>
              <w:rPr>
                <w:sz w:val="20"/>
                <w:szCs w:val="20"/>
                <w:color w:val="auto"/>
              </w:rPr>
            </w:pPr>
            <w:r>
              <w:rPr>
                <w:rFonts w:ascii="Arial" w:cs="Arial" w:eastAsia="Arial" w:hAnsi="Arial"/>
                <w:sz w:val="18"/>
                <w:szCs w:val="18"/>
                <w:color w:val="auto"/>
              </w:rPr>
              <w:t>Personal and Advertising Injury Liability</w:t>
            </w:r>
          </w:p>
        </w:tc>
        <w:tc>
          <w:tcPr>
            <w:tcW w:w="3660" w:type="dxa"/>
            <w:vAlign w:val="bottom"/>
          </w:tcPr>
          <w:p>
            <w:pPr>
              <w:ind w:left="220"/>
              <w:spacing w:after="0"/>
              <w:rPr>
                <w:sz w:val="20"/>
                <w:szCs w:val="20"/>
                <w:color w:val="auto"/>
              </w:rPr>
            </w:pPr>
            <w:r>
              <w:rPr>
                <w:rFonts w:ascii="Arial" w:cs="Arial" w:eastAsia="Arial" w:hAnsi="Arial"/>
                <w:sz w:val="18"/>
                <w:szCs w:val="18"/>
                <w:color w:val="auto"/>
              </w:rPr>
              <w:t>$2,000,000.00 each occurrence</w:t>
            </w:r>
          </w:p>
        </w:tc>
      </w:tr>
      <w:tr>
        <w:trPr>
          <w:trHeight w:val="216"/>
        </w:trPr>
        <w:tc>
          <w:tcPr>
            <w:tcW w:w="38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(included in general aggregate)</w:t>
            </w:r>
          </w:p>
        </w:tc>
      </w:tr>
      <w:tr>
        <w:trPr>
          <w:trHeight w:val="230"/>
        </w:trPr>
        <w:tc>
          <w:tcPr>
            <w:tcW w:w="38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0% Insured’s participation</w:t>
            </w:r>
          </w:p>
        </w:tc>
      </w:tr>
    </w:tbl>
    <w:p>
      <w:pPr>
        <w:spacing w:after="0" w:line="94" w:lineRule="exact"/>
        <w:rPr>
          <w:sz w:val="20"/>
          <w:szCs w:val="20"/>
          <w:color w:val="auto"/>
        </w:rPr>
      </w:pPr>
    </w:p>
    <w:p>
      <w:pPr>
        <w:ind w:left="-4" w:right="80" w:firstLine="885"/>
        <w:spacing w:after="0" w:line="276" w:lineRule="auto"/>
        <w:tabs>
          <w:tab w:leader="none" w:pos="1133" w:val="left"/>
        </w:tabs>
        <w:numPr>
          <w:ilvl w:val="0"/>
          <w:numId w:val="525"/>
        </w:numPr>
        <w:rPr>
          <w:rFonts w:ascii="Arial" w:cs="Arial" w:eastAsia="Arial" w:hAnsi="Arial"/>
          <w:sz w:val="17"/>
          <w:szCs w:val="17"/>
          <w:color w:val="auto"/>
        </w:rPr>
      </w:pPr>
      <w:r>
        <w:rPr>
          <w:rFonts w:ascii="Arial" w:cs="Arial" w:eastAsia="Arial" w:hAnsi="Arial"/>
          <w:sz w:val="17"/>
          <w:szCs w:val="17"/>
          <w:color w:val="auto"/>
        </w:rPr>
        <w:t>Property Insurance, written on “Special Form Cause of Loss Perils form, with coverage for broad form water damage including earthquake sprinkler leakage and pollution coverage for damage caused by heat, smoke or fumes from a hostile fire, at full replacement cost value (without deduction for depreciation) and with a replacement cost endorsement covering all of Tenant’s business and trade fixtures, equipment, movable partitions, furniture, merchandise and other personal property, including property of others for which the tenant may be legally liable, within the Premises (“</w:t>
      </w:r>
      <w:r>
        <w:rPr>
          <w:rFonts w:ascii="Arial" w:cs="Arial" w:eastAsia="Arial" w:hAnsi="Arial"/>
          <w:sz w:val="17"/>
          <w:szCs w:val="17"/>
          <w:b w:val="1"/>
          <w:bCs w:val="1"/>
          <w:color w:val="auto"/>
        </w:rPr>
        <w:t>Tenant’s Property</w:t>
      </w:r>
      <w:r>
        <w:rPr>
          <w:rFonts w:ascii="Arial" w:cs="Arial" w:eastAsia="Arial" w:hAnsi="Arial"/>
          <w:sz w:val="17"/>
          <w:szCs w:val="17"/>
          <w:color w:val="auto"/>
        </w:rPr>
        <w:t>”) and any Leasehold Improvements performed by or for the benefit of Tenant;</w:t>
      </w:r>
    </w:p>
    <w:p>
      <w:pPr>
        <w:spacing w:after="0" w:line="105"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76"/>
          </w:cols>
          <w:pgMar w:left="444" w:top="270" w:right="479" w:bottom="1440" w:gutter="0" w:footer="0" w:header="0"/>
        </w:sectPr>
      </w:pPr>
    </w:p>
    <w:bookmarkStart w:id="529" w:name="page530"/>
    <w:bookmarkEnd w:id="529"/>
    <w:p>
      <w:pPr>
        <w:jc w:val="both"/>
        <w:ind w:right="80" w:firstLine="885"/>
        <w:spacing w:after="0" w:line="264" w:lineRule="auto"/>
        <w:tabs>
          <w:tab w:leader="none" w:pos="1126" w:val="left"/>
        </w:tabs>
        <w:numPr>
          <w:ilvl w:val="0"/>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Loss-of-income, business interruption and extra-expense insurance in such amounts as will reimburse Tenant for direct and indirect loss of earnings attributable to all perils commonly insured against by prudent tenants or attributable to prevention of loss of access to the Premises or to the Building as a result of such perils.</w:t>
      </w:r>
    </w:p>
    <w:p>
      <w:pPr>
        <w:spacing w:after="0" w:line="73" w:lineRule="exact"/>
        <w:rPr>
          <w:rFonts w:ascii="Arial" w:cs="Arial" w:eastAsia="Arial" w:hAnsi="Arial"/>
          <w:sz w:val="18"/>
          <w:szCs w:val="18"/>
          <w:color w:val="auto"/>
        </w:rPr>
      </w:pPr>
    </w:p>
    <w:p>
      <w:pPr>
        <w:ind w:right="60" w:firstLine="885"/>
        <w:spacing w:after="0" w:line="264" w:lineRule="auto"/>
        <w:tabs>
          <w:tab w:leader="none" w:pos="1136" w:val="left"/>
        </w:tabs>
        <w:numPr>
          <w:ilvl w:val="0"/>
          <w:numId w:val="526"/>
        </w:numPr>
        <w:rPr>
          <w:rFonts w:ascii="Arial" w:cs="Arial" w:eastAsia="Arial" w:hAnsi="Arial"/>
          <w:sz w:val="18"/>
          <w:szCs w:val="18"/>
          <w:color w:val="auto"/>
        </w:rPr>
      </w:pPr>
      <w:r>
        <w:rPr>
          <w:rFonts w:ascii="Arial" w:cs="Arial" w:eastAsia="Arial" w:hAnsi="Arial"/>
          <w:sz w:val="18"/>
          <w:szCs w:val="18"/>
          <w:color w:val="auto"/>
        </w:rPr>
        <w:t>Workers’ Compensation Insurance as required by laws and in amounts as may be required by applicable statute and Employers Liability Coverage of at least $1,000,000 each accident, $1,000,000.00 policy limit, $1,000,000.00 each employee, and containing a waiver of subrogation endorsement in favor of Landlord;</w:t>
      </w:r>
    </w:p>
    <w:p>
      <w:pPr>
        <w:spacing w:after="0" w:line="73" w:lineRule="exact"/>
        <w:rPr>
          <w:rFonts w:ascii="Arial" w:cs="Arial" w:eastAsia="Arial" w:hAnsi="Arial"/>
          <w:sz w:val="18"/>
          <w:szCs w:val="18"/>
          <w:color w:val="auto"/>
        </w:rPr>
      </w:pPr>
    </w:p>
    <w:p>
      <w:pPr>
        <w:ind w:right="340" w:firstLine="885"/>
        <w:spacing w:after="0" w:line="264" w:lineRule="auto"/>
        <w:tabs>
          <w:tab w:leader="none" w:pos="1126"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If and to the extent Tenant or its employees drive automobiles or other motor vehicles in the course of conducting Tenant’s business, Commercial Automobile Liability insuring bodily injury and property damage arising from all owned, non-owned and hired vehicles, if any, with minimum limits of liability of $1,000,000.00 combined single limit, each accident; and</w:t>
      </w:r>
    </w:p>
    <w:p>
      <w:pPr>
        <w:spacing w:after="0" w:line="73" w:lineRule="exact"/>
        <w:rPr>
          <w:rFonts w:ascii="Arial" w:cs="Arial" w:eastAsia="Arial" w:hAnsi="Arial"/>
          <w:sz w:val="18"/>
          <w:szCs w:val="18"/>
          <w:color w:val="auto"/>
        </w:rPr>
      </w:pPr>
    </w:p>
    <w:p>
      <w:pPr>
        <w:ind w:right="140" w:firstLine="885"/>
        <w:spacing w:after="0" w:line="259" w:lineRule="auto"/>
        <w:tabs>
          <w:tab w:leader="none" w:pos="1106" w:val="left"/>
        </w:tabs>
        <w:numPr>
          <w:ilvl w:val="0"/>
          <w:numId w:val="526"/>
        </w:numPr>
        <w:rPr>
          <w:rFonts w:ascii="Arial" w:cs="Arial" w:eastAsia="Arial" w:hAnsi="Arial"/>
          <w:sz w:val="18"/>
          <w:szCs w:val="18"/>
          <w:color w:val="auto"/>
        </w:rPr>
      </w:pPr>
      <w:r>
        <w:rPr>
          <w:rFonts w:ascii="Arial" w:cs="Arial" w:eastAsia="Arial" w:hAnsi="Arial"/>
          <w:sz w:val="18"/>
          <w:szCs w:val="18"/>
          <w:color w:val="auto"/>
        </w:rPr>
        <w:t>With respect to improvements or Alterations performed by or on behalf of Tenant within the Premises, Builder’s Risk insurance or an Installation Floater covering the full amount of the work to be performed, subject to Special Form Cause of Loss perils; provided, however, that in lieu of this requirement, Tenant may cause its general contractor to maintain the foregoing coverage. Such insurance will name the Landlord and Tenant, and, if applicable, the Contractor and Subcontractors, as Insureds.</w:t>
      </w:r>
    </w:p>
    <w:p>
      <w:pPr>
        <w:spacing w:after="0" w:line="79" w:lineRule="exact"/>
        <w:rPr>
          <w:sz w:val="20"/>
          <w:szCs w:val="20"/>
          <w:color w:val="auto"/>
        </w:rPr>
      </w:pPr>
    </w:p>
    <w:p>
      <w:pPr>
        <w:ind w:firstLine="551"/>
        <w:spacing w:after="0" w:line="284" w:lineRule="auto"/>
        <w:rPr>
          <w:sz w:val="20"/>
          <w:szCs w:val="20"/>
          <w:color w:val="auto"/>
        </w:rPr>
      </w:pPr>
      <w:r>
        <w:rPr>
          <w:rFonts w:ascii="Arial" w:cs="Arial" w:eastAsia="Arial" w:hAnsi="Arial"/>
          <w:sz w:val="16"/>
          <w:szCs w:val="16"/>
          <w:color w:val="auto"/>
        </w:rPr>
        <w:t xml:space="preserve">15.02 Any company writing Tenant’s Insurance shall have an A.M. Best rating of not less than A: VIII and shall be licensed to issue insurance coverage in the state in which the premises are located. All Commercial General Liability Insurance policies shall (i) name Landlord (or its successors and assignees), the managing agent for the Building (or any successor), and their respective members, principals, beneficiaries, partners, officers, directors, employees, and agents, and other designees of Landlord and its successors as the interest of such designees shall appear, as additional insureds (utilizing endorsement ISO Form CG 2011 11/85 or equivalent, for tenant improvements or betterments requiring structural alterations the contractors performing the work will provide additional insured endorsements utilizing a combination of the forms CG 20 10 07/04 and CG 20 37 07/04 in favor of the stated additional insureds), (ii) must contain an endorsement stating “such insurance as is afforded by this policy for the benefit of Landlord and any other additional insured(s) designated by Landlord, shall be primary as respects any liability or claims arising out of the occupancy of the Premises by Tenant or Tenant’s operations, and any insurance carried by Landlord or any other additional insured(s) shall be non-contributory” (iii) contain an endorsement that the insurer waives its right to subrogation as described in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(iv) contain a cross-liability endorsement or separation of insureds clause. Tenant shall endeavor to obtain the agreement of the insurer writing Tenant’s Insurance to notify Landlord (and any other additional insureds) in writing not less than thirty (30) days prior to any cancellation, termination, material change or lapse of Tenant’s Insurance (it being agreed that efforts by Tenant to obtain such an agreement by the insurer shall include obtaining any commercially available endorsement to assure such notification). In addition to the foregoing, Tenant shall notify Landlord (and any other additional insureds) in writing not less than thirty (30) days prior to any cancellation, termination, material change or lapse of Tenant’s Insurance. Tenant shall provide Landlord with a certificate of insurance evidencing all insurance required to be carried by Tenant hereunder (including evidence of all required endorsements and additional insured coverage as noted above) at least fifteen (15) days prior to the earlier to occur of the Commencement Date or the date Tenant is provided with possession of the Premises, and thereafter as necessary to assure that Landlord always has current certificates evidencing Tenant’s Insurance. If any such initial or replacement policies or certificates are not furnished within the time(s) specified herein, Tenant shall be deemed to be in material Default under this Lease without the benefit of any additional notice or cure period provided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below, and Landlord shall have the right, but not the obligation, to procure such policies and certificates at Tenant’s expense, and Tenant shall pay the cost thereof within ten (10) days following Landlord’s submission of an invoice therefor. In no event shall the limits of any insurance policy obtained by a Tenant be considered to limit the liability of Tenant under this Lease.</w:t>
      </w:r>
    </w:p>
    <w:p>
      <w:pPr>
        <w:spacing w:after="0" w:line="68" w:lineRule="exact"/>
        <w:rPr>
          <w:sz w:val="20"/>
          <w:szCs w:val="20"/>
          <w:color w:val="auto"/>
        </w:rPr>
      </w:pPr>
    </w:p>
    <w:p>
      <w:pPr>
        <w:jc w:val="both"/>
        <w:ind w:right="120" w:firstLine="4"/>
        <w:spacing w:after="0" w:line="277" w:lineRule="auto"/>
        <w:tabs>
          <w:tab w:leader="none" w:pos="270" w:val="left"/>
        </w:tabs>
        <w:numPr>
          <w:ilvl w:val="0"/>
          <w:numId w:val="5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Subrogation. </w:t>
      </w:r>
      <w:r>
        <w:rPr>
          <w:rFonts w:ascii="Arial" w:cs="Arial" w:eastAsia="Arial" w:hAnsi="Arial"/>
          <w:sz w:val="17"/>
          <w:szCs w:val="17"/>
          <w:color w:val="auto"/>
        </w:rPr>
        <w:t>Landlord and Tenant hereby waive and shall cause their respective insurance carriers to waive any and all rights of recovery,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or causes of action against the other for any loss or damage to person with respect to Tenant’s Property, Leasehold Improvements, the Building, the Premises, or any contents thereof, including rights, claims, actions and causes of action based on negligence, which loss, damage or injury is (or would have been, had the insurance required by this Lease been carried) covered by insurance. As noted above, Tenant also waives subrogation with respect to losses or claims covered by worker’s compensation insurance.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530" w:name="page531"/>
    <w:bookmarkEnd w:id="530"/>
    <w:p>
      <w:pPr>
        <w:ind w:right="160" w:firstLine="4"/>
        <w:spacing w:after="0" w:line="293" w:lineRule="auto"/>
        <w:tabs>
          <w:tab w:leader="none" w:pos="270" w:val="left"/>
        </w:tabs>
        <w:numPr>
          <w:ilvl w:val="0"/>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Casualty Damage. </w:t>
      </w:r>
      <w:r>
        <w:rPr>
          <w:rFonts w:ascii="Arial" w:cs="Arial" w:eastAsia="Arial" w:hAnsi="Arial"/>
          <w:sz w:val="16"/>
          <w:szCs w:val="16"/>
          <w:color w:val="auto"/>
        </w:rPr>
        <w:t>Landlord, by notice to Tenant within sixty (60) days of the date of the fire or other casualty (a “</w:t>
      </w:r>
      <w:r>
        <w:rPr>
          <w:rFonts w:ascii="Arial" w:cs="Arial" w:eastAsia="Arial" w:hAnsi="Arial"/>
          <w:sz w:val="16"/>
          <w:szCs w:val="16"/>
          <w:b w:val="1"/>
          <w:bCs w:val="1"/>
          <w:color w:val="auto"/>
        </w:rPr>
        <w:t>Casualty</w:t>
      </w:r>
      <w:r>
        <w:rPr>
          <w:rFonts w:ascii="Arial" w:cs="Arial" w:eastAsia="Arial" w:hAnsi="Arial"/>
          <w:sz w:val="16"/>
          <w:szCs w:val="16"/>
          <w:color w:val="auto"/>
        </w:rPr>
        <w:t>”), shall have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terminate this Lease if all or any part of the Premises is damaged to the extent that it cannot reasonably be repaired within one hundred twenty</w:t>
      </w:r>
    </w:p>
    <w:p>
      <w:pPr>
        <w:spacing w:after="0" w:line="1" w:lineRule="exact"/>
        <w:rPr>
          <w:rFonts w:ascii="Arial" w:cs="Arial" w:eastAsia="Arial" w:hAnsi="Arial"/>
          <w:sz w:val="16"/>
          <w:szCs w:val="16"/>
          <w:b w:val="1"/>
          <w:bCs w:val="1"/>
          <w:color w:val="auto"/>
        </w:rPr>
      </w:pPr>
    </w:p>
    <w:p>
      <w:pPr>
        <w:ind w:right="20"/>
        <w:spacing w:after="0" w:line="266" w:lineRule="auto"/>
        <w:rPr>
          <w:rFonts w:ascii="Arial" w:cs="Arial" w:eastAsia="Arial" w:hAnsi="Arial"/>
          <w:sz w:val="16"/>
          <w:szCs w:val="16"/>
          <w:b w:val="1"/>
          <w:bCs w:val="1"/>
          <w:color w:val="auto"/>
        </w:rPr>
      </w:pPr>
      <w:r>
        <w:rPr>
          <w:rFonts w:ascii="Arial" w:cs="Arial" w:eastAsia="Arial" w:hAnsi="Arial"/>
          <w:sz w:val="17"/>
          <w:szCs w:val="17"/>
          <w:color w:val="auto"/>
        </w:rPr>
        <w:t xml:space="preserve">(120) days after the date of the Casualty. If this Lease is not terminated, Landlord shall promptly and diligently, restore the Premises. Such restoration shall be to substantially the same condition that existed prior to the Casualty, except for modifications required by Laws. Upon notice from Landlord, Tenant shall assign to Landlord (or to any party designated by Landlord) all property insurance proceeds payable to Tenant under Tenant’s Insurance with respect to any Leasehold Improvements performed by or for the benefit of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if the estimated cost to repair such Leasehold Improvements exceeds the amount of insurance proceeds received by Landlord from Tenant’s insurance carrier, the excess cost of such repairs shall be paid by Tenant to Landlord prior to Landlord’s commencement of repairs. Within thirty (30) days of demand, Tenant shall also pay Landlord for any additional excess costs relating to Leasehold Improvements that are determined during the performance of the repairs. Landlord shall not be liable for any inconvenience to Tenant, or injury to Tenant’s business resulting in any way from the Casualty or the repair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Tenant is not in Default, during any period of time that all or a material portion of the Premises is rendered untenantable as a result of a Casualty, the Rent shall abate for the portion of the Premises that is untenantable and not used by Tenant. Notwithstanding the foregoing, and without limiting Tenant’s obligations, to pay to Landlord any cost of restoration of the Leasehold Improvements in excess of the proceeds of Tenant’s Insurance, in the event that Landlord does not receive sufficient insurance proceeds to complete all required restoration work, whether due to an uninsured Casualty, requirements of a Mortgagee, or otherwise, then Landlord shall have the right to terminate this Lease by written notice to Tenant. The provisions of this Lease, including this </w:t>
      </w:r>
      <w:r>
        <w:rPr>
          <w:rFonts w:ascii="Arial" w:cs="Arial" w:eastAsia="Arial" w:hAnsi="Arial"/>
          <w:sz w:val="17"/>
          <w:szCs w:val="17"/>
          <w:u w:val="single" w:color="auto"/>
          <w:color w:val="auto"/>
        </w:rPr>
        <w:t>Section 17</w:t>
      </w:r>
      <w:r>
        <w:rPr>
          <w:rFonts w:ascii="Arial" w:cs="Arial" w:eastAsia="Arial" w:hAnsi="Arial"/>
          <w:sz w:val="17"/>
          <w:szCs w:val="17"/>
          <w:color w:val="auto"/>
        </w:rPr>
        <w:t>, constitute an express agreement between Landlord and Tenant with respect to any and all damage to, or destruction of, all or any part of the Premises, the Building, or the Development, and any Laws, including, without limitation, Sections 1932(2) and 1933(4) of the California Civil Code, with respect to any rights or obligations concerning damage or destruction in the absence of an express agreement between the parties, and any similar or successor Laws now or hereinafter in effect, shall have no application to this Lease or any damage or destruction to all or any part of the Premises, the Building or the Development.</w:t>
      </w:r>
    </w:p>
    <w:p>
      <w:pPr>
        <w:spacing w:after="0" w:line="79" w:lineRule="exact"/>
        <w:rPr>
          <w:rFonts w:ascii="Arial" w:cs="Arial" w:eastAsia="Arial" w:hAnsi="Arial"/>
          <w:sz w:val="16"/>
          <w:szCs w:val="16"/>
          <w:b w:val="1"/>
          <w:bCs w:val="1"/>
          <w:color w:val="auto"/>
        </w:rPr>
      </w:pPr>
    </w:p>
    <w:p>
      <w:pPr>
        <w:ind w:firstLine="4"/>
        <w:spacing w:after="0" w:line="292" w:lineRule="auto"/>
        <w:tabs>
          <w:tab w:leader="none" w:pos="270" w:val="left"/>
        </w:tabs>
        <w:numPr>
          <w:ilvl w:val="0"/>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Either party may terminate this Lease if any material part of the Premises is taken or condemned for, or rendered unusable in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consistent with the Permitted Use due to a taking for, any public or quasi-public use under Laws, by eminent domain or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Landlord shall also have the right to terminate this Lease if there is a Taking of any portion of the Building or Property which would have a material adverse effect on Landlord’s ability to profitably operate the remainder of the Building. The terminating party shall provide written notice of termination to the other party within forty-five (45) days after it first receives notice of the Taking. The termination shall be effective on the date the physical taking occurs. All compensation awarded for a Taking, or sale proceeds, shall be the property of Landlord. Tenant hereby waives any and all rights it might otherwise have pursuant to Section 1265.130 of the California Code of Civil Procedure, or any similar or successor Laws.</w:t>
      </w:r>
    </w:p>
    <w:p>
      <w:pPr>
        <w:spacing w:after="0" w:line="53" w:lineRule="exact"/>
        <w:rPr>
          <w:rFonts w:ascii="Arial" w:cs="Arial" w:eastAsia="Arial" w:hAnsi="Arial"/>
          <w:sz w:val="16"/>
          <w:szCs w:val="16"/>
          <w:b w:val="1"/>
          <w:bCs w:val="1"/>
          <w:color w:val="auto"/>
        </w:rPr>
      </w:pPr>
    </w:p>
    <w:p>
      <w:pPr>
        <w:ind w:right="80" w:firstLine="4"/>
        <w:spacing w:after="0" w:line="292" w:lineRule="auto"/>
        <w:tabs>
          <w:tab w:leader="none" w:pos="270" w:val="left"/>
        </w:tabs>
        <w:numPr>
          <w:ilvl w:val="0"/>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Each of the following occurrences shall be considered to be a “</w:t>
      </w:r>
      <w:r>
        <w:rPr>
          <w:rFonts w:ascii="Arial" w:cs="Arial" w:eastAsia="Arial" w:hAnsi="Arial"/>
          <w:sz w:val="16"/>
          <w:szCs w:val="16"/>
          <w:b w:val="1"/>
          <w:bCs w:val="1"/>
          <w:color w:val="auto"/>
        </w:rPr>
        <w:t>Default</w:t>
      </w:r>
      <w:r>
        <w:rPr>
          <w:rFonts w:ascii="Arial" w:cs="Arial" w:eastAsia="Arial" w:hAnsi="Arial"/>
          <w:sz w:val="16"/>
          <w:szCs w:val="16"/>
          <w:color w:val="auto"/>
        </w:rPr>
        <w:t>”: (a) Tenant’s failure to pay any portion of Rent when</w:t>
      </w:r>
      <w:r>
        <w:rPr>
          <w:rFonts w:ascii="Arial" w:cs="Arial" w:eastAsia="Arial" w:hAnsi="Arial"/>
          <w:sz w:val="16"/>
          <w:szCs w:val="16"/>
          <w:b w:val="1"/>
          <w:bCs w:val="1"/>
          <w:color w:val="auto"/>
        </w:rPr>
        <w:t xml:space="preserve"> </w:t>
      </w:r>
      <w:r>
        <w:rPr>
          <w:rFonts w:ascii="Arial" w:cs="Arial" w:eastAsia="Arial" w:hAnsi="Arial"/>
          <w:sz w:val="16"/>
          <w:szCs w:val="16"/>
          <w:color w:val="auto"/>
        </w:rPr>
        <w:t>due, if the failure continues for three (3) days after written notice to Tenant, which notice shall be in satisfaction of, and not in addition to, notice required by Laws (“</w:t>
      </w:r>
      <w:r>
        <w:rPr>
          <w:rFonts w:ascii="Arial" w:cs="Arial" w:eastAsia="Arial" w:hAnsi="Arial"/>
          <w:sz w:val="16"/>
          <w:szCs w:val="16"/>
          <w:b w:val="1"/>
          <w:bCs w:val="1"/>
          <w:color w:val="auto"/>
        </w:rPr>
        <w:t>Monetary Default</w:t>
      </w:r>
      <w:r>
        <w:rPr>
          <w:rFonts w:ascii="Arial" w:cs="Arial" w:eastAsia="Arial" w:hAnsi="Arial"/>
          <w:sz w:val="16"/>
          <w:szCs w:val="16"/>
          <w:color w:val="auto"/>
        </w:rPr>
        <w:t xml:space="preserve">”); or (b) Tenant’s failure (other than a Monetary Default) to comply with any term, provision, condition or covenant of this Lease, if the failure is not cured within ten (10) days after written notice to Tenant, which notice shall be in satisfaction of, and not in addition to, notice required by Laws (including, without limitation, Section 1161 of the California Code of Civil Procedure),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Tenant’s failure to comply cannot reasonably be cured within ten (10) days, Tenant shall be allowed additional time (not to exceed sixty (60) days) as is reasonably necessary to cure the failure so long as Tenant commences to cure within ten (10) days and Tenant diligently pursues the cure to completion.</w:t>
      </w:r>
    </w:p>
    <w:p>
      <w:pPr>
        <w:spacing w:after="0" w:line="53" w:lineRule="exact"/>
        <w:rPr>
          <w:rFonts w:ascii="Arial" w:cs="Arial" w:eastAsia="Arial" w:hAnsi="Arial"/>
          <w:sz w:val="16"/>
          <w:szCs w:val="16"/>
          <w:b w:val="1"/>
          <w:bCs w:val="1"/>
          <w:color w:val="auto"/>
        </w:rPr>
      </w:pPr>
    </w:p>
    <w:p>
      <w:pPr>
        <w:ind w:left="280" w:hanging="276"/>
        <w:spacing w:after="0"/>
        <w:tabs>
          <w:tab w:leader="none" w:pos="280"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121" w:lineRule="exact"/>
        <w:rPr>
          <w:sz w:val="20"/>
          <w:szCs w:val="20"/>
          <w:color w:val="auto"/>
        </w:rPr>
      </w:pPr>
    </w:p>
    <w:p>
      <w:pPr>
        <w:ind w:right="80" w:firstLine="551"/>
        <w:spacing w:after="0" w:line="257" w:lineRule="auto"/>
        <w:rPr>
          <w:sz w:val="20"/>
          <w:szCs w:val="20"/>
          <w:color w:val="auto"/>
        </w:rPr>
      </w:pPr>
      <w:r>
        <w:rPr>
          <w:rFonts w:ascii="Arial" w:cs="Arial" w:eastAsia="Arial" w:hAnsi="Arial"/>
          <w:sz w:val="18"/>
          <w:szCs w:val="18"/>
          <w:color w:val="auto"/>
        </w:rPr>
        <w:t xml:space="preserve">20.01 Upon the occurrence of any Default under this Lease, whether enumerated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above or not, Landlord shall have the option to pursue any one (1) or more of the following remedies without any notice (except as expressly prescribed herein) or demand whatsoever (and without limiting the generality of the foregoing, Tenant hereby specifically waives notice and demand for payment of Rent or other obligations, except for those notices specifically required pursuant to the terms of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above or this </w:t>
      </w:r>
      <w:r>
        <w:rPr>
          <w:rFonts w:ascii="Arial" w:cs="Arial" w:eastAsia="Arial" w:hAnsi="Arial"/>
          <w:sz w:val="18"/>
          <w:szCs w:val="18"/>
          <w:u w:val="single" w:color="auto"/>
          <w:color w:val="auto"/>
        </w:rPr>
        <w:t>Section 20</w:t>
      </w:r>
      <w:r>
        <w:rPr>
          <w:rFonts w:ascii="Arial" w:cs="Arial" w:eastAsia="Arial" w:hAnsi="Arial"/>
          <w:sz w:val="18"/>
          <w:szCs w:val="18"/>
          <w:color w:val="auto"/>
        </w:rPr>
        <w:t>, and waives any and all other notices or demand requirements imposed by applicable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531" w:name="page532"/>
    <w:bookmarkEnd w:id="531"/>
    <w:p>
      <w:pPr>
        <w:ind w:left="800" w:hanging="245"/>
        <w:spacing w:after="0"/>
        <w:tabs>
          <w:tab w:leader="none" w:pos="800" w:val="left"/>
        </w:tabs>
        <w:numPr>
          <w:ilvl w:val="0"/>
          <w:numId w:val="5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this Lease and Tenant’s right to possession of the Premises and recover from Tenant an award of damages equal to the sum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102" w:lineRule="exact"/>
        <w:rPr>
          <w:rFonts w:ascii="Arial" w:cs="Arial" w:eastAsia="Arial" w:hAnsi="Arial"/>
          <w:sz w:val="16"/>
          <w:szCs w:val="16"/>
          <w:color w:val="auto"/>
        </w:rPr>
      </w:pPr>
    </w:p>
    <w:p>
      <w:pPr>
        <w:ind w:left="1100" w:hanging="215"/>
        <w:spacing w:after="0"/>
        <w:tabs>
          <w:tab w:leader="none" w:pos="11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Worth at the Time of Award (as defined below) of the unpaid Rent which had been earned at the time of termination;</w:t>
      </w:r>
    </w:p>
    <w:p>
      <w:pPr>
        <w:spacing w:after="0" w:line="117" w:lineRule="exact"/>
        <w:rPr>
          <w:rFonts w:ascii="Arial" w:cs="Arial" w:eastAsia="Arial" w:hAnsi="Arial"/>
          <w:sz w:val="18"/>
          <w:szCs w:val="18"/>
          <w:color w:val="auto"/>
        </w:rPr>
      </w:pPr>
    </w:p>
    <w:p>
      <w:pPr>
        <w:ind w:right="20" w:firstLine="885"/>
        <w:spacing w:after="0" w:line="277" w:lineRule="auto"/>
        <w:tabs>
          <w:tab w:leader="none" w:pos="1146"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 loss that Tenant affirmatively proves could have been reasonably avoided;</w:t>
      </w:r>
    </w:p>
    <w:p>
      <w:pPr>
        <w:spacing w:after="0" w:line="62" w:lineRule="exact"/>
        <w:rPr>
          <w:rFonts w:ascii="Arial" w:cs="Arial" w:eastAsia="Arial" w:hAnsi="Arial"/>
          <w:sz w:val="18"/>
          <w:szCs w:val="18"/>
          <w:color w:val="auto"/>
        </w:rPr>
      </w:pPr>
    </w:p>
    <w:p>
      <w:pPr>
        <w:ind w:right="200" w:firstLine="885"/>
        <w:spacing w:after="0" w:line="277" w:lineRule="auto"/>
        <w:tabs>
          <w:tab w:leader="none" w:pos="1196"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 loss that Tenant affirmatively proves could be reasonably avoided;</w:t>
      </w:r>
    </w:p>
    <w:p>
      <w:pPr>
        <w:spacing w:after="0" w:line="62" w:lineRule="exact"/>
        <w:rPr>
          <w:rFonts w:ascii="Arial" w:cs="Arial" w:eastAsia="Arial" w:hAnsi="Arial"/>
          <w:sz w:val="18"/>
          <w:szCs w:val="18"/>
          <w:color w:val="auto"/>
        </w:rPr>
      </w:pPr>
    </w:p>
    <w:p>
      <w:pPr>
        <w:ind w:right="360" w:firstLine="885"/>
        <w:spacing w:after="0" w:line="308" w:lineRule="auto"/>
        <w:tabs>
          <w:tab w:leader="none" w:pos="1186" w:val="left"/>
        </w:tabs>
        <w:numPr>
          <w:ilvl w:val="1"/>
          <w:numId w:val="529"/>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either proximately caused by Tenant’s failure to perform Tenant’s obligations under this Lease or which in the ordinary course of things would be likely to result therefrom; and</w:t>
      </w:r>
    </w:p>
    <w:p>
      <w:pPr>
        <w:spacing w:after="0" w:line="38" w:lineRule="exact"/>
        <w:rPr>
          <w:rFonts w:ascii="Arial" w:cs="Arial" w:eastAsia="Arial" w:hAnsi="Arial"/>
          <w:sz w:val="17"/>
          <w:szCs w:val="17"/>
          <w:color w:val="auto"/>
        </w:rPr>
      </w:pPr>
    </w:p>
    <w:p>
      <w:pPr>
        <w:ind w:left="1140" w:hanging="255"/>
        <w:spacing w:after="0"/>
        <w:tabs>
          <w:tab w:leader="none" w:pos="114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All such other amounts in addition to or in lieu of the foregoing as may be permitted from time to time under applicable law.</w:t>
      </w:r>
    </w:p>
    <w:p>
      <w:pPr>
        <w:spacing w:after="0" w:line="113" w:lineRule="exact"/>
        <w:rPr>
          <w:sz w:val="20"/>
          <w:szCs w:val="20"/>
          <w:color w:val="auto"/>
        </w:rPr>
      </w:pPr>
    </w:p>
    <w:p>
      <w:pPr>
        <w:ind w:right="120" w:firstLine="881"/>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of the amounts referred to in parts (i) and (ii) above, shall be computed by allowing interest at the lesser of a per annum rate equal to: (A) the greatest per annum rate of interest permitted from time to time under applicable law, or (B) the Prime Rate (defined below) plus five percent (5%) (the “</w:t>
      </w:r>
      <w:r>
        <w:rPr>
          <w:rFonts w:ascii="Arial" w:cs="Arial" w:eastAsia="Arial" w:hAnsi="Arial"/>
          <w:sz w:val="18"/>
          <w:szCs w:val="18"/>
          <w:b w:val="1"/>
          <w:bCs w:val="1"/>
          <w:color w:val="auto"/>
        </w:rPr>
        <w:t>Interest Rate</w:t>
      </w:r>
      <w:r>
        <w:rPr>
          <w:rFonts w:ascii="Arial" w:cs="Arial" w:eastAsia="Arial" w:hAnsi="Arial"/>
          <w:sz w:val="18"/>
          <w:szCs w:val="18"/>
          <w:color w:val="auto"/>
        </w:rPr>
        <w:t>”). For purposes hereof, the “</w:t>
      </w:r>
      <w:r>
        <w:rPr>
          <w:rFonts w:ascii="Arial" w:cs="Arial" w:eastAsia="Arial" w:hAnsi="Arial"/>
          <w:sz w:val="18"/>
          <w:szCs w:val="18"/>
          <w:b w:val="1"/>
          <w:bCs w:val="1"/>
          <w:color w:val="auto"/>
        </w:rPr>
        <w:t>Prime Rate</w:t>
      </w:r>
      <w:r>
        <w:rPr>
          <w:rFonts w:ascii="Arial" w:cs="Arial" w:eastAsia="Arial" w:hAnsi="Arial"/>
          <w:sz w:val="18"/>
          <w:szCs w:val="18"/>
          <w:color w:val="auto"/>
        </w:rPr>
        <w:t>” shall be the per annum interest rate publicly announced as its prime or base rate by a federally insured bank selected by Landlord in the State of California.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of the amount referred to in part (iii), above, shall be computed by discounting such amount at the discount rate of the Federal Reserve Bank of San Francisco at the time of award plus one percent (1%);</w:t>
      </w:r>
    </w:p>
    <w:p>
      <w:pPr>
        <w:spacing w:after="0" w:line="84" w:lineRule="exact"/>
        <w:rPr>
          <w:sz w:val="20"/>
          <w:szCs w:val="20"/>
          <w:color w:val="auto"/>
        </w:rPr>
      </w:pPr>
    </w:p>
    <w:p>
      <w:pPr>
        <w:ind w:right="500" w:firstLine="555"/>
        <w:spacing w:after="0" w:line="342" w:lineRule="auto"/>
        <w:tabs>
          <w:tab w:leader="none" w:pos="806" w:val="left"/>
        </w:tabs>
        <w:numPr>
          <w:ilvl w:val="0"/>
          <w:numId w:val="530"/>
        </w:numPr>
        <w:rPr>
          <w:rFonts w:ascii="Arial" w:cs="Arial" w:eastAsia="Arial" w:hAnsi="Arial"/>
          <w:sz w:val="16"/>
          <w:szCs w:val="16"/>
          <w:color w:val="auto"/>
        </w:rPr>
      </w:pPr>
      <w:r>
        <w:rPr>
          <w:rFonts w:ascii="Arial" w:cs="Arial" w:eastAsia="Arial" w:hAnsi="Arial"/>
          <w:sz w:val="16"/>
          <w:szCs w:val="16"/>
          <w:color w:val="auto"/>
        </w:rPr>
        <w:t>Employ the remedy described in California Civil Code § 1951.4 (Landlord may continue this Lease in effect after Tenant’s breach and abandonment and recover Rent as it becomes due, if Tenant has the right to sublet or assign, subject only to reasonable limitations); or</w:t>
      </w:r>
    </w:p>
    <w:p>
      <w:pPr>
        <w:spacing w:after="0" w:line="15" w:lineRule="exact"/>
        <w:rPr>
          <w:rFonts w:ascii="Arial" w:cs="Arial" w:eastAsia="Arial" w:hAnsi="Arial"/>
          <w:sz w:val="16"/>
          <w:szCs w:val="16"/>
          <w:color w:val="auto"/>
        </w:rPr>
      </w:pPr>
    </w:p>
    <w:p>
      <w:pPr>
        <w:ind w:firstLine="555"/>
        <w:spacing w:after="0" w:line="264" w:lineRule="auto"/>
        <w:tabs>
          <w:tab w:leader="none" w:pos="796"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xml:space="preserve">Notwithstanding Landlord’s exercise of the remedy described in California Civil Code § 1951.4 in respect of an event or events of Default, at such time thereafter as Landlord may elect in writing, to terminate this Lease and Tenant’s right to possession of the Premises and recover an award of damages as provided above in </w:t>
      </w:r>
      <w:r>
        <w:rPr>
          <w:rFonts w:ascii="Arial" w:cs="Arial" w:eastAsia="Arial" w:hAnsi="Arial"/>
          <w:sz w:val="18"/>
          <w:szCs w:val="18"/>
          <w:u w:val="single" w:color="auto"/>
          <w:color w:val="auto"/>
        </w:rPr>
        <w:t>Section 20.01(a</w:t>
      </w:r>
      <w:r>
        <w:rPr>
          <w:rFonts w:ascii="Arial" w:cs="Arial" w:eastAsia="Arial" w:hAnsi="Arial"/>
          <w:sz w:val="18"/>
          <w:szCs w:val="18"/>
          <w:color w:val="auto"/>
        </w:rPr>
        <w:t>).</w:t>
      </w:r>
    </w:p>
    <w:p>
      <w:pPr>
        <w:spacing w:after="0" w:line="73"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20.02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waiver by Landlord of any breach hereof shall be effective unless such waiver is in writing and signed by Landlord.</w:t>
      </w:r>
    </w:p>
    <w:p>
      <w:pPr>
        <w:spacing w:after="0" w:line="79" w:lineRule="exact"/>
        <w:rPr>
          <w:sz w:val="20"/>
          <w:szCs w:val="20"/>
          <w:color w:val="auto"/>
        </w:rPr>
      </w:pPr>
    </w:p>
    <w:p>
      <w:pPr>
        <w:ind w:right="40" w:firstLine="551"/>
        <w:spacing w:after="0" w:line="255" w:lineRule="auto"/>
        <w:rPr>
          <w:sz w:val="20"/>
          <w:szCs w:val="20"/>
          <w:color w:val="auto"/>
        </w:rPr>
      </w:pPr>
      <w:r>
        <w:rPr>
          <w:rFonts w:ascii="Arial" w:cs="Arial" w:eastAsia="Arial" w:hAnsi="Arial"/>
          <w:sz w:val="18"/>
          <w:szCs w:val="18"/>
          <w:color w:val="auto"/>
        </w:rPr>
        <w:t>20.03 TENANT HEREBY WAIVES ANY AND ALL RIGHTS CONFERRED BY SECTION 3275 OF THE CIVIL CODE OF CALIFORNIA AND BY SECTIONS 1174 (c) AND 1179 OF THE CODE OF CIVIL PROCEDURE OF CALIFORNIA AND ANY AND ALL OTHER LAWS AND RULES OF LAW FROM TIME TO TIME IN EFFECT DURING THE LEASE TERM PROVIDING THAT TENANT SHALL HAVE ANY RIGHT TO REDEEM, REINSTATE OR RESTORE THIS LEASE FOLLOWING ITS TERMINATION BY REASON OF TENANT’S BREACH. TENANT ALSO HEREBY WAIVES, TO THE FULLEST EXTENT PERMITTED BY LAW, THE RIGHT TO TRIAL BY JURY IN ANY LITIGATION ARISING OUT OF OR RELATING TO THIS LEASE.</w:t>
      </w:r>
    </w:p>
    <w:p>
      <w:pPr>
        <w:spacing w:after="0" w:line="85" w:lineRule="exact"/>
        <w:rPr>
          <w:sz w:val="20"/>
          <w:szCs w:val="20"/>
          <w:color w:val="auto"/>
        </w:rPr>
      </w:pPr>
    </w:p>
    <w:p>
      <w:pPr>
        <w:ind w:right="80" w:firstLine="551"/>
        <w:spacing w:after="0" w:line="273" w:lineRule="auto"/>
        <w:rPr>
          <w:sz w:val="20"/>
          <w:szCs w:val="20"/>
          <w:color w:val="auto"/>
        </w:rPr>
      </w:pPr>
      <w:r>
        <w:rPr>
          <w:rFonts w:ascii="Arial" w:cs="Arial" w:eastAsia="Arial" w:hAnsi="Arial"/>
          <w:sz w:val="17"/>
          <w:szCs w:val="17"/>
          <w:color w:val="auto"/>
        </w:rPr>
        <w:t>20.04 No right or remedy herein conferred upon or reserved to Landlord is intended to be exclusive of any other right or remedy, and each and every right and remedy shall be cumulative and in addition to any other right or remedy given hereunder or now or hereafter existing by agreement, applicable law or in equity. In addition to other remedies provided in this Lease, Landlord shall be entitled, to the extent permitted by applicable law, to injunctive relief, or to a decree compelling performance of any of the covenants, agreements, conditions or provisions of this Lease, or to any other remedy allowed to Landlord at law or in equity. Forbearance by Landlord to enforce one or more of the remedies herein provided upon an event of Default shall not be deemed or construed to constitute a waiver of such Default.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532" w:name="page533"/>
    <w:bookmarkEnd w:id="532"/>
    <w:p>
      <w:pPr>
        <w:ind w:right="60" w:firstLine="55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20.05 If Tenant is in Default of any of its non-monetary obligations under this Lease, Landlord shall have the right to perform such obligations. Tenant shall reimburse Landlord for the cost of such performance upon demand together with an administrative charge equal to ten percent (10%) of the cost of the work performed by Landlord.</w:t>
      </w:r>
    </w:p>
    <w:p>
      <w:pPr>
        <w:spacing w:after="0" w:line="73" w:lineRule="exact"/>
        <w:rPr>
          <w:sz w:val="20"/>
          <w:szCs w:val="20"/>
          <w:color w:val="auto"/>
        </w:rPr>
      </w:pPr>
    </w:p>
    <w:p>
      <w:pPr>
        <w:ind w:firstLine="551"/>
        <w:spacing w:after="0" w:line="277" w:lineRule="auto"/>
        <w:rPr>
          <w:sz w:val="20"/>
          <w:szCs w:val="20"/>
          <w:color w:val="auto"/>
        </w:rPr>
      </w:pPr>
      <w:r>
        <w:rPr>
          <w:rFonts w:ascii="Arial" w:cs="Arial" w:eastAsia="Arial" w:hAnsi="Arial"/>
          <w:sz w:val="18"/>
          <w:szCs w:val="18"/>
          <w:color w:val="auto"/>
        </w:rPr>
        <w:t xml:space="preserve">20.06 This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shall be enforceable to the maximum extent such enforcement is not prohibited by applicable law, and the unenforceability of any portion thereof shall not thereby render unenforceable any other portion.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Limitation of Liability.</w:t>
      </w:r>
    </w:p>
    <w:p>
      <w:pPr>
        <w:spacing w:after="0" w:line="121" w:lineRule="exact"/>
        <w:rPr>
          <w:sz w:val="20"/>
          <w:szCs w:val="20"/>
          <w:color w:val="auto"/>
        </w:rPr>
      </w:pPr>
    </w:p>
    <w:p>
      <w:pPr>
        <w:ind w:firstLine="551"/>
        <w:spacing w:after="0" w:line="253" w:lineRule="auto"/>
        <w:rPr>
          <w:sz w:val="20"/>
          <w:szCs w:val="20"/>
          <w:color w:val="auto"/>
        </w:rPr>
      </w:pPr>
      <w:r>
        <w:rPr>
          <w:rFonts w:ascii="Arial" w:cs="Arial" w:eastAsia="Arial" w:hAnsi="Arial"/>
          <w:sz w:val="18"/>
          <w:szCs w:val="18"/>
          <w:color w:val="auto"/>
        </w:rPr>
        <w:t xml:space="preserve">THE LIABILITY OF LANDLORD (AND OF ANY SUCCESSOR LANDLORD) SHALL BE LIMITED TO THE LESSER OF (A) THE INTEREST OF LANDLORD IN THE PROPERTY, OR (B) THE EQUITY INTEREST LANDLORD WOULD HAVE IN THE PROPERTY IF THE PROPERTY WERE ENCUMBERED BY THIRD PARTY DEBT IN AN AMOUNT EQUAL TO SEVENTY PERCENT (70%) OF THE VALUE OF THE PROPERTY. TENANT SHALL LOOK SOLELY TO LANDLORD’S INTEREST IN THE PROPERTY FOR THE RECOVERY OF ANY JUDGMENT OR AWARD AGAINST LANDLORD OR ANY LANDLORD RELATED PARTY. NEITHER LANDLORD NOR ANY LANDLORD RELATED PARTY SHALL BE PERSONALLY LIABLE FOR ANY JUDGMENT OR DEFICIENCY AND IN NO EVENT SHALL LANDLORD OR ANY LANDLORD RELATED PARTY BE LIABLE TO TENANT FOR ANY LOST PROFIT, DAMAGE TO OR LOSS OF BUSINESS OR ANY FORM OF SPECIAL, INDIRECT OR CONSEQUENTIAL DAMAGE. BEFORE FILING SUIT FOR AN ALLEGED DEFAULT BY LANDLORD, TENANT SHALL GIVE LANDLORD AND THE MORTGAGEE(S)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BELOW) WHOM TENANT HAS BEEN NOTIFIED HOLD MORTGAGES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BELOW), NOTICE AND REASONABLE TIME TO CURE THE ALLEGED DEFAULT.</w:t>
      </w:r>
    </w:p>
    <w:p>
      <w:pPr>
        <w:spacing w:after="0" w:line="81" w:lineRule="exact"/>
        <w:rPr>
          <w:sz w:val="20"/>
          <w:szCs w:val="20"/>
          <w:color w:val="auto"/>
        </w:rPr>
      </w:pPr>
    </w:p>
    <w:p>
      <w:pPr>
        <w:ind w:left="280" w:hanging="276"/>
        <w:spacing w:after="0"/>
        <w:tabs>
          <w:tab w:leader="none" w:pos="28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right="220" w:firstLine="4"/>
        <w:spacing w:after="0" w:line="293" w:lineRule="auto"/>
        <w:tabs>
          <w:tab w:leader="none" w:pos="270" w:val="left"/>
        </w:tabs>
        <w:numPr>
          <w:ilvl w:val="0"/>
          <w:numId w:val="5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Holding Over. </w:t>
      </w:r>
      <w:r>
        <w:rPr>
          <w:rFonts w:ascii="Arial" w:cs="Arial" w:eastAsia="Arial" w:hAnsi="Arial"/>
          <w:sz w:val="16"/>
          <w:szCs w:val="16"/>
          <w:color w:val="auto"/>
        </w:rPr>
        <w:t>If Tenant remains in possession of the Premises after expiration or termination of the Term, or after the date in any notice given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to Tenant terminating this Lease, such possession by Tenant shall be deemed to be a month-to-month tenancy terminable on written thirty</w:t>
      </w:r>
    </w:p>
    <w:p>
      <w:pPr>
        <w:spacing w:after="0" w:line="1" w:lineRule="exact"/>
        <w:rPr>
          <w:rFonts w:ascii="Arial" w:cs="Arial" w:eastAsia="Arial" w:hAnsi="Arial"/>
          <w:sz w:val="16"/>
          <w:szCs w:val="16"/>
          <w:b w:val="1"/>
          <w:bCs w:val="1"/>
          <w:color w:val="auto"/>
        </w:rPr>
      </w:pPr>
    </w:p>
    <w:p>
      <w:pPr>
        <w:ind w:right="2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(30) day notice at any time, by either party. Tenant’s occupancy shall be subject to all the terms and provisions of this Lease and Tenant shall pay an amount (on a per month basis without reduction for partial months during the holdover) equal to one hundred fifty percent (150%) of the fair market gross rental for the Premises as reasonably determined by Landlord (which in no event shall be less than one hundred fifty percent (150%) of the sum of the Base Rent and Additional Rent due for the period immediately preceding the holdover). No holdover by Tenant or payment by Tenant after the termination of this Lease shall be construed to extend the Term or prevent Landlord from immediate recovery of possession of the Premises by summary proceedings or otherwise.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w:t>
      </w:r>
    </w:p>
    <w:p>
      <w:pPr>
        <w:spacing w:after="0" w:line="69" w:lineRule="exact"/>
        <w:rPr>
          <w:rFonts w:ascii="Arial" w:cs="Arial" w:eastAsia="Arial" w:hAnsi="Arial"/>
          <w:sz w:val="16"/>
          <w:szCs w:val="16"/>
          <w:b w:val="1"/>
          <w:bCs w:val="1"/>
          <w:color w:val="auto"/>
        </w:rPr>
      </w:pPr>
    </w:p>
    <w:p>
      <w:pPr>
        <w:ind w:right="40" w:firstLine="4"/>
        <w:spacing w:after="0" w:line="273" w:lineRule="auto"/>
        <w:tabs>
          <w:tab w:leader="none" w:pos="270" w:val="left"/>
        </w:tabs>
        <w:numPr>
          <w:ilvl w:val="0"/>
          <w:numId w:val="5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Subordination to Mortgages; Estoppel Certificate. </w:t>
      </w:r>
      <w:r>
        <w:rPr>
          <w:rFonts w:ascii="Arial" w:cs="Arial" w:eastAsia="Arial" w:hAnsi="Arial"/>
          <w:sz w:val="17"/>
          <w:szCs w:val="17"/>
          <w:color w:val="auto"/>
        </w:rPr>
        <w:t>Tenant accepts this Lease subject and subordinate to any mortgage(s), deed(s) of trust, ground</w:t>
      </w:r>
      <w:r>
        <w:rPr>
          <w:rFonts w:ascii="Arial" w:cs="Arial" w:eastAsia="Arial" w:hAnsi="Arial"/>
          <w:sz w:val="17"/>
          <w:szCs w:val="17"/>
          <w:b w:val="1"/>
          <w:bCs w:val="1"/>
          <w:color w:val="auto"/>
        </w:rPr>
        <w:t xml:space="preserve"> </w:t>
      </w:r>
      <w:r>
        <w:rPr>
          <w:rFonts w:ascii="Arial" w:cs="Arial" w:eastAsia="Arial" w:hAnsi="Arial"/>
          <w:sz w:val="17"/>
          <w:szCs w:val="17"/>
          <w:color w:val="auto"/>
        </w:rPr>
        <w:t>lease(s) or other lien(s) now or subsequently arising upon the Premises, the Building or the Development, and to renewals, modifications, refinancings and extensions thereof (collectively referred to as a “</w:t>
      </w:r>
      <w:r>
        <w:rPr>
          <w:rFonts w:ascii="Arial" w:cs="Arial" w:eastAsia="Arial" w:hAnsi="Arial"/>
          <w:sz w:val="17"/>
          <w:szCs w:val="17"/>
          <w:b w:val="1"/>
          <w:bCs w:val="1"/>
          <w:color w:val="auto"/>
        </w:rPr>
        <w:t>Mortgage</w:t>
      </w:r>
      <w:r>
        <w:rPr>
          <w:rFonts w:ascii="Arial" w:cs="Arial" w:eastAsia="Arial" w:hAnsi="Arial"/>
          <w:sz w:val="17"/>
          <w:szCs w:val="17"/>
          <w:color w:val="auto"/>
        </w:rPr>
        <w:t>”). This clause shall be self-operative, but upon request from the holder of a Mortgage (a “</w:t>
      </w:r>
      <w:r>
        <w:rPr>
          <w:rFonts w:ascii="Arial" w:cs="Arial" w:eastAsia="Arial" w:hAnsi="Arial"/>
          <w:sz w:val="17"/>
          <w:szCs w:val="17"/>
          <w:b w:val="1"/>
          <w:bCs w:val="1"/>
          <w:color w:val="auto"/>
        </w:rPr>
        <w:t>Mortgagee</w:t>
      </w:r>
      <w:r>
        <w:rPr>
          <w:rFonts w:ascii="Arial" w:cs="Arial" w:eastAsia="Arial" w:hAnsi="Arial"/>
          <w:sz w:val="17"/>
          <w:szCs w:val="17"/>
          <w:color w:val="auto"/>
        </w:rPr>
        <w:t>”), Tenant shall execute a commercially reasonable subordination agreement. As an alternative, a Mortgagee shall have the right at any time to subordinate its Mortgage to this Lease. Upon request, Tenant shall, without charge, attorn to any successor to Landlord’s interest in this Lease. Tenant shall, within ten (10) days after receipt of a written request from Landlord, execute and deliver a commercially reasonable estoppel certificate to those parties as are reasonably requested by Landlord.</w:t>
      </w:r>
    </w:p>
    <w:p>
      <w:pPr>
        <w:spacing w:after="0" w:line="64" w:lineRule="exact"/>
        <w:rPr>
          <w:rFonts w:ascii="Arial" w:cs="Arial" w:eastAsia="Arial" w:hAnsi="Arial"/>
          <w:sz w:val="17"/>
          <w:szCs w:val="17"/>
          <w:b w:val="1"/>
          <w:bCs w:val="1"/>
          <w:color w:val="auto"/>
        </w:rPr>
      </w:pPr>
    </w:p>
    <w:p>
      <w:pPr>
        <w:ind w:right="140" w:firstLine="4"/>
        <w:spacing w:after="0" w:line="298" w:lineRule="auto"/>
        <w:tabs>
          <w:tab w:leader="none" w:pos="270" w:val="left"/>
        </w:tabs>
        <w:numPr>
          <w:ilvl w:val="0"/>
          <w:numId w:val="5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Prior to the execution of this Lease by Landlord and at any time during the Term of this Lease (unless Tenant has become a</w:t>
      </w:r>
      <w:r>
        <w:rPr>
          <w:rFonts w:ascii="Arial" w:cs="Arial" w:eastAsia="Arial" w:hAnsi="Arial"/>
          <w:sz w:val="16"/>
          <w:szCs w:val="16"/>
          <w:b w:val="1"/>
          <w:bCs w:val="1"/>
          <w:color w:val="auto"/>
        </w:rPr>
        <w:t xml:space="preserve"> </w:t>
      </w:r>
      <w:r>
        <w:rPr>
          <w:rFonts w:ascii="Arial" w:cs="Arial" w:eastAsia="Arial" w:hAnsi="Arial"/>
          <w:sz w:val="16"/>
          <w:szCs w:val="16"/>
          <w:color w:val="auto"/>
        </w:rPr>
        <w:t>public reporting company under the Securities Exchange Act of 1934) upon ten (10) days prior written notice from Landlord, Tenant agrees to provide Landlord with a current financial statement for Tenant and any guarantors of Tenant and financial statements for the two (2) years prior to the current financial statement year for Tenant and any guarantors of Tenant. Such statements are to be prepared in accordance with generally accepted accounting principles and, if such is the normal practice of Tenant, audited by an independent certified public accountant.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3" w:right="439" w:bottom="1440" w:gutter="0" w:footer="0" w:header="0"/>
        </w:sectPr>
      </w:pPr>
    </w:p>
    <w:bookmarkStart w:id="533" w:name="page534"/>
    <w:bookmarkEnd w:id="533"/>
    <w:p>
      <w:pPr>
        <w:ind w:right="60" w:firstLine="4"/>
        <w:spacing w:after="0" w:line="256" w:lineRule="auto"/>
        <w:tabs>
          <w:tab w:leader="none" w:pos="27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w:t>
      </w:r>
      <w:r>
        <w:rPr>
          <w:rFonts w:ascii="Arial" w:cs="Arial" w:eastAsia="Arial" w:hAnsi="Arial"/>
          <w:sz w:val="18"/>
          <w:szCs w:val="18"/>
          <w:color w:val="auto"/>
        </w:rPr>
        <w:t>All demands, approvals, consents or notices shall be in writing and delivered by hand or sent by registered or certified mail with return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receipt requested, or sent by overnight or same day courier service at the party’s respective Notice Address(es)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Each notice shall be deemed to have been received on the earlier to occur of actual delivery or the date on which delivery is refused, or, if Tenant has vacated the Premises or any other Notice Address without providing a new Notice Address, three (3)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79" w:lineRule="exact"/>
        <w:rPr>
          <w:rFonts w:ascii="Arial" w:cs="Arial" w:eastAsia="Arial" w:hAnsi="Arial"/>
          <w:sz w:val="18"/>
          <w:szCs w:val="18"/>
          <w:b w:val="1"/>
          <w:bCs w:val="1"/>
          <w:color w:val="auto"/>
        </w:rPr>
      </w:pPr>
    </w:p>
    <w:p>
      <w:pPr>
        <w:ind w:firstLine="4"/>
        <w:spacing w:after="0" w:line="270" w:lineRule="auto"/>
        <w:tabs>
          <w:tab w:leader="none" w:pos="270" w:val="left"/>
        </w:tabs>
        <w:numPr>
          <w:ilvl w:val="0"/>
          <w:numId w:val="5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Surrender of Premises. </w:t>
      </w:r>
      <w:r>
        <w:rPr>
          <w:rFonts w:ascii="Arial" w:cs="Arial" w:eastAsia="Arial" w:hAnsi="Arial"/>
          <w:sz w:val="17"/>
          <w:szCs w:val="17"/>
          <w:color w:val="auto"/>
        </w:rPr>
        <w:t>At the termination of this Lease or Tenant’s right of possession, Tenant shall remove Tenant’s Property and any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Removables from the Premises, and quit and surrender the Premises to Landlord, broom clean, and in good order, condition and repair, ordinary wear and tear and damage which Landlord is obligated to repair hereunder excepted. If Tenant fails to remove any of Tenant’s Property within two (2) days after termination, Landlord, at Tenant’s sole cost and expense, shall be entitled to remove and store Tenant’s Property. Landlord shall not be responsible for the value, preservation or safekeeping of Tenant’s Property. Tenant shall pay Landlord, upon demand, the expenses and storage charges incurred. If Tenant fails to remove Tenant’s Property from the Premises or storage within thirty (30) days after notice, Landlord may deem all or any part of Tenant’s Property to be abandoned and title to Tenant’s Property shall vest in Landlord. If Tenant fails to remove any of the designated Required Removables by the Expiration Date or perform related repairs in a timely manner, Landlord may perform such work at Tenant’s expense, and Tenant shall be deemed to be in holdover of the Premises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above during the reasonable period of time required for the removal of Tenant’s Property.</w:t>
      </w:r>
    </w:p>
    <w:p>
      <w:pPr>
        <w:spacing w:after="0" w:line="69" w:lineRule="exact"/>
        <w:rPr>
          <w:rFonts w:ascii="Arial" w:cs="Arial" w:eastAsia="Arial" w:hAnsi="Arial"/>
          <w:sz w:val="17"/>
          <w:szCs w:val="17"/>
          <w:b w:val="1"/>
          <w:bCs w:val="1"/>
          <w:color w:val="auto"/>
        </w:rPr>
      </w:pPr>
    </w:p>
    <w:p>
      <w:pPr>
        <w:ind w:left="280" w:hanging="276"/>
        <w:spacing w:after="0"/>
        <w:tabs>
          <w:tab w:leader="none" w:pos="28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300" w:firstLine="551"/>
        <w:spacing w:after="0" w:line="257" w:lineRule="auto"/>
        <w:rPr>
          <w:sz w:val="20"/>
          <w:szCs w:val="20"/>
          <w:color w:val="auto"/>
        </w:rPr>
      </w:pPr>
      <w:r>
        <w:rPr>
          <w:rFonts w:ascii="Arial" w:cs="Arial" w:eastAsia="Arial" w:hAnsi="Arial"/>
          <w:sz w:val="18"/>
          <w:szCs w:val="18"/>
          <w:color w:val="auto"/>
        </w:rPr>
        <w:t xml:space="preserve">28.01 </w:t>
      </w:r>
      <w:r>
        <w:rPr>
          <w:rFonts w:ascii="Arial" w:cs="Arial" w:eastAsia="Arial" w:hAnsi="Arial"/>
          <w:sz w:val="18"/>
          <w:szCs w:val="18"/>
          <w:u w:val="single" w:color="auto"/>
          <w:color w:val="auto"/>
        </w:rPr>
        <w:t>Costs and Expenses; No Waiver</w:t>
      </w:r>
      <w:r>
        <w:rPr>
          <w:rFonts w:ascii="Arial" w:cs="Arial" w:eastAsia="Arial" w:hAnsi="Arial"/>
          <w:sz w:val="18"/>
          <w:szCs w:val="18"/>
          <w:color w:val="auto"/>
        </w:rPr>
        <w:t>. If either party institutes a suit against the other for violation of or to enforce any covenant, term or condition of this Lease, the prevailing party shall be entitled to all of its costs and expenses, including, without limitation, reasonable attorneys’ fees. Landlord and Tenant hereby waive any right to trial by jury in any proceeding based upon a breach of this Lease. Either party’s failure to declare a default immediately upon its occurrence, or delay in taking action for a default shall not constitute a waiver of the default, nor shall it constitute an estoppel.</w:t>
      </w:r>
    </w:p>
    <w:p>
      <w:pPr>
        <w:spacing w:after="0" w:line="80" w:lineRule="exact"/>
        <w:rPr>
          <w:sz w:val="20"/>
          <w:szCs w:val="20"/>
          <w:color w:val="auto"/>
        </w:rPr>
      </w:pPr>
    </w:p>
    <w:p>
      <w:pPr>
        <w:ind w:firstLine="551"/>
        <w:spacing w:after="0" w:line="279" w:lineRule="auto"/>
        <w:rPr>
          <w:sz w:val="20"/>
          <w:szCs w:val="20"/>
          <w:color w:val="auto"/>
        </w:rPr>
      </w:pPr>
      <w:r>
        <w:rPr>
          <w:rFonts w:ascii="Arial" w:cs="Arial" w:eastAsia="Arial" w:hAnsi="Arial"/>
          <w:sz w:val="17"/>
          <w:szCs w:val="17"/>
          <w:color w:val="auto"/>
        </w:rPr>
        <w:t xml:space="preserve">28.02 </w:t>
      </w:r>
      <w:r>
        <w:rPr>
          <w:rFonts w:ascii="Arial" w:cs="Arial" w:eastAsia="Arial" w:hAnsi="Arial"/>
          <w:sz w:val="17"/>
          <w:szCs w:val="17"/>
          <w:u w:val="single" w:color="auto"/>
          <w:color w:val="auto"/>
        </w:rPr>
        <w:t>Force Majeure</w:t>
      </w:r>
      <w:r>
        <w:rPr>
          <w:rFonts w:ascii="Arial" w:cs="Arial" w:eastAsia="Arial" w:hAnsi="Arial"/>
          <w:sz w:val="17"/>
          <w:szCs w:val="17"/>
          <w:color w:val="auto"/>
        </w:rPr>
        <w:t>. Whenever a period of time is prescribed for the taking of an action by Landlord or Tenant (other than the payment of the Security Deposit or Rent), the period of time for the performance of such action shall be extended by the number of days that the performance is actually delayed due to strikes, acts of God, shortages of labor or materials, war, terrorist acts, civil disturbances and other causes beyond the reasonable control of the performing party (“</w:t>
      </w:r>
      <w:r>
        <w:rPr>
          <w:rFonts w:ascii="Arial" w:cs="Arial" w:eastAsia="Arial" w:hAnsi="Arial"/>
          <w:sz w:val="17"/>
          <w:szCs w:val="17"/>
          <w:b w:val="1"/>
          <w:bCs w:val="1"/>
          <w:color w:val="auto"/>
        </w:rPr>
        <w:t>Force Majeure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Force Majeure shall not include financial difficulties of the party required to perform.</w:t>
      </w:r>
    </w:p>
    <w:p>
      <w:pPr>
        <w:spacing w:after="0" w:line="63" w:lineRule="exact"/>
        <w:rPr>
          <w:sz w:val="20"/>
          <w:szCs w:val="20"/>
          <w:color w:val="auto"/>
        </w:rPr>
      </w:pPr>
    </w:p>
    <w:p>
      <w:pPr>
        <w:ind w:right="80" w:firstLine="551"/>
        <w:spacing w:after="0" w:line="259" w:lineRule="auto"/>
        <w:rPr>
          <w:sz w:val="20"/>
          <w:szCs w:val="20"/>
          <w:color w:val="auto"/>
        </w:rPr>
      </w:pPr>
      <w:r>
        <w:rPr>
          <w:rFonts w:ascii="Arial" w:cs="Arial" w:eastAsia="Arial" w:hAnsi="Arial"/>
          <w:sz w:val="18"/>
          <w:szCs w:val="18"/>
          <w:color w:val="auto"/>
        </w:rPr>
        <w:t xml:space="preserve">28.03 </w:t>
      </w:r>
      <w:r>
        <w:rPr>
          <w:rFonts w:ascii="Arial" w:cs="Arial" w:eastAsia="Arial" w:hAnsi="Arial"/>
          <w:sz w:val="18"/>
          <w:szCs w:val="18"/>
          <w:u w:val="single" w:color="auto"/>
          <w:color w:val="auto"/>
        </w:rPr>
        <w:t>Transfer By Landlord</w:t>
      </w:r>
      <w:r>
        <w:rPr>
          <w:rFonts w:ascii="Arial" w:cs="Arial" w:eastAsia="Arial" w:hAnsi="Arial"/>
          <w:sz w:val="18"/>
          <w:szCs w:val="18"/>
          <w:color w:val="auto"/>
        </w:rPr>
        <w:t>. Landlord shall have the right to transfer and assign, in whole or in part, all of its ownership interest, rights and obligations in the Building, Development or Lease, including the Security Deposit, and upon transfer Landlord shall be released from any further obligations hereunder, and Tenant agrees to look solely to the successor in interest of Landlord for the performance of such obligations and the return of any Security Deposit.</w:t>
      </w:r>
    </w:p>
    <w:p>
      <w:pPr>
        <w:spacing w:after="0" w:line="79" w:lineRule="exact"/>
        <w:rPr>
          <w:sz w:val="20"/>
          <w:szCs w:val="20"/>
          <w:color w:val="auto"/>
        </w:rPr>
      </w:pPr>
    </w:p>
    <w:p>
      <w:pPr>
        <w:ind w:right="40" w:firstLine="551"/>
        <w:spacing w:after="0" w:line="259" w:lineRule="auto"/>
        <w:rPr>
          <w:sz w:val="20"/>
          <w:szCs w:val="20"/>
          <w:color w:val="auto"/>
        </w:rPr>
      </w:pPr>
      <w:r>
        <w:rPr>
          <w:rFonts w:ascii="Arial" w:cs="Arial" w:eastAsia="Arial" w:hAnsi="Arial"/>
          <w:sz w:val="18"/>
          <w:szCs w:val="18"/>
          <w:color w:val="auto"/>
        </w:rPr>
        <w:t xml:space="preserve">28.04 </w:t>
      </w:r>
      <w:r>
        <w:rPr>
          <w:rFonts w:ascii="Arial" w:cs="Arial" w:eastAsia="Arial" w:hAnsi="Arial"/>
          <w:sz w:val="18"/>
          <w:szCs w:val="18"/>
          <w:u w:val="single" w:color="auto"/>
          <w:color w:val="auto"/>
        </w:rPr>
        <w:t>Submission of Lease; Claims By Brokers</w:t>
      </w:r>
      <w:r>
        <w:rPr>
          <w:rFonts w:ascii="Arial" w:cs="Arial" w:eastAsia="Arial" w:hAnsi="Arial"/>
          <w:sz w:val="18"/>
          <w:szCs w:val="18"/>
          <w:color w:val="auto"/>
        </w:rPr>
        <w:t>. Landlord has delivered a copy of this Lease to Tenant for Tenant’s review only, and the delivery of it does not constitute an offer to Tenant or an option. Tenant represents that it has dealt directly with and only with the Broker as a broker in connection with this Lease. Tenant shall indemnify and hold Landlord and the Landlord Related Parties harmless from all claims of any other brokers claiming to have represented Tenant in connection with this Lease.</w:t>
      </w:r>
    </w:p>
    <w:p>
      <w:pPr>
        <w:spacing w:after="0" w:line="79" w:lineRule="exact"/>
        <w:rPr>
          <w:sz w:val="20"/>
          <w:szCs w:val="20"/>
          <w:color w:val="auto"/>
        </w:rPr>
      </w:pPr>
    </w:p>
    <w:p>
      <w:pPr>
        <w:ind w:right="260" w:firstLine="551"/>
        <w:spacing w:after="0" w:line="277" w:lineRule="auto"/>
        <w:rPr>
          <w:sz w:val="20"/>
          <w:szCs w:val="20"/>
          <w:color w:val="auto"/>
        </w:rPr>
      </w:pPr>
      <w:r>
        <w:rPr>
          <w:rFonts w:ascii="Arial" w:cs="Arial" w:eastAsia="Arial" w:hAnsi="Arial"/>
          <w:sz w:val="18"/>
          <w:szCs w:val="18"/>
          <w:color w:val="auto"/>
        </w:rPr>
        <w:t xml:space="preserve">28.05 </w:t>
      </w:r>
      <w:r>
        <w:rPr>
          <w:rFonts w:ascii="Arial" w:cs="Arial" w:eastAsia="Arial" w:hAnsi="Arial"/>
          <w:sz w:val="18"/>
          <w:szCs w:val="18"/>
          <w:u w:val="single" w:color="auto"/>
          <w:color w:val="auto"/>
        </w:rPr>
        <w:t>Survival of Obligations</w:t>
      </w:r>
      <w:r>
        <w:rPr>
          <w:rFonts w:ascii="Arial" w:cs="Arial" w:eastAsia="Arial" w:hAnsi="Arial"/>
          <w:sz w:val="18"/>
          <w:szCs w:val="18"/>
          <w:color w:val="auto"/>
        </w:rPr>
        <w:t>. The expiration of the Term, whether by lapse of time, termination or otherwise, shall not relieve either party of any obligations which accrued prior to or which may continue to accrue after the expiration or termination of this 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534" w:name="page535"/>
    <w:bookmarkEnd w:id="534"/>
    <w:p>
      <w:pPr>
        <w:ind w:firstLine="55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28.06 </w:t>
      </w:r>
      <w:r>
        <w:rPr>
          <w:rFonts w:ascii="Arial" w:cs="Arial" w:eastAsia="Arial" w:hAnsi="Arial"/>
          <w:sz w:val="17"/>
          <w:szCs w:val="17"/>
          <w:u w:val="single" w:color="auto"/>
          <w:color w:val="auto"/>
        </w:rPr>
        <w:t>Quiet Enjoyment; Binding Covenants</w:t>
      </w:r>
      <w:r>
        <w:rPr>
          <w:rFonts w:ascii="Arial" w:cs="Arial" w:eastAsia="Arial" w:hAnsi="Arial"/>
          <w:sz w:val="17"/>
          <w:szCs w:val="17"/>
          <w:color w:val="auto"/>
        </w:rPr>
        <w:t>. Tenant shall, and may peacefully have, hold and enjoy the Premises, subject to the terms of this Lease, provided Tenant pays the Rent and fully performs all of its covenants and agreements. This covenant and all other covenants of Landlord shall be binding upon Landlord and its successors only during its or their respective periods of ownership of the Building.</w:t>
      </w:r>
    </w:p>
    <w:p>
      <w:pPr>
        <w:spacing w:after="0" w:line="57" w:lineRule="exact"/>
        <w:rPr>
          <w:sz w:val="20"/>
          <w:szCs w:val="20"/>
          <w:color w:val="auto"/>
        </w:rPr>
      </w:pPr>
    </w:p>
    <w:p>
      <w:pPr>
        <w:ind w:firstLine="551"/>
        <w:spacing w:after="0" w:line="264" w:lineRule="auto"/>
        <w:rPr>
          <w:sz w:val="20"/>
          <w:szCs w:val="20"/>
          <w:color w:val="auto"/>
        </w:rPr>
      </w:pPr>
      <w:r>
        <w:rPr>
          <w:rFonts w:ascii="Arial" w:cs="Arial" w:eastAsia="Arial" w:hAnsi="Arial"/>
          <w:sz w:val="18"/>
          <w:szCs w:val="18"/>
          <w:color w:val="auto"/>
        </w:rPr>
        <w:t xml:space="preserve">28.07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Lease constitutes the entire agreement between the parties and supersedes all prior agreements and understandings related to the Premises. This Lease may be modified only by a written agreement signed by Landlord and Tenant. This Lease shall be interpreted and enforced in accordance with the Laws of the state or commonwealth in which the Building is located.</w:t>
      </w:r>
    </w:p>
    <w:p>
      <w:pPr>
        <w:spacing w:after="0" w:line="73" w:lineRule="exact"/>
        <w:rPr>
          <w:sz w:val="20"/>
          <w:szCs w:val="20"/>
          <w:color w:val="auto"/>
        </w:rPr>
      </w:pPr>
    </w:p>
    <w:p>
      <w:pPr>
        <w:ind w:right="60" w:firstLine="551"/>
        <w:spacing w:after="0" w:line="259" w:lineRule="auto"/>
        <w:rPr>
          <w:sz w:val="20"/>
          <w:szCs w:val="20"/>
          <w:color w:val="auto"/>
        </w:rPr>
      </w:pPr>
      <w:r>
        <w:rPr>
          <w:rFonts w:ascii="Arial" w:cs="Arial" w:eastAsia="Arial" w:hAnsi="Arial"/>
          <w:sz w:val="18"/>
          <w:szCs w:val="18"/>
          <w:color w:val="auto"/>
        </w:rPr>
        <w:t xml:space="preserve">28.08 </w:t>
      </w:r>
      <w:r>
        <w:rPr>
          <w:rFonts w:ascii="Arial" w:cs="Arial" w:eastAsia="Arial" w:hAnsi="Arial"/>
          <w:sz w:val="18"/>
          <w:szCs w:val="18"/>
          <w:u w:val="single" w:color="auto"/>
          <w:color w:val="auto"/>
        </w:rPr>
        <w:t>Authority; PATRIOT Act</w:t>
      </w:r>
      <w:r>
        <w:rPr>
          <w:rFonts w:ascii="Arial" w:cs="Arial" w:eastAsia="Arial" w:hAnsi="Arial"/>
          <w:sz w:val="18"/>
          <w:szCs w:val="18"/>
          <w:color w:val="auto"/>
        </w:rPr>
        <w:t>. Tenant represents and warrants to Landlord that each individual executing this Lease on behalf of Tenant is authorized to do so on behalf of Tenant and that Tenant is not, and the entities or individuals constituting Tenant or which may own or control Tenant or which may be owned or controlled by Tenant are not, among the individuals or entities identified on any list compiled pursuant to Executive Order 13224 for the purpose of identifying suspected terrorists.</w:t>
      </w:r>
    </w:p>
    <w:p>
      <w:pPr>
        <w:spacing w:after="0" w:line="79" w:lineRule="exact"/>
        <w:rPr>
          <w:sz w:val="20"/>
          <w:szCs w:val="20"/>
          <w:color w:val="auto"/>
        </w:rPr>
      </w:pPr>
    </w:p>
    <w:p>
      <w:pPr>
        <w:ind w:right="780" w:firstLine="551"/>
        <w:spacing w:after="0" w:line="277" w:lineRule="auto"/>
        <w:rPr>
          <w:sz w:val="20"/>
          <w:szCs w:val="20"/>
          <w:color w:val="auto"/>
        </w:rPr>
      </w:pPr>
      <w:r>
        <w:rPr>
          <w:rFonts w:ascii="Arial" w:cs="Arial" w:eastAsia="Arial" w:hAnsi="Arial"/>
          <w:sz w:val="18"/>
          <w:szCs w:val="18"/>
          <w:color w:val="auto"/>
        </w:rPr>
        <w:t xml:space="preserve">28.09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62" w:lineRule="exact"/>
        <w:rPr>
          <w:sz w:val="20"/>
          <w:szCs w:val="20"/>
          <w:color w:val="auto"/>
        </w:rPr>
      </w:pPr>
    </w:p>
    <w:p>
      <w:pPr>
        <w:ind w:right="200" w:firstLine="551"/>
        <w:spacing w:after="0" w:line="264" w:lineRule="auto"/>
        <w:rPr>
          <w:sz w:val="20"/>
          <w:szCs w:val="20"/>
          <w:color w:val="auto"/>
        </w:rPr>
      </w:pPr>
      <w:r>
        <w:rPr>
          <w:rFonts w:ascii="Arial" w:cs="Arial" w:eastAsia="Arial" w:hAnsi="Arial"/>
          <w:sz w:val="18"/>
          <w:szCs w:val="18"/>
          <w:color w:val="auto"/>
        </w:rPr>
        <w:t xml:space="preserve">28.10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Lease shall be considered separable such that if any provision or part of this Lease is ever held to be invalid, void or illegal under any law or ruling, all remaining provisions of this Lease shall remain in full force and effect to the maximum extent permitted by law.</w:t>
      </w:r>
    </w:p>
    <w:p>
      <w:pPr>
        <w:spacing w:after="0" w:line="73" w:lineRule="exact"/>
        <w:rPr>
          <w:sz w:val="20"/>
          <w:szCs w:val="20"/>
          <w:color w:val="auto"/>
        </w:rPr>
      </w:pPr>
    </w:p>
    <w:p>
      <w:pPr>
        <w:jc w:val="both"/>
        <w:ind w:right="200" w:firstLine="551"/>
        <w:spacing w:after="0" w:line="293" w:lineRule="auto"/>
        <w:rPr>
          <w:sz w:val="20"/>
          <w:szCs w:val="20"/>
          <w:color w:val="auto"/>
        </w:rPr>
      </w:pPr>
      <w:r>
        <w:rPr>
          <w:rFonts w:ascii="Arial" w:cs="Arial" w:eastAsia="Arial" w:hAnsi="Arial"/>
          <w:sz w:val="16"/>
          <w:szCs w:val="16"/>
          <w:color w:val="auto"/>
        </w:rPr>
        <w:t xml:space="preserve">28.11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parties acknowledge and agree that the terms of this Lease are confidential and constitute proprietary information. Disclosure of the terms could adversely affect the ability of Landlord to negotiate other leases and impair Landlord’s relationship with other tenants. Accordingly, the parties agree that they, and their respective partners, officers, directors, employees, agents and attorneys, shall not intentionally and voluntarily disclose the terms and conditions of this Lease to any newspaper or other publication or any other tenant or apparent prospective tenant of the Building or other portion of the Development, or real estate agent, either directly or indirectly,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may disclose the terms to prospective subtenants or assignees under this Lease.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Parking.</w:t>
      </w:r>
    </w:p>
    <w:p>
      <w:pPr>
        <w:spacing w:after="0" w:line="121" w:lineRule="exact"/>
        <w:rPr>
          <w:sz w:val="20"/>
          <w:szCs w:val="20"/>
          <w:color w:val="auto"/>
        </w:rPr>
      </w:pPr>
    </w:p>
    <w:p>
      <w:pPr>
        <w:ind w:right="20" w:firstLine="551"/>
        <w:spacing w:after="0" w:line="293" w:lineRule="auto"/>
        <w:rPr>
          <w:sz w:val="20"/>
          <w:szCs w:val="20"/>
          <w:color w:val="auto"/>
        </w:rPr>
      </w:pPr>
      <w:r>
        <w:rPr>
          <w:rFonts w:ascii="Arial" w:cs="Arial" w:eastAsia="Arial" w:hAnsi="Arial"/>
          <w:sz w:val="16"/>
          <w:szCs w:val="16"/>
          <w:color w:val="auto"/>
        </w:rPr>
        <w:t xml:space="preserve">29.01 </w:t>
      </w:r>
      <w:r>
        <w:rPr>
          <w:rFonts w:ascii="Arial" w:cs="Arial" w:eastAsia="Arial" w:hAnsi="Arial"/>
          <w:sz w:val="16"/>
          <w:szCs w:val="16"/>
          <w:u w:val="single" w:color="auto"/>
          <w:color w:val="auto"/>
        </w:rPr>
        <w:t>Tenant’s Parking</w:t>
      </w:r>
      <w:r>
        <w:rPr>
          <w:rFonts w:ascii="Arial" w:cs="Arial" w:eastAsia="Arial" w:hAnsi="Arial"/>
          <w:sz w:val="16"/>
          <w:szCs w:val="16"/>
          <w:color w:val="auto"/>
        </w:rPr>
        <w:t xml:space="preserve">. During the Term of this Lease, Tenant shall have the right to use, at no charge to Tenant during the initial Term, the number of parking spaces specified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the Basic Lease Information hereof, for use by Tenant’s employees in the common parking areas for the Building within the Development, as designated by Landlord from time to time. Landlord shall at all times have the right to establish and modify the nature and extent of the parking areas for the Building and Development (including whether such areas shall be surface, underground and/or other structures) as long as Tenant is provided the number of parking spaces designated in the Basic Lease Information. In addition, Landlord may, in its sole discretion, assign any unreserved and unassigned parking spaces, and/or make all or a portion of such spaces reserved.</w:t>
      </w:r>
    </w:p>
    <w:p>
      <w:pPr>
        <w:spacing w:after="0" w:line="57" w:lineRule="exact"/>
        <w:rPr>
          <w:sz w:val="20"/>
          <w:szCs w:val="20"/>
          <w:color w:val="auto"/>
        </w:rPr>
      </w:pPr>
    </w:p>
    <w:p>
      <w:pPr>
        <w:ind w:right="20" w:firstLine="551"/>
        <w:spacing w:after="0" w:line="271" w:lineRule="auto"/>
        <w:rPr>
          <w:sz w:val="20"/>
          <w:szCs w:val="20"/>
          <w:color w:val="auto"/>
        </w:rPr>
      </w:pPr>
      <w:r>
        <w:rPr>
          <w:rFonts w:ascii="Arial" w:cs="Arial" w:eastAsia="Arial" w:hAnsi="Arial"/>
          <w:sz w:val="17"/>
          <w:szCs w:val="17"/>
          <w:color w:val="auto"/>
        </w:rPr>
        <w:t>29.02 In addition to such parking spaces for use by Tenant’s employees, Landlord shall permit access to the parking areas for Tenant’s visitors, subject to availability of spaces and payment (by validation charges or otherwise) of daily visitor parking charges therefor as may be established and adjusted by Landlord from time to time. Landlord hereby agrees to provide three (3) additional unreserved parking spaces adjacent to the Building, for the non-exclusive use of all visitors and invitees of the Building or Development. Landlord shall use commercially reasonable efforts to identify such three (3) stalls in a location near the entrance of the Building for use by visitors of the Building or Development, which stalls are subject to relocation in Landlord’s sole and absolute discretion. Although there are currently no daily visitor parking charges, Landlord reserves the right to impose such charges in the future. To the extent Landlord institutes any visitor parking charges, Landlord shall provide Tenant the ability to validate its visitors parking, such that they will not be responsible for payment of such charges.</w:t>
      </w:r>
    </w:p>
    <w:p>
      <w:pPr>
        <w:spacing w:after="0" w:line="71" w:lineRule="exact"/>
        <w:rPr>
          <w:sz w:val="20"/>
          <w:szCs w:val="20"/>
          <w:color w:val="auto"/>
        </w:rPr>
      </w:pPr>
    </w:p>
    <w:p>
      <w:pPr>
        <w:ind w:right="240" w:firstLine="551"/>
        <w:spacing w:after="0" w:line="279" w:lineRule="auto"/>
        <w:rPr>
          <w:sz w:val="20"/>
          <w:szCs w:val="20"/>
          <w:color w:val="auto"/>
        </w:rPr>
      </w:pPr>
      <w:r>
        <w:rPr>
          <w:rFonts w:ascii="Arial" w:cs="Arial" w:eastAsia="Arial" w:hAnsi="Arial"/>
          <w:sz w:val="17"/>
          <w:szCs w:val="17"/>
          <w:color w:val="auto"/>
        </w:rPr>
        <w:t>29.03 The use of the parking areas shall be subject to any reasonable, non-discriminatory rules and regulations adopted by Landlord and/or Landlord’s parking operators from time to time, including any system for controlled ingress and egress and charging visitors and invitees, with appropriate provision for validation of such charges. Tenant shall not use more parking spaces than its allotment and shall not use any parking spaces specifically assigned by Landlord to other tenants of the Building or Development or for such other uses as visitor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3" w:right="479" w:bottom="1440" w:gutter="0" w:footer="0" w:header="0"/>
        </w:sectPr>
      </w:pPr>
    </w:p>
    <w:bookmarkStart w:id="535" w:name="page536"/>
    <w:bookmarkEnd w:id="535"/>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parking. Tenant’s parking spaces shall be used only for parking by vehicles no larger than normally sized passenger automobiles or pick-up trucks. Tenant shall not permit or allow any vehicles that belong to or are controlled by Tenant or Tenant’s employees, suppliers, shippers, customers or invitees to be loaded, unloaded, or parked in areas other than those designated by Landlord for such activities. If Tenant permits or allows any of the prohibited activities described herein, including, without limitation, parking in spaces designated as reserved spaces, illegal parking, and any non-compliance with posted signage, then Landlord shall have the right, without notice, in addition to such other rights and remedies that it may have, to remove or tow away the vehicle involved and charge the cost thereof to Tenant, which cost shall be immediately payable by Tenant upon demand by Landlord.</w:t>
      </w:r>
    </w:p>
    <w:p>
      <w:pPr>
        <w:spacing w:after="0" w:line="57" w:lineRule="exact"/>
        <w:rPr>
          <w:sz w:val="20"/>
          <w:szCs w:val="20"/>
          <w:color w:val="auto"/>
        </w:rPr>
      </w:pPr>
    </w:p>
    <w:p>
      <w:pPr>
        <w:ind w:firstLine="551"/>
        <w:spacing w:after="0" w:line="289" w:lineRule="auto"/>
        <w:rPr>
          <w:sz w:val="20"/>
          <w:szCs w:val="20"/>
          <w:color w:val="auto"/>
        </w:rPr>
      </w:pPr>
      <w:r>
        <w:rPr>
          <w:rFonts w:ascii="Arial" w:cs="Arial" w:eastAsia="Arial" w:hAnsi="Arial"/>
          <w:sz w:val="16"/>
          <w:szCs w:val="16"/>
          <w:color w:val="auto"/>
        </w:rPr>
        <w:t xml:space="preserve">29.04 Subject to plans and specifications approved in advance by Landlord, including designation of the parking space to be used and paid for by Tenant in connection therewith, and in accordance with the terms and conditions set forth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above, Tenant shall have the right to install at its sole cost and expense an electric vehicle charging station for use by Tenant’s employees. Tenant shall be solely responsible for acquisition and installation of the charging station and all associated infrastructure and shall arrange and pay for electricity and any metering to measure the electricity utilized by the charging station. Tenant shall be responsible to obtain and maintain all permits required for the installation, operation and maintenance of the charging station in compliance with all applicable laws, rules and regulations. Upon Landlord or Tenant’s request, prior to installation of the charging station, Landlord and Tenant shall enter into a lease amendment, or other written agreement, in mutually acceptable form to set forth the terms and conditions governing the charging station. At the expiration or earlier termination of the Lease, Tenant shall, upon Landlord’s request, remove the charging station from the Development (and shall repair any damage caused by such removal), but shall leave all associated infrastructure in place.</w:t>
      </w:r>
    </w:p>
    <w:p>
      <w:pPr>
        <w:spacing w:after="0" w:line="55" w:lineRule="exact"/>
        <w:rPr>
          <w:sz w:val="20"/>
          <w:szCs w:val="20"/>
          <w:color w:val="auto"/>
        </w:rPr>
      </w:pPr>
    </w:p>
    <w:p>
      <w:pPr>
        <w:ind w:left="280" w:hanging="276"/>
        <w:spacing w:after="0"/>
        <w:tabs>
          <w:tab w:leader="none" w:pos="28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firstLine="4"/>
        <w:spacing w:after="0" w:line="261" w:lineRule="auto"/>
        <w:tabs>
          <w:tab w:leader="none" w:pos="27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Electronic Delivery /Signatures. </w:t>
      </w:r>
      <w:r>
        <w:rPr>
          <w:rFonts w:ascii="Arial" w:cs="Arial" w:eastAsia="Arial" w:hAnsi="Arial"/>
          <w:sz w:val="18"/>
          <w:szCs w:val="18"/>
          <w:color w:val="auto"/>
        </w:rPr>
        <w:t>This Lease may be executed in one or more counterparts, each of which shall constitute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shall be one and the same agreement. The parties may exchange electronic counterpart signatures by facsimile or electronic transmission and the same shall constitute execution and delivery of this Lease with respect to the delivering party. If a variation or discrepancy among counterparts occurs, the copy of this Lease in Landlord’s possession shall control.</w:t>
      </w:r>
    </w:p>
    <w:p>
      <w:pPr>
        <w:spacing w:after="0" w:line="71" w:lineRule="exact"/>
        <w:rPr>
          <w:rFonts w:ascii="Arial" w:cs="Arial" w:eastAsia="Arial" w:hAnsi="Arial"/>
          <w:sz w:val="18"/>
          <w:szCs w:val="18"/>
          <w:b w:val="1"/>
          <w:bCs w:val="1"/>
          <w:color w:val="auto"/>
        </w:rPr>
      </w:pPr>
    </w:p>
    <w:p>
      <w:pPr>
        <w:ind w:left="280" w:hanging="276"/>
        <w:spacing w:after="0"/>
        <w:tabs>
          <w:tab w:leader="none" w:pos="28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Materials.</w:t>
      </w:r>
    </w:p>
    <w:p>
      <w:pPr>
        <w:spacing w:after="0" w:line="121" w:lineRule="exact"/>
        <w:rPr>
          <w:sz w:val="20"/>
          <w:szCs w:val="20"/>
          <w:color w:val="auto"/>
        </w:rPr>
      </w:pPr>
    </w:p>
    <w:p>
      <w:pPr>
        <w:ind w:right="20" w:firstLine="551"/>
        <w:spacing w:after="0" w:line="285" w:lineRule="auto"/>
        <w:rPr>
          <w:sz w:val="20"/>
          <w:szCs w:val="20"/>
          <w:color w:val="auto"/>
        </w:rPr>
      </w:pPr>
      <w:r>
        <w:rPr>
          <w:rFonts w:ascii="Arial" w:cs="Arial" w:eastAsia="Arial" w:hAnsi="Arial"/>
          <w:sz w:val="16"/>
          <w:szCs w:val="16"/>
          <w:color w:val="auto"/>
        </w:rPr>
        <w:t>32.01 Tenant will (i) obtain and maintain in full force and effect all Environmental Permits (defined below) that may be required from time to time under any Environmental Laws (defined below) applicable to Tenant or the Premises and (ii) be and remain in compliance in all material respects with all terms and conditions of all such Environmental Permits and with all other limitations, restrictions, conditions, standards, prohibitions, requirements, obligations, schedules and timetables contained in all Environmental Laws applicable to Tenant or to Tenant’s operations in the Premises. As used in this Lease, the term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past, present or future federal, state, local or foreign statutory or common law, or any regulation, ordinance, code, plan, order, permit, grant, franchise, concession, restriction or agreement issued, entered, promulgated or approved thereunder, relating to (a) the environment, human health or safety, including, without limitation, emissions, discharges, releases or threatened releases of Hazardous Materials (as defined below) into the environment (including, without limitation, air, surface water, groundwater or land), or (b) the manufacture, generation, refining, processing, distribution, use, sale, treatment, receipt, storage, disposal, transport, arranging for transport, or handling of Hazardous Materials. “</w:t>
      </w:r>
      <w:r>
        <w:rPr>
          <w:rFonts w:ascii="Arial" w:cs="Arial" w:eastAsia="Arial" w:hAnsi="Arial"/>
          <w:sz w:val="16"/>
          <w:szCs w:val="16"/>
          <w:b w:val="1"/>
          <w:bCs w:val="1"/>
          <w:color w:val="auto"/>
        </w:rPr>
        <w:t>Environmental Permits</w:t>
      </w:r>
      <w:r>
        <w:rPr>
          <w:rFonts w:ascii="Arial" w:cs="Arial" w:eastAsia="Arial" w:hAnsi="Arial"/>
          <w:sz w:val="16"/>
          <w:szCs w:val="16"/>
          <w:color w:val="auto"/>
        </w:rPr>
        <w:t xml:space="preserve">” means, collectively, any and all permits, consents, licenses, approvals and registrations of any nature at any time required pursuant to, or in order to comply with, any Environmental Laws. Except for ordinary and general office supplies, equipment and facilities, such as copier toner, liquid paper, back-up power sources, glue, ink and common household cleaning materials, as well as customary quantities of first aid supplies and the parking of vehicles in the parking areas adjacent to the Premises (some or all of which may constitute “Hazardous Materials” as defined in this Lease), Tenant agrees not to cause or knowingly permit any Hazardous Materials to be brought upon, stored, used, handled, generated, released or disposed of on, in, under or about the Premises, the Building, the Development or any portion thereof by Tenant or any of Tenant’s Parties (as defined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without the prior written consent of Landlord, which consent Landlord may withhold in its sole and absolute discretion. Upon the expiration or earlier termination of this Lease, Tenant agrees to promptly remove from the Premises, at its sole cost and expense, any and all Hazardous Materials, including any equipment or systems containing Hazardous Materials which are installed, brought upon, stored, used, generated or released upon, in, under or about the Premises, the Building, the Development or any portion thereof by Tenant or any of Tenant’s Parties. To the fullest extent permitted by law, Tenant agrees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536" w:name="page537"/>
    <w:bookmarkEnd w:id="53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indemnify, protect, defend and hold harmless Landlord and Landlord’s partners, officers, directors, employees, agents, successors and assigns (collectively, “</w:t>
      </w:r>
      <w:r>
        <w:rPr>
          <w:rFonts w:ascii="Arial" w:cs="Arial" w:eastAsia="Arial" w:hAnsi="Arial"/>
          <w:sz w:val="17"/>
          <w:szCs w:val="17"/>
          <w:b w:val="1"/>
          <w:bCs w:val="1"/>
          <w:color w:val="auto"/>
        </w:rPr>
        <w:t>Landlord Indemnified Parties</w:t>
      </w:r>
      <w:r>
        <w:rPr>
          <w:rFonts w:ascii="Arial" w:cs="Arial" w:eastAsia="Arial" w:hAnsi="Arial"/>
          <w:sz w:val="17"/>
          <w:szCs w:val="17"/>
          <w:color w:val="auto"/>
        </w:rPr>
        <w:t>”) 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the Building or any other portion of the Development and which are caused or knowingly permitted by Tenant or any of Tenant’s Parties. Tenant agrees to promptly notify Landlord of any release of Hazardous Materials at the Premises, which Tenant becomes aware of during the Term of this Lease, whether caused by Tenant or any other persons or entities. In the event of any release of Hazardous Materials caused or permitted by Tenant or any of Tenant’s Parties, Landlord shall have the right, but not the obligation, to cause Tenant to immediately take all steps Landlord deems necessary or appropriate to remediate such release and prevent any similar future release to the satisfaction of Landlord and Landlord’s mortgagee(s). As used in this Lease, the term “</w:t>
      </w:r>
      <w:r>
        <w:rPr>
          <w:rFonts w:ascii="Arial" w:cs="Arial" w:eastAsia="Arial" w:hAnsi="Arial"/>
          <w:sz w:val="17"/>
          <w:szCs w:val="17"/>
          <w:b w:val="1"/>
          <w:bCs w:val="1"/>
          <w:color w:val="auto"/>
        </w:rPr>
        <w:t>Hazardous Materials</w:t>
      </w:r>
      <w:r>
        <w:rPr>
          <w:rFonts w:ascii="Arial" w:cs="Arial" w:eastAsia="Arial" w:hAnsi="Arial"/>
          <w:sz w:val="17"/>
          <w:szCs w:val="17"/>
          <w:color w:val="auto"/>
        </w:rPr>
        <w:t xml:space="preserve">” shall mean and include any hazardous or toxic materials, substances or wastes as now or hereafter designated under any law, statute, ordinance, rule, regulation, order or ruling of any agency of the State, the United States Government or any local governmental authority, including, without limitation, asbestos, asbestos-containing material, presumed asbestos containing materials, petroleum, petroleum hydrocarbons and petroleum based products, urea formaldehyde foam insulation, polychlorinated biphenyls, and freon and other chlorofluorocarbons. 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will survive the expiration or earlier termination of this Lease. Tenant’s “cleanup” and remediation obligations shall not extend to items which are ordinarily included in ordinary maintenance of the parking and loading areas within the Common Areas.</w:t>
      </w:r>
    </w:p>
    <w:p>
      <w:pPr>
        <w:spacing w:after="0" w:line="73" w:lineRule="exact"/>
        <w:rPr>
          <w:sz w:val="20"/>
          <w:szCs w:val="20"/>
          <w:color w:val="auto"/>
        </w:rPr>
      </w:pPr>
    </w:p>
    <w:p>
      <w:pPr>
        <w:ind w:firstLine="551"/>
        <w:spacing w:after="0" w:line="255" w:lineRule="auto"/>
        <w:rPr>
          <w:sz w:val="20"/>
          <w:szCs w:val="20"/>
          <w:color w:val="auto"/>
        </w:rPr>
      </w:pPr>
      <w:r>
        <w:rPr>
          <w:rFonts w:ascii="Arial" w:cs="Arial" w:eastAsia="Arial" w:hAnsi="Arial"/>
          <w:sz w:val="18"/>
          <w:szCs w:val="18"/>
          <w:color w:val="auto"/>
        </w:rPr>
        <w:t xml:space="preserve">32.02 Subject to </w:t>
      </w:r>
      <w:r>
        <w:rPr>
          <w:rFonts w:ascii="Arial" w:cs="Arial" w:eastAsia="Arial" w:hAnsi="Arial"/>
          <w:sz w:val="18"/>
          <w:szCs w:val="18"/>
          <w:u w:val="single" w:color="auto"/>
          <w:color w:val="auto"/>
        </w:rPr>
        <w:t>Sections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hereof, Landlord shall promptly indemnify, protect, defend and hold Tenant and Tenant’s partners, officers, directors, employees, agents, successors and assigns harmless from and against any and all claims, judgment, damages, suits, causes of action, penalties, fines, expenses and costs, liabilities or losses (including, without limitation, sums paid in settlement of claims, attorneys’ fees, consultant fees and expert fees) (collectively, “</w:t>
      </w:r>
      <w:r>
        <w:rPr>
          <w:rFonts w:ascii="Arial" w:cs="Arial" w:eastAsia="Arial" w:hAnsi="Arial"/>
          <w:sz w:val="18"/>
          <w:szCs w:val="18"/>
          <w:b w:val="1"/>
          <w:bCs w:val="1"/>
          <w:color w:val="auto"/>
        </w:rPr>
        <w:t>Claims</w:t>
      </w:r>
      <w:r>
        <w:rPr>
          <w:rFonts w:ascii="Arial" w:cs="Arial" w:eastAsia="Arial" w:hAnsi="Arial"/>
          <w:sz w:val="18"/>
          <w:szCs w:val="18"/>
          <w:color w:val="auto"/>
        </w:rPr>
        <w:t>”) which arise on or after the date that possession of the Premises is delivered to Tenant, including any time after the expiration of the Lease Term, from or in connection with Hazardous Materials conditions which were caused or knowingly permitted by Landlord or its agents or employees.</w:t>
      </w:r>
    </w:p>
    <w:p>
      <w:pPr>
        <w:spacing w:after="0" w:line="81" w:lineRule="exact"/>
        <w:rPr>
          <w:sz w:val="20"/>
          <w:szCs w:val="20"/>
          <w:color w:val="auto"/>
        </w:rPr>
      </w:pPr>
    </w:p>
    <w:p>
      <w:pPr>
        <w:ind w:right="100" w:firstLine="4"/>
        <w:spacing w:after="0" w:line="261" w:lineRule="auto"/>
        <w:tabs>
          <w:tab w:leader="none" w:pos="27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Accessibility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advises Tenant that the Development has not undergone an inspection by a certified access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specialist, and except to the extent expressly set forth in this Lease, Landlord shall have no liability or responsibility to make any repairs or modifications to the Premises or the Development in order to comply with accessibility standards. The following disclosure is hereby made pursuant to applicable California law:</w:t>
      </w:r>
    </w:p>
    <w:p>
      <w:pPr>
        <w:spacing w:after="0" w:line="76" w:lineRule="exact"/>
        <w:rPr>
          <w:sz w:val="20"/>
          <w:szCs w:val="20"/>
          <w:color w:val="auto"/>
        </w:rPr>
      </w:pPr>
    </w:p>
    <w:p>
      <w:pPr>
        <w:ind w:left="1440" w:right="20"/>
        <w:spacing w:after="0" w:line="272" w:lineRule="auto"/>
        <w:rPr>
          <w:sz w:val="20"/>
          <w:szCs w:val="20"/>
          <w:color w:val="auto"/>
        </w:rPr>
      </w:pPr>
      <w:r>
        <w:rPr>
          <w:rFonts w:ascii="Arial" w:cs="Arial" w:eastAsia="Arial" w:hAnsi="Arial"/>
          <w:sz w:val="17"/>
          <w:szCs w:val="17"/>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w:t>
      </w:r>
      <w:r>
        <w:rPr>
          <w:rFonts w:ascii="Arial" w:cs="Arial" w:eastAsia="Arial" w:hAnsi="Arial"/>
          <w:sz w:val="17"/>
          <w:szCs w:val="17"/>
          <w:i w:val="1"/>
          <w:iCs w:val="1"/>
          <w:color w:val="auto"/>
        </w:rPr>
        <w:t>Cal. Civ. Code Section 1938(e)</w:t>
      </w:r>
      <w:r>
        <w:rPr>
          <w:rFonts w:ascii="Arial" w:cs="Arial" w:eastAsia="Arial" w:hAnsi="Arial"/>
          <w:sz w:val="17"/>
          <w:szCs w:val="17"/>
          <w:color w:val="auto"/>
        </w:rPr>
        <w:t>].</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CASp inspection shall be conducted in compliance with reasonable rules in effect at the Building with regard to such inspections and shall be subject to Landlord’s prior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[LANDLORD’S SIGNATURE ON PAGE S-1 AND TENANT’S SIGNATURE ON PAGE S-2 ATTACHED HERETO]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37" w:name="page538"/>
    <w:bookmarkEnd w:id="537"/>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has executed this Lease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BIXBY SPE FINANCE 11,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Bixby SPE Finance,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Bixby Land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spacing w:after="0"/>
              <w:rPr>
                <w:sz w:val="20"/>
                <w:szCs w:val="20"/>
                <w:color w:val="auto"/>
              </w:rPr>
            </w:pPr>
            <w:r>
              <w:rPr>
                <w:rFonts w:ascii="Arial" w:cs="Arial" w:eastAsia="Arial" w:hAnsi="Arial"/>
                <w:sz w:val="18"/>
                <w:szCs w:val="18"/>
                <w:color w:val="auto"/>
              </w:rPr>
              <w:t>/s/ Aaron D. Hill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Aaron D. Hill</w:t>
            </w:r>
          </w:p>
        </w:tc>
        <w:tc>
          <w:tcPr>
            <w:tcW w:w="286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960" w:type="dxa"/>
            <w:vAlign w:val="bottom"/>
            <w:gridSpan w:val="2"/>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6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spacing w:after="0"/>
              <w:rPr>
                <w:sz w:val="20"/>
                <w:szCs w:val="20"/>
                <w:color w:val="auto"/>
              </w:rPr>
            </w:pPr>
            <w:r>
              <w:rPr>
                <w:rFonts w:ascii="Arial" w:cs="Arial" w:eastAsia="Arial" w:hAnsi="Arial"/>
                <w:sz w:val="18"/>
                <w:szCs w:val="18"/>
                <w:color w:val="auto"/>
              </w:rPr>
              <w:t>/s/ Martin T. O’Hea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T. O’Hea</w:t>
            </w:r>
          </w:p>
        </w:tc>
        <w:tc>
          <w:tcPr>
            <w:tcW w:w="28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960" w:type="dxa"/>
            <w:vAlign w:val="bottom"/>
            <w:gridSpan w:val="2"/>
          </w:tcPr>
          <w:p>
            <w:pPr>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620" w:type="dxa"/>
            <w:vAlign w:val="bottom"/>
          </w:tcPr>
          <w:p>
            <w:pPr>
              <w:spacing w:after="0"/>
              <w:rPr>
                <w:sz w:val="24"/>
                <w:szCs w:val="24"/>
                <w:color w:val="auto"/>
              </w:rPr>
            </w:pPr>
          </w:p>
        </w:tc>
        <w:tc>
          <w:tcPr>
            <w:tcW w:w="5960" w:type="dxa"/>
            <w:vAlign w:val="bottom"/>
            <w:gridSpan w:val="2"/>
          </w:tcPr>
          <w:p>
            <w:pPr>
              <w:jc w:val="center"/>
              <w:ind w:left="2350"/>
              <w:spacing w:after="0"/>
              <w:rPr>
                <w:sz w:val="20"/>
                <w:szCs w:val="20"/>
                <w:color w:val="auto"/>
              </w:rPr>
            </w:pPr>
            <w:r>
              <w:rPr>
                <w:rFonts w:ascii="Arial" w:cs="Arial" w:eastAsia="Arial" w:hAnsi="Arial"/>
                <w:sz w:val="18"/>
                <w:szCs w:val="18"/>
                <w:b w:val="1"/>
                <w:bCs w:val="1"/>
                <w:color w:val="auto"/>
                <w:w w:val="99"/>
              </w:rPr>
              <w:t>[TENANT’S SIGNATURE ON NEXT PAGE]</w:t>
            </w:r>
          </w:p>
        </w:tc>
      </w:tr>
      <w:tr>
        <w:trPr>
          <w:trHeight w:val="365"/>
        </w:trPr>
        <w:tc>
          <w:tcPr>
            <w:tcW w:w="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60" w:type="dxa"/>
            <w:vAlign w:val="bottom"/>
          </w:tcPr>
          <w:p>
            <w:pPr>
              <w:jc w:val="center"/>
              <w:ind w:right="590"/>
              <w:spacing w:after="0"/>
              <w:rPr>
                <w:sz w:val="20"/>
                <w:szCs w:val="20"/>
                <w:color w:val="auto"/>
              </w:rPr>
            </w:pPr>
            <w:r>
              <w:rPr>
                <w:rFonts w:ascii="Arial" w:cs="Arial" w:eastAsia="Arial" w:hAnsi="Arial"/>
                <w:sz w:val="18"/>
                <w:szCs w:val="18"/>
                <w:color w:val="auto"/>
                <w:w w:val="92"/>
              </w:rPr>
              <w:t>S-1</w:t>
            </w:r>
          </w:p>
        </w:tc>
      </w:tr>
    </w:tbl>
    <w:p>
      <w:pPr>
        <w:sectPr>
          <w:pgSz w:w="11900" w:h="16838" w:orient="portrait"/>
          <w:cols w:equalWidth="0" w:num="1">
            <w:col w:w="10019"/>
          </w:cols>
          <w:pgMar w:left="440" w:top="273" w:right="1440" w:bottom="1440" w:gutter="0" w:footer="0" w:header="0"/>
        </w:sectPr>
      </w:pPr>
    </w:p>
    <w:bookmarkStart w:id="538" w:name="page539"/>
    <w:bookmarkEnd w:id="538"/>
    <w:p>
      <w:pPr>
        <w:ind w:left="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has executed this Lease as of the day and year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Dunn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Jeffrey W. Dunn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CEO and Chairman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Pisetsky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Michael Pisetsky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VP &amp; General Counsel</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26-2216351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279590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Tax ID Number (SSN or FEIN)</w:t>
      </w:r>
    </w:p>
    <w:p>
      <w:pPr>
        <w:spacing w:after="0" w:line="17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19"/>
          </w:cols>
          <w:pgMar w:left="440" w:top="273" w:right="1440" w:bottom="1440" w:gutter="0" w:footer="0" w:header="0"/>
        </w:sectPr>
      </w:pPr>
    </w:p>
    <w:bookmarkStart w:id="539" w:name="page540"/>
    <w:bookmarkEnd w:id="5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OUTLINE AND LOCATION OF PREMISES</w:t>
      </w:r>
    </w:p>
    <w:p>
      <w:pPr>
        <w:spacing w:after="0" w:line="225" w:lineRule="exact"/>
        <w:rPr>
          <w:sz w:val="20"/>
          <w:szCs w:val="20"/>
          <w:color w:val="auto"/>
        </w:rPr>
      </w:pPr>
    </w:p>
    <w:p>
      <w:pPr>
        <w:ind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1301750</wp:posOffset>
            </wp:positionH>
            <wp:positionV relativeFrom="paragraph">
              <wp:posOffset>140335</wp:posOffset>
            </wp:positionV>
            <wp:extent cx="4408170" cy="57029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408170" cy="570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intended only to show the general layout of the space Plan as of the beginning of the Term of this Lease. It does not in any way supersede any of Landlord’s rights with respect to arrangements and/or locations of public parts of the Building and changes in such arrangements and/or locations. It is not to scale; any measurements or distances shown should be taken as approximate.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540" w:name="page541"/>
    <w:bookmarkEnd w:id="54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DEPICTION OF DEVELOPMENT</w:t>
      </w:r>
    </w:p>
    <w:p>
      <w:pPr>
        <w:spacing w:after="0" w:line="225" w:lineRule="exact"/>
        <w:rPr>
          <w:sz w:val="20"/>
          <w:szCs w:val="20"/>
          <w:color w:val="auto"/>
        </w:rPr>
      </w:pPr>
    </w:p>
    <w:p>
      <w:pPr>
        <w:ind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140970</wp:posOffset>
            </wp:positionV>
            <wp:extent cx="6268720" cy="3721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26872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541" w:name="page542"/>
    <w:bookmarkEnd w:id="5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OPERATING EXPENSES AND TAXES</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68" w:lineRule="exact"/>
        <w:rPr>
          <w:sz w:val="20"/>
          <w:szCs w:val="20"/>
          <w:color w:val="auto"/>
        </w:rPr>
      </w:pPr>
    </w:p>
    <w:p>
      <w:pPr>
        <w:ind w:right="260" w:firstLine="555"/>
        <w:spacing w:after="0" w:line="282" w:lineRule="auto"/>
        <w:tabs>
          <w:tab w:leader="none" w:pos="731"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Items Included in Operating Expenses</w:t>
      </w:r>
      <w:r>
        <w:rPr>
          <w:rFonts w:ascii="Arial" w:cs="Arial" w:eastAsia="Arial" w:hAnsi="Arial"/>
          <w:sz w:val="18"/>
          <w:szCs w:val="18"/>
          <w:color w:val="auto"/>
        </w:rPr>
        <w:t>. 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as used in the Lease to which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attached means the sum of Building Operating Expenses and Common Area Operating Expenses.</w:t>
      </w:r>
    </w:p>
    <w:p>
      <w:pPr>
        <w:spacing w:after="0" w:line="162" w:lineRule="exact"/>
        <w:rPr>
          <w:sz w:val="20"/>
          <w:szCs w:val="20"/>
          <w:color w:val="auto"/>
        </w:rPr>
      </w:pPr>
    </w:p>
    <w:p>
      <w:pPr>
        <w:ind w:right="20" w:firstLine="5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 Operating Expenses</w:t>
      </w:r>
      <w:r>
        <w:rPr>
          <w:rFonts w:ascii="Arial" w:cs="Arial" w:eastAsia="Arial" w:hAnsi="Arial"/>
          <w:sz w:val="16"/>
          <w:szCs w:val="16"/>
          <w:color w:val="auto"/>
        </w:rPr>
        <w:t xml:space="preserve">” shall mean, with respect to any period, and without duplication, all reasonable and customary costs of whatsoever type of character paid or incurred by Landlord during such period in connection with the operation, repair and maintenance of the Premises and the Building as determined by generally accepted accounting practices, consistently applied, including, by way of illustration and not limitation, the following: (i) Landlord’s costs of fulfilling its obligations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Lease, including, but not limited to Landlord’s Services, to the extent Landlord is entitled to pass through said costs pursuant to said section; (ii) amortization on a straight line basis over the useful life (together with interest at the Interest Rate on the unamortized balance) of all capitalized expenditures for the Building, other than in connection with the original construction, which are reasonably intended to produce a reduction of Operating Expenses, (iii) Landlord’s insurance for the buildings in the Development, (iv) real property taxes imposed against the Building and other improvements on the legal parcels on which the buildings in the Development are located, (v) all sewer, water, electricity, and other utility charges to the extent not paid directly by Tenant (including HVAC for the Building during normal business hours), and utilities surcharges and any other costs, levies or assessments resulting from statutes or regulations promulgated by any government or quasi-government authority in connection with the use, occupancy or alteration of the Building or the Premises or the parking facilities serving the Building or the Premises, (vi) labor costs incurred in the operation and repair of the portion of the Building that is Landlord’s obligation under the Lease, including without limitation, supplies, wages, and salaries (including payroll taxes and similar governmental charges related thereto) of employees at the grade of building manager or below that are used in the management, operation and maintenance of the Building, (vii) supplies, equipment and related operating expenses, and a management/administrative fee, (viii) reasonable accounting, audit, verification, legal and other consulting fees related directly to the operation of the Development, (ix) amortization on a straight line basis over the useful life (together with interest at the Interest Rate on the unamortized balance) of all costs resulting from Landlord’s replacement during any Option Term, if applicable, of the roof, HVAC above the roof level, and/or the Building elevators;</w:t>
      </w:r>
    </w:p>
    <w:p>
      <w:pPr>
        <w:spacing w:after="0" w:line="391" w:lineRule="exact"/>
        <w:rPr>
          <w:sz w:val="20"/>
          <w:szCs w:val="20"/>
          <w:color w:val="auto"/>
        </w:rPr>
      </w:pPr>
    </w:p>
    <w:p>
      <w:pPr>
        <w:ind w:firstLine="55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Area Operating Expenses</w:t>
      </w:r>
      <w:r>
        <w:rPr>
          <w:rFonts w:ascii="Arial" w:cs="Arial" w:eastAsia="Arial" w:hAnsi="Arial"/>
          <w:sz w:val="16"/>
          <w:szCs w:val="16"/>
          <w:color w:val="auto"/>
        </w:rPr>
        <w:t>” shall mean, with respect to any period, without duplication, all reasonable and customary costs and expenses paid or incurred by Landlord during such period, in connection with the operation, repair and maintenance of the Common Areas of the Development, excluding Common Areas within the Building (as such terms are defined in the Lease); as determined by generally accepted accounting practices, consistently applied, including the following costs by way of illustration but not limitation: (a) water and sewer charges and the costs of electricity, and other utilities serving the Common Areas; (b) costs of insurance for the Common Areas not paid by Tenant pursuant to the paragraph immediately above; (c) waste disposal and janitorial services related solely to the Common Areas; (d) security for the Common Areas (if Landlord elects, in its sole and absolute discretion, to obtain security services or equipment); (e) labor costs incurred in the operation, repair, and management of the Development, including without limitation, supplies, wages and salaries (including payroll taxes and similar governmental charges related thereto) of employees at the grade of building manager or below to the extent used in the management, operation and maintenance of the Development;</w:t>
      </w:r>
    </w:p>
    <w:p>
      <w:pPr>
        <w:spacing w:after="0" w:line="4" w:lineRule="exact"/>
        <w:rPr>
          <w:sz w:val="20"/>
          <w:szCs w:val="20"/>
          <w:color w:val="auto"/>
        </w:rPr>
      </w:pPr>
    </w:p>
    <w:p>
      <w:pPr>
        <w:ind w:left="220" w:hanging="216"/>
        <w:spacing w:after="0"/>
        <w:tabs>
          <w:tab w:leader="none" w:pos="2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Development management office rental (not to exceed the prevailing market rental rate), supplies, equipment and related operating expenses;</w:t>
      </w:r>
    </w:p>
    <w:p>
      <w:pPr>
        <w:spacing w:after="0" w:line="20" w:lineRule="exact"/>
        <w:rPr>
          <w:rFonts w:ascii="Arial" w:cs="Arial" w:eastAsia="Arial" w:hAnsi="Arial"/>
          <w:sz w:val="17"/>
          <w:szCs w:val="17"/>
          <w:color w:val="auto"/>
        </w:rPr>
      </w:pPr>
    </w:p>
    <w:p>
      <w:pPr>
        <w:ind w:firstLine="4"/>
        <w:spacing w:after="0" w:line="290" w:lineRule="auto"/>
        <w:tabs>
          <w:tab w:leader="none" w:pos="255" w:val="left"/>
        </w:tabs>
        <w:numPr>
          <w:ilvl w:val="0"/>
          <w:numId w:val="536"/>
        </w:numPr>
        <w:rPr>
          <w:rFonts w:ascii="Arial" w:cs="Arial" w:eastAsia="Arial" w:hAnsi="Arial"/>
          <w:sz w:val="16"/>
          <w:szCs w:val="16"/>
          <w:color w:val="auto"/>
        </w:rPr>
      </w:pPr>
      <w:r>
        <w:rPr>
          <w:rFonts w:ascii="Arial" w:cs="Arial" w:eastAsia="Arial" w:hAnsi="Arial"/>
          <w:sz w:val="16"/>
          <w:szCs w:val="16"/>
          <w:color w:val="auto"/>
        </w:rPr>
        <w:t>supplies, materials, equipment and tools including rental of personal property used for maintenance of the Common Area; (h) repair and maintenance of the plumbing, irrigation, electrical, drainage and storm drain systems of the Common Area; (i) maintenance, costs and upkeep of all parking and other Common Areas; (j) depreciation on a straight line basis and rental of personal property used in maintenance of the Common Areas; (k) amortization on a straight line basis over the useful life of all non-structural capitalized expenditures related to the Common Areas, other than in connection with the initial construction, which are (i) reasonably intended to produce a reduction in Operating Expenses; or (ii) required under any governmental law or regulation that was not applicable to the Development at the time it was originally constructed; or (iii) for replacement of any Development equipment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542" w:name="page543"/>
    <w:bookmarkEnd w:id="5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needed to operate the Development at the same quality levels as prior to the replacement; (l) costs and expenses or gardening or landscaping;</w:t>
      </w:r>
    </w:p>
    <w:p>
      <w:pPr>
        <w:spacing w:after="0" w:line="35" w:lineRule="exact"/>
        <w:rPr>
          <w:sz w:val="20"/>
          <w:szCs w:val="20"/>
          <w:color w:val="auto"/>
        </w:rPr>
      </w:pPr>
    </w:p>
    <w:p>
      <w:pPr>
        <w:jc w:val="both"/>
        <w:ind w:right="260" w:firstLine="4"/>
        <w:spacing w:after="0" w:line="254" w:lineRule="auto"/>
        <w:tabs>
          <w:tab w:leader="none" w:pos="305" w:val="left"/>
        </w:tabs>
        <w:numPr>
          <w:ilvl w:val="0"/>
          <w:numId w:val="537"/>
        </w:numPr>
        <w:rPr>
          <w:rFonts w:ascii="Arial" w:cs="Arial" w:eastAsia="Arial" w:hAnsi="Arial"/>
          <w:sz w:val="18"/>
          <w:szCs w:val="18"/>
          <w:color w:val="auto"/>
        </w:rPr>
      </w:pPr>
      <w:r>
        <w:rPr>
          <w:rFonts w:ascii="Arial" w:cs="Arial" w:eastAsia="Arial" w:hAnsi="Arial"/>
          <w:sz w:val="18"/>
          <w:szCs w:val="18"/>
          <w:color w:val="auto"/>
        </w:rPr>
        <w:t>maintenance of signs (other than Tenant’s signs, and signs of other tenants of the Development, or relating to marketing activities); (n) personal property taxes levied on or attributable to personal property used in connection with the Common Areas; (o) reasonable accounting, audit, legal and other consulting fees; and (p) costs and expenses of repairs, resurfacing, repairing, maintenance, painting, lighting, cleaning, refuse removal, security and similar items.</w:t>
      </w:r>
    </w:p>
    <w:p>
      <w:pPr>
        <w:spacing w:after="0" w:line="81" w:lineRule="exact"/>
        <w:rPr>
          <w:rFonts w:ascii="Arial" w:cs="Arial" w:eastAsia="Arial" w:hAnsi="Arial"/>
          <w:sz w:val="18"/>
          <w:szCs w:val="18"/>
          <w:color w:val="auto"/>
        </w:rPr>
      </w:pPr>
    </w:p>
    <w:p>
      <w:pPr>
        <w:ind w:right="60" w:firstLine="555"/>
        <w:spacing w:after="0" w:line="293" w:lineRule="auto"/>
        <w:tabs>
          <w:tab w:leader="none" w:pos="731" w:val="left"/>
        </w:tabs>
        <w:numPr>
          <w:ilvl w:val="1"/>
          <w:numId w:val="537"/>
        </w:numPr>
        <w:rPr>
          <w:rFonts w:ascii="Arial" w:cs="Arial" w:eastAsia="Arial" w:hAnsi="Arial"/>
          <w:sz w:val="16"/>
          <w:szCs w:val="16"/>
          <w:color w:val="auto"/>
        </w:rPr>
      </w:pPr>
      <w:r>
        <w:rPr>
          <w:rFonts w:ascii="Arial" w:cs="Arial" w:eastAsia="Arial" w:hAnsi="Arial"/>
          <w:sz w:val="16"/>
          <w:szCs w:val="16"/>
          <w:u w:val="single" w:color="auto"/>
          <w:color w:val="auto"/>
        </w:rPr>
        <w:t>Items Excluded From Operating Expenses</w:t>
      </w:r>
      <w:r>
        <w:rPr>
          <w:rFonts w:ascii="Arial" w:cs="Arial" w:eastAsia="Arial" w:hAnsi="Arial"/>
          <w:sz w:val="16"/>
          <w:szCs w:val="16"/>
          <w:color w:val="auto"/>
        </w:rPr>
        <w:t>. Expenses shall not include: depreciation; principal payments of mortgage and other non-operating debts of Landlord; the cost of repairs or other work to the extent Landlord is reimbursed by insurance or condemnation proceeds; costs in connection with leasing space in the Building, including brokerage commissions; lease concessions, rental abatements and construction allowances granted to specific tenants; costs incurred in connection with the sale, financing or refinancing of the Building; fines, interest and penalties incurred due to the late payment of Taxes or Expenses; organizational expenses associated with the creation and operation of the entity which constitutes Landlord; or any penalties or damages that Landlord pays to Tenant under this Lease or to other tenants in the Building under their respective leases.</w:t>
      </w:r>
    </w:p>
    <w:p>
      <w:pPr>
        <w:spacing w:after="0" w:line="56" w:lineRule="exact"/>
        <w:rPr>
          <w:rFonts w:ascii="Arial" w:cs="Arial" w:eastAsia="Arial" w:hAnsi="Arial"/>
          <w:sz w:val="16"/>
          <w:szCs w:val="16"/>
          <w:color w:val="auto"/>
        </w:rPr>
      </w:pPr>
    </w:p>
    <w:p>
      <w:pPr>
        <w:ind w:right="40" w:firstLine="555"/>
        <w:spacing w:after="0" w:line="259" w:lineRule="auto"/>
        <w:tabs>
          <w:tab w:leader="none" w:pos="731" w:val="left"/>
        </w:tabs>
        <w:numPr>
          <w:ilvl w:val="1"/>
          <w:numId w:val="537"/>
        </w:numPr>
        <w:rPr>
          <w:rFonts w:ascii="Arial" w:cs="Arial" w:eastAsia="Arial" w:hAnsi="Arial"/>
          <w:sz w:val="18"/>
          <w:szCs w:val="18"/>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If at any time during a calendar year the Development is not at least ninety-five percent (95%) occupied or Landlord is not supplying services to at least ninety-five percent (95%) of the total rentable square footage of the Development, Expenses shall, at Landlord’s option, be determined as if the Development had been ninety-five percent (95%) occupied and Landlord had been supplying services to ninety-five percent (95%) of the rentable square footage of the Development.</w:t>
      </w:r>
    </w:p>
    <w:p>
      <w:pPr>
        <w:spacing w:after="0" w:line="74" w:lineRule="exact"/>
        <w:rPr>
          <w:rFonts w:ascii="Arial" w:cs="Arial" w:eastAsia="Arial" w:hAnsi="Arial"/>
          <w:sz w:val="18"/>
          <w:szCs w:val="18"/>
          <w:color w:val="auto"/>
        </w:rPr>
      </w:pPr>
    </w:p>
    <w:p>
      <w:pPr>
        <w:ind w:firstLine="555"/>
        <w:spacing w:after="0" w:line="254" w:lineRule="auto"/>
        <w:tabs>
          <w:tab w:leader="none" w:pos="731" w:val="left"/>
        </w:tabs>
        <w:numPr>
          <w:ilvl w:val="1"/>
          <w:numId w:val="53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w:t>
      </w:r>
      <w:r>
        <w:rPr>
          <w:rFonts w:ascii="Arial" w:cs="Arial" w:eastAsia="Arial" w:hAnsi="Arial"/>
          <w:sz w:val="18"/>
          <w:szCs w:val="18"/>
          <w:b w:val="1"/>
          <w:bCs w:val="1"/>
          <w:color w:val="auto"/>
        </w:rPr>
        <w:t>Taxes</w:t>
      </w:r>
      <w:r>
        <w:rPr>
          <w:rFonts w:ascii="Arial" w:cs="Arial" w:eastAsia="Arial" w:hAnsi="Arial"/>
          <w:sz w:val="18"/>
          <w:szCs w:val="18"/>
          <w:color w:val="auto"/>
        </w:rPr>
        <w:t>” shall mean: (a) all real property taxes and other assessments on the Building and/or the Development, including, but not limited to, gross receipts taxes, assessments for special improvement districts and building improvement districts, governmental charges, fees and assessments for police, fire, traffic mitigation or other governmental service of purported benefit to the Development, taxes and assessments levied in substitution or supplementation in whole or in part of any such taxes and assessments and the Development’s share of any real estate taxes and assessments under any reciprocal easement agreement, common area agreement or similar agreement as to the Development; (b) all personal property taxes for property that is owned by Landlord and used in connection with the operation, maintenance and repair of the Development; and (c) all costs and fees incurred in connection with seeking reductions in any tax liabilities described in (a) and (b), including, without limitation, any costs incurred by Landlord for compliance, review and appeal of tax liabilities. Without limitation, Taxes shall not include any income, capital levy, capital stock, gift, estate or inheritance tax.</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43" w:name="page544"/>
    <w:bookmarkEnd w:id="5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86" w:lineRule="exact"/>
        <w:rPr>
          <w:sz w:val="20"/>
          <w:szCs w:val="20"/>
          <w:color w:val="auto"/>
        </w:rPr>
      </w:pPr>
    </w:p>
    <w:p>
      <w:pPr>
        <w:ind w:left="540" w:right="20" w:hanging="536"/>
        <w:spacing w:after="0" w:line="255" w:lineRule="auto"/>
        <w:tabs>
          <w:tab w:leader="none" w:pos="5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This Work Letter shall set forth the obligations of Landlord and Tenant with respect to the improvements to be performed in the Premises for Tenant’s use. All improvements described in this Work Letter to be constructed in and upon the Premises by Landlord are hereinafter referred to as the “</w:t>
      </w:r>
      <w:r>
        <w:rPr>
          <w:rFonts w:ascii="Arial" w:cs="Arial" w:eastAsia="Arial" w:hAnsi="Arial"/>
          <w:sz w:val="18"/>
          <w:szCs w:val="18"/>
          <w:b w:val="1"/>
          <w:bCs w:val="1"/>
          <w:color w:val="auto"/>
        </w:rPr>
        <w:t>Landlord Work</w:t>
      </w:r>
      <w:r>
        <w:rPr>
          <w:rFonts w:ascii="Arial" w:cs="Arial" w:eastAsia="Arial" w:hAnsi="Arial"/>
          <w:sz w:val="18"/>
          <w:szCs w:val="18"/>
          <w:color w:val="auto"/>
        </w:rPr>
        <w:t xml:space="preserve">”. With the exception of the improvements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and set forth in the Landlord-Funded Space Plan,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it is agreed that construction of the Landlord Work will be completed at Tenant’s sole cost and expense, subject to the Amortized Allowance (as defined below). Landlord shall enter into a direct contract for the Landlord Work with a general contractor selected by Landlord. In addition, Landlord shall have the right to select and/or approve of any subcontractors used in connection with the Landlord Work.</w:t>
      </w:r>
    </w:p>
    <w:p>
      <w:pPr>
        <w:spacing w:after="0" w:line="94" w:lineRule="exact"/>
        <w:rPr>
          <w:rFonts w:ascii="Arial" w:cs="Arial" w:eastAsia="Arial" w:hAnsi="Arial"/>
          <w:sz w:val="18"/>
          <w:szCs w:val="18"/>
          <w:color w:val="auto"/>
        </w:rPr>
      </w:pPr>
    </w:p>
    <w:p>
      <w:pPr>
        <w:ind w:left="540" w:hanging="536"/>
        <w:spacing w:after="0" w:line="277" w:lineRule="auto"/>
        <w:tabs>
          <w:tab w:leader="none" w:pos="5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Landlord, at its sole cost and expense, shall perform improvements to the Premises in accordance with the space plan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(the “</w:t>
      </w:r>
      <w:r>
        <w:rPr>
          <w:rFonts w:ascii="Arial" w:cs="Arial" w:eastAsia="Arial" w:hAnsi="Arial"/>
          <w:sz w:val="18"/>
          <w:szCs w:val="18"/>
          <w:b w:val="1"/>
          <w:bCs w:val="1"/>
          <w:color w:val="auto"/>
        </w:rPr>
        <w:t>Landlord-Funded Space Plan</w:t>
      </w:r>
      <w:r>
        <w:rPr>
          <w:rFonts w:ascii="Arial" w:cs="Arial" w:eastAsia="Arial" w:hAnsi="Arial"/>
          <w:sz w:val="18"/>
          <w:szCs w:val="18"/>
          <w:color w:val="auto"/>
        </w:rPr>
        <w:t>”) using Building standard methods, materials and finishes.</w:t>
      </w:r>
    </w:p>
    <w:p>
      <w:pPr>
        <w:spacing w:after="0" w:line="75" w:lineRule="exact"/>
        <w:rPr>
          <w:rFonts w:ascii="Arial" w:cs="Arial" w:eastAsia="Arial" w:hAnsi="Arial"/>
          <w:sz w:val="18"/>
          <w:szCs w:val="18"/>
          <w:color w:val="auto"/>
        </w:rPr>
      </w:pPr>
    </w:p>
    <w:p>
      <w:pPr>
        <w:ind w:left="540" w:right="160" w:hanging="536"/>
        <w:spacing w:after="0" w:line="255" w:lineRule="auto"/>
        <w:tabs>
          <w:tab w:leader="none" w:pos="5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Other than the improvements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and set forth in the Landlord-Funded Space Plan, the Landlord Work will be completed at Tenant’s sole cost and expense, subject to the Amortized Allowance, and shall be completed in accordance with (i) the final architectural, electrical and mechanical construction drawings, plans and specifications (called “</w:t>
      </w:r>
      <w:r>
        <w:rPr>
          <w:rFonts w:ascii="Arial" w:cs="Arial" w:eastAsia="Arial" w:hAnsi="Arial"/>
          <w:sz w:val="18"/>
          <w:szCs w:val="18"/>
          <w:b w:val="1"/>
          <w:bCs w:val="1"/>
          <w:color w:val="auto"/>
        </w:rPr>
        <w:t>Final Plans</w:t>
      </w:r>
      <w:r>
        <w:rPr>
          <w:rFonts w:ascii="Arial" w:cs="Arial" w:eastAsia="Arial" w:hAnsi="Arial"/>
          <w:sz w:val="18"/>
          <w:szCs w:val="18"/>
          <w:color w:val="auto"/>
        </w:rPr>
        <w:t xml:space="preserve">”), and (ii) the space plan approved by Landlord and Tenant and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Tenant-Funded Space Plan</w:t>
      </w:r>
      <w:r>
        <w:rPr>
          <w:rFonts w:ascii="Arial" w:cs="Arial" w:eastAsia="Arial" w:hAnsi="Arial"/>
          <w:sz w:val="18"/>
          <w:szCs w:val="18"/>
          <w:color w:val="auto"/>
        </w:rPr>
        <w:t>”), which both (i) and (ii) have been approved by Landlord and Landlord’s architect and engineers and shall comply with their requirements to avoid aesthetic or other conflicts with the design and function of the balance of the Building.</w:t>
      </w:r>
    </w:p>
    <w:p>
      <w:pPr>
        <w:spacing w:after="0" w:line="94" w:lineRule="exact"/>
        <w:rPr>
          <w:rFonts w:ascii="Arial" w:cs="Arial" w:eastAsia="Arial" w:hAnsi="Arial"/>
          <w:sz w:val="18"/>
          <w:szCs w:val="18"/>
          <w:color w:val="auto"/>
        </w:rPr>
      </w:pPr>
    </w:p>
    <w:p>
      <w:pPr>
        <w:ind w:left="540" w:right="20" w:hanging="536"/>
        <w:spacing w:after="0" w:line="269" w:lineRule="auto"/>
        <w:tabs>
          <w:tab w:leader="none" w:pos="54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A written estimate setting forth the anticipated cost to construct the work (the “</w:t>
      </w:r>
      <w:r>
        <w:rPr>
          <w:rFonts w:ascii="Arial" w:cs="Arial" w:eastAsia="Arial" w:hAnsi="Arial"/>
          <w:sz w:val="17"/>
          <w:szCs w:val="17"/>
          <w:b w:val="1"/>
          <w:bCs w:val="1"/>
          <w:color w:val="auto"/>
        </w:rPr>
        <w:t>Tenant-Funded Work</w:t>
      </w:r>
      <w:r>
        <w:rPr>
          <w:rFonts w:ascii="Arial" w:cs="Arial" w:eastAsia="Arial" w:hAnsi="Arial"/>
          <w:sz w:val="17"/>
          <w:szCs w:val="17"/>
          <w:color w:val="auto"/>
        </w:rPr>
        <w:t xml:space="preserve">”) outlined in the Tenant-Funded Space Plan, including but not limited to labor and materials, contractor’s fees and permit fees is attached hereto as </w:t>
      </w:r>
      <w:r>
        <w:rPr>
          <w:rFonts w:ascii="Arial" w:cs="Arial" w:eastAsia="Arial" w:hAnsi="Arial"/>
          <w:sz w:val="17"/>
          <w:szCs w:val="17"/>
          <w:u w:val="single" w:color="auto"/>
          <w:color w:val="auto"/>
        </w:rPr>
        <w:t>Schedule 2(a)</w:t>
      </w:r>
      <w:r>
        <w:rPr>
          <w:rFonts w:ascii="Arial" w:cs="Arial" w:eastAsia="Arial" w:hAnsi="Arial"/>
          <w:sz w:val="17"/>
          <w:szCs w:val="17"/>
          <w:color w:val="auto"/>
        </w:rPr>
        <w:t xml:space="preserve"> (the “</w:t>
      </w:r>
      <w:r>
        <w:rPr>
          <w:rFonts w:ascii="Arial" w:cs="Arial" w:eastAsia="Arial" w:hAnsi="Arial"/>
          <w:sz w:val="17"/>
          <w:szCs w:val="17"/>
          <w:b w:val="1"/>
          <w:bCs w:val="1"/>
          <w:color w:val="auto"/>
        </w:rPr>
        <w:t>Estimate</w:t>
      </w:r>
      <w:r>
        <w:rPr>
          <w:rFonts w:ascii="Arial" w:cs="Arial" w:eastAsia="Arial" w:hAnsi="Arial"/>
          <w:sz w:val="17"/>
          <w:szCs w:val="17"/>
          <w:color w:val="auto"/>
        </w:rPr>
        <w:t xml:space="preserve">”). Concurrently with the delivery of this Lease, Tenant shall deliver to Landlord the amount equal to $89,999.00. This amount shall be comprised of the total cost set forth in the Estimate plus a construction management fee payable to Landlord equivalent to three percent (3%) of the total cost of construction, including any design fees, that exceeds the sum of the Allowance and the Amortized Allowance (as defined in </w:t>
      </w:r>
      <w:r>
        <w:rPr>
          <w:rFonts w:ascii="Arial" w:cs="Arial" w:eastAsia="Arial" w:hAnsi="Arial"/>
          <w:sz w:val="17"/>
          <w:szCs w:val="17"/>
          <w:u w:val="single" w:color="auto"/>
          <w:color w:val="auto"/>
        </w:rPr>
        <w:t>Paragraph 6</w:t>
      </w:r>
      <w:r>
        <w:rPr>
          <w:rFonts w:ascii="Arial" w:cs="Arial" w:eastAsia="Arial" w:hAnsi="Arial"/>
          <w:sz w:val="17"/>
          <w:szCs w:val="17"/>
          <w:color w:val="auto"/>
        </w:rPr>
        <w:t xml:space="preserve"> hereof), such amount exceeding the sum of the Allowance and the Amortized Allowance being herein referred to as the “</w:t>
      </w:r>
      <w:r>
        <w:rPr>
          <w:rFonts w:ascii="Arial" w:cs="Arial" w:eastAsia="Arial" w:hAnsi="Arial"/>
          <w:sz w:val="17"/>
          <w:szCs w:val="17"/>
          <w:b w:val="1"/>
          <w:bCs w:val="1"/>
          <w:color w:val="auto"/>
        </w:rPr>
        <w:t>Excess Costs</w:t>
      </w:r>
      <w:r>
        <w:rPr>
          <w:rFonts w:ascii="Arial" w:cs="Arial" w:eastAsia="Arial" w:hAnsi="Arial"/>
          <w:sz w:val="17"/>
          <w:szCs w:val="17"/>
          <w:color w:val="auto"/>
        </w:rPr>
        <w:t>”. Tenant acknowledges and agrees that when the actual amount of the Tenant-Funded Work becomes known, if Tenant has underpaid the Excess Costs, then upon notice by Landlord to Tenant, Tenant shall reimburse Landlord for such shortfall within ten (10) days after Landlord delivers to Tenant said notice. Within thirty (30) days of Substantial Completion, Landlord will reconcile the Excess Costs paid by Tenant hereunder with the actual costs reflected in the Estimate, and any overpayment by Tenant shall be reimbursed by Landlord within such 30-day period. The statements of costs submitted to Landlord by Landlord’s contractors shall be conclusive for purposes of determining the actual cost of the items described therein. The amounts payable by Tenant hereunder constitute Rent payable pursuant to the Lease, and the failure to timely pay same constitutes an event of Default under the Lease.</w:t>
      </w:r>
    </w:p>
    <w:p>
      <w:pPr>
        <w:spacing w:after="0" w:line="86" w:lineRule="exact"/>
        <w:rPr>
          <w:rFonts w:ascii="Arial" w:cs="Arial" w:eastAsia="Arial" w:hAnsi="Arial"/>
          <w:sz w:val="17"/>
          <w:szCs w:val="17"/>
          <w:color w:val="auto"/>
        </w:rPr>
      </w:pPr>
    </w:p>
    <w:p>
      <w:pPr>
        <w:ind w:left="540" w:right="40" w:hanging="536"/>
        <w:spacing w:after="0" w:line="272" w:lineRule="auto"/>
        <w:tabs>
          <w:tab w:leader="none" w:pos="54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If Tenant shall request any change, addition or alteration in any of the Final Plans after approval by Landlord, Landlord shall have such revisions to the drawings prepared, and Tenant shall reimburse Landlord for the cost thereof, plus any applicable state sales or use tax thereon, upon demand. Promptly upon completion of the revisions, Landlord shall notify Tenant in writing of the increased cost which will be chargeable to Tenant by reason of such change, addition or deletion. Tenant, within one (1) business day, shall notify Landlord in writing whether it desires to proceed with such change, addition or deletion, provided that such changes, additions or deletions shall constitute a Tenant Delay to the extent they impact the date of Substantial Completion. In the absence of such written authorization, Landlord shall have the option to continue work on the Premises disregarding the requested change, addition or alteration,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69" w:right="439" w:bottom="1440" w:gutter="0" w:footer="0" w:header="0"/>
        </w:sectPr>
      </w:pPr>
    </w:p>
    <w:bookmarkStart w:id="544" w:name="page545"/>
    <w:bookmarkEnd w:id="544"/>
    <w:p>
      <w:pPr>
        <w:ind w:left="536"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may elect to discontinue work on the Premises until it receives notice of Tenant’s decision, in which event Tenant shall be responsible for any Tenant Delay in completion of the Premises resulting therefrom. If such revisions result in a higher estimate of the cost of construction and/or higher actual construction costs which exceed the Estimate, such increased estimate or costs shall be deemed Excess Costs pursuant to </w:t>
      </w:r>
      <w:r>
        <w:rPr>
          <w:rFonts w:ascii="Arial" w:cs="Arial" w:eastAsia="Arial" w:hAnsi="Arial"/>
          <w:sz w:val="17"/>
          <w:szCs w:val="17"/>
          <w:u w:val="single" w:color="auto"/>
          <w:color w:val="auto"/>
        </w:rPr>
        <w:t>Paragraph 4</w:t>
      </w:r>
      <w:r>
        <w:rPr>
          <w:rFonts w:ascii="Arial" w:cs="Arial" w:eastAsia="Arial" w:hAnsi="Arial"/>
          <w:sz w:val="17"/>
          <w:szCs w:val="17"/>
          <w:color w:val="auto"/>
        </w:rPr>
        <w:t xml:space="preserve"> hereof and Tenant shall pay such Excess Costs, plus any applicable state sales or use tax thereon, upon demand. Notwithstanding the foregoing, Landlord and Tenant shall work together to coordinate the timing of completion of the Tenant-Funded Work. Such coordination shall include reasonable ongoing consultation and communication regarding work scheduling.</w:t>
      </w:r>
    </w:p>
    <w:p>
      <w:pPr>
        <w:spacing w:after="0" w:line="84" w:lineRule="exact"/>
        <w:rPr>
          <w:sz w:val="20"/>
          <w:szCs w:val="20"/>
          <w:color w:val="auto"/>
        </w:rPr>
      </w:pPr>
    </w:p>
    <w:p>
      <w:pPr>
        <w:ind w:left="536" w:right="40" w:hanging="536"/>
        <w:spacing w:after="0" w:line="287" w:lineRule="auto"/>
        <w:tabs>
          <w:tab w:leader="none" w:pos="53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Provided Tenant is not in default, Landlord agrees to provide Tenant with an allowance of $85,000 as contribution toward the cost of completing the Tenant-Funded Work (the “</w:t>
      </w:r>
      <w:r>
        <w:rPr>
          <w:rFonts w:ascii="Arial" w:cs="Arial" w:eastAsia="Arial" w:hAnsi="Arial"/>
          <w:sz w:val="16"/>
          <w:szCs w:val="16"/>
          <w:b w:val="1"/>
          <w:bCs w:val="1"/>
          <w:color w:val="auto"/>
        </w:rPr>
        <w:t>Allowance</w:t>
      </w:r>
      <w:r>
        <w:rPr>
          <w:rFonts w:ascii="Arial" w:cs="Arial" w:eastAsia="Arial" w:hAnsi="Arial"/>
          <w:sz w:val="16"/>
          <w:szCs w:val="16"/>
          <w:color w:val="auto"/>
        </w:rPr>
        <w:t>”). In addition to the foregoing, Landlord agrees to provide Tenant with an allowance (the “</w:t>
      </w:r>
      <w:r>
        <w:rPr>
          <w:rFonts w:ascii="Arial" w:cs="Arial" w:eastAsia="Arial" w:hAnsi="Arial"/>
          <w:sz w:val="16"/>
          <w:szCs w:val="16"/>
          <w:b w:val="1"/>
          <w:bCs w:val="1"/>
          <w:color w:val="auto"/>
        </w:rPr>
        <w:t>Amortized</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in an amount not to exceed $100,000.00 (</w:t>
      </w:r>
      <w:r>
        <w:rPr>
          <w:rFonts w:ascii="Arial" w:cs="Arial" w:eastAsia="Arial" w:hAnsi="Arial"/>
          <w:sz w:val="16"/>
          <w:szCs w:val="16"/>
          <w:i w:val="1"/>
          <w:iCs w:val="1"/>
          <w:color w:val="auto"/>
        </w:rPr>
        <w:t>i.e.</w:t>
      </w:r>
      <w:r>
        <w:rPr>
          <w:rFonts w:ascii="Arial" w:cs="Arial" w:eastAsia="Arial" w:hAnsi="Arial"/>
          <w:sz w:val="16"/>
          <w:szCs w:val="16"/>
          <w:color w:val="auto"/>
        </w:rPr>
        <w:t>, approximately $4.58 per rentable square foot of the Premises) to be applied toward</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 of the Tenant-Funded Work. The amount of Amortized Allowance actually disbursed by Landlord shall be confirmed in writing as the “</w:t>
      </w:r>
      <w:r>
        <w:rPr>
          <w:rFonts w:ascii="Arial" w:cs="Arial" w:eastAsia="Arial" w:hAnsi="Arial"/>
          <w:sz w:val="16"/>
          <w:szCs w:val="16"/>
          <w:b w:val="1"/>
          <w:bCs w:val="1"/>
          <w:color w:val="auto"/>
        </w:rPr>
        <w:t>Amortized Allowance Amount</w:t>
      </w:r>
      <w:r>
        <w:rPr>
          <w:rFonts w:ascii="Arial" w:cs="Arial" w:eastAsia="Arial" w:hAnsi="Arial"/>
          <w:sz w:val="16"/>
          <w:szCs w:val="16"/>
          <w:color w:val="auto"/>
        </w:rPr>
        <w:t>”. As a condition to the disbursement of the Amortized Allowance Amount, no later than thirty (30) days following the Substantial Completion of the Landlord Work, Tenant shall execute and deliver an amendment to the Lease pursuant to which Tenant agrees to pay additional monthly Base Rent in an amount equal to the amount necessary to fully amortize the Amortized Allowance Amount over the entirety of the Term at an interest rate equal to eight percent (8%) per annum (the “</w:t>
      </w:r>
      <w:r>
        <w:rPr>
          <w:rFonts w:ascii="Arial" w:cs="Arial" w:eastAsia="Arial" w:hAnsi="Arial"/>
          <w:sz w:val="16"/>
          <w:szCs w:val="16"/>
          <w:b w:val="1"/>
          <w:bCs w:val="1"/>
          <w:color w:val="auto"/>
        </w:rPr>
        <w:t>Amortized Allowance Rent</w:t>
      </w:r>
      <w:r>
        <w:rPr>
          <w:rFonts w:ascii="Arial" w:cs="Arial" w:eastAsia="Arial" w:hAnsi="Arial"/>
          <w:sz w:val="16"/>
          <w:szCs w:val="16"/>
          <w:color w:val="auto"/>
        </w:rPr>
        <w:t>”), provided, however, that such Amortized Allowance Rent shall not be subject to annual escalation along with the Base Rent set forth above. Tenant shall have the right to pay off the unamortized principal balance of the Amortized Allowance Amount (together with all accrued but unpaid interest thereon) at any time during the Term without premium or penalty. Tenant shall not be entitled to receive any cash payment or credit against monthly Base Rent or otherwise for any unused portion of the Amortized Allowance which is not used to pay for the Tenant-Funded Work.</w:t>
      </w:r>
    </w:p>
    <w:p>
      <w:pPr>
        <w:spacing w:after="0" w:line="74" w:lineRule="exact"/>
        <w:rPr>
          <w:rFonts w:ascii="Arial" w:cs="Arial" w:eastAsia="Arial" w:hAnsi="Arial"/>
          <w:sz w:val="16"/>
          <w:szCs w:val="16"/>
          <w:color w:val="auto"/>
        </w:rPr>
      </w:pPr>
    </w:p>
    <w:p>
      <w:pPr>
        <w:ind w:left="536" w:hanging="536"/>
        <w:spacing w:after="0" w:line="269" w:lineRule="auto"/>
        <w:tabs>
          <w:tab w:leader="none" w:pos="53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 xml:space="preserve">For purposes of this Lease, including for purposes of determining the Commencement Date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Lease), the Landlord Work shall be “</w:t>
      </w:r>
      <w:r>
        <w:rPr>
          <w:rFonts w:ascii="Arial" w:cs="Arial" w:eastAsia="Arial" w:hAnsi="Arial"/>
          <w:sz w:val="17"/>
          <w:szCs w:val="17"/>
          <w:b w:val="1"/>
          <w:bCs w:val="1"/>
          <w:color w:val="auto"/>
        </w:rPr>
        <w:t>Substantially Complete</w:t>
      </w:r>
      <w:r>
        <w:rPr>
          <w:rFonts w:ascii="Arial" w:cs="Arial" w:eastAsia="Arial" w:hAnsi="Arial"/>
          <w:sz w:val="17"/>
          <w:szCs w:val="17"/>
          <w:color w:val="auto"/>
        </w:rPr>
        <w:t xml:space="preserve">” upon the completion of the Landlord Work in the Premises pursuant to the Tenant-Funded Space Plan, with the exception of any punch list items that do not materially and adversely affect Tenant’s use and occupancy of the Premises and any tenant fixtures, work-stations, built-in furniture, or equipment to be installed by or on behalf of Tenant in accordance with the terms of this Work Letter, regardless of whether such items are reflected in the Final Plans. Tenant will be deemed to have accepted the Premises in its condition as of the Commencement Date, subject to all Laws (as defined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Lease) governing and regulating the use and occupancy of the Premises and to have acknowledged that there are no items needing work or repair by Landlord, with the exception of any punch list items as described above. Notwithstanding the foregoing, if it is determined that the Premises were not in good condition and in compliance with applicable laws, rules and regulations as of the Commencement Date, and such non-compliance is not due to Tenant’s particular use of, or activities or work in the Premises, Landlord shall (as Tenant’s sole remedy therefor) correct such non-compliance at Landlord’s cost within a commercially reasonable time after Landlord’s receipt of written notice thereof (provided that such notice must be received within sixty (60) days following the Commencement Date).</w:t>
      </w:r>
    </w:p>
    <w:p>
      <w:pPr>
        <w:spacing w:after="0" w:line="85" w:lineRule="exact"/>
        <w:rPr>
          <w:rFonts w:ascii="Arial" w:cs="Arial" w:eastAsia="Arial" w:hAnsi="Arial"/>
          <w:sz w:val="17"/>
          <w:szCs w:val="17"/>
          <w:color w:val="auto"/>
        </w:rPr>
      </w:pPr>
    </w:p>
    <w:p>
      <w:pPr>
        <w:ind w:left="536" w:right="100" w:hanging="536"/>
        <w:spacing w:after="0" w:line="277" w:lineRule="auto"/>
        <w:tabs>
          <w:tab w:leader="none" w:pos="536"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If there shall be a delay or there are delays in the Substantial Completion of the Premises as a direct, indirect, partial, or total result of any of the following (each a “</w:t>
      </w:r>
      <w:r>
        <w:rPr>
          <w:rFonts w:ascii="Arial" w:cs="Arial" w:eastAsia="Arial" w:hAnsi="Arial"/>
          <w:sz w:val="18"/>
          <w:szCs w:val="18"/>
          <w:b w:val="1"/>
          <w:bCs w:val="1"/>
          <w:color w:val="auto"/>
        </w:rPr>
        <w:t>Tenant Delay</w:t>
      </w:r>
      <w:r>
        <w:rPr>
          <w:rFonts w:ascii="Arial" w:cs="Arial" w:eastAsia="Arial" w:hAnsi="Arial"/>
          <w:sz w:val="18"/>
          <w:szCs w:val="18"/>
          <w:color w:val="auto"/>
        </w:rPr>
        <w:t>”, and collectively, “</w:t>
      </w:r>
      <w:r>
        <w:rPr>
          <w:rFonts w:ascii="Arial" w:cs="Arial" w:eastAsia="Arial" w:hAnsi="Arial"/>
          <w:sz w:val="18"/>
          <w:szCs w:val="18"/>
          <w:b w:val="1"/>
          <w:bCs w:val="1"/>
          <w:color w:val="auto"/>
        </w:rPr>
        <w:t>Tenant Delays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36" w:hanging="642"/>
        <w:spacing w:after="0"/>
        <w:tabs>
          <w:tab w:leader="none" w:pos="1736" w:val="left"/>
        </w:tabs>
        <w:numPr>
          <w:ilvl w:val="1"/>
          <w:numId w:val="539"/>
        </w:numPr>
        <w:rPr>
          <w:rFonts w:ascii="Arial" w:cs="Arial" w:eastAsia="Arial" w:hAnsi="Arial"/>
          <w:sz w:val="18"/>
          <w:szCs w:val="18"/>
          <w:color w:val="auto"/>
        </w:rPr>
      </w:pPr>
      <w:r>
        <w:rPr>
          <w:rFonts w:ascii="Arial" w:cs="Arial" w:eastAsia="Arial" w:hAnsi="Arial"/>
          <w:sz w:val="18"/>
          <w:szCs w:val="18"/>
          <w:color w:val="auto"/>
        </w:rPr>
        <w:t xml:space="preserve">Tenant’s failure to comply with its obligations under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the Lease;</w:t>
      </w:r>
    </w:p>
    <w:p>
      <w:pPr>
        <w:spacing w:after="0" w:line="130" w:lineRule="exact"/>
        <w:rPr>
          <w:rFonts w:ascii="Arial" w:cs="Arial" w:eastAsia="Arial" w:hAnsi="Arial"/>
          <w:sz w:val="18"/>
          <w:szCs w:val="18"/>
          <w:color w:val="auto"/>
        </w:rPr>
      </w:pPr>
    </w:p>
    <w:p>
      <w:pPr>
        <w:ind w:left="1736" w:hanging="642"/>
        <w:spacing w:after="0"/>
        <w:tabs>
          <w:tab w:leader="none" w:pos="1736"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Tenant’s request for changes to the Landlord Work;</w:t>
      </w:r>
    </w:p>
    <w:p>
      <w:pPr>
        <w:spacing w:after="0" w:line="130" w:lineRule="exact"/>
        <w:rPr>
          <w:rFonts w:ascii="Arial" w:cs="Arial" w:eastAsia="Arial" w:hAnsi="Arial"/>
          <w:sz w:val="18"/>
          <w:szCs w:val="18"/>
          <w:color w:val="auto"/>
        </w:rPr>
      </w:pPr>
    </w:p>
    <w:p>
      <w:pPr>
        <w:ind w:left="1736" w:hanging="642"/>
        <w:spacing w:after="0"/>
        <w:tabs>
          <w:tab w:leader="none" w:pos="1736"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Tenant’s specification of any materials or equipment with long lead times; or</w:t>
      </w:r>
    </w:p>
    <w:p>
      <w:pPr>
        <w:spacing w:after="0" w:line="131" w:lineRule="exact"/>
        <w:rPr>
          <w:sz w:val="20"/>
          <w:szCs w:val="20"/>
          <w:color w:val="auto"/>
        </w:rPr>
      </w:pPr>
    </w:p>
    <w:p>
      <w:pPr>
        <w:ind w:left="1736" w:hanging="642"/>
        <w:spacing w:after="0"/>
        <w:tabs>
          <w:tab w:leader="none" w:pos="173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other acts or omissions of Tenant, the Tenant Related Parties or their respective contractors or vendors</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74" w:right="439" w:bottom="1440" w:gutter="0" w:footer="0" w:header="0"/>
        </w:sectPr>
      </w:pPr>
    </w:p>
    <w:bookmarkStart w:id="545" w:name="page546"/>
    <w:bookmarkEnd w:id="545"/>
    <w:p>
      <w:pPr>
        <w:jc w:val="both"/>
        <w:ind w:left="556"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notwithstanding anything to the contrary set forth in the Lease and regardless of the actual date of Substantial Completion, the Lease Commencement Date shall be deemed to be the date the Lease Commencement Date would have occurred if no Tenant Delays, as set forth above, had occurred.</w:t>
      </w:r>
    </w:p>
    <w:p>
      <w:pPr>
        <w:spacing w:after="0" w:line="87" w:lineRule="exact"/>
        <w:rPr>
          <w:sz w:val="20"/>
          <w:szCs w:val="20"/>
          <w:color w:val="auto"/>
        </w:rPr>
      </w:pPr>
    </w:p>
    <w:p>
      <w:pPr>
        <w:ind w:left="536" w:hanging="536"/>
        <w:spacing w:after="0" w:line="259" w:lineRule="auto"/>
        <w:tabs>
          <w:tab w:leader="none" w:pos="536"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119" w:lineRule="exact"/>
        <w:rPr>
          <w:sz w:val="20"/>
          <w:szCs w:val="20"/>
          <w:color w:val="auto"/>
        </w:rPr>
      </w:pPr>
    </w:p>
    <w:p>
      <w:pPr>
        <w:jc w:val="center"/>
        <w:ind w:right="-215"/>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2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96"/>
          </w:cols>
          <w:pgMar w:left="444" w:top="273" w:right="659" w:bottom="1440" w:gutter="0" w:footer="0" w:header="0"/>
        </w:sectPr>
      </w:pPr>
    </w:p>
    <w:bookmarkStart w:id="546" w:name="page547"/>
    <w:bookmarkEnd w:id="5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TO 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LANDLORD-FUNDED SPACE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 TO EXHIBIT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547" w:name="page548"/>
    <w:bookmarkEnd w:id="5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 TO 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TENANT-FUNDED 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179070</wp:posOffset>
            </wp:positionV>
            <wp:extent cx="3824605" cy="608012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24605" cy="608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 TO 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548" w:name="page549"/>
    <w:bookmarkEnd w:id="5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2(a) TO 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ESTIMATE</w:t>
      </w:r>
    </w:p>
    <w:p>
      <w:pPr>
        <w:spacing w:after="0" w:line="25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PRELIMINARY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68655" cy="6000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686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3360" w:type="dxa"/>
            <w:vAlign w:val="bottom"/>
          </w:tcPr>
          <w:p>
            <w:pPr>
              <w:ind w:left="20"/>
              <w:spacing w:after="0"/>
              <w:rPr>
                <w:sz w:val="20"/>
                <w:szCs w:val="20"/>
                <w:color w:val="auto"/>
              </w:rPr>
            </w:pPr>
            <w:r>
              <w:rPr>
                <w:rFonts w:ascii="Arial" w:cs="Arial" w:eastAsia="Arial" w:hAnsi="Arial"/>
                <w:sz w:val="18"/>
                <w:szCs w:val="18"/>
                <w:color w:val="auto"/>
              </w:rPr>
              <w:t>1/30/18</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Property:</w:t>
            </w:r>
          </w:p>
        </w:tc>
        <w:tc>
          <w:tcPr>
            <w:tcW w:w="3360" w:type="dxa"/>
            <w:vAlign w:val="bottom"/>
          </w:tcPr>
          <w:p>
            <w:pPr>
              <w:ind w:left="20"/>
              <w:spacing w:after="0"/>
              <w:rPr>
                <w:sz w:val="20"/>
                <w:szCs w:val="20"/>
                <w:color w:val="auto"/>
              </w:rPr>
            </w:pPr>
            <w:r>
              <w:rPr>
                <w:rFonts w:ascii="Arial" w:cs="Arial" w:eastAsia="Arial" w:hAnsi="Arial"/>
                <w:sz w:val="18"/>
                <w:szCs w:val="18"/>
                <w:color w:val="auto"/>
              </w:rPr>
              <w:t>University Station</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Building:</w:t>
            </w:r>
          </w:p>
        </w:tc>
        <w:tc>
          <w:tcPr>
            <w:tcW w:w="3360" w:type="dxa"/>
            <w:vAlign w:val="bottom"/>
          </w:tcPr>
          <w:p>
            <w:pPr>
              <w:ind w:left="20"/>
              <w:spacing w:after="0"/>
              <w:rPr>
                <w:sz w:val="20"/>
                <w:szCs w:val="20"/>
                <w:color w:val="auto"/>
              </w:rPr>
            </w:pPr>
            <w:r>
              <w:rPr>
                <w:rFonts w:ascii="Arial" w:cs="Arial" w:eastAsia="Arial" w:hAnsi="Arial"/>
                <w:sz w:val="18"/>
                <w:szCs w:val="18"/>
                <w:color w:val="auto"/>
              </w:rPr>
              <w:t>471 El Camino Real</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Suite:</w:t>
            </w:r>
          </w:p>
        </w:tc>
        <w:tc>
          <w:tcPr>
            <w:tcW w:w="3360" w:type="dxa"/>
            <w:vAlign w:val="bottom"/>
          </w:tcPr>
          <w:p>
            <w:pPr>
              <w:ind w:left="20"/>
              <w:spacing w:after="0"/>
              <w:rPr>
                <w:sz w:val="20"/>
                <w:szCs w:val="20"/>
                <w:color w:val="auto"/>
              </w:rPr>
            </w:pPr>
            <w:r>
              <w:rPr>
                <w:rFonts w:ascii="Arial" w:cs="Arial" w:eastAsia="Arial" w:hAnsi="Arial"/>
                <w:sz w:val="18"/>
                <w:szCs w:val="18"/>
                <w:color w:val="auto"/>
              </w:rPr>
              <w:t>100</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Tenant:</w:t>
            </w:r>
          </w:p>
        </w:tc>
        <w:tc>
          <w:tcPr>
            <w:tcW w:w="3360" w:type="dxa"/>
            <w:vAlign w:val="bottom"/>
          </w:tcPr>
          <w:p>
            <w:pPr>
              <w:ind w:left="20"/>
              <w:spacing w:after="0"/>
              <w:rPr>
                <w:sz w:val="20"/>
                <w:szCs w:val="20"/>
                <w:color w:val="auto"/>
              </w:rPr>
            </w:pPr>
            <w:r>
              <w:rPr>
                <w:rFonts w:ascii="Arial" w:cs="Arial" w:eastAsia="Arial" w:hAnsi="Arial"/>
                <w:sz w:val="18"/>
                <w:szCs w:val="18"/>
                <w:color w:val="auto"/>
              </w:rPr>
              <w:t>8I-BONE, Inc.</w:t>
            </w: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RSF:</w:t>
            </w:r>
          </w:p>
        </w:tc>
        <w:tc>
          <w:tcPr>
            <w:tcW w:w="3360" w:type="dxa"/>
            <w:vAlign w:val="bottom"/>
          </w:tcPr>
          <w:p>
            <w:pPr>
              <w:ind w:left="20"/>
              <w:spacing w:after="0"/>
              <w:rPr>
                <w:sz w:val="20"/>
                <w:szCs w:val="20"/>
                <w:color w:val="auto"/>
              </w:rPr>
            </w:pPr>
            <w:r>
              <w:rPr>
                <w:rFonts w:ascii="Arial" w:cs="Arial" w:eastAsia="Arial" w:hAnsi="Arial"/>
                <w:sz w:val="18"/>
                <w:szCs w:val="18"/>
                <w:color w:val="auto"/>
              </w:rPr>
              <w:t>21,848</w:t>
            </w: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4"/>
                <w:szCs w:val="2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$RSF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 Costs:</w:t>
            </w:r>
          </w:p>
        </w:tc>
        <w:tc>
          <w:tcPr>
            <w:tcW w:w="45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Gidel &amp; Kocal Construction</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247,280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Architecture: IA Interior Architects</w:t>
            </w:r>
          </w:p>
        </w:tc>
        <w:tc>
          <w:tcPr>
            <w:tcW w:w="4500" w:type="dxa"/>
            <w:vAlign w:val="bottom"/>
          </w:tcPr>
          <w:p>
            <w:pPr>
              <w:ind w:left="120"/>
              <w:spacing w:after="0"/>
              <w:rPr>
                <w:sz w:val="20"/>
                <w:szCs w:val="20"/>
                <w:color w:val="auto"/>
              </w:rPr>
            </w:pPr>
            <w:r>
              <w:rPr>
                <w:rFonts w:ascii="Arial" w:cs="Arial" w:eastAsia="Arial" w:hAnsi="Arial"/>
                <w:sz w:val="18"/>
                <w:szCs w:val="18"/>
                <w:color w:val="auto"/>
              </w:rPr>
              <w:t>Space Plan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Pricing Plan</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Schematic Design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Design Development</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Field Verification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Documents</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Plancheck Submittal</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City Revisions</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Construction Administration</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Reimbursables (allowance)</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Engineering:</w:t>
            </w: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7"/>
              </w:rPr>
              <w:t>MEP Construction Documents W’ Title 24 (Design Build)</w:t>
            </w: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Title 24 Commissioning (allowance)</w:t>
            </w: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Fire Sprinkler Design Build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00"/>
              <w:spacing w:after="0"/>
              <w:rPr>
                <w:sz w:val="20"/>
                <w:szCs w:val="20"/>
                <w:color w:val="auto"/>
              </w:rPr>
            </w:pPr>
            <w:r>
              <w:rPr>
                <w:rFonts w:ascii="Arial" w:cs="Arial" w:eastAsia="Arial" w:hAnsi="Arial"/>
                <w:sz w:val="18"/>
                <w:szCs w:val="18"/>
                <w:color w:val="auto"/>
                <w:w w:val="99"/>
              </w:rPr>
              <w:t>Incl</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Life Safety Design Build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Incl</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36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On Construction Cost Above (allowance)</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Contingency</w:t>
            </w: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 All Costs Above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Bixby CM Fee</w:t>
            </w:r>
          </w:p>
        </w:tc>
        <w:tc>
          <w:tcPr>
            <w:tcW w:w="4500" w:type="dxa"/>
            <w:vAlign w:val="bottom"/>
          </w:tcPr>
          <w:p>
            <w:pPr>
              <w:ind w:left="120"/>
              <w:spacing w:after="0"/>
              <w:rPr>
                <w:sz w:val="20"/>
                <w:szCs w:val="20"/>
                <w:color w:val="auto"/>
              </w:rPr>
            </w:pPr>
            <w:r>
              <w:rPr>
                <w:rFonts w:ascii="Arial" w:cs="Arial" w:eastAsia="Arial" w:hAnsi="Arial"/>
                <w:sz w:val="18"/>
                <w:szCs w:val="18"/>
                <w:color w:val="auto"/>
              </w:rPr>
              <w:t>On All Costs Above</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8,010</w:t>
            </w:r>
          </w:p>
        </w:tc>
        <w:tc>
          <w:tcPr>
            <w:tcW w:w="660" w:type="dxa"/>
            <w:vAlign w:val="bottom"/>
            <w:gridSpan w:val="3"/>
          </w:tcPr>
          <w:p>
            <w:pPr>
              <w:ind w:left="160"/>
              <w:spacing w:after="0"/>
              <w:rPr>
                <w:sz w:val="20"/>
                <w:szCs w:val="20"/>
                <w:color w:val="auto"/>
              </w:rPr>
            </w:pPr>
            <w:r>
              <w:rPr>
                <w:rFonts w:ascii="Arial" w:cs="Arial" w:eastAsia="Arial" w:hAnsi="Arial"/>
                <w:sz w:val="18"/>
                <w:szCs w:val="18"/>
                <w:color w:val="auto"/>
                <w:w w:val="95"/>
              </w:rPr>
              <w:t>$ 0.37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PROJECT COST (NOT INCL. ALTERNATES</w:t>
            </w:r>
          </w:p>
        </w:tc>
        <w:tc>
          <w:tcPr>
            <w:tcW w:w="4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336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274,999</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$12.59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Alternates:</w:t>
            </w:r>
          </w:p>
        </w:tc>
        <w:tc>
          <w:tcPr>
            <w:tcW w:w="33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SUBTOTAL:</w:t>
            </w:r>
          </w:p>
        </w:tc>
        <w:tc>
          <w:tcPr>
            <w:tcW w:w="33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w w:val="97"/>
              </w:rPr>
              <w:t>TOTAL PROJECT COST (INCLUDING ALTERNATES)</w:t>
            </w: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274,999</w:t>
            </w:r>
          </w:p>
        </w:tc>
        <w:tc>
          <w:tcPr>
            <w:tcW w:w="660" w:type="dxa"/>
            <w:vAlign w:val="bottom"/>
            <w:gridSpan w:val="3"/>
          </w:tcPr>
          <w:p>
            <w:pPr>
              <w:ind w:left="160"/>
              <w:spacing w:after="0"/>
              <w:rPr>
                <w:sz w:val="20"/>
                <w:szCs w:val="20"/>
                <w:color w:val="auto"/>
              </w:rPr>
            </w:pPr>
            <w:r>
              <w:rPr>
                <w:rFonts w:ascii="Arial" w:cs="Arial" w:eastAsia="Arial" w:hAnsi="Arial"/>
                <w:sz w:val="18"/>
                <w:szCs w:val="18"/>
                <w:color w:val="auto"/>
                <w:w w:val="87"/>
              </w:rPr>
              <w:t>$12.68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997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997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2(a) TO EXHIBIT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269" w:right="419" w:bottom="1440" w:gutter="0" w:footer="0" w:header="0"/>
        </w:sectPr>
      </w:pPr>
    </w:p>
    <w:bookmarkStart w:id="549" w:name="page550"/>
    <w:bookmarkEnd w:id="5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180" w:lineRule="exact"/>
        <w:rPr>
          <w:sz w:val="20"/>
          <w:szCs w:val="20"/>
          <w:color w:val="auto"/>
        </w:rPr>
      </w:pPr>
    </w:p>
    <w:p>
      <w:pPr>
        <w:ind w:right="100" w:firstLine="551"/>
        <w:spacing w:after="0" w:line="286" w:lineRule="auto"/>
        <w:rPr>
          <w:sz w:val="20"/>
          <w:szCs w:val="20"/>
          <w:color w:val="auto"/>
        </w:rPr>
      </w:pPr>
      <w:r>
        <w:rPr>
          <w:rFonts w:ascii="Arial" w:cs="Arial" w:eastAsia="Arial" w:hAnsi="Arial"/>
          <w:sz w:val="17"/>
          <w:szCs w:val="17"/>
          <w:color w:val="auto"/>
        </w:rPr>
        <w:t>The following rules and regulations shall apply, where applicable, to the Premises, the Building, the parking garage (if any), the Development and the appurtenances. In the event of a conflict between the following rules and regulations and the remainder of the terms of the Lease, the remainder of the terms of the Lease shall control. Capitalized terms have the same meaning as defined in the Lease.</w:t>
      </w:r>
    </w:p>
    <w:p>
      <w:pPr>
        <w:spacing w:after="0" w:line="71" w:lineRule="exact"/>
        <w:rPr>
          <w:sz w:val="20"/>
          <w:szCs w:val="20"/>
          <w:color w:val="auto"/>
        </w:rPr>
      </w:pPr>
    </w:p>
    <w:p>
      <w:pPr>
        <w:ind w:left="540" w:right="40" w:hanging="536"/>
        <w:spacing w:after="0" w:line="312" w:lineRule="auto"/>
        <w:tabs>
          <w:tab w:leader="none" w:pos="54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Common Areas or elsewhere about the Building or Development.</w:t>
      </w:r>
    </w:p>
    <w:p>
      <w:pPr>
        <w:spacing w:after="0" w:line="52" w:lineRule="exact"/>
        <w:rPr>
          <w:rFonts w:ascii="Arial" w:cs="Arial" w:eastAsia="Arial" w:hAnsi="Arial"/>
          <w:sz w:val="16"/>
          <w:szCs w:val="16"/>
          <w:color w:val="auto"/>
        </w:rPr>
      </w:pPr>
    </w:p>
    <w:p>
      <w:pPr>
        <w:jc w:val="both"/>
        <w:ind w:left="540" w:right="260" w:hanging="536"/>
        <w:spacing w:after="0" w:line="264"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Plumbing fixtures and appliances shall be used only for the purposes for which designed, and no sweepings, rubbish, rags or other unsuitable material shall be thrown or placed in the fixtures or appliances. Damage resulting to fixtures or appliances by Tenant, its agents, employees or invitees, shall be paid for by Tenant, and Landlord shall not be responsible for the damage.</w:t>
      </w:r>
    </w:p>
    <w:p>
      <w:pPr>
        <w:spacing w:after="0" w:line="86" w:lineRule="exact"/>
        <w:rPr>
          <w:rFonts w:ascii="Arial" w:cs="Arial" w:eastAsia="Arial" w:hAnsi="Arial"/>
          <w:sz w:val="18"/>
          <w:szCs w:val="18"/>
          <w:color w:val="auto"/>
        </w:rPr>
      </w:pPr>
    </w:p>
    <w:p>
      <w:pPr>
        <w:ind w:left="540" w:right="80" w:hanging="536"/>
        <w:spacing w:after="0" w:line="297" w:lineRule="auto"/>
        <w:tabs>
          <w:tab w:leader="none" w:pos="54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No signs, advertisements or notices shall be painted or affixed to windows, doors or other parts of the Building, except those of such color, size, style and in such places as are first approved in writing by Landlord. All tenant identification and suite numbers at the entrance to the Premises shall be installed by Landlord, at Tenant’s cost and expense,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63" w:lineRule="exact"/>
        <w:rPr>
          <w:rFonts w:ascii="Arial" w:cs="Arial" w:eastAsia="Arial" w:hAnsi="Arial"/>
          <w:sz w:val="16"/>
          <w:szCs w:val="16"/>
          <w:color w:val="auto"/>
        </w:rPr>
      </w:pPr>
    </w:p>
    <w:p>
      <w:pPr>
        <w:ind w:left="540" w:hanging="536"/>
        <w:spacing w:after="0" w:line="277"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75" w:lineRule="exact"/>
        <w:rPr>
          <w:rFonts w:ascii="Arial" w:cs="Arial" w:eastAsia="Arial" w:hAnsi="Arial"/>
          <w:sz w:val="18"/>
          <w:szCs w:val="18"/>
          <w:color w:val="auto"/>
        </w:rPr>
      </w:pPr>
    </w:p>
    <w:p>
      <w:pPr>
        <w:ind w:left="540" w:right="60" w:hanging="536"/>
        <w:spacing w:after="0" w:line="257"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Tenant shall not place any lock(s) on any door in the Premises or Building without Landlord’s prior written consent, which consent shall not be unreasonably withheld, and Landlord shall have the right to retain at all times and to use keys or other access codes or devices to all locks within and into the Premises. A reasonable number of keys to the locks on the entry doors in the Premises shall be furnished by Landlord to Tenant at Tenant’s cost, and Tenant shall not make any duplicate keys. All keys shall be returned to Landlord at the expiration or early termination of this Lease.</w:t>
      </w:r>
    </w:p>
    <w:p>
      <w:pPr>
        <w:spacing w:after="0" w:line="93" w:lineRule="exact"/>
        <w:rPr>
          <w:rFonts w:ascii="Arial" w:cs="Arial" w:eastAsia="Arial" w:hAnsi="Arial"/>
          <w:sz w:val="18"/>
          <w:szCs w:val="18"/>
          <w:color w:val="auto"/>
        </w:rPr>
      </w:pPr>
    </w:p>
    <w:p>
      <w:pPr>
        <w:ind w:left="540" w:right="380" w:hanging="536"/>
        <w:spacing w:after="0" w:line="264" w:lineRule="auto"/>
        <w:tabs>
          <w:tab w:leader="none" w:pos="5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All contractors, contractor’s representatives and installation technicians performing work in the Building shall be subject to Landlord’s prior approval, which approval shall not be unreasonably withheld, and shall be required to comply with Landlord’s standard rules, regulations, policies and procedures, which may be revised from time to time.</w:t>
      </w:r>
    </w:p>
    <w:p>
      <w:pPr>
        <w:spacing w:after="0" w:line="86" w:lineRule="exact"/>
        <w:rPr>
          <w:rFonts w:ascii="Arial" w:cs="Arial" w:eastAsia="Arial" w:hAnsi="Arial"/>
          <w:sz w:val="18"/>
          <w:szCs w:val="18"/>
          <w:color w:val="auto"/>
        </w:rPr>
      </w:pPr>
    </w:p>
    <w:p>
      <w:pPr>
        <w:ind w:left="540" w:right="20" w:hanging="536"/>
        <w:spacing w:after="0" w:line="273" w:lineRule="auto"/>
        <w:tabs>
          <w:tab w:leader="none" w:pos="54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Movement in or out of the Building of furniture or office equipment, or dispatch or receipt by Tenant of merchandise or materials requiring the use of elevators, stairways, lobby areas or loading dock areas, shall be restricted to hours reasonably designated by Landlord. Tenant shall obtain Landlord’s prior approval by providing a detailed listing of the activity. If approved by Landlord, the activity shall be under the supervision of Landlord and performed in the manner required by Landlord. Tenant shall assume all risk for damage to articles moved and injury to any persons resulting from the activity. If equipment, property, or personnel of Landlord or of any other party is damaged or injured as a result of or in connection with the activity, Tenant shall be solely liable for any resulting damage or loss.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550" w:name="page551"/>
    <w:bookmarkEnd w:id="550"/>
    <w:p>
      <w:pPr>
        <w:ind w:left="540" w:right="220" w:hanging="536"/>
        <w:spacing w:after="0" w:line="264" w:lineRule="auto"/>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shall have the right to approve the weight, size, or location of heavy equipment or articles in and about the Premises, which approval shall not be unreasonably withheld. Damage to the Building by the installation, maintenance, operation, existence or removal of Tenant’s Property shall be repaired at Tenant’s sole expense.</w:t>
      </w:r>
    </w:p>
    <w:p>
      <w:pPr>
        <w:spacing w:after="0" w:line="86" w:lineRule="exact"/>
        <w:rPr>
          <w:rFonts w:ascii="Arial" w:cs="Arial" w:eastAsia="Arial" w:hAnsi="Arial"/>
          <w:sz w:val="18"/>
          <w:szCs w:val="18"/>
          <w:color w:val="auto"/>
        </w:rPr>
      </w:pPr>
    </w:p>
    <w:p>
      <w:pPr>
        <w:ind w:left="540" w:hanging="536"/>
        <w:spacing w:after="0"/>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Corridor doors, when not in use, shall be kept closed.</w:t>
      </w:r>
    </w:p>
    <w:p>
      <w:pPr>
        <w:spacing w:after="0" w:line="130" w:lineRule="exact"/>
        <w:rPr>
          <w:rFonts w:ascii="Arial" w:cs="Arial" w:eastAsia="Arial" w:hAnsi="Arial"/>
          <w:sz w:val="18"/>
          <w:szCs w:val="18"/>
          <w:color w:val="auto"/>
        </w:rPr>
      </w:pPr>
    </w:p>
    <w:p>
      <w:pPr>
        <w:ind w:left="540" w:right="20" w:hanging="536"/>
        <w:spacing w:after="0" w:line="259" w:lineRule="auto"/>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Tenant shall not: (i) make or permit any improper, objectionable or unpleasant noises or odors in the Building, or otherwise interfere in any way with other tenants or persons having business with them; (ii) solicit business or distribute, or cause to be distributed, in any portion of the Building, handbills, promotional materials or other advertising; or (iii) conduct or permit other activities in the Building that might, in Landlord’s sole opinion, constitute a nuisance.</w:t>
      </w:r>
    </w:p>
    <w:p>
      <w:pPr>
        <w:spacing w:after="0" w:line="92" w:lineRule="exact"/>
        <w:rPr>
          <w:rFonts w:ascii="Arial" w:cs="Arial" w:eastAsia="Arial" w:hAnsi="Arial"/>
          <w:sz w:val="18"/>
          <w:szCs w:val="18"/>
          <w:color w:val="auto"/>
        </w:rPr>
      </w:pPr>
    </w:p>
    <w:p>
      <w:pPr>
        <w:ind w:left="540" w:hanging="536"/>
        <w:spacing w:after="0"/>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No animals, except those assisting handicapped persons, shall be brought into the Building or kept in or about the Premises.</w:t>
      </w:r>
    </w:p>
    <w:p>
      <w:pPr>
        <w:spacing w:after="0" w:line="130" w:lineRule="exact"/>
        <w:rPr>
          <w:rFonts w:ascii="Arial" w:cs="Arial" w:eastAsia="Arial" w:hAnsi="Arial"/>
          <w:sz w:val="18"/>
          <w:szCs w:val="18"/>
          <w:color w:val="auto"/>
        </w:rPr>
      </w:pPr>
    </w:p>
    <w:p>
      <w:pPr>
        <w:ind w:left="540" w:right="40" w:hanging="536"/>
        <w:spacing w:after="0" w:line="254" w:lineRule="auto"/>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No inflammable, explosive or dangerous fluids or substances shall be used or kept by Tenant in the Premises, Building or about the Development, except for those substances as are typically found in similar premises used for general office and research and development purposes and are being used by Tenant in a safe manner and in accordance with all applicable Laws, rules and regulations. Tenant shall not, without Landlord’s prior written consent, use, store, install, spill, remove, release or dispose of, within or about the Premises or any other portion of the Development, any asbestos-containing materials or any solid, liquid or gaseous material now or subsequently considered toxic or hazardous under the provisions of 42 U.S.C. Section 9601 et seq. or any other applicable environmental Laws which may now or later be in effect. Tenant shall comply with all Laws pertaining to and governing the use of these materials by Tenant, and shall remain solely liable for the costs of abatement and removal.</w:t>
      </w:r>
    </w:p>
    <w:p>
      <w:pPr>
        <w:spacing w:after="0" w:line="97" w:lineRule="exact"/>
        <w:rPr>
          <w:rFonts w:ascii="Arial" w:cs="Arial" w:eastAsia="Arial" w:hAnsi="Arial"/>
          <w:sz w:val="18"/>
          <w:szCs w:val="18"/>
          <w:color w:val="auto"/>
        </w:rPr>
      </w:pPr>
    </w:p>
    <w:p>
      <w:pPr>
        <w:ind w:left="540" w:right="120" w:hanging="536"/>
        <w:spacing w:after="0" w:line="264" w:lineRule="auto"/>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Tenant shall not use or occupy the Premises in any manner or for any purpose which might injure the reputation or impair the present or future value of the Premises or the Building. Tenant shall not use, or permit any part of the Premises to be used, for lodging, sleeping or for any illegal purpose.</w:t>
      </w:r>
    </w:p>
    <w:p>
      <w:pPr>
        <w:spacing w:after="0" w:line="86" w:lineRule="exact"/>
        <w:rPr>
          <w:rFonts w:ascii="Arial" w:cs="Arial" w:eastAsia="Arial" w:hAnsi="Arial"/>
          <w:sz w:val="18"/>
          <w:szCs w:val="18"/>
          <w:color w:val="auto"/>
        </w:rPr>
      </w:pPr>
    </w:p>
    <w:p>
      <w:pPr>
        <w:ind w:left="540" w:hanging="536"/>
        <w:spacing w:after="0" w:line="273" w:lineRule="auto"/>
        <w:tabs>
          <w:tab w:leader="none" w:pos="54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17"/>
          <w:szCs w:val="17"/>
          <w:b w:val="1"/>
          <w:bCs w:val="1"/>
          <w:color w:val="auto"/>
        </w:rPr>
        <w:t>Labor Disruption</w:t>
      </w:r>
      <w:r>
        <w:rPr>
          <w:rFonts w:ascii="Arial" w:cs="Arial" w:eastAsia="Arial" w:hAnsi="Arial"/>
          <w:sz w:val="17"/>
          <w:szCs w:val="17"/>
          <w:color w:val="auto"/>
        </w:rPr>
        <w:t>”).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or any of the Landlord Related Parties, nor shall the Commencement Date of the Term be extended as a result of the above actions.</w:t>
      </w:r>
    </w:p>
    <w:p>
      <w:pPr>
        <w:spacing w:after="0" w:line="83" w:lineRule="exact"/>
        <w:rPr>
          <w:rFonts w:ascii="Arial" w:cs="Arial" w:eastAsia="Arial" w:hAnsi="Arial"/>
          <w:sz w:val="17"/>
          <w:szCs w:val="17"/>
          <w:color w:val="auto"/>
        </w:rPr>
      </w:pPr>
    </w:p>
    <w:p>
      <w:pPr>
        <w:ind w:left="540" w:hanging="536"/>
        <w:spacing w:after="0" w:line="302" w:lineRule="auto"/>
        <w:tabs>
          <w:tab w:leader="none" w:pos="54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Tenant shall not install, operate or maintain in the Premises or in any other area of the Building, electrical equipment that would overload the electrical system beyond its capacity for proper, efficient and safe operation as determined solely by Landlord. Tenant shall not furnish cooling or heating to the Premises, including, without limitation, the use of electronic or gas heating devices, without Landlord’s prior written consent. Tenant shall not use more than its proportionate share of telephone lines and other telecommunication facilities available to service the Building.</w:t>
      </w:r>
    </w:p>
    <w:p>
      <w:pPr>
        <w:spacing w:after="0" w:line="59" w:lineRule="exact"/>
        <w:rPr>
          <w:rFonts w:ascii="Arial" w:cs="Arial" w:eastAsia="Arial" w:hAnsi="Arial"/>
          <w:sz w:val="16"/>
          <w:szCs w:val="16"/>
          <w:color w:val="auto"/>
        </w:rPr>
      </w:pPr>
    </w:p>
    <w:p>
      <w:pPr>
        <w:ind w:left="540" w:right="140" w:hanging="536"/>
        <w:spacing w:after="0" w:line="264" w:lineRule="auto"/>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Tenant shall not operate or permit to be operated a coin or token operated vending machine or similar device (including, without limitation, telephones, lockers, toilets, scales, amusement devices and machines for sale of beverages, foods, candy, cigarettes and other goods), except for machines for the exclusive use of Tenant’s employees and invitees.</w:t>
      </w:r>
    </w:p>
    <w:p>
      <w:pPr>
        <w:spacing w:after="0" w:line="86" w:lineRule="exact"/>
        <w:rPr>
          <w:rFonts w:ascii="Arial" w:cs="Arial" w:eastAsia="Arial" w:hAnsi="Arial"/>
          <w:sz w:val="18"/>
          <w:szCs w:val="18"/>
          <w:color w:val="auto"/>
        </w:rPr>
      </w:pPr>
    </w:p>
    <w:p>
      <w:pPr>
        <w:ind w:left="540" w:right="660" w:hanging="536"/>
        <w:spacing w:after="0" w:line="277" w:lineRule="auto"/>
        <w:tabs>
          <w:tab w:leader="none" w:pos="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Bicycles and other vehicles are not permitted inside the Building or on the walkways outside the Building, except in areas designated by Landlord.</w:t>
      </w:r>
    </w:p>
    <w:p>
      <w:pPr>
        <w:spacing w:after="0" w:line="75" w:lineRule="exact"/>
        <w:rPr>
          <w:rFonts w:ascii="Arial" w:cs="Arial" w:eastAsia="Arial" w:hAnsi="Arial"/>
          <w:sz w:val="18"/>
          <w:szCs w:val="18"/>
          <w:color w:val="auto"/>
        </w:rPr>
      </w:pPr>
    </w:p>
    <w:p>
      <w:pPr>
        <w:ind w:left="540" w:right="100" w:hanging="536"/>
        <w:spacing w:after="0" w:line="308" w:lineRule="auto"/>
        <w:tabs>
          <w:tab w:leader="none" w:pos="54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Landlord may from time to time adopt systems and procedures for the security and safety of the Building, its occupants, entry, use and contents. Tenant, its agents, employees, contractors, guests and invitees shall comply with Landlord’s systems and procedures.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51" w:name="page552"/>
    <w:bookmarkEnd w:id="551"/>
    <w:p>
      <w:pPr>
        <w:ind w:left="536" w:right="40" w:hanging="536"/>
        <w:spacing w:after="0" w:line="264" w:lineRule="auto"/>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have the right to prohibit the use of the name of the Building or any other publicity by Tenant that in Landlord’s sole opinion may impair the reputation of the Building or its desirability. Upon written notice from Landlord, Tenant shall refrain from and discontinue such publicity immediately.</w:t>
      </w:r>
    </w:p>
    <w:p>
      <w:pPr>
        <w:spacing w:after="0" w:line="86" w:lineRule="exact"/>
        <w:rPr>
          <w:rFonts w:ascii="Arial" w:cs="Arial" w:eastAsia="Arial" w:hAnsi="Arial"/>
          <w:sz w:val="18"/>
          <w:szCs w:val="18"/>
          <w:color w:val="auto"/>
        </w:rPr>
      </w:pPr>
    </w:p>
    <w:p>
      <w:pPr>
        <w:ind w:left="536" w:right="540" w:hanging="536"/>
        <w:spacing w:after="0" w:line="259" w:lineRule="auto"/>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Neither Tenant nor its agents, employees, contractors, guests or invitees shall smoke or permit smoking in the Common Areas, unless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non-smoking building.</w:t>
      </w:r>
    </w:p>
    <w:p>
      <w:pPr>
        <w:spacing w:after="0" w:line="92" w:lineRule="exact"/>
        <w:rPr>
          <w:rFonts w:ascii="Arial" w:cs="Arial" w:eastAsia="Arial" w:hAnsi="Arial"/>
          <w:sz w:val="18"/>
          <w:szCs w:val="18"/>
          <w:color w:val="auto"/>
        </w:rPr>
      </w:pPr>
    </w:p>
    <w:p>
      <w:pPr>
        <w:ind w:left="536" w:right="140" w:hanging="536"/>
        <w:spacing w:after="0" w:line="264" w:lineRule="auto"/>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86" w:lineRule="exact"/>
        <w:rPr>
          <w:rFonts w:ascii="Arial" w:cs="Arial" w:eastAsia="Arial" w:hAnsi="Arial"/>
          <w:sz w:val="18"/>
          <w:szCs w:val="18"/>
          <w:color w:val="auto"/>
        </w:rPr>
      </w:pPr>
    </w:p>
    <w:p>
      <w:pPr>
        <w:ind w:left="536" w:right="240" w:hanging="536"/>
        <w:spacing w:after="0" w:line="286" w:lineRule="auto"/>
        <w:tabs>
          <w:tab w:leader="none" w:pos="536" w:val="left"/>
        </w:tabs>
        <w:numPr>
          <w:ilvl w:val="0"/>
          <w:numId w:val="544"/>
        </w:numPr>
        <w:rPr>
          <w:rFonts w:ascii="Arial" w:cs="Arial" w:eastAsia="Arial" w:hAnsi="Arial"/>
          <w:sz w:val="17"/>
          <w:szCs w:val="17"/>
          <w:color w:val="auto"/>
        </w:rPr>
      </w:pPr>
      <w:r>
        <w:rPr>
          <w:rFonts w:ascii="Arial" w:cs="Arial" w:eastAsia="Arial" w:hAnsi="Arial"/>
          <w:sz w:val="17"/>
          <w:szCs w:val="17"/>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Common Areas, any pedestrian use, or any use which is inconsistent with good business practice.</w:t>
      </w:r>
    </w:p>
    <w:p>
      <w:pPr>
        <w:spacing w:after="0" w:line="70" w:lineRule="exact"/>
        <w:rPr>
          <w:rFonts w:ascii="Arial" w:cs="Arial" w:eastAsia="Arial" w:hAnsi="Arial"/>
          <w:sz w:val="17"/>
          <w:szCs w:val="17"/>
          <w:color w:val="auto"/>
        </w:rPr>
      </w:pPr>
    </w:p>
    <w:p>
      <w:pPr>
        <w:ind w:left="536" w:right="20" w:hanging="536"/>
        <w:spacing w:after="0" w:line="264" w:lineRule="auto"/>
        <w:tabs>
          <w:tab w:leader="none" w:pos="5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w:t>
      </w:r>
    </w:p>
    <w:p>
      <w:pPr>
        <w:spacing w:after="0" w:line="39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u w:val="single" w:color="auto"/>
          <w:color w:val="auto"/>
        </w:rPr>
        <w:t>PARKING RULES AND REGULATIONS</w:t>
      </w:r>
    </w:p>
    <w:p>
      <w:pPr>
        <w:spacing w:after="0" w:line="256" w:lineRule="exact"/>
        <w:rPr>
          <w:sz w:val="20"/>
          <w:szCs w:val="20"/>
          <w:color w:val="auto"/>
        </w:rPr>
      </w:pPr>
    </w:p>
    <w:p>
      <w:pPr>
        <w:ind w:left="536" w:right="40" w:hanging="536"/>
        <w:spacing w:after="0" w:line="276" w:lineRule="auto"/>
        <w:tabs>
          <w:tab w:leader="none" w:pos="536" w:val="left"/>
        </w:tabs>
        <w:numPr>
          <w:ilvl w:val="0"/>
          <w:numId w:val="545"/>
        </w:numPr>
        <w:rPr>
          <w:rFonts w:ascii="Arial" w:cs="Arial" w:eastAsia="Arial" w:hAnsi="Arial"/>
          <w:sz w:val="17"/>
          <w:szCs w:val="17"/>
          <w:color w:val="auto"/>
        </w:rPr>
      </w:pPr>
      <w:r>
        <w:rPr>
          <w:rFonts w:ascii="Arial" w:cs="Arial" w:eastAsia="Arial" w:hAnsi="Arial"/>
          <w:sz w:val="17"/>
          <w:szCs w:val="17"/>
          <w:color w:val="auto"/>
        </w:rPr>
        <w:t>Landlord reserves the right, to establish and reasonably change the hours for the parking areas, on a non-discriminatory basis, from time to time. Tenant shall not store or permit its employees to store any automobiles in the parking areas without the prior written consent of the operator. Except for emergency repairs, Tenant and its employees shall not perform any work on any automobiles while located in the parking areas, or on the Development. If it is necessary for Tenant or its employees to leave an automobile in the Parking Facility overnight, Tenant shall provide the operator with prior notice thereof designating the license plate number and model of such automobile.</w:t>
      </w:r>
    </w:p>
    <w:p>
      <w:pPr>
        <w:spacing w:after="0" w:line="77" w:lineRule="exact"/>
        <w:rPr>
          <w:rFonts w:ascii="Arial" w:cs="Arial" w:eastAsia="Arial" w:hAnsi="Arial"/>
          <w:sz w:val="17"/>
          <w:szCs w:val="17"/>
          <w:color w:val="auto"/>
        </w:rPr>
      </w:pPr>
    </w:p>
    <w:p>
      <w:pPr>
        <w:ind w:left="536" w:hanging="536"/>
        <w:spacing w:after="0"/>
        <w:tabs>
          <w:tab w:leader="none" w:pos="536" w:val="left"/>
        </w:tabs>
        <w:numPr>
          <w:ilvl w:val="0"/>
          <w:numId w:val="545"/>
        </w:numPr>
        <w:rPr>
          <w:rFonts w:ascii="Arial" w:cs="Arial" w:eastAsia="Arial" w:hAnsi="Arial"/>
          <w:sz w:val="17"/>
          <w:szCs w:val="17"/>
          <w:color w:val="auto"/>
        </w:rPr>
      </w:pPr>
      <w:r>
        <w:rPr>
          <w:rFonts w:ascii="Arial" w:cs="Arial" w:eastAsia="Arial" w:hAnsi="Arial"/>
          <w:sz w:val="17"/>
          <w:szCs w:val="17"/>
          <w:color w:val="auto"/>
        </w:rPr>
        <w:t>Cars must be parked entirely within the stall lines painted on the floor, and only small cars may be parked in areas reserved for small cars.</w:t>
      </w:r>
    </w:p>
    <w:p>
      <w:pPr>
        <w:spacing w:after="0" w:line="142" w:lineRule="exact"/>
        <w:rPr>
          <w:rFonts w:ascii="Arial" w:cs="Arial" w:eastAsia="Arial" w:hAnsi="Arial"/>
          <w:sz w:val="17"/>
          <w:szCs w:val="17"/>
          <w:color w:val="auto"/>
        </w:rPr>
      </w:pPr>
    </w:p>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All directional signs and arrows must be observed.</w:t>
      </w:r>
    </w:p>
    <w:p>
      <w:pPr>
        <w:spacing w:after="0" w:line="130" w:lineRule="exact"/>
        <w:rPr>
          <w:rFonts w:ascii="Arial" w:cs="Arial" w:eastAsia="Arial" w:hAnsi="Arial"/>
          <w:sz w:val="18"/>
          <w:szCs w:val="18"/>
          <w:color w:val="auto"/>
        </w:rPr>
      </w:pPr>
    </w:p>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speed limit shall be 5 miles per hour.</w:t>
      </w:r>
    </w:p>
    <w:p>
      <w:pPr>
        <w:spacing w:after="0" w:line="252" w:lineRule="exact"/>
        <w:rPr>
          <w:rFonts w:ascii="Arial" w:cs="Arial" w:eastAsia="Arial" w:hAnsi="Arial"/>
          <w:sz w:val="18"/>
          <w:szCs w:val="18"/>
          <w:color w:val="auto"/>
        </w:rPr>
      </w:pPr>
    </w:p>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Parking spaces reserved for handicapped persons must be used only by vehicles properly designated.</w:t>
      </w:r>
    </w:p>
    <w:p>
      <w:pPr>
        <w:spacing w:after="0" w:line="252" w:lineRule="exact"/>
        <w:rPr>
          <w:rFonts w:ascii="Arial" w:cs="Arial" w:eastAsia="Arial" w:hAnsi="Arial"/>
          <w:sz w:val="18"/>
          <w:szCs w:val="18"/>
          <w:color w:val="auto"/>
        </w:rPr>
      </w:pPr>
    </w:p>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Parking is prohibited in all areas not expressly designated for parking, including without limitation:</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areas not striped for parking</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aisles</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where “no parking” signs are posted</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ramps</w:t>
      </w:r>
    </w:p>
    <w:p>
      <w:pPr>
        <w:spacing w:after="0" w:line="130" w:lineRule="exact"/>
        <w:rPr>
          <w:rFonts w:ascii="Arial" w:cs="Arial" w:eastAsia="Arial" w:hAnsi="Arial"/>
          <w:sz w:val="18"/>
          <w:szCs w:val="18"/>
          <w:color w:val="auto"/>
        </w:rPr>
      </w:pPr>
    </w:p>
    <w:p>
      <w:pPr>
        <w:ind w:left="1076" w:hanging="536"/>
        <w:spacing w:after="0"/>
        <w:tabs>
          <w:tab w:leader="none" w:pos="107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loading zones</w:t>
      </w:r>
    </w:p>
    <w:p>
      <w:pPr>
        <w:spacing w:after="0" w:line="130" w:lineRule="exact"/>
        <w:rPr>
          <w:rFonts w:ascii="Arial" w:cs="Arial" w:eastAsia="Arial" w:hAnsi="Arial"/>
          <w:sz w:val="18"/>
          <w:szCs w:val="18"/>
          <w:color w:val="auto"/>
        </w:rPr>
      </w:pPr>
    </w:p>
    <w:p>
      <w:pPr>
        <w:ind w:left="536" w:hanging="536"/>
        <w:spacing w:after="0" w:line="259" w:lineRule="auto"/>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Parking stickers, key cards or any other devices or forms of identification or entry supplied by the operator shall remain the property of the operator. Such device must be displayed as requested and may not be mutilated in any manner. The serial number of the parking identification device may not be obliterated. Parking passes and devices are not transferable and any pass or device in the possession of an unauthorized holder will be void.</w:t>
      </w:r>
    </w:p>
    <w:p>
      <w:pPr>
        <w:spacing w:after="0" w:line="92" w:lineRule="exact"/>
        <w:rPr>
          <w:rFonts w:ascii="Arial" w:cs="Arial" w:eastAsia="Arial" w:hAnsi="Arial"/>
          <w:sz w:val="18"/>
          <w:szCs w:val="18"/>
          <w:color w:val="auto"/>
        </w:rPr>
      </w:pPr>
    </w:p>
    <w:p>
      <w:pPr>
        <w:ind w:left="536" w:hanging="536"/>
        <w:spacing w:after="0"/>
        <w:tabs>
          <w:tab w:leader="none" w:pos="53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Parking areas managers or attendants are not authorized to make or allow any exceptions to these Rules.</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6"/>
          </w:cols>
          <w:pgMar w:left="444" w:top="274" w:right="459" w:bottom="1440" w:gutter="0" w:footer="0" w:header="0"/>
        </w:sectPr>
      </w:pPr>
    </w:p>
    <w:bookmarkStart w:id="552" w:name="page553"/>
    <w:bookmarkEnd w:id="552"/>
    <w:p>
      <w:pPr>
        <w:ind w:left="536" w:hanging="536"/>
        <w:spacing w:after="0"/>
        <w:tabs>
          <w:tab w:leader="none" w:pos="536" w:val="left"/>
        </w:tabs>
        <w:numPr>
          <w:ilvl w:val="0"/>
          <w:numId w:val="5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parker is required to park and lock his/her own car.</w:t>
      </w:r>
    </w:p>
    <w:p>
      <w:pPr>
        <w:spacing w:after="0" w:line="130" w:lineRule="exact"/>
        <w:rPr>
          <w:rFonts w:ascii="Arial" w:cs="Arial" w:eastAsia="Arial" w:hAnsi="Arial"/>
          <w:sz w:val="18"/>
          <w:szCs w:val="18"/>
          <w:color w:val="auto"/>
        </w:rPr>
      </w:pPr>
    </w:p>
    <w:p>
      <w:pPr>
        <w:ind w:left="536" w:right="40" w:hanging="536"/>
        <w:spacing w:after="0" w:line="312" w:lineRule="auto"/>
        <w:tabs>
          <w:tab w:leader="none" w:pos="536" w:val="left"/>
        </w:tabs>
        <w:numPr>
          <w:ilvl w:val="0"/>
          <w:numId w:val="546"/>
        </w:numPr>
        <w:rPr>
          <w:rFonts w:ascii="Arial" w:cs="Arial" w:eastAsia="Arial" w:hAnsi="Arial"/>
          <w:sz w:val="16"/>
          <w:szCs w:val="16"/>
          <w:color w:val="auto"/>
        </w:rPr>
      </w:pPr>
      <w:r>
        <w:rPr>
          <w:rFonts w:ascii="Arial" w:cs="Arial" w:eastAsia="Arial" w:hAnsi="Arial"/>
          <w:sz w:val="16"/>
          <w:szCs w:val="16"/>
          <w:color w:val="auto"/>
        </w:rPr>
        <w:t>Loss or theft of parking pass, identification, key cards or other such devices must be reported to Landlord and to the parking areas manager immediately. Any parking devices reported lost or stolen found on any authorized car will be confiscated and the illegal holder will be subject to prosecution. Lost or stolen passes and devices found by Tenant or its employees must be reported to the office of the parking areas immediately.</w:t>
      </w:r>
    </w:p>
    <w:p>
      <w:pPr>
        <w:spacing w:after="0" w:line="52" w:lineRule="exact"/>
        <w:rPr>
          <w:rFonts w:ascii="Arial" w:cs="Arial" w:eastAsia="Arial" w:hAnsi="Arial"/>
          <w:sz w:val="16"/>
          <w:szCs w:val="16"/>
          <w:color w:val="auto"/>
        </w:rPr>
      </w:pPr>
    </w:p>
    <w:p>
      <w:pPr>
        <w:ind w:left="536" w:right="380" w:hanging="536"/>
        <w:spacing w:after="0" w:line="277" w:lineRule="auto"/>
        <w:tabs>
          <w:tab w:leader="none" w:pos="53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Washing, waxing, cleaning or servicing of any vehicle by the customer and/or his agents is prohibited. Parking spaces may be used only for parking automobiles.</w:t>
      </w:r>
    </w:p>
    <w:p>
      <w:pPr>
        <w:spacing w:after="0" w:line="75" w:lineRule="exact"/>
        <w:rPr>
          <w:rFonts w:ascii="Arial" w:cs="Arial" w:eastAsia="Arial" w:hAnsi="Arial"/>
          <w:sz w:val="18"/>
          <w:szCs w:val="18"/>
          <w:color w:val="auto"/>
        </w:rPr>
      </w:pPr>
    </w:p>
    <w:p>
      <w:pPr>
        <w:ind w:left="536" w:hanging="536"/>
        <w:spacing w:after="0"/>
        <w:tabs>
          <w:tab w:leader="none" w:pos="53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Tenant agrees to acquaint all persons to whom Tenant assigns a parking space with these Rules.</w:t>
      </w:r>
    </w:p>
    <w:p>
      <w:pPr>
        <w:spacing w:after="0" w:line="131" w:lineRule="exact"/>
        <w:rPr>
          <w:sz w:val="20"/>
          <w:szCs w:val="20"/>
          <w:color w:val="auto"/>
        </w:rPr>
      </w:pPr>
    </w:p>
    <w:p>
      <w:pPr>
        <w:ind w:left="536" w:hanging="536"/>
        <w:spacing w:after="0" w:line="272" w:lineRule="auto"/>
        <w:tabs>
          <w:tab w:leader="none" w:pos="536"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TENANT ACKNOWLEDGES AND AGREES THAT, TO THE FULLEST EXTENT PERMITTED BY LAW, LANDLORD SHALL NOT BE RESPONSIBLE FOR ANY LOSS OR DAMAGE TO TENANT OR TENANT’S PROPERTY (INCLUDING, WITHOUT LIMITATIONS, ANY LOSS OR DAMAGE TO TENANT’S AUTOMOBILE OR THE CONTENTS THEREOF DUE TO THEFT, VANDALISM OR ACCIDENT) ARISING FROM OR RELATED TO TENANT’S USE OF THE PARKING AREAS OR EXERCISE OF ANY RIGHTS UNDER THIS PARKING AGREEMENT, WHETHER OR NOT SUCH LOSS OR DAMAGE RESULTS FROM LANDLORD’S ACTIVE NEGLIGENCE OR NEGLIGENT OMISSION. THE LIMITATION ON LANDLORD’S LIABILITY UNDER THE PRECEDING SENTENCE SHALL NOT APPLY HOWEVER TO LOSS OR DAMAGE ARISING DIRECTLY FROM LANDLORD’S WILLFUL MISCONDUCT.</w:t>
      </w:r>
    </w:p>
    <w:p>
      <w:pPr>
        <w:spacing w:after="0" w:line="83" w:lineRule="exact"/>
        <w:rPr>
          <w:rFonts w:ascii="Arial" w:cs="Arial" w:eastAsia="Arial" w:hAnsi="Arial"/>
          <w:sz w:val="17"/>
          <w:szCs w:val="17"/>
          <w:color w:val="auto"/>
        </w:rPr>
      </w:pPr>
    </w:p>
    <w:p>
      <w:pPr>
        <w:ind w:left="536" w:hanging="536"/>
        <w:spacing w:after="0" w:line="297" w:lineRule="auto"/>
        <w:tabs>
          <w:tab w:leader="none" w:pos="536" w:val="left"/>
        </w:tabs>
        <w:numPr>
          <w:ilvl w:val="0"/>
          <w:numId w:val="547"/>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above, Tenant hereby voluntarily releases, discharges, waives and relinquishes any and all actions or causes of action for personal injury or property damage occurring to Tenant arising as a result of parking in the parking areas or any activities incidental thereto, wherever or however the same may occur, and further agrees that Tenant will not prosecute any claim for personal injury or property damage against Landlord or any of its officers, agents, servants or employees for any said causes of action. It is the intention of Tenant by this instrument, to exempt and relieve Landlord from liability for personal injury or property damage caused by negligence.</w:t>
      </w:r>
    </w:p>
    <w:p>
      <w:pPr>
        <w:spacing w:after="0" w:line="63" w:lineRule="exact"/>
        <w:rPr>
          <w:rFonts w:ascii="Arial" w:cs="Arial" w:eastAsia="Arial" w:hAnsi="Arial"/>
          <w:sz w:val="16"/>
          <w:szCs w:val="16"/>
          <w:color w:val="auto"/>
        </w:rPr>
      </w:pPr>
    </w:p>
    <w:p>
      <w:pPr>
        <w:ind w:left="536" w:hanging="536"/>
        <w:spacing w:after="0"/>
        <w:tabs>
          <w:tab w:leader="none" w:pos="53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Lease are hereby incorporated by reference as if fully recited.</w:t>
      </w:r>
    </w:p>
    <w:p>
      <w:pPr>
        <w:spacing w:after="0" w:line="117" w:lineRule="exact"/>
        <w:rPr>
          <w:rFonts w:ascii="Arial" w:cs="Arial" w:eastAsia="Arial" w:hAnsi="Arial"/>
          <w:sz w:val="18"/>
          <w:szCs w:val="18"/>
          <w:color w:val="auto"/>
        </w:rPr>
      </w:pPr>
    </w:p>
    <w:p>
      <w:pPr>
        <w:ind w:left="556" w:right="40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By executing the Lease to which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is attached, Tenant acknowledges that it has read and agreed to be bound by the forgoing Building Rules and Regulations. Tenant further confirms that it has been fully and completely advised of the potential dangers incidental to parking in the parking areas and the terms and conditions set forth above.</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76"/>
          </w:cols>
          <w:pgMar w:left="444" w:top="273" w:right="479" w:bottom="1440" w:gutter="0" w:footer="0" w:header="0"/>
        </w:sectPr>
      </w:pPr>
    </w:p>
    <w:bookmarkStart w:id="553" w:name="page554"/>
    <w:bookmarkEnd w:id="5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STATEMENT OF TENANT REGARDING LEASE COMMENCEMENT</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86" w:lineRule="exact"/>
        <w:rPr>
          <w:sz w:val="20"/>
          <w:szCs w:val="20"/>
          <w:color w:val="auto"/>
        </w:rPr>
      </w:pPr>
    </w:p>
    <w:p>
      <w:pPr>
        <w:spacing w:after="0"/>
        <w:tabs>
          <w:tab w:leader="none" w:pos="520" w:val="left"/>
          <w:tab w:leader="none" w:pos="7780" w:val="left"/>
          <w:tab w:leader="none" w:pos="8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undersigned has entered into occupancy of the Premises described in said Lease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131" w:lineRule="exact"/>
        <w:rPr>
          <w:sz w:val="20"/>
          <w:szCs w:val="20"/>
          <w:color w:val="auto"/>
        </w:rPr>
      </w:pPr>
    </w:p>
    <w:p>
      <w:pPr>
        <w:ind w:left="540" w:hanging="536"/>
        <w:spacing w:after="0" w:line="277" w:lineRule="auto"/>
        <w:tabs>
          <w:tab w:leader="none" w:pos="54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All conditions under said Lease to be performed by Landlord have been satisfied, and on this date there are not existing defenses or offsets which the undersigned has against the enforcement of said Lease by Landlord;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3)</w:t>
            </w: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w w:val="90"/>
              </w:rPr>
              <w:t>The Term of the Lease commenced, or will commence, as of</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4500" w:type="dxa"/>
            <w:vAlign w:val="bottom"/>
          </w:tcPr>
          <w:p>
            <w:pPr>
              <w:ind w:left="180"/>
              <w:spacing w:after="0"/>
              <w:rPr>
                <w:sz w:val="20"/>
                <w:szCs w:val="20"/>
                <w:color w:val="auto"/>
              </w:rPr>
            </w:pPr>
            <w:r>
              <w:rPr>
                <w:rFonts w:ascii="Arial" w:cs="Arial" w:eastAsia="Arial" w:hAnsi="Arial"/>
                <w:sz w:val="18"/>
                <w:szCs w:val="18"/>
                <w:color w:val="auto"/>
                <w:w w:val="90"/>
              </w:rPr>
              <w:t>, which date shall be the “</w:t>
            </w:r>
            <w:r>
              <w:rPr>
                <w:rFonts w:ascii="Arial" w:cs="Arial" w:eastAsia="Arial" w:hAnsi="Arial"/>
                <w:sz w:val="18"/>
                <w:szCs w:val="18"/>
                <w:b w:val="1"/>
                <w:bCs w:val="1"/>
                <w:color w:val="auto"/>
                <w:w w:val="90"/>
              </w:rPr>
              <w:t>Commencement Date</w:t>
            </w:r>
            <w:r>
              <w:rPr>
                <w:rFonts w:ascii="Arial" w:cs="Arial" w:eastAsia="Arial" w:hAnsi="Arial"/>
                <w:sz w:val="18"/>
                <w:szCs w:val="18"/>
                <w:color w:val="auto"/>
                <w:w w:val="90"/>
              </w:rPr>
              <w:t>” under the</w:t>
            </w:r>
          </w:p>
        </w:tc>
      </w:tr>
      <w:tr>
        <w:trPr>
          <w:trHeight w:val="230"/>
        </w:trPr>
        <w:tc>
          <w:tcPr>
            <w:tcW w:w="34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terms of the Lease;</w:t>
            </w: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23"/>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4)</w:t>
            </w:r>
          </w:p>
        </w:tc>
        <w:tc>
          <w:tcPr>
            <w:tcW w:w="3480" w:type="dxa"/>
            <w:vAlign w:val="bottom"/>
          </w:tcPr>
          <w:p>
            <w:pPr>
              <w:ind w:left="2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Expiration Date</w:t>
            </w:r>
            <w:r>
              <w:rPr>
                <w:rFonts w:ascii="Arial" w:cs="Arial" w:eastAsia="Arial" w:hAnsi="Arial"/>
                <w:sz w:val="18"/>
                <w:szCs w:val="18"/>
                <w:color w:val="auto"/>
              </w:rPr>
              <w:t>” of the Lease is</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 20</w:t>
            </w:r>
          </w:p>
        </w:tc>
        <w:tc>
          <w:tcPr>
            <w:tcW w:w="5880" w:type="dxa"/>
            <w:vAlign w:val="bottom"/>
            <w:gridSpan w:val="2"/>
          </w:tcPr>
          <w:p>
            <w:pPr>
              <w:spacing w:after="0"/>
              <w:rPr>
                <w:sz w:val="20"/>
                <w:szCs w:val="20"/>
                <w:color w:val="auto"/>
              </w:rPr>
            </w:pPr>
            <w:r>
              <w:rPr>
                <w:rFonts w:ascii="Arial" w:cs="Arial" w:eastAsia="Arial" w:hAnsi="Arial"/>
                <w:sz w:val="18"/>
                <w:szCs w:val="18"/>
                <w:color w:val="auto"/>
                <w:w w:val="96"/>
              </w:rPr>
              <w:t>, subject to extension or earlier termination in accordance with the terms and</w:t>
            </w:r>
          </w:p>
        </w:tc>
      </w:tr>
      <w:tr>
        <w:trPr>
          <w:trHeight w:val="230"/>
        </w:trPr>
        <w:tc>
          <w:tcPr>
            <w:tcW w:w="34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conditions of the Lease.</w:t>
            </w: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03" w:lineRule="exact"/>
        <w:rPr>
          <w:sz w:val="20"/>
          <w:szCs w:val="20"/>
          <w:color w:val="auto"/>
        </w:rPr>
      </w:pPr>
    </w:p>
    <w:p>
      <w:pPr>
        <w:ind w:left="6620" w:right="3200" w:hanging="6616"/>
        <w:spacing w:after="0" w:line="581" w:lineRule="auto"/>
        <w:tabs>
          <w:tab w:leader="none" w:pos="543" w:val="left"/>
        </w:tabs>
        <w:numPr>
          <w:ilvl w:val="0"/>
          <w:numId w:val="549"/>
        </w:numPr>
        <w:rPr>
          <w:rFonts w:ascii="Arial" w:cs="Arial" w:eastAsia="Arial" w:hAnsi="Arial"/>
          <w:sz w:val="16"/>
          <w:szCs w:val="16"/>
          <w:color w:val="auto"/>
        </w:rPr>
      </w:pPr>
      <w:r>
        <w:rPr>
          <w:rFonts w:ascii="Arial" w:cs="Arial" w:eastAsia="Arial" w:hAnsi="Arial"/>
          <w:sz w:val="16"/>
          <w:szCs w:val="16"/>
          <w:color w:val="auto"/>
        </w:rPr>
        <w:t>Tenant accepts the Premises in its “</w:t>
      </w:r>
      <w:r>
        <w:rPr>
          <w:rFonts w:ascii="Arial" w:cs="Arial" w:eastAsia="Arial" w:hAnsi="Arial"/>
          <w:sz w:val="16"/>
          <w:szCs w:val="16"/>
          <w:b w:val="1"/>
          <w:bCs w:val="1"/>
          <w:color w:val="auto"/>
        </w:rPr>
        <w:t>AS-IS</w:t>
      </w:r>
      <w:r>
        <w:rPr>
          <w:rFonts w:ascii="Arial" w:cs="Arial" w:eastAsia="Arial" w:hAnsi="Arial"/>
          <w:sz w:val="16"/>
          <w:szCs w:val="16"/>
          <w:color w:val="auto"/>
        </w:rPr>
        <w:t>” condition as of the date of Tenant’s possession thereof. Yours very truly,</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69" w:right="439" w:bottom="1440" w:gutter="0" w:footer="0" w:header="0"/>
        </w:sectPr>
      </w:pPr>
    </w:p>
    <w:bookmarkStart w:id="554" w:name="page555"/>
    <w:bookmarkEnd w:id="55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RECORDED RESTRICTIONS</w:t>
      </w:r>
    </w:p>
    <w:p>
      <w:pPr>
        <w:spacing w:after="0" w:line="225" w:lineRule="exact"/>
        <w:rPr>
          <w:sz w:val="20"/>
          <w:szCs w:val="20"/>
          <w:color w:val="auto"/>
        </w:rPr>
      </w:pPr>
    </w:p>
    <w:p>
      <w:pPr>
        <w:ind w:firstLine="551"/>
        <w:spacing w:after="0" w:line="266" w:lineRule="auto"/>
        <w:rPr>
          <w:sz w:val="20"/>
          <w:szCs w:val="20"/>
          <w:color w:val="auto"/>
        </w:rPr>
      </w:pPr>
      <w:r>
        <w:rPr>
          <w:rFonts w:ascii="Arial" w:cs="Arial" w:eastAsia="Arial" w:hAnsi="Arial"/>
          <w:sz w:val="18"/>
          <w:szCs w:val="18"/>
          <w:color w:val="auto"/>
        </w:rPr>
        <w:t xml:space="preserve">This Exhibit is attached to and made a part of the Lease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471 El Camino Real, Santa Clara, California.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Declaration of Covenants, Conditions and Restrictions and Reservation of Easements dated September 10, 1998 and recorded in the Official Records of Santa Clara County on September 15, 1998 as Document No. 14390154.</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555" w:name="page556"/>
    <w:bookmarkEnd w:id="5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NO.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EXTENSION OPTION RIDER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SI-BONE,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as of the day and year of the Lease between Landlord and Tenant to which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Rider is attached. Landlord and Tenant hereby agree that, notwithstanding anything contained in the Lease to the contrary, the provisions set forth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be part of the Lease and shall supersede any inconsistent provisions of the Lease. All references in the Lease and in this Rider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shall be construed to mean the Lease (and all Exhibits and Riders attached thereto), as amended and supplemented by this Rider. All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not defined in this Rider shall have the same meaning as set forth in the Lease.</w:t>
      </w:r>
    </w:p>
    <w:p>
      <w:pPr>
        <w:spacing w:after="0" w:line="99" w:lineRule="exact"/>
        <w:rPr>
          <w:sz w:val="20"/>
          <w:szCs w:val="20"/>
          <w:color w:val="auto"/>
        </w:rPr>
      </w:pPr>
    </w:p>
    <w:p>
      <w:pPr>
        <w:ind w:left="740" w:hanging="185"/>
        <w:spacing w:after="0"/>
        <w:tabs>
          <w:tab w:leader="none" w:pos="740" w:val="left"/>
        </w:tabs>
        <w:numPr>
          <w:ilvl w:val="1"/>
          <w:numId w:val="550"/>
        </w:numPr>
        <w:rPr>
          <w:rFonts w:ascii="Arial" w:cs="Arial" w:eastAsia="Arial" w:hAnsi="Arial"/>
          <w:sz w:val="17"/>
          <w:szCs w:val="17"/>
          <w:color w:val="auto"/>
        </w:rPr>
      </w:pPr>
      <w:r>
        <w:rPr>
          <w:rFonts w:ascii="Arial" w:cs="Arial" w:eastAsia="Arial" w:hAnsi="Arial"/>
          <w:sz w:val="17"/>
          <w:szCs w:val="17"/>
          <w:color w:val="auto"/>
        </w:rPr>
        <w:t>Landlord hereby grants to Tenant (1) option (the “</w:t>
      </w:r>
      <w:r>
        <w:rPr>
          <w:rFonts w:ascii="Arial" w:cs="Arial" w:eastAsia="Arial" w:hAnsi="Arial"/>
          <w:sz w:val="17"/>
          <w:szCs w:val="17"/>
          <w:b w:val="1"/>
          <w:bCs w:val="1"/>
          <w:color w:val="auto"/>
        </w:rPr>
        <w:t>Extension Option</w:t>
      </w:r>
      <w:r>
        <w:rPr>
          <w:rFonts w:ascii="Arial" w:cs="Arial" w:eastAsia="Arial" w:hAnsi="Arial"/>
          <w:sz w:val="17"/>
          <w:szCs w:val="17"/>
          <w:color w:val="auto"/>
        </w:rPr>
        <w:t>”) to extend the Term of the Lease for an additional period of five</w:t>
      </w:r>
    </w:p>
    <w:p>
      <w:pPr>
        <w:spacing w:after="0" w:line="38" w:lineRule="exact"/>
        <w:rPr>
          <w:rFonts w:ascii="Arial" w:cs="Arial" w:eastAsia="Arial" w:hAnsi="Arial"/>
          <w:sz w:val="17"/>
          <w:szCs w:val="17"/>
          <w:color w:val="auto"/>
        </w:rPr>
      </w:pPr>
    </w:p>
    <w:p>
      <w:pPr>
        <w:ind w:right="20" w:firstLine="4"/>
        <w:spacing w:after="0" w:line="255" w:lineRule="auto"/>
        <w:tabs>
          <w:tab w:leader="none" w:pos="25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years (the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on the same terms, covenants and conditions as provided for in the Lease during the initial Term, except for the monthly Base Rent, which shall equal the “fair market rental rate” for the Premises for the Option Term as defined and determined in accordance with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w:t>
      </w:r>
    </w:p>
    <w:p>
      <w:pPr>
        <w:spacing w:after="0" w:line="78" w:lineRule="exact"/>
        <w:rPr>
          <w:rFonts w:ascii="Arial" w:cs="Arial" w:eastAsia="Arial" w:hAnsi="Arial"/>
          <w:sz w:val="18"/>
          <w:szCs w:val="18"/>
          <w:color w:val="auto"/>
        </w:rPr>
      </w:pPr>
    </w:p>
    <w:p>
      <w:pPr>
        <w:ind w:right="20" w:firstLine="555"/>
        <w:spacing w:after="0" w:line="255" w:lineRule="auto"/>
        <w:tabs>
          <w:tab w:leader="none" w:pos="731"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Extension Option must be exercised, if at all, by written notice (“</w:t>
      </w:r>
      <w:r>
        <w:rPr>
          <w:rFonts w:ascii="Arial" w:cs="Arial" w:eastAsia="Arial" w:hAnsi="Arial"/>
          <w:sz w:val="18"/>
          <w:szCs w:val="18"/>
          <w:b w:val="1"/>
          <w:bCs w:val="1"/>
          <w:color w:val="auto"/>
        </w:rPr>
        <w:t>Extension Notice</w:t>
      </w:r>
      <w:r>
        <w:rPr>
          <w:rFonts w:ascii="Arial" w:cs="Arial" w:eastAsia="Arial" w:hAnsi="Arial"/>
          <w:sz w:val="18"/>
          <w:szCs w:val="18"/>
          <w:color w:val="auto"/>
        </w:rPr>
        <w:t xml:space="preserve">”) delivered by Tenant to Landlord no sooner than that date which is twelve (12) months and no later than that date which is nine (9) months prior to the expiration of the then current Term of the Lease. The Extension Option shall, at Landlord’s sole option, not be deemed to be properly exercised if, at the time the Extension Option is exercised or on the scheduled commencement date for the Option Term, Tenant has (a) committed an uncured event of Default whose cure period has expired pursuant to </w:t>
      </w:r>
      <w:r>
        <w:rPr>
          <w:rFonts w:ascii="Arial" w:cs="Arial" w:eastAsia="Arial" w:hAnsi="Arial"/>
          <w:sz w:val="18"/>
          <w:szCs w:val="18"/>
          <w:u w:val="single" w:color="auto"/>
          <w:color w:val="auto"/>
        </w:rPr>
        <w:t>Sections 19</w:t>
      </w:r>
      <w:r>
        <w:rPr>
          <w:rFonts w:ascii="Arial" w:cs="Arial" w:eastAsia="Arial" w:hAnsi="Arial"/>
          <w:sz w:val="18"/>
          <w:szCs w:val="18"/>
          <w:color w:val="auto"/>
        </w:rPr>
        <w:t xml:space="preserve"> and 20 of the Lease, (b) assigned all or any portion of the Lease or its interest therein, or (c) sublet all or any portion of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Tenant has properly and timely exercised the Extension Option, the then current term of the Lease shall be extended by the Option Term, and all terms, covenants and conditions of the Lease shall remain unmodified and in full force and effect, except that the monthly Base Rent shall be as set forth above.</w:t>
      </w:r>
    </w:p>
    <w:p>
      <w:pPr>
        <w:spacing w:after="0" w:line="81" w:lineRule="exact"/>
        <w:rPr>
          <w:rFonts w:ascii="Arial" w:cs="Arial" w:eastAsia="Arial" w:hAnsi="Arial"/>
          <w:sz w:val="18"/>
          <w:szCs w:val="18"/>
          <w:color w:val="auto"/>
        </w:rPr>
      </w:pPr>
    </w:p>
    <w:p>
      <w:pPr>
        <w:ind w:right="100" w:firstLine="555"/>
        <w:spacing w:after="0" w:line="277" w:lineRule="auto"/>
        <w:tabs>
          <w:tab w:leader="none" w:pos="731" w:val="left"/>
        </w:tabs>
        <w:numPr>
          <w:ilvl w:val="1"/>
          <w:numId w:val="551"/>
        </w:numPr>
        <w:rPr>
          <w:rFonts w:ascii="Arial" w:cs="Arial" w:eastAsia="Arial" w:hAnsi="Arial"/>
          <w:sz w:val="18"/>
          <w:szCs w:val="18"/>
          <w:color w:val="auto"/>
        </w:rPr>
      </w:pPr>
      <w:r>
        <w:rPr>
          <w:rFonts w:ascii="Arial" w:cs="Arial" w:eastAsia="Arial" w:hAnsi="Arial"/>
          <w:sz w:val="18"/>
          <w:szCs w:val="18"/>
          <w:color w:val="auto"/>
        </w:rPr>
        <w:t xml:space="preserve">If the Monthly Base Rent for the Option Term shall be the fair market rental rate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then such fair market rate shall be determined in accordance with the Fair Market Rental Rate Rider attached to the Lease as </w:t>
      </w:r>
      <w:r>
        <w:rPr>
          <w:rFonts w:ascii="Arial" w:cs="Arial" w:eastAsia="Arial" w:hAnsi="Arial"/>
          <w:sz w:val="18"/>
          <w:szCs w:val="18"/>
          <w:u w:val="single" w:color="auto"/>
          <w:color w:val="auto"/>
        </w:rPr>
        <w:t>Rider No. 2</w:t>
      </w:r>
      <w:r>
        <w:rPr>
          <w:rFonts w:ascii="Arial" w:cs="Arial" w:eastAsia="Arial" w:hAnsi="Arial"/>
          <w:sz w:val="18"/>
          <w:szCs w:val="18"/>
          <w:color w:val="auto"/>
        </w:rPr>
        <w:t>.</w:t>
      </w:r>
    </w:p>
    <w:p>
      <w:pPr>
        <w:spacing w:after="0" w:line="166"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RIDER NO.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556" w:name="page557"/>
    <w:bookmarkEnd w:id="55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NO.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FAIR MARKET RENTAL RATE</w:t>
      </w:r>
    </w:p>
    <w:p>
      <w:pPr>
        <w:spacing w:after="0" w:line="225" w:lineRule="exact"/>
        <w:rPr>
          <w:sz w:val="20"/>
          <w:szCs w:val="20"/>
          <w:color w:val="auto"/>
        </w:rPr>
      </w:pPr>
    </w:p>
    <w:p>
      <w:pPr>
        <w:ind w:right="60" w:firstLine="551"/>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Rider No. 2</w:t>
      </w:r>
      <w:r>
        <w:rPr>
          <w:rFonts w:ascii="Arial" w:cs="Arial" w:eastAsia="Arial" w:hAnsi="Arial"/>
          <w:sz w:val="17"/>
          <w:szCs w:val="17"/>
          <w:color w:val="auto"/>
        </w:rPr>
        <w:t xml:space="preserve"> is made and entered into by and </w:t>
      </w:r>
      <w:r>
        <w:rPr>
          <w:rFonts w:ascii="Arial" w:cs="Arial" w:eastAsia="Arial" w:hAnsi="Arial"/>
          <w:sz w:val="17"/>
          <w:szCs w:val="17"/>
          <w:b w:val="1"/>
          <w:bCs w:val="1"/>
          <w:color w:val="auto"/>
        </w:rPr>
        <w:t>BIXBY SPE FINANCE 11,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u w:val="single" w:color="auto"/>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SI-BONE, INC.</w:t>
      </w:r>
      <w:r>
        <w:rPr>
          <w:rFonts w:ascii="Arial" w:cs="Arial" w:eastAsia="Arial" w:hAnsi="Arial"/>
          <w:sz w:val="17"/>
          <w:szCs w:val="17"/>
          <w:color w:val="auto"/>
        </w:rPr>
        <w:t>, a Delaware corporation (“</w:t>
      </w:r>
      <w:r>
        <w:rPr>
          <w:rFonts w:ascii="Arial" w:cs="Arial" w:eastAsia="Arial" w:hAnsi="Arial"/>
          <w:sz w:val="17"/>
          <w:szCs w:val="17"/>
          <w:b w:val="1"/>
          <w:bCs w:val="1"/>
          <w:u w:val="single" w:color="auto"/>
          <w:color w:val="auto"/>
        </w:rPr>
        <w:t>Tenant</w:t>
      </w:r>
      <w:r>
        <w:rPr>
          <w:rFonts w:ascii="Arial" w:cs="Arial" w:eastAsia="Arial" w:hAnsi="Arial"/>
          <w:sz w:val="17"/>
          <w:szCs w:val="17"/>
          <w:color w:val="auto"/>
        </w:rPr>
        <w:t>”), as of the day and year of the Lease between Landlord and Tenant to which this Rider is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66" w:lineRule="exact"/>
        <w:rPr>
          <w:sz w:val="20"/>
          <w:szCs w:val="20"/>
          <w:color w:val="auto"/>
        </w:rPr>
      </w:pPr>
    </w:p>
    <w:p>
      <w:pPr>
        <w:ind w:right="40" w:firstLine="555"/>
        <w:spacing w:after="0" w:line="287" w:lineRule="auto"/>
        <w:tabs>
          <w:tab w:leader="none" w:pos="731" w:val="left"/>
        </w:tabs>
        <w:numPr>
          <w:ilvl w:val="1"/>
          <w:numId w:val="55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fair market rental rate</w:t>
      </w:r>
      <w:r>
        <w:rPr>
          <w:rFonts w:ascii="Arial" w:cs="Arial" w:eastAsia="Arial" w:hAnsi="Arial"/>
          <w:sz w:val="16"/>
          <w:szCs w:val="16"/>
          <w:color w:val="auto"/>
        </w:rPr>
        <w:t>” as used in the Lease and any Rider attached thereto shall mean the annual amount per square foot, projected during the Option Term that a willing, non-equity renewal tenant (excluding sublease and assignment transactions) would pay, and a willing, institutional landlord of a comparable Class “A” office building located in the Santa Clara, California market area (the “</w:t>
      </w:r>
      <w:r>
        <w:rPr>
          <w:rFonts w:ascii="Arial" w:cs="Arial" w:eastAsia="Arial" w:hAnsi="Arial"/>
          <w:sz w:val="16"/>
          <w:szCs w:val="16"/>
          <w:b w:val="1"/>
          <w:bCs w:val="1"/>
          <w:color w:val="auto"/>
        </w:rPr>
        <w:t>Comparison Area</w:t>
      </w:r>
      <w:r>
        <w:rPr>
          <w:rFonts w:ascii="Arial" w:cs="Arial" w:eastAsia="Arial" w:hAnsi="Arial"/>
          <w:sz w:val="16"/>
          <w:szCs w:val="16"/>
          <w:color w:val="auto"/>
        </w:rPr>
        <w:t>”) would accept, in an arm’s length transaction (what Landlord is accepting in then current transactions for the buildings located in the Project may be used for purposes of projecting rent for the Option Term), for space of comparable size, quality and floor height as the Premises, taking into account the age, quality and layout of the existing improvements in the Premises, and taking into account items that professional real estate brokers or professional real estate appraisers customarily consider, including, but not limited to, rental rates, space availability, tenant size, tenant improvement allowances, parking charges and any other lease considerations, if any, then being charged or granted by Landlord or the lessors of such similar office buildings. All economic terms other than Monthly Base Rent, such as tenant improvement allowance amounts, if any, operating expense allowances, parking charges, etc., will be established by Landlord and will be factored into the determination of the fair market rental rate for the Option Term. Accordingly, the fair market rental rate will be an effective rate, not specifically including, but accounting for, the appropriate economic considerations described above. The fair market rental rate shall include the periodic rental increases that would be included for space leased for the period of the Option Term.</w:t>
      </w:r>
    </w:p>
    <w:p>
      <w:pPr>
        <w:spacing w:after="0" w:line="64" w:lineRule="exact"/>
        <w:rPr>
          <w:rFonts w:ascii="Arial" w:cs="Arial" w:eastAsia="Arial" w:hAnsi="Arial"/>
          <w:sz w:val="16"/>
          <w:szCs w:val="16"/>
          <w:color w:val="auto"/>
        </w:rPr>
      </w:pPr>
    </w:p>
    <w:p>
      <w:pPr>
        <w:ind w:firstLine="555"/>
        <w:spacing w:after="0" w:line="268" w:lineRule="auto"/>
        <w:tabs>
          <w:tab w:leader="none" w:pos="731" w:val="left"/>
        </w:tabs>
        <w:numPr>
          <w:ilvl w:val="1"/>
          <w:numId w:val="552"/>
        </w:numPr>
        <w:rPr>
          <w:rFonts w:ascii="Arial" w:cs="Arial" w:eastAsia="Arial" w:hAnsi="Arial"/>
          <w:sz w:val="17"/>
          <w:szCs w:val="17"/>
          <w:color w:val="auto"/>
        </w:rPr>
      </w:pPr>
      <w:r>
        <w:rPr>
          <w:rFonts w:ascii="Arial" w:cs="Arial" w:eastAsia="Arial" w:hAnsi="Arial"/>
          <w:sz w:val="17"/>
          <w:szCs w:val="17"/>
          <w:color w:val="auto"/>
        </w:rPr>
        <w:t xml:space="preserve">In the event the determination of fair market rental rate is required under the Lease (as set forth in </w:t>
      </w:r>
      <w:r>
        <w:rPr>
          <w:rFonts w:ascii="Arial" w:cs="Arial" w:eastAsia="Arial" w:hAnsi="Arial"/>
          <w:sz w:val="17"/>
          <w:szCs w:val="17"/>
          <w:u w:val="single" w:color="auto"/>
          <w:color w:val="auto"/>
        </w:rPr>
        <w:t>Rider No. 1</w:t>
      </w:r>
      <w:r>
        <w:rPr>
          <w:rFonts w:ascii="Arial" w:cs="Arial" w:eastAsia="Arial" w:hAnsi="Arial"/>
          <w:sz w:val="17"/>
          <w:szCs w:val="17"/>
          <w:color w:val="auto"/>
        </w:rPr>
        <w:t xml:space="preserve"> above), Landlord shall provide written notice of Landlord’s determination of the fair market rental rate not later than ninety (90) days following Landlord’s receipt of Tenant’s Extension Notice. Tenant shall have ten (10) days (“</w:t>
      </w:r>
      <w:r>
        <w:rPr>
          <w:rFonts w:ascii="Arial" w:cs="Arial" w:eastAsia="Arial" w:hAnsi="Arial"/>
          <w:sz w:val="17"/>
          <w:szCs w:val="17"/>
          <w:b w:val="1"/>
          <w:bCs w:val="1"/>
          <w:color w:val="auto"/>
        </w:rPr>
        <w:t>Tenant’s Review Period</w:t>
      </w:r>
      <w:r>
        <w:rPr>
          <w:rFonts w:ascii="Arial" w:cs="Arial" w:eastAsia="Arial" w:hAnsi="Arial"/>
          <w:sz w:val="17"/>
          <w:szCs w:val="17"/>
          <w:color w:val="auto"/>
        </w:rPr>
        <w:t xml:space="preserve">”) after receipt of Landlord’s notice of the fair market rental rate within which to accept such fair market rental rate or to reasonably object thereto in writing. Failure of Tenant to so object to the fair market rental rate submitted by Landlord in writing within Tenant’s Review Period shall conclusively be deemed Tenant’s approval and acceptance thereof. If within Tenant’s Review Period Tenant objects to or is deemed to have disapproved the fair market rental rate submitted by Landlord, Landlord and Tenant will meet together with their respective legal counsel to present and discuss their individual determinations of the fair market rental rate for the Premises under the parameters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above and shall diligently and in good faith attempt to negotiate a rental rate on the basis of such individual determinations. Such meeting shall occur no later than ten (10) days after the expiration of Tenant’s Review Period. The parties shall each provide the other with such supporting information and documentation as they deem appropriate. At such meeting if Landlord and Tenant are unable to agree upon the fair market rental rate, they shall each submit to the other their respective best and final offer as to the fair market rental rate. If Landlord and Tenant fail to reach agreement on such fair market rental rate within five (5) business days following such a meeting (the “</w:t>
      </w:r>
      <w:r>
        <w:rPr>
          <w:rFonts w:ascii="Arial" w:cs="Arial" w:eastAsia="Arial" w:hAnsi="Arial"/>
          <w:sz w:val="17"/>
          <w:szCs w:val="17"/>
          <w:b w:val="1"/>
          <w:bCs w:val="1"/>
          <w:color w:val="auto"/>
        </w:rPr>
        <w:t>Outside Agreement Date</w:t>
      </w:r>
      <w:r>
        <w:rPr>
          <w:rFonts w:ascii="Arial" w:cs="Arial" w:eastAsia="Arial" w:hAnsi="Arial"/>
          <w:sz w:val="17"/>
          <w:szCs w:val="17"/>
          <w:color w:val="auto"/>
        </w:rPr>
        <w:t xml:space="preserve">”), Tenant’s Extension Option will be deemed null and void unless Tenant demands appraisal, in which event each party’s determination shall be submitted to appraisal in accordance with the provisions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w:t>
      </w:r>
    </w:p>
    <w:p>
      <w:pPr>
        <w:spacing w:after="0" w:line="77" w:lineRule="exact"/>
        <w:rPr>
          <w:rFonts w:ascii="Arial" w:cs="Arial" w:eastAsia="Arial" w:hAnsi="Arial"/>
          <w:sz w:val="17"/>
          <w:szCs w:val="17"/>
          <w:color w:val="auto"/>
        </w:rPr>
      </w:pPr>
    </w:p>
    <w:p>
      <w:pPr>
        <w:ind w:left="740" w:hanging="185"/>
        <w:spacing w:after="0"/>
        <w:tabs>
          <w:tab w:leader="none" w:pos="740" w:val="left"/>
        </w:tabs>
        <w:numPr>
          <w:ilvl w:val="1"/>
          <w:numId w:val="552"/>
        </w:numPr>
        <w:rPr>
          <w:rFonts w:ascii="Arial" w:cs="Arial" w:eastAsia="Arial" w:hAnsi="Arial"/>
          <w:sz w:val="16"/>
          <w:szCs w:val="16"/>
          <w:color w:val="auto"/>
        </w:rPr>
      </w:pPr>
      <w:r>
        <w:rPr>
          <w:rFonts w:ascii="Arial" w:cs="Arial" w:eastAsia="Arial" w:hAnsi="Arial"/>
          <w:sz w:val="16"/>
          <w:szCs w:val="16"/>
          <w:color w:val="auto"/>
        </w:rPr>
        <w:t>(a) Landlord and Tenant shall each appoint one (1) competent, independent and impartial commercial real estate broker with at least ten</w:t>
      </w:r>
    </w:p>
    <w:p>
      <w:pPr>
        <w:spacing w:after="0" w:line="46" w:lineRule="exact"/>
        <w:rPr>
          <w:rFonts w:ascii="Arial" w:cs="Arial" w:eastAsia="Arial" w:hAnsi="Arial"/>
          <w:sz w:val="16"/>
          <w:szCs w:val="16"/>
          <w:color w:val="auto"/>
        </w:rPr>
      </w:pPr>
    </w:p>
    <w:p>
      <w:pPr>
        <w:jc w:val="both"/>
        <w:ind w:right="140" w:firstLine="4"/>
        <w:spacing w:after="0" w:line="273" w:lineRule="auto"/>
        <w:tabs>
          <w:tab w:leader="none" w:pos="345" w:val="left"/>
        </w:tabs>
        <w:numPr>
          <w:ilvl w:val="0"/>
          <w:numId w:val="553"/>
        </w:numPr>
        <w:rPr>
          <w:rFonts w:ascii="Arial" w:cs="Arial" w:eastAsia="Arial" w:hAnsi="Arial"/>
          <w:sz w:val="17"/>
          <w:szCs w:val="17"/>
          <w:color w:val="auto"/>
        </w:rPr>
      </w:pPr>
      <w:r>
        <w:rPr>
          <w:rFonts w:ascii="Arial" w:cs="Arial" w:eastAsia="Arial" w:hAnsi="Arial"/>
          <w:sz w:val="17"/>
          <w:szCs w:val="17"/>
          <w:color w:val="auto"/>
        </w:rPr>
        <w:t>years full time commercial real estate brokerage experience in the Comparison Area (each a “</w:t>
      </w:r>
      <w:r>
        <w:rPr>
          <w:rFonts w:ascii="Arial" w:cs="Arial" w:eastAsia="Arial" w:hAnsi="Arial"/>
          <w:sz w:val="17"/>
          <w:szCs w:val="17"/>
          <w:b w:val="1"/>
          <w:bCs w:val="1"/>
          <w:color w:val="auto"/>
        </w:rPr>
        <w:t>broker</w:t>
      </w:r>
      <w:r>
        <w:rPr>
          <w:rFonts w:ascii="Arial" w:cs="Arial" w:eastAsia="Arial" w:hAnsi="Arial"/>
          <w:sz w:val="17"/>
          <w:szCs w:val="17"/>
          <w:color w:val="auto"/>
        </w:rPr>
        <w:t xml:space="preserve">”). The determination of the brokers shall be limited solely to the issue of whether Landlord’s or Tenant’s last proposed (as of the Outside Agreement Date) best and final fair market rental rate for the Premises is the closest to the actual fair market rental rate for the Premises as determined by the brokers, taking into account the requirements specified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above. Each such broker shall be appointed within fifteen (15) days after the Outside Agreement Date.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RIDER NO. 2</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69" w:right="499" w:bottom="1440" w:gutter="0" w:footer="0" w:header="0"/>
        </w:sectPr>
      </w:pPr>
    </w:p>
    <w:bookmarkStart w:id="557" w:name="page558"/>
    <w:bookmarkEnd w:id="557"/>
    <w:p>
      <w:pPr>
        <w:ind w:left="-40" w:right="240" w:firstLine="885"/>
        <w:spacing w:after="0" w:line="342" w:lineRule="auto"/>
        <w:tabs>
          <w:tab w:leader="none" w:pos="1096" w:val="left"/>
        </w:tabs>
        <w:numPr>
          <w:ilvl w:val="0"/>
          <w:numId w:val="5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two (2) brokers so appointed shall within fifteen (15) days of the date of the appointment of the last appointed broker agree upon and appoint a third broker who shall be qualified under the same criteria set forth hereinabove for qualification of the initial two (2) brokers.</w:t>
      </w:r>
    </w:p>
    <w:p>
      <w:pPr>
        <w:spacing w:after="0" w:line="15" w:lineRule="exact"/>
        <w:rPr>
          <w:rFonts w:ascii="Arial" w:cs="Arial" w:eastAsia="Arial" w:hAnsi="Arial"/>
          <w:sz w:val="16"/>
          <w:szCs w:val="16"/>
          <w:color w:val="auto"/>
        </w:rPr>
      </w:pPr>
    </w:p>
    <w:p>
      <w:pPr>
        <w:ind w:left="-40" w:right="140" w:firstLine="885"/>
        <w:spacing w:after="0" w:line="302" w:lineRule="auto"/>
        <w:tabs>
          <w:tab w:leader="none" w:pos="1086"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 three (3) brokers shall within thirty (30) days of the appointment of the third broker reach a decision as to whether the parties shall use Landlord’s or Tenant’s submitted best and final fair market rental rate, and shall notify Landlord and Tenant thereof. During such thirty (30) day period, Landlord and Tenant may submit to the brokers such information and documentation to support their respective positions as they shall deem reasonably relevant and Landlord and Tenant may each appear before the brokers jointly to question and respond to questions from the brokers.</w:t>
      </w:r>
    </w:p>
    <w:p>
      <w:pPr>
        <w:spacing w:after="0" w:line="46" w:lineRule="exact"/>
        <w:rPr>
          <w:rFonts w:ascii="Arial" w:cs="Arial" w:eastAsia="Arial" w:hAnsi="Arial"/>
          <w:sz w:val="16"/>
          <w:szCs w:val="16"/>
          <w:color w:val="auto"/>
        </w:rPr>
      </w:pPr>
    </w:p>
    <w:p>
      <w:pPr>
        <w:ind w:left="-40" w:firstLine="885"/>
        <w:spacing w:after="0" w:line="293" w:lineRule="auto"/>
        <w:tabs>
          <w:tab w:leader="none" w:pos="1096"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The decision of the majority of the three (3) brokers shall be binding upon Landlord and Tenant and neither party shall have the right to reject the decision or to nullify the exercise of the Extension Option. If either Landlord or Tenant fails to appoint a broker within the time period specified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hereinabove, the broker appointed by one of them shall within thirty (30) days following the date on which the party failing to appoint a broker could have last appointed such broker reach a decision based upon the same procedures as set forth above (i.</w:t>
      </w:r>
      <w:r>
        <w:rPr>
          <w:rFonts w:ascii="Arial" w:cs="Arial" w:eastAsia="Arial" w:hAnsi="Arial"/>
          <w:sz w:val="16"/>
          <w:szCs w:val="16"/>
          <w:i w:val="1"/>
          <w:iCs w:val="1"/>
          <w:color w:val="auto"/>
        </w:rPr>
        <w:t>e.</w:t>
      </w:r>
      <w:r>
        <w:rPr>
          <w:rFonts w:ascii="Arial" w:cs="Arial" w:eastAsia="Arial" w:hAnsi="Arial"/>
          <w:sz w:val="16"/>
          <w:szCs w:val="16"/>
          <w:color w:val="auto"/>
        </w:rPr>
        <w:t>, by selecting either Landlord’s or Tenant’s submitted best and final fair market rental rate), and shall notify Landlord and Tenant thereof, and such broker’s decision shall be binding upon Landlord and Tenant and neither party shall have the right to reject the decision or to nullify the exercise of the Extension Option.</w:t>
      </w:r>
    </w:p>
    <w:p>
      <w:pPr>
        <w:spacing w:after="0" w:line="56" w:lineRule="exact"/>
        <w:rPr>
          <w:rFonts w:ascii="Arial" w:cs="Arial" w:eastAsia="Arial" w:hAnsi="Arial"/>
          <w:sz w:val="16"/>
          <w:szCs w:val="16"/>
          <w:color w:val="auto"/>
        </w:rPr>
      </w:pPr>
    </w:p>
    <w:p>
      <w:pPr>
        <w:ind w:left="-40" w:right="60" w:firstLine="885"/>
        <w:spacing w:after="0" w:line="286" w:lineRule="auto"/>
        <w:tabs>
          <w:tab w:leader="none" w:pos="1086" w:val="left"/>
        </w:tabs>
        <w:numPr>
          <w:ilvl w:val="0"/>
          <w:numId w:val="554"/>
        </w:numPr>
        <w:rPr>
          <w:rFonts w:ascii="Arial" w:cs="Arial" w:eastAsia="Arial" w:hAnsi="Arial"/>
          <w:sz w:val="17"/>
          <w:szCs w:val="17"/>
          <w:color w:val="auto"/>
        </w:rPr>
      </w:pPr>
      <w:r>
        <w:rPr>
          <w:rFonts w:ascii="Arial" w:cs="Arial" w:eastAsia="Arial" w:hAnsi="Arial"/>
          <w:sz w:val="17"/>
          <w:szCs w:val="17"/>
          <w:color w:val="auto"/>
        </w:rPr>
        <w:t>If the two (2) brokers fail to agree upon and timely appoint a third broker, either party, upon ten (10) days written notice to the other party, can apply to the Presiding Judge of the Superior Court of Orange County to appoint a third broker meeting the qualifications set forth herein. The third broker, however, selected, shall be a person who has not previously acted in any capacity for either party.</w:t>
      </w:r>
    </w:p>
    <w:p>
      <w:pPr>
        <w:spacing w:after="0" w:line="57" w:lineRule="exact"/>
        <w:rPr>
          <w:rFonts w:ascii="Arial" w:cs="Arial" w:eastAsia="Arial" w:hAnsi="Arial"/>
          <w:sz w:val="17"/>
          <w:szCs w:val="17"/>
          <w:color w:val="auto"/>
        </w:rPr>
      </w:pPr>
    </w:p>
    <w:p>
      <w:pPr>
        <w:ind w:left="-40" w:right="740" w:firstLine="885"/>
        <w:spacing w:after="0" w:line="277" w:lineRule="auto"/>
        <w:tabs>
          <w:tab w:leader="none" w:pos="1066"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cost of each party’s broker shall be the responsibility of the party selecting such broker, and the cost of the third broker (or arbitration, if necessary) shall be shared equally by Landlord and Tenant.</w:t>
      </w:r>
    </w:p>
    <w:p>
      <w:pPr>
        <w:spacing w:after="0" w:line="62" w:lineRule="exact"/>
        <w:rPr>
          <w:rFonts w:ascii="Arial" w:cs="Arial" w:eastAsia="Arial" w:hAnsi="Arial"/>
          <w:sz w:val="18"/>
          <w:szCs w:val="18"/>
          <w:color w:val="auto"/>
        </w:rPr>
      </w:pPr>
    </w:p>
    <w:p>
      <w:pPr>
        <w:ind w:left="-40" w:right="120" w:firstLine="885"/>
        <w:spacing w:after="0" w:line="257" w:lineRule="auto"/>
        <w:tabs>
          <w:tab w:leader="none" w:pos="1096"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If the process described hereinabove has not resulted in a selection of either Landlord’s or Tenant’s submitted best and final fair market rental rate by the commencement of the applicable lease term, then the fair market rental rate estimated by Landlord will be used until the broker(s) reach a decision, with an appropriate rental credit and other adjustments for any overpayments of Monthly Base Rent or other amounts if the brokers select Tenant’s submitted best and final estimate of the fair market rental rate. The parties shall enter into an amendment to this Lease confirming the terms of the decision.</w:t>
      </w:r>
    </w:p>
    <w:p>
      <w:pPr>
        <w:spacing w:after="0" w:line="18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RIDER NO.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3" w:right="479" w:bottom="1440" w:gutter="0" w:footer="0" w:header="0"/>
        </w:sectPr>
      </w:pPr>
    </w:p>
    <w:bookmarkStart w:id="558" w:name="page559"/>
    <w:bookmarkEnd w:id="5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OPTIONS IN GENERAL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Rider No. 3</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BIXBY SPE FINANCE 11, LLC,</w:t>
      </w:r>
      <w:r>
        <w:rPr>
          <w:rFonts w:ascii="Arial" w:cs="Arial" w:eastAsia="Arial" w:hAnsi="Arial"/>
          <w:sz w:val="18"/>
          <w:szCs w:val="18"/>
          <w:color w:val="auto"/>
        </w:rPr>
        <w:t xml:space="preserve">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SI-BONE,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as of the day and year of the Lease between Landlord and Tenant to which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Rider is attached. Landlord and Tenant hereby agree that, notwithstanding anything contained in the Lease to the contrary, the provisions set forth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be part of the Lease and shall supersede any inconsistent provisions of the Lease. All references in the Lease and in this Rider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shall be construed to mean the Lease (and all Exhibits and Riders attached thereto), as amended and supplemented by this Rider. All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not defined in this Rider shall have the same meaning as set forth in the Lease.</w:t>
      </w:r>
    </w:p>
    <w:p>
      <w:pPr>
        <w:spacing w:after="0" w:line="99" w:lineRule="exact"/>
        <w:rPr>
          <w:sz w:val="20"/>
          <w:szCs w:val="20"/>
          <w:color w:val="auto"/>
        </w:rPr>
      </w:pPr>
    </w:p>
    <w:p>
      <w:pPr>
        <w:ind w:firstLine="555"/>
        <w:spacing w:after="0" w:line="282" w:lineRule="auto"/>
        <w:tabs>
          <w:tab w:leader="none" w:pos="796" w:val="left"/>
        </w:tabs>
        <w:numPr>
          <w:ilvl w:val="1"/>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Lease and any Rider or Exhibit attached hereto, the word “</w:t>
      </w:r>
      <w:r>
        <w:rPr>
          <w:rFonts w:ascii="Arial" w:cs="Arial" w:eastAsia="Arial" w:hAnsi="Arial"/>
          <w:sz w:val="18"/>
          <w:szCs w:val="18"/>
          <w:b w:val="1"/>
          <w:bCs w:val="1"/>
          <w:color w:val="auto"/>
        </w:rPr>
        <w:t>Option</w:t>
      </w:r>
      <w:r>
        <w:rPr>
          <w:rFonts w:ascii="Arial" w:cs="Arial" w:eastAsia="Arial" w:hAnsi="Arial"/>
          <w:sz w:val="18"/>
          <w:szCs w:val="18"/>
          <w:color w:val="auto"/>
        </w:rPr>
        <w:t>” shall mean all options granted to Tenant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including the following:</w:t>
      </w:r>
    </w:p>
    <w:p>
      <w:pPr>
        <w:spacing w:after="0" w:line="71" w:lineRule="exact"/>
        <w:rPr>
          <w:rFonts w:ascii="Arial" w:cs="Arial" w:eastAsia="Arial" w:hAnsi="Arial"/>
          <w:sz w:val="18"/>
          <w:szCs w:val="18"/>
          <w:color w:val="auto"/>
        </w:rPr>
      </w:pPr>
    </w:p>
    <w:p>
      <w:pPr>
        <w:ind w:left="860" w:hanging="316"/>
        <w:spacing w:after="0"/>
        <w:tabs>
          <w:tab w:leader="none" w:pos="8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xml:space="preserve">Extension Option pursuant to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attached hereto.</w:t>
      </w:r>
    </w:p>
    <w:p>
      <w:pPr>
        <w:spacing w:after="0" w:line="113" w:lineRule="exact"/>
        <w:rPr>
          <w:rFonts w:ascii="Arial" w:cs="Arial" w:eastAsia="Arial" w:hAnsi="Arial"/>
          <w:sz w:val="18"/>
          <w:szCs w:val="18"/>
          <w:color w:val="auto"/>
        </w:rPr>
      </w:pPr>
    </w:p>
    <w:p>
      <w:pPr>
        <w:ind w:right="140" w:firstLine="555"/>
        <w:spacing w:after="0" w:line="258" w:lineRule="auto"/>
        <w:tabs>
          <w:tab w:leader="none" w:pos="806" w:val="left"/>
        </w:tabs>
        <w:numPr>
          <w:ilvl w:val="1"/>
          <w:numId w:val="55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to Tenant is personal to the original Tenant executing the Lease (the “</w:t>
      </w:r>
      <w:r>
        <w:rPr>
          <w:rFonts w:ascii="Arial" w:cs="Arial" w:eastAsia="Arial" w:hAnsi="Arial"/>
          <w:sz w:val="18"/>
          <w:szCs w:val="18"/>
          <w:b w:val="1"/>
          <w:bCs w:val="1"/>
          <w:color w:val="auto"/>
        </w:rPr>
        <w:t>Original Tenant</w:t>
      </w:r>
      <w:r>
        <w:rPr>
          <w:rFonts w:ascii="Arial" w:cs="Arial" w:eastAsia="Arial" w:hAnsi="Arial"/>
          <w:sz w:val="18"/>
          <w:szCs w:val="18"/>
          <w:color w:val="auto"/>
        </w:rPr>
        <w:t>”)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only by the Original Tenant while occupying the entire Premises and without the intent of thereafter assigning the Lease or subletting the Premises and may not be exercised or be assigned, voluntarily or involuntarily, by any person or entity other than the Original Tenant. The Option granted to Tenant under the Lease is not assignable separate and apart from the Lease, nor may the Option be separated from the Lease in any manner, either by reservation or otherwise.</w:t>
      </w:r>
    </w:p>
    <w:p>
      <w:pPr>
        <w:spacing w:after="0" w:line="75" w:lineRule="exact"/>
        <w:rPr>
          <w:rFonts w:ascii="Arial" w:cs="Arial" w:eastAsia="Arial" w:hAnsi="Arial"/>
          <w:sz w:val="18"/>
          <w:szCs w:val="18"/>
          <w:color w:val="auto"/>
        </w:rPr>
      </w:pPr>
    </w:p>
    <w:p>
      <w:pPr>
        <w:ind w:firstLine="555"/>
        <w:spacing w:after="0" w:line="274" w:lineRule="auto"/>
        <w:tabs>
          <w:tab w:leader="none" w:pos="796" w:val="left"/>
        </w:tabs>
        <w:numPr>
          <w:ilvl w:val="1"/>
          <w:numId w:val="556"/>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Default on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will have no right to exercise any Option, notwithstanding any provision of the grant of option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and Tenant’s exercise of any Option may be nullified by Landlord and deemed of no further force or effect, if (i) Tenant is in default of any monetary obligation or material non-monetary obligation under the terms of the Lease (or if Tenant would be in such default under the Lease but for the passage of time or the giving of notice, or both) as of Tenant’s exercise of the Option in question or at any time after the exercise of any such Option and prior to the commencement of the Option event, or (ii) Landlord has given Tenant two (2) or more notices of default, whether or not such defaults are subsequently cured, during any twelve (12) consecutive month period of the Lease.</w:t>
      </w:r>
    </w:p>
    <w:p>
      <w:pPr>
        <w:spacing w:after="0" w:line="65" w:lineRule="exact"/>
        <w:rPr>
          <w:rFonts w:ascii="Arial" w:cs="Arial" w:eastAsia="Arial" w:hAnsi="Arial"/>
          <w:sz w:val="17"/>
          <w:szCs w:val="17"/>
          <w:color w:val="auto"/>
        </w:rPr>
      </w:pPr>
    </w:p>
    <w:p>
      <w:pPr>
        <w:ind w:firstLine="555"/>
        <w:spacing w:after="0" w:line="282" w:lineRule="auto"/>
        <w:tabs>
          <w:tab w:leader="none" w:pos="806" w:val="left"/>
        </w:tabs>
        <w:numPr>
          <w:ilvl w:val="1"/>
          <w:numId w:val="55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as Economic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hereby deemed an economic term which Landlord, in its sole and absolute discretion, may or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offer in conjunction with any future extensions of the Term.</w:t>
      </w:r>
    </w:p>
    <w:p>
      <w:pPr>
        <w:spacing w:after="0" w:line="16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RIDER NO.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559" w:name="page560"/>
    <w:bookmarkEnd w:id="55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STATION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AMENDMENT TO LEASE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ind w:right="220" w:firstLine="551"/>
        <w:spacing w:after="0" w:line="282" w:lineRule="auto"/>
        <w:rPr>
          <w:sz w:val="20"/>
          <w:szCs w:val="20"/>
          <w:color w:val="auto"/>
        </w:rPr>
      </w:pPr>
      <w:r>
        <w:rPr>
          <w:rFonts w:ascii="Arial" w:cs="Arial" w:eastAsia="Arial" w:hAnsi="Arial"/>
          <w:sz w:val="18"/>
          <w:szCs w:val="18"/>
          <w:b w:val="1"/>
          <w:bCs w:val="1"/>
          <w:color w:val="auto"/>
        </w:rPr>
        <w:t xml:space="preserve">THIS FIRST AMENDMENT TO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April 16, 2018, by and between</w:t>
      </w:r>
      <w:r>
        <w:rPr>
          <w:rFonts w:ascii="Arial" w:cs="Arial" w:eastAsia="Arial" w:hAnsi="Arial"/>
          <w:sz w:val="18"/>
          <w:szCs w:val="18"/>
          <w:b w:val="1"/>
          <w:bCs w:val="1"/>
          <w:color w:val="auto"/>
        </w:rPr>
        <w:t xml:space="preserve"> BIXBY SPE FINANCE 11,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551"/>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Landlord and Tenant are parties to that certain Office Lease Agreement dated as of February 2, 2018 (the “</w:t>
      </w:r>
      <w:r>
        <w:rPr>
          <w:rFonts w:ascii="Arial" w:cs="Arial" w:eastAsia="Arial" w:hAnsi="Arial"/>
          <w:sz w:val="18"/>
          <w:szCs w:val="18"/>
          <w:b w:val="1"/>
          <w:bCs w:val="1"/>
          <w:color w:val="auto"/>
        </w:rPr>
        <w:t>Lease</w:t>
      </w:r>
      <w:r>
        <w:rPr>
          <w:rFonts w:ascii="Arial" w:cs="Arial" w:eastAsia="Arial" w:hAnsi="Arial"/>
          <w:sz w:val="18"/>
          <w:szCs w:val="18"/>
          <w:color w:val="auto"/>
        </w:rPr>
        <w:t>”), with respect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within that certain building located at 471 El Camino Real, Santa Clara, California (the “</w:t>
      </w:r>
      <w:r>
        <w:rPr>
          <w:rFonts w:ascii="Arial" w:cs="Arial" w:eastAsia="Arial" w:hAnsi="Arial"/>
          <w:sz w:val="18"/>
          <w:szCs w:val="18"/>
          <w:b w:val="1"/>
          <w:bCs w:val="1"/>
          <w:color w:val="auto"/>
        </w:rPr>
        <w:t>Building</w:t>
      </w:r>
      <w:r>
        <w:rPr>
          <w:rFonts w:ascii="Arial" w:cs="Arial" w:eastAsia="Arial" w:hAnsi="Arial"/>
          <w:sz w:val="18"/>
          <w:szCs w:val="18"/>
          <w:color w:val="auto"/>
        </w:rPr>
        <w:t>”). All capitalized terms used herein and not otherwise defined herein shall have the meanings set forth in the Lease.</w:t>
      </w:r>
    </w:p>
    <w:p>
      <w:pPr>
        <w:spacing w:after="0" w:line="68" w:lineRule="exact"/>
        <w:rPr>
          <w:sz w:val="20"/>
          <w:szCs w:val="20"/>
          <w:color w:val="auto"/>
        </w:rPr>
      </w:pPr>
    </w:p>
    <w:p>
      <w:pPr>
        <w:ind w:right="980" w:firstLine="551"/>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Pursuant to the Lease, Tenant leases from Landlord certain Premises located on the first (1st) floor of the Building, consisting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21,848 square feet, as more particularly described in the Lease.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Landlord and Tenant desire to amend the Lease confirm the suite number of the Premises.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60" w:firstLine="55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contained herein, Landlord and Tenant agree that the Lease is hereby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54" w:lineRule="exact"/>
        <w:rPr>
          <w:sz w:val="20"/>
          <w:szCs w:val="20"/>
          <w:color w:val="auto"/>
        </w:rPr>
      </w:pPr>
    </w:p>
    <w:p>
      <w:pPr>
        <w:ind w:firstLine="555"/>
        <w:spacing w:after="0" w:line="266" w:lineRule="auto"/>
        <w:tabs>
          <w:tab w:leader="none" w:pos="731"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EASE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the Premises was incorrectly identified as Suite 100, although Tenant actually leases the suite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known as Suite 101. Accordingly, Landlord and Tenant hereby confirm that the Premises consist of Suite 101. The Lease, except as amended hereby, remains unamended, and, as amended hereby, remains in full force and effect.</w:t>
      </w:r>
    </w:p>
    <w:p>
      <w:pPr>
        <w:spacing w:after="0" w:line="68" w:lineRule="exact"/>
        <w:rPr>
          <w:rFonts w:ascii="Arial" w:cs="Arial" w:eastAsia="Arial" w:hAnsi="Arial"/>
          <w:sz w:val="18"/>
          <w:szCs w:val="18"/>
          <w:b w:val="1"/>
          <w:bCs w:val="1"/>
          <w:color w:val="auto"/>
        </w:rPr>
      </w:pPr>
    </w:p>
    <w:p>
      <w:pPr>
        <w:ind w:left="740" w:hanging="185"/>
        <w:spacing w:after="0"/>
        <w:tabs>
          <w:tab w:leader="none" w:pos="740"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OMMENCEMENT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commenced, or will commence, as of April 1, 2018, which date shall be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under the terms of the Lease.</w:t>
      </w:r>
    </w:p>
    <w:p>
      <w:pPr>
        <w:spacing w:after="0" w:line="99" w:lineRule="exact"/>
        <w:rPr>
          <w:sz w:val="20"/>
          <w:szCs w:val="20"/>
          <w:color w:val="auto"/>
        </w:rPr>
      </w:pPr>
    </w:p>
    <w:p>
      <w:pPr>
        <w:ind w:right="60" w:firstLine="555"/>
        <w:spacing w:after="0" w:line="258" w:lineRule="auto"/>
        <w:tabs>
          <w:tab w:leader="none" w:pos="731"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MORTIZED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LLOWANCE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ENT</w:t>
      </w:r>
      <w:r>
        <w:rPr>
          <w:rFonts w:ascii="Arial" w:cs="Arial" w:eastAsia="Arial" w:hAnsi="Arial"/>
          <w:sz w:val="18"/>
          <w:szCs w:val="18"/>
          <w:b w:val="1"/>
          <w:bCs w:val="1"/>
          <w:u w:val="single" w:color="auto"/>
          <w:color w:val="auto"/>
        </w:rPr>
        <w:t>; U</w:t>
      </w:r>
      <w:r>
        <w:rPr>
          <w:rFonts w:ascii="Arial" w:cs="Arial" w:eastAsia="Arial" w:hAnsi="Arial"/>
          <w:sz w:val="15"/>
          <w:szCs w:val="15"/>
          <w:b w:val="1"/>
          <w:bCs w:val="1"/>
          <w:u w:val="single" w:color="auto"/>
          <w:color w:val="auto"/>
        </w:rPr>
        <w:t>PDATED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CHEDULE</w:t>
      </w:r>
      <w:r>
        <w:rPr>
          <w:rFonts w:ascii="Arial" w:cs="Arial" w:eastAsia="Arial" w:hAnsi="Arial"/>
          <w:sz w:val="18"/>
          <w:szCs w:val="18"/>
          <w:b w:val="1"/>
          <w:bCs w:val="1"/>
          <w:color w:val="auto"/>
        </w:rPr>
        <w:t xml:space="preserve">. </w:t>
      </w:r>
      <w:r>
        <w:rPr>
          <w:rFonts w:ascii="Arial" w:cs="Arial" w:eastAsia="Arial" w:hAnsi="Arial"/>
          <w:sz w:val="18"/>
          <w:szCs w:val="18"/>
          <w:color w:val="auto"/>
        </w:rPr>
        <w:t>It is acknowledged that Landlord has provided Tenant with an Amortized</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in the amount of $100,000.00 (the “</w:t>
      </w:r>
      <w:r>
        <w:rPr>
          <w:rFonts w:ascii="Arial" w:cs="Arial" w:eastAsia="Arial" w:hAnsi="Arial"/>
          <w:sz w:val="18"/>
          <w:szCs w:val="18"/>
          <w:b w:val="1"/>
          <w:bCs w:val="1"/>
          <w:color w:val="auto"/>
        </w:rPr>
        <w:t>Amortized Allowance Amount</w:t>
      </w:r>
      <w:r>
        <w:rPr>
          <w:rFonts w:ascii="Arial" w:cs="Arial" w:eastAsia="Arial" w:hAnsi="Arial"/>
          <w:sz w:val="18"/>
          <w:szCs w:val="18"/>
          <w:color w:val="auto"/>
        </w:rPr>
        <w:t xml:space="preserve">”) to be applied to the cost of the Tenant-Funded Work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to the Lease. The monthly amortization schedule detailing the calculation of the Amortized Allowance Rent included in the monthly Base Rent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rent schedule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Lease is hereby amended and restated as follows:</w:t>
      </w:r>
    </w:p>
    <w:p>
      <w:pPr>
        <w:spacing w:after="0" w:line="207"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Months of Term</w:t>
            </w:r>
          </w:p>
        </w:tc>
        <w:tc>
          <w:tcPr>
            <w:tcW w:w="2140" w:type="dxa"/>
            <w:vAlign w:val="bottom"/>
          </w:tcPr>
          <w:p>
            <w:pPr>
              <w:spacing w:after="0"/>
              <w:rPr>
                <w:sz w:val="16"/>
                <w:szCs w:val="16"/>
                <w:color w:val="auto"/>
              </w:rPr>
            </w:pPr>
          </w:p>
        </w:tc>
        <w:tc>
          <w:tcPr>
            <w:tcW w:w="4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Monthly Base Rent</w:t>
            </w: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6"/>
              </w:rPr>
              <w:t>April 1, 2018</w:t>
            </w:r>
          </w:p>
        </w:tc>
        <w:tc>
          <w:tcPr>
            <w:tcW w:w="21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December 31, 2018*</w:t>
            </w:r>
          </w:p>
        </w:tc>
        <w:tc>
          <w:tcPr>
            <w:tcW w:w="3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49,031.57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January 1, 2019 – March 31, 2019</w:t>
            </w:r>
          </w:p>
        </w:tc>
        <w:tc>
          <w:tcPr>
            <w:tcW w:w="3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56,151.57</w:t>
            </w:r>
          </w:p>
        </w:tc>
        <w:tc>
          <w:tcPr>
            <w:tcW w:w="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6"/>
              </w:rPr>
              <w:t>April 1, 2019</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 March 31, 2020</w:t>
            </w:r>
          </w:p>
        </w:tc>
        <w:tc>
          <w:tcPr>
            <w:tcW w:w="3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57,790.17</w:t>
            </w:r>
          </w:p>
        </w:tc>
        <w:tc>
          <w:tcPr>
            <w:tcW w:w="60" w:type="dxa"/>
            <w:vAlign w:val="bottom"/>
            <w:shd w:val="clear" w:color="auto" w:fill="CCEEFF"/>
          </w:tcPr>
          <w:p>
            <w:pPr>
              <w:spacing w:after="0"/>
              <w:rPr>
                <w:sz w:val="18"/>
                <w:szCs w:val="18"/>
                <w:color w:val="auto"/>
              </w:rPr>
            </w:pPr>
          </w:p>
        </w:tc>
      </w:tr>
      <w:tr>
        <w:trPr>
          <w:trHeight w:val="365"/>
        </w:trPr>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100" w:type="dxa"/>
            <w:vAlign w:val="bottom"/>
          </w:tcPr>
          <w:p>
            <w:pPr>
              <w:jc w:val="right"/>
              <w:ind w:right="2314"/>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560" w:name="page561"/>
    <w:bookmarkEnd w:id="5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78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Months of Term</w:t>
            </w:r>
          </w:p>
        </w:tc>
        <w:tc>
          <w:tcPr>
            <w:tcW w:w="3260" w:type="dxa"/>
            <w:vAlign w:val="bottom"/>
          </w:tcPr>
          <w:p>
            <w:pPr>
              <w:spacing w:after="0"/>
              <w:rPr>
                <w:sz w:val="16"/>
                <w:szCs w:val="16"/>
                <w:color w:val="auto"/>
              </w:rPr>
            </w:pPr>
          </w:p>
        </w:tc>
        <w:tc>
          <w:tcPr>
            <w:tcW w:w="3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Monthly Base Rent</w:t>
            </w: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1, 2020 – March 31, 2021</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59,477.93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April 1, 2021 – March 31, 2022</w:t>
            </w:r>
          </w:p>
        </w:tc>
        <w:tc>
          <w:tcPr>
            <w:tcW w:w="22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61,216.32</w:t>
            </w:r>
          </w:p>
        </w:tc>
        <w:tc>
          <w:tcPr>
            <w:tcW w:w="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6"/>
              </w:rPr>
              <w:t>April 1, 2022</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March 31, 2023</w:t>
            </w:r>
          </w:p>
        </w:tc>
        <w:tc>
          <w:tcPr>
            <w:tcW w:w="22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63,006.86</w:t>
            </w:r>
          </w:p>
        </w:tc>
        <w:tc>
          <w:tcPr>
            <w:tcW w:w="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6"/>
              </w:rPr>
              <w:t>April 1, 2023</w:t>
            </w:r>
          </w:p>
        </w:tc>
        <w:tc>
          <w:tcPr>
            <w:tcW w:w="3260" w:type="dxa"/>
            <w:vAlign w:val="bottom"/>
          </w:tcPr>
          <w:p>
            <w:pPr>
              <w:spacing w:after="0"/>
              <w:rPr>
                <w:sz w:val="20"/>
                <w:szCs w:val="20"/>
                <w:color w:val="auto"/>
              </w:rPr>
            </w:pPr>
            <w:r>
              <w:rPr>
                <w:rFonts w:ascii="Arial" w:cs="Arial" w:eastAsia="Arial" w:hAnsi="Arial"/>
                <w:sz w:val="18"/>
                <w:szCs w:val="18"/>
                <w:color w:val="auto"/>
              </w:rPr>
              <w:t>– March 31, 2024</w:t>
            </w:r>
          </w:p>
        </w:tc>
        <w:tc>
          <w:tcPr>
            <w:tcW w:w="22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64,851.12</w:t>
            </w:r>
          </w:p>
        </w:tc>
        <w:tc>
          <w:tcPr>
            <w:tcW w:w="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6"/>
              </w:rPr>
              <w:t>April 1, 2024</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March 31, 2025</w:t>
            </w:r>
          </w:p>
        </w:tc>
        <w:tc>
          <w:tcPr>
            <w:tcW w:w="22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66,750.71</w:t>
            </w:r>
          </w:p>
        </w:tc>
        <w:tc>
          <w:tcPr>
            <w:tcW w:w="60" w:type="dxa"/>
            <w:vAlign w:val="bottom"/>
            <w:shd w:val="clear" w:color="auto" w:fill="CCEEFF"/>
          </w:tcPr>
          <w:p>
            <w:pPr>
              <w:spacing w:after="0"/>
              <w:rPr>
                <w:sz w:val="18"/>
                <w:szCs w:val="18"/>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96"/>
              </w:rPr>
              <w:t>April 1, 2025</w:t>
            </w:r>
          </w:p>
        </w:tc>
        <w:tc>
          <w:tcPr>
            <w:tcW w:w="3260" w:type="dxa"/>
            <w:vAlign w:val="bottom"/>
          </w:tcPr>
          <w:p>
            <w:pPr>
              <w:spacing w:after="0"/>
              <w:rPr>
                <w:sz w:val="20"/>
                <w:szCs w:val="20"/>
                <w:color w:val="auto"/>
              </w:rPr>
            </w:pPr>
            <w:r>
              <w:rPr>
                <w:rFonts w:ascii="Arial" w:cs="Arial" w:eastAsia="Arial" w:hAnsi="Arial"/>
                <w:sz w:val="18"/>
                <w:szCs w:val="18"/>
                <w:color w:val="auto"/>
              </w:rPr>
              <w:t>– May 31, 2025</w:t>
            </w:r>
          </w:p>
        </w:tc>
        <w:tc>
          <w:tcPr>
            <w:tcW w:w="22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68,707.28</w:t>
            </w:r>
          </w:p>
        </w:tc>
        <w:tc>
          <w:tcPr>
            <w:tcW w:w="6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Subject to Abatement Period, as defined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Lease.</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Sections 3.02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3.03</w:t>
      </w:r>
      <w:r>
        <w:rPr>
          <w:rFonts w:ascii="Arial" w:cs="Arial" w:eastAsia="Arial" w:hAnsi="Arial"/>
          <w:sz w:val="17"/>
          <w:szCs w:val="17"/>
          <w:color w:val="auto"/>
        </w:rPr>
        <w:t xml:space="preserve"> of the Lease, Tenant shall be obligated to pay to Landlord the monthly payments of the Amortized Allowance Rent (equal to $1,531.57 per month) during the Abatement Period and the Phase-in Period.</w:t>
      </w:r>
    </w:p>
    <w:p>
      <w:pPr>
        <w:spacing w:after="0" w:line="34" w:lineRule="exact"/>
        <w:rPr>
          <w:sz w:val="20"/>
          <w:szCs w:val="20"/>
          <w:color w:val="auto"/>
        </w:rPr>
      </w:pPr>
    </w:p>
    <w:p>
      <w:pPr>
        <w:ind w:firstLine="555"/>
        <w:spacing w:after="0" w:line="258" w:lineRule="auto"/>
        <w:tabs>
          <w:tab w:leader="none" w:pos="731"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ROKERS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represents and warrants to Landlord that it has not engaged any broker, finder or other person who would be entitled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or fees in respect of the negotiation, execution or delivery of this Amendment, and shall indemnify, defend and hold harmless Landlord against any loss, cost, liability or expense incurred by Landlord as a result of any claim asserted by any broker, finder or other person on the basis of any arrangements or agreements made or alleged to have been made by or on behalf of Tenant. The provisions of this section shall not apply to brokers with whom Landlord has an express written broker agreement.</w:t>
      </w:r>
    </w:p>
    <w:p>
      <w:pPr>
        <w:spacing w:after="0" w:line="75" w:lineRule="exact"/>
        <w:rPr>
          <w:rFonts w:ascii="Arial" w:cs="Arial" w:eastAsia="Arial" w:hAnsi="Arial"/>
          <w:sz w:val="18"/>
          <w:szCs w:val="18"/>
          <w:b w:val="1"/>
          <w:bCs w:val="1"/>
          <w:color w:val="auto"/>
        </w:rPr>
      </w:pPr>
    </w:p>
    <w:p>
      <w:pPr>
        <w:ind w:right="220" w:firstLine="555"/>
        <w:spacing w:after="0" w:line="282" w:lineRule="auto"/>
        <w:tabs>
          <w:tab w:leader="none" w:pos="731"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ONTINUING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except as amended hereby, remains unamended, and, as amended hereby, remains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Tenant hereby confirms that no default by Tenant exists under the Lease.</w:t>
      </w:r>
    </w:p>
    <w:p>
      <w:pPr>
        <w:spacing w:after="0" w:line="53" w:lineRule="exact"/>
        <w:rPr>
          <w:rFonts w:ascii="Arial" w:cs="Arial" w:eastAsia="Arial" w:hAnsi="Arial"/>
          <w:sz w:val="18"/>
          <w:szCs w:val="18"/>
          <w:b w:val="1"/>
          <w:bCs w:val="1"/>
          <w:color w:val="auto"/>
        </w:rPr>
      </w:pPr>
    </w:p>
    <w:p>
      <w:pPr>
        <w:ind w:right="140" w:firstLine="555"/>
        <w:spacing w:after="0" w:line="266" w:lineRule="auto"/>
        <w:tabs>
          <w:tab w:leader="none" w:pos="731"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OUNTERPARTS</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LECTRONIC</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one or more counterparts, each of which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all of which shall be one and the same agreement. The parties may exchange counterpart signatures by facsimile or electronic transmission and the same shall constitute delivery of this Amendment with respect to the delivering party.</w:t>
      </w:r>
    </w:p>
    <w:p>
      <w:pPr>
        <w:spacing w:after="0" w:line="68" w:lineRule="exact"/>
        <w:rPr>
          <w:rFonts w:ascii="Arial" w:cs="Arial" w:eastAsia="Arial" w:hAnsi="Arial"/>
          <w:sz w:val="18"/>
          <w:szCs w:val="18"/>
          <w:b w:val="1"/>
          <w:bCs w:val="1"/>
          <w:color w:val="auto"/>
        </w:rPr>
      </w:pPr>
    </w:p>
    <w:p>
      <w:pPr>
        <w:jc w:val="both"/>
        <w:ind w:right="20" w:firstLine="555"/>
        <w:spacing w:after="0" w:line="289" w:lineRule="auto"/>
        <w:tabs>
          <w:tab w:leader="none" w:pos="731" w:val="left"/>
        </w:tabs>
        <w:numPr>
          <w:ilvl w:val="0"/>
          <w:numId w:val="5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w:t>
      </w:r>
      <w:r>
        <w:rPr>
          <w:rFonts w:ascii="Arial" w:cs="Arial" w:eastAsia="Arial" w:hAnsi="Arial"/>
          <w:sz w:val="14"/>
          <w:szCs w:val="14"/>
          <w:b w:val="1"/>
          <w:bCs w:val="1"/>
          <w:u w:val="single" w:color="auto"/>
          <w:color w:val="auto"/>
        </w:rPr>
        <w:t>XECUTION BY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4"/>
          <w:szCs w:val="14"/>
          <w:b w:val="1"/>
          <w:bCs w:val="1"/>
          <w:u w:val="single" w:color="auto"/>
          <w:color w:val="auto"/>
        </w:rPr>
        <w:t>OTH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4"/>
          <w:szCs w:val="14"/>
          <w:b w:val="1"/>
          <w:bCs w:val="1"/>
          <w:u w:val="single" w:color="auto"/>
          <w:color w:val="auto"/>
        </w:rPr>
        <w:t>ARTIES</w:t>
      </w:r>
      <w:r>
        <w:rPr>
          <w:rFonts w:ascii="Arial" w:cs="Arial" w:eastAsia="Arial" w:hAnsi="Arial"/>
          <w:sz w:val="17"/>
          <w:szCs w:val="17"/>
          <w:b w:val="1"/>
          <w:bCs w:val="1"/>
          <w:color w:val="auto"/>
        </w:rPr>
        <w:t xml:space="preserve">. </w:t>
      </w:r>
      <w:r>
        <w:rPr>
          <w:rFonts w:ascii="Arial" w:cs="Arial" w:eastAsia="Arial" w:hAnsi="Arial"/>
          <w:sz w:val="17"/>
          <w:szCs w:val="17"/>
          <w:color w:val="auto"/>
        </w:rPr>
        <w:t>Submission of this instrument for examination or signature by Tenant does not constitute a reservation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for lease, and it is not effective as a lease or otherwise until execution and delivery by both Landlord and Tenant has occurred, and Landlord’s lender holding a lien with respect to the Building has approved this Amendment and the terms and conditions hereof.</w:t>
      </w:r>
    </w:p>
    <w:p>
      <w:pPr>
        <w:spacing w:after="0" w:line="50" w:lineRule="exact"/>
        <w:rPr>
          <w:rFonts w:ascii="Arial" w:cs="Arial" w:eastAsia="Arial" w:hAnsi="Arial"/>
          <w:sz w:val="17"/>
          <w:szCs w:val="17"/>
          <w:b w:val="1"/>
          <w:bCs w:val="1"/>
          <w:color w:val="auto"/>
        </w:rPr>
      </w:pPr>
    </w:p>
    <w:p>
      <w:pPr>
        <w:ind w:right="100" w:firstLine="555"/>
        <w:spacing w:after="0" w:line="282" w:lineRule="auto"/>
        <w:tabs>
          <w:tab w:leader="none" w:pos="731"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hereby confirms that the individual signing this Amendment on behalf of Tenant is duly authorized to bind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hereof.</w:t>
      </w:r>
    </w:p>
    <w:p>
      <w:pPr>
        <w:spacing w:after="0" w:line="53" w:lineRule="exact"/>
        <w:rPr>
          <w:rFonts w:ascii="Arial" w:cs="Arial" w:eastAsia="Arial" w:hAnsi="Arial"/>
          <w:sz w:val="18"/>
          <w:szCs w:val="18"/>
          <w:b w:val="1"/>
          <w:bCs w:val="1"/>
          <w:color w:val="auto"/>
        </w:rPr>
      </w:pPr>
    </w:p>
    <w:p>
      <w:pPr>
        <w:ind w:right="40" w:firstLine="555"/>
        <w:spacing w:after="0" w:line="261" w:lineRule="auto"/>
        <w:tabs>
          <w:tab w:leader="none" w:pos="731"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CCESSIBILITY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advises Tenant that the Development has not undergone an inspection by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access specialist, and except to the extent expressly set forth in the Lease, Landlord shall have no liability or responsibility to make any repairs or modifications to the Premises or the Development in order to comply with accessibility standards. The following disclosure is hereby made pursuant to applicable California law:</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5" w:right="479" w:bottom="1440" w:gutter="0" w:footer="0" w:header="0"/>
        </w:sectPr>
      </w:pPr>
    </w:p>
    <w:bookmarkStart w:id="561" w:name="page562"/>
    <w:bookmarkEnd w:id="561"/>
    <w:p>
      <w:pPr>
        <w:ind w:left="5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[Cal. Civ. Code Section 1938(e)].</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CASp inspection shall be conducted in compliance with reasonable rules in effect at the Building with regard to such inspections and shall be subject to Landlord’s prior written consent.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[LANDLORD’S SIGNATURE ON PAGE S-1 AND TENANT’S SIGNATURE ON PAGE S-2]</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562" w:name="page563"/>
    <w:bookmarkEnd w:id="562"/>
    <w:p>
      <w:pPr>
        <w:ind w:lef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Landlord has executed this Amendment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BIXBY SPE FINANCE 11,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Bixby SPE Finance, LLC,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By:</w:t>
        <w:tab/>
        <w:t>Bixby Land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its sole Member and Manager</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Aaron D. Hill</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Aaron D. Hill</w:t>
            </w:r>
          </w:p>
        </w:tc>
        <w:tc>
          <w:tcPr>
            <w:tcW w:w="9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Martin T. O’Hea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T. O’Hea</w:t>
            </w:r>
          </w:p>
        </w:tc>
        <w:tc>
          <w:tcPr>
            <w:tcW w:w="9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gridSpan w:val="2"/>
          </w:tcPr>
          <w:p>
            <w:pPr>
              <w:spacing w:after="0"/>
              <w:rPr>
                <w:sz w:val="20"/>
                <w:szCs w:val="20"/>
                <w:color w:val="auto"/>
              </w:rPr>
            </w:pPr>
            <w:r>
              <w:rPr>
                <w:rFonts w:ascii="Arial" w:cs="Arial" w:eastAsia="Arial" w:hAnsi="Arial"/>
                <w:sz w:val="18"/>
                <w:szCs w:val="18"/>
                <w:color w:val="auto"/>
              </w:rPr>
              <w:t>Executive Vice President and CFO</w:t>
            </w:r>
          </w:p>
        </w:tc>
      </w:tr>
      <w:tr>
        <w:trPr>
          <w:trHeight w:val="432"/>
        </w:trPr>
        <w:tc>
          <w:tcPr>
            <w:tcW w:w="600" w:type="dxa"/>
            <w:vAlign w:val="bottom"/>
          </w:tcPr>
          <w:p>
            <w:pPr>
              <w:spacing w:after="0"/>
              <w:rPr>
                <w:sz w:val="24"/>
                <w:szCs w:val="24"/>
                <w:color w:val="auto"/>
              </w:rPr>
            </w:pPr>
          </w:p>
        </w:tc>
        <w:tc>
          <w:tcPr>
            <w:tcW w:w="5700" w:type="dxa"/>
            <w:vAlign w:val="bottom"/>
            <w:gridSpan w:val="2"/>
          </w:tcPr>
          <w:p>
            <w:pPr>
              <w:ind w:left="2180"/>
              <w:spacing w:after="0"/>
              <w:rPr>
                <w:sz w:val="20"/>
                <w:szCs w:val="20"/>
                <w:color w:val="auto"/>
              </w:rPr>
            </w:pPr>
            <w:r>
              <w:rPr>
                <w:rFonts w:ascii="Arial" w:cs="Arial" w:eastAsia="Arial" w:hAnsi="Arial"/>
                <w:sz w:val="18"/>
                <w:szCs w:val="18"/>
                <w:b w:val="1"/>
                <w:bCs w:val="1"/>
                <w:color w:val="auto"/>
                <w:w w:val="98"/>
              </w:rPr>
              <w:t>[TENANT’S SIGNATURE ON NEXT PAGE]</w:t>
            </w:r>
          </w:p>
        </w:tc>
      </w:tr>
      <w:tr>
        <w:trPr>
          <w:trHeight w:val="365"/>
        </w:trPr>
        <w:tc>
          <w:tcPr>
            <w:tcW w:w="600" w:type="dxa"/>
            <w:vAlign w:val="bottom"/>
          </w:tcPr>
          <w:p>
            <w:pPr>
              <w:spacing w:after="0"/>
              <w:rPr>
                <w:sz w:val="24"/>
                <w:szCs w:val="24"/>
                <w:color w:val="auto"/>
              </w:rPr>
            </w:pPr>
          </w:p>
        </w:tc>
        <w:tc>
          <w:tcPr>
            <w:tcW w:w="5700" w:type="dxa"/>
            <w:vAlign w:val="bottom"/>
            <w:gridSpan w:val="2"/>
          </w:tcPr>
          <w:p>
            <w:pPr>
              <w:ind w:left="380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0019"/>
          </w:cols>
          <w:pgMar w:left="440" w:top="269" w:right="1440" w:bottom="1440" w:gutter="0" w:footer="0" w:header="0"/>
        </w:sectPr>
      </w:pPr>
    </w:p>
    <w:bookmarkStart w:id="563" w:name="page564"/>
    <w:bookmarkEnd w:id="563"/>
    <w:p>
      <w:pPr>
        <w:ind w:lef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Tenant has executed this Amendment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Dunn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Jeffrey W. Dunn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CEO and Chairman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Pisetsky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Michael Pisetsky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VP &amp; General Counsel</w:t>
            </w: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26-2216351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Tax ID Number (SSN or FEIN)</w:t>
      </w:r>
    </w:p>
    <w:p>
      <w:pPr>
        <w:spacing w:after="0" w:line="16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019"/>
          </w:cols>
          <w:pgMar w:left="440" w:top="270" w:right="1440" w:bottom="1440" w:gutter="0" w:footer="0" w:header="0"/>
        </w:sectPr>
      </w:pPr>
    </w:p>
    <w:bookmarkStart w:id="564" w:name="page565"/>
    <w:bookmarkEnd w:id="564"/>
    <w:tbl>
      <w:tblPr>
        <w:tblLayout w:type="fixed"/>
        <w:tblInd w:w="1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40" w:type="dxa"/>
            <w:vAlign w:val="bottom"/>
            <w:gridSpan w:val="3"/>
          </w:tcPr>
          <w:p>
            <w:pPr>
              <w:jc w:val="right"/>
              <w:ind w:right="2500"/>
              <w:spacing w:after="0"/>
              <w:rPr>
                <w:sz w:val="20"/>
                <w:szCs w:val="20"/>
                <w:color w:val="auto"/>
              </w:rPr>
            </w:pPr>
            <w:r>
              <w:rPr>
                <w:rFonts w:ascii="Arial" w:cs="Arial" w:eastAsia="Arial" w:hAnsi="Arial"/>
                <w:sz w:val="18"/>
                <w:szCs w:val="18"/>
                <w:b w:val="1"/>
                <w:bCs w:val="1"/>
                <w:color w:val="auto"/>
              </w:rPr>
              <w:t>EXHIBIT A</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70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MONTHLY AMORTIZATION SCHEDULE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44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Loan Amount</w:t>
            </w:r>
          </w:p>
        </w:tc>
        <w:tc>
          <w:tcPr>
            <w:tcW w:w="4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100,000.00</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 (years / mos.)</w:t>
            </w:r>
          </w:p>
        </w:tc>
        <w:tc>
          <w:tcPr>
            <w:tcW w:w="4700" w:type="dxa"/>
            <w:vAlign w:val="bottom"/>
            <w:gridSpan w:val="4"/>
          </w:tcPr>
          <w:p>
            <w:pPr>
              <w:jc w:val="right"/>
              <w:ind w:right="340"/>
              <w:spacing w:after="0"/>
              <w:rPr>
                <w:sz w:val="20"/>
                <w:szCs w:val="20"/>
                <w:color w:val="auto"/>
              </w:rPr>
            </w:pPr>
            <w:r>
              <w:rPr>
                <w:rFonts w:ascii="Arial" w:cs="Arial" w:eastAsia="Arial" w:hAnsi="Arial"/>
                <w:sz w:val="18"/>
                <w:szCs w:val="18"/>
                <w:color w:val="auto"/>
              </w:rPr>
              <w:t>7.1666667</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 (annual / monthly)</w:t>
            </w:r>
          </w:p>
        </w:tc>
        <w:tc>
          <w:tcPr>
            <w:tcW w:w="4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PMT</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1,531.57</w:t>
            </w: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860" w:type="dxa"/>
            <w:vAlign w:val="bottom"/>
            <w:gridSpan w:val="2"/>
          </w:tcPr>
          <w:p>
            <w:pPr>
              <w:ind w:left="320"/>
              <w:spacing w:after="0"/>
              <w:rPr>
                <w:sz w:val="20"/>
                <w:szCs w:val="20"/>
                <w:color w:val="auto"/>
              </w:rPr>
            </w:pPr>
            <w:r>
              <w:rPr>
                <w:rFonts w:ascii="Arial" w:cs="Arial" w:eastAsia="Arial" w:hAnsi="Arial"/>
                <w:sz w:val="14"/>
                <w:szCs w:val="14"/>
                <w:color w:val="auto"/>
              </w:rPr>
              <w:t>Month</w:t>
            </w: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Beg. Balance</w:t>
            </w: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Payment</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Principle</w:t>
            </w: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End Balance</w:t>
            </w:r>
          </w:p>
        </w:tc>
      </w:tr>
      <w:tr>
        <w:trPr>
          <w:trHeight w:val="210"/>
        </w:trPr>
        <w:tc>
          <w:tcPr>
            <w:tcW w:w="1140" w:type="dxa"/>
            <w:vAlign w:val="bottom"/>
            <w:tcBorders>
              <w:top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4/1/2018</w:t>
            </w:r>
          </w:p>
        </w:tc>
        <w:tc>
          <w:tcPr>
            <w:tcW w:w="8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864.90</w:t>
            </w:r>
          </w:p>
        </w:tc>
        <w:tc>
          <w:tcPr>
            <w:tcW w:w="8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99,135.10</w:t>
            </w:r>
          </w:p>
        </w:tc>
        <w:tc>
          <w:tcPr>
            <w:tcW w:w="44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5/1/2018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99,135.10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660.90</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870.67</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98,264.43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98,264.43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876.47</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97,387.95</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7/1/2018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97,387.95</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649.25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882.32</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96,505.63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96,505.63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643.37</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95,617.44</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9/1/2018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95,617.44</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637.45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894.12</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94,723.31</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94,723.31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900.08</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93,823.23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11/1/2018</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93,823.23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625.49</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906.08</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92,917.15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12/1/2018</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92,917.15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92,005.03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1/1/2019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92,005.03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613.37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918.20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91,086.82</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91,086.82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90,162.50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3/1/2019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90,162.50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601.08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930.49</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89,232.01</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89,232.01</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936.69</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88,295.32</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5/1/2019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88,295.32</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588.64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942.93</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87,352.39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87,352.39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86,403.17</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16</w:t>
            </w:r>
          </w:p>
        </w:tc>
        <w:tc>
          <w:tcPr>
            <w:tcW w:w="1020" w:type="dxa"/>
            <w:vAlign w:val="bottom"/>
          </w:tcPr>
          <w:p>
            <w:pPr>
              <w:jc w:val="right"/>
              <w:spacing w:after="0"/>
              <w:rPr>
                <w:sz w:val="20"/>
                <w:szCs w:val="20"/>
                <w:color w:val="auto"/>
              </w:rPr>
            </w:pPr>
            <w:r>
              <w:rPr>
                <w:rFonts w:ascii="Arial" w:cs="Arial" w:eastAsia="Arial" w:hAnsi="Arial"/>
                <w:sz w:val="18"/>
                <w:szCs w:val="18"/>
                <w:color w:val="auto"/>
              </w:rPr>
              <w:t>7/1/2019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86,403.17</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576.02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955.55</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85,447.62</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85,447.62</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84,485.70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18</w:t>
            </w:r>
          </w:p>
        </w:tc>
        <w:tc>
          <w:tcPr>
            <w:tcW w:w="1020" w:type="dxa"/>
            <w:vAlign w:val="bottom"/>
          </w:tcPr>
          <w:p>
            <w:pPr>
              <w:jc w:val="right"/>
              <w:spacing w:after="0"/>
              <w:rPr>
                <w:sz w:val="20"/>
                <w:szCs w:val="20"/>
                <w:color w:val="auto"/>
              </w:rPr>
            </w:pPr>
            <w:r>
              <w:rPr>
                <w:rFonts w:ascii="Arial" w:cs="Arial" w:eastAsia="Arial" w:hAnsi="Arial"/>
                <w:sz w:val="18"/>
                <w:szCs w:val="18"/>
                <w:color w:val="auto"/>
              </w:rPr>
              <w:t>9/1/2019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84,485.70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563.24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968.33</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83,517.36</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83,517.36</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974.79</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82,542.58</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20</w:t>
            </w:r>
          </w:p>
        </w:tc>
        <w:tc>
          <w:tcPr>
            <w:tcW w:w="1020" w:type="dxa"/>
            <w:vAlign w:val="bottom"/>
          </w:tcPr>
          <w:p>
            <w:pPr>
              <w:jc w:val="right"/>
              <w:spacing w:after="0"/>
              <w:rPr>
                <w:sz w:val="20"/>
                <w:szCs w:val="20"/>
                <w:color w:val="auto"/>
              </w:rPr>
            </w:pPr>
            <w:r>
              <w:rPr>
                <w:rFonts w:ascii="Arial" w:cs="Arial" w:eastAsia="Arial" w:hAnsi="Arial"/>
                <w:sz w:val="18"/>
                <w:szCs w:val="18"/>
                <w:color w:val="auto"/>
              </w:rPr>
              <w:t>11/1/2019</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82,542.58</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550.28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981.29</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81,561.29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12/1/2019</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81,561.29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80,573.46</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22</w:t>
            </w:r>
          </w:p>
        </w:tc>
        <w:tc>
          <w:tcPr>
            <w:tcW w:w="1020" w:type="dxa"/>
            <w:vAlign w:val="bottom"/>
          </w:tcPr>
          <w:p>
            <w:pPr>
              <w:jc w:val="right"/>
              <w:spacing w:after="0"/>
              <w:rPr>
                <w:sz w:val="20"/>
                <w:szCs w:val="20"/>
                <w:color w:val="auto"/>
              </w:rPr>
            </w:pPr>
            <w:r>
              <w:rPr>
                <w:rFonts w:ascii="Arial" w:cs="Arial" w:eastAsia="Arial" w:hAnsi="Arial"/>
                <w:sz w:val="18"/>
                <w:szCs w:val="18"/>
                <w:color w:val="auto"/>
              </w:rPr>
              <w:t>1/1/2020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80,573.46</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537.16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994.41</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79,579.05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79,579.05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1,001.04</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78,578.00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24</w:t>
            </w:r>
          </w:p>
        </w:tc>
        <w:tc>
          <w:tcPr>
            <w:tcW w:w="1020" w:type="dxa"/>
            <w:vAlign w:val="bottom"/>
          </w:tcPr>
          <w:p>
            <w:pPr>
              <w:jc w:val="right"/>
              <w:spacing w:after="0"/>
              <w:rPr>
                <w:sz w:val="20"/>
                <w:szCs w:val="20"/>
                <w:color w:val="auto"/>
              </w:rPr>
            </w:pPr>
            <w:r>
              <w:rPr>
                <w:rFonts w:ascii="Arial" w:cs="Arial" w:eastAsia="Arial" w:hAnsi="Arial"/>
                <w:sz w:val="18"/>
                <w:szCs w:val="18"/>
                <w:color w:val="auto"/>
              </w:rPr>
              <w:t>3/1/2020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78,578.00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523.85</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1,007.72</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77,570.29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77,570.29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1,014.44</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76,555.85</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26</w:t>
            </w:r>
          </w:p>
        </w:tc>
        <w:tc>
          <w:tcPr>
            <w:tcW w:w="1020" w:type="dxa"/>
            <w:vAlign w:val="bottom"/>
          </w:tcPr>
          <w:p>
            <w:pPr>
              <w:jc w:val="right"/>
              <w:spacing w:after="0"/>
              <w:rPr>
                <w:sz w:val="20"/>
                <w:szCs w:val="20"/>
                <w:color w:val="auto"/>
              </w:rPr>
            </w:pPr>
            <w:r>
              <w:rPr>
                <w:rFonts w:ascii="Arial" w:cs="Arial" w:eastAsia="Arial" w:hAnsi="Arial"/>
                <w:sz w:val="18"/>
                <w:szCs w:val="18"/>
                <w:color w:val="auto"/>
              </w:rPr>
              <w:t>5/1/2020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76,555.85</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510.37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1,021.20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75,534.65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75,534.65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503.56</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1,028.01</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74,506.65</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28</w:t>
            </w:r>
          </w:p>
        </w:tc>
        <w:tc>
          <w:tcPr>
            <w:tcW w:w="1020" w:type="dxa"/>
            <w:vAlign w:val="bottom"/>
          </w:tcPr>
          <w:p>
            <w:pPr>
              <w:jc w:val="right"/>
              <w:spacing w:after="0"/>
              <w:rPr>
                <w:sz w:val="20"/>
                <w:szCs w:val="20"/>
                <w:color w:val="auto"/>
              </w:rPr>
            </w:pPr>
            <w:r>
              <w:rPr>
                <w:rFonts w:ascii="Arial" w:cs="Arial" w:eastAsia="Arial" w:hAnsi="Arial"/>
                <w:sz w:val="18"/>
                <w:szCs w:val="18"/>
                <w:color w:val="auto"/>
              </w:rPr>
              <w:t>7/1/2020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74,506.65</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496.71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1,034.86</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73,471.79</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73,471.79</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489.81</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1,041.76</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72,430.03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30</w:t>
            </w:r>
          </w:p>
        </w:tc>
        <w:tc>
          <w:tcPr>
            <w:tcW w:w="1020" w:type="dxa"/>
            <w:vAlign w:val="bottom"/>
          </w:tcPr>
          <w:p>
            <w:pPr>
              <w:jc w:val="right"/>
              <w:spacing w:after="0"/>
              <w:rPr>
                <w:sz w:val="20"/>
                <w:szCs w:val="20"/>
                <w:color w:val="auto"/>
              </w:rPr>
            </w:pPr>
            <w:r>
              <w:rPr>
                <w:rFonts w:ascii="Arial" w:cs="Arial" w:eastAsia="Arial" w:hAnsi="Arial"/>
                <w:sz w:val="18"/>
                <w:szCs w:val="18"/>
                <w:color w:val="auto"/>
              </w:rPr>
              <w:t>9/1/2020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72,430.03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482.87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1,048.70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71,381.33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71,381.33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1,055.69</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70,325.63</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32</w:t>
            </w:r>
          </w:p>
        </w:tc>
        <w:tc>
          <w:tcPr>
            <w:tcW w:w="1020" w:type="dxa"/>
            <w:vAlign w:val="bottom"/>
          </w:tcPr>
          <w:p>
            <w:pPr>
              <w:jc w:val="right"/>
              <w:spacing w:after="0"/>
              <w:rPr>
                <w:sz w:val="20"/>
                <w:szCs w:val="20"/>
                <w:color w:val="auto"/>
              </w:rPr>
            </w:pPr>
            <w:r>
              <w:rPr>
                <w:rFonts w:ascii="Arial" w:cs="Arial" w:eastAsia="Arial" w:hAnsi="Arial"/>
                <w:sz w:val="18"/>
                <w:szCs w:val="18"/>
                <w:color w:val="auto"/>
              </w:rPr>
              <w:t>11/1/2020</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70,325.63</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468.84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1,062.73</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69,262.90</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12/1/2020</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69,262.90</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1,069.82</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68,193.08</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34</w:t>
            </w:r>
          </w:p>
        </w:tc>
        <w:tc>
          <w:tcPr>
            <w:tcW w:w="1020" w:type="dxa"/>
            <w:vAlign w:val="bottom"/>
          </w:tcPr>
          <w:p>
            <w:pPr>
              <w:jc w:val="right"/>
              <w:spacing w:after="0"/>
              <w:rPr>
                <w:sz w:val="20"/>
                <w:szCs w:val="20"/>
                <w:color w:val="auto"/>
              </w:rPr>
            </w:pPr>
            <w:r>
              <w:rPr>
                <w:rFonts w:ascii="Arial" w:cs="Arial" w:eastAsia="Arial" w:hAnsi="Arial"/>
                <w:sz w:val="18"/>
                <w:szCs w:val="18"/>
                <w:color w:val="auto"/>
              </w:rPr>
              <w:t>1/1/2021</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68,193.08</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454.62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1,076.95</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67,116.13</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67,116.13</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66,032.00</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36</w:t>
            </w:r>
          </w:p>
        </w:tc>
        <w:tc>
          <w:tcPr>
            <w:tcW w:w="1020" w:type="dxa"/>
            <w:vAlign w:val="bottom"/>
          </w:tcPr>
          <w:p>
            <w:pPr>
              <w:jc w:val="right"/>
              <w:spacing w:after="0"/>
              <w:rPr>
                <w:sz w:val="20"/>
                <w:szCs w:val="20"/>
                <w:color w:val="auto"/>
              </w:rPr>
            </w:pPr>
            <w:r>
              <w:rPr>
                <w:rFonts w:ascii="Arial" w:cs="Arial" w:eastAsia="Arial" w:hAnsi="Arial"/>
                <w:sz w:val="18"/>
                <w:szCs w:val="18"/>
                <w:color w:val="auto"/>
              </w:rPr>
              <w:t>3/1/2021</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66,032.00</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440.21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1,091.36</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64,940.64</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4/1/2021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64,940.64</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63,842.01</w:t>
            </w:r>
          </w:p>
        </w:tc>
        <w:tc>
          <w:tcPr>
            <w:tcW w:w="440" w:type="dxa"/>
            <w:vAlign w:val="bottom"/>
            <w:shd w:val="clear" w:color="auto" w:fill="CCEEFF"/>
          </w:tcPr>
          <w:p>
            <w:pPr>
              <w:spacing w:after="0"/>
              <w:rPr>
                <w:sz w:val="18"/>
                <w:szCs w:val="18"/>
                <w:color w:val="auto"/>
              </w:rPr>
            </w:pPr>
          </w:p>
        </w:tc>
      </w:tr>
      <w:tr>
        <w:trPr>
          <w:trHeight w:val="216"/>
        </w:trPr>
        <w:tc>
          <w:tcPr>
            <w:tcW w:w="1140" w:type="dxa"/>
            <w:vAlign w:val="bottom"/>
          </w:tcPr>
          <w:p>
            <w:pPr>
              <w:jc w:val="right"/>
              <w:ind w:right="750"/>
              <w:spacing w:after="0"/>
              <w:rPr>
                <w:sz w:val="20"/>
                <w:szCs w:val="20"/>
                <w:color w:val="auto"/>
              </w:rPr>
            </w:pPr>
            <w:r>
              <w:rPr>
                <w:rFonts w:ascii="Arial" w:cs="Arial" w:eastAsia="Arial" w:hAnsi="Arial"/>
                <w:sz w:val="18"/>
                <w:szCs w:val="18"/>
                <w:color w:val="auto"/>
              </w:rPr>
              <w:t>38</w:t>
            </w:r>
          </w:p>
        </w:tc>
        <w:tc>
          <w:tcPr>
            <w:tcW w:w="1020" w:type="dxa"/>
            <w:vAlign w:val="bottom"/>
          </w:tcPr>
          <w:p>
            <w:pPr>
              <w:jc w:val="right"/>
              <w:spacing w:after="0"/>
              <w:rPr>
                <w:sz w:val="20"/>
                <w:szCs w:val="20"/>
                <w:color w:val="auto"/>
              </w:rPr>
            </w:pPr>
            <w:r>
              <w:rPr>
                <w:rFonts w:ascii="Arial" w:cs="Arial" w:eastAsia="Arial" w:hAnsi="Arial"/>
                <w:sz w:val="18"/>
                <w:szCs w:val="18"/>
                <w:color w:val="auto"/>
              </w:rPr>
              <w:t>5/1/2021</w:t>
            </w: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63,842.01</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425.61</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1,105.96</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62,736.05</w:t>
            </w:r>
          </w:p>
        </w:tc>
        <w:tc>
          <w:tcPr>
            <w:tcW w:w="44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6/1/2021</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62,736.05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1,113.33</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61,622.72</w:t>
            </w:r>
          </w:p>
        </w:tc>
        <w:tc>
          <w:tcPr>
            <w:tcW w:w="44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60" w:top="257" w:right="419" w:bottom="1440" w:gutter="0" w:footer="0" w:header="0"/>
        </w:sectPr>
      </w:pPr>
    </w:p>
    <w:bookmarkStart w:id="565" w:name="page566"/>
    <w:bookmarkEnd w:id="565"/>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61,622.72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410.82</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1,120.75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60,501.97</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60,501.97</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403.35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1,128.22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59,373.75</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59,373.75</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395.82</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1,135.75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58,238.00</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58,238.00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388.25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1,143.32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57,094.69</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57,094.69</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380.63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1,150.94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55,943.75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55,943.75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372.96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1,158.61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54,785.13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54,785.13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365.23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1,166.34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53,618.80</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53,618.80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357.46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1,174.11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52,444.69</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52,444.69</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349.63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1,181.94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51,262.75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49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51,262.75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341.75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1,189.82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50,072.93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50,072.93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333.82</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1,197.75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48,875.18</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48,875.18</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325.83</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1,205.74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47,669.44</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47,669.44</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317.80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1,213.77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46,455.67</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46,455.67</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309.70</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1,221.87</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45,233.80</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45,233.80</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301.56</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1,230.01</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44,003.79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44,003.79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293.36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1,238.21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42,765.58</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42,765.58</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285.10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1,246.47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41,519.11</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41,519.11</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276.79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1,254.78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40,264.33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40,264.33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268.43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1,263.14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39,001.19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59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39,001.19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260.01</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1,271.56</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37,729.63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37,729.63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251.53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1,280.04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36,449.59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36,449.59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243.00</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1,288.57</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35,161.02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35,161.02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234.41</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1,297.16</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33,863.85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33,863.85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225.76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1,305.81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32,558.04</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32,558.04</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217.05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1,314.52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31,243.53</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31,243.53</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208.29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1,323.28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29,920.25</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29,920.25</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199.47</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1,332.10</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28,588.14</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28,588.14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190.59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1,340.98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27,247.16</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27,247.16</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181.65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1,349.92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25,897.24</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69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12/1/2023</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25,897.24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172.65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1,358.92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24,538.32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24,538.32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163.59</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1,367.98</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23,170.33</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23,170.33</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154.47</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1,377.10</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21,793.23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21,793.23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145.29</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1,386.28</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20,406.95</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20,406.95</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136.05</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1,395.52</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19,011.43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19,011.43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126.74</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1,404.83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17,606.60</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17,606.60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117.38</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1,414.19</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16,192.41</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16,192.41</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107.95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1,423.62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14,768.79</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8/1/2024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14,768.79</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98.46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1,433.11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13,335.67</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78</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13,335.67</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88.90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1,442.67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11,893.01</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79</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10/1/2024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11,893.01</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79.29</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1,452.28</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10,440.72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80</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11/1/2024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10,440.72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69.60</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1,461.97</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8,978.76</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12/1/2024</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8,978.76</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59.86</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1,471.71</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7,507.05</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82</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1/1/2025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7,507.05</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50.05</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1,481.52</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6,025.52</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83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2/1/2025</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6,025.52</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40.17</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1,491.40</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4,534.12</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84</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3/1/2025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4,534.12</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30.23</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1,501.34</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3,032.78</w:t>
            </w:r>
          </w:p>
        </w:tc>
      </w:tr>
      <w:tr>
        <w:trPr>
          <w:trHeight w:val="216"/>
        </w:trPr>
        <w:tc>
          <w:tcPr>
            <w:tcW w:w="82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4/1/2025</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3,032.78</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1,511.35</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1,521.43</w:t>
            </w:r>
          </w:p>
        </w:tc>
      </w:tr>
      <w:tr>
        <w:trPr>
          <w:trHeight w:val="216"/>
        </w:trPr>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86</w:t>
            </w:r>
          </w:p>
        </w:tc>
        <w:tc>
          <w:tcPr>
            <w:tcW w:w="1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5/1/2025</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1,521.43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1,531.57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10.14</w:t>
            </w:r>
          </w:p>
        </w:tc>
        <w:tc>
          <w:tcPr>
            <w:tcW w:w="1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1,521.43</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60" w:top="288" w:right="419" w:bottom="1440" w:gutter="0" w:footer="0" w:header="0"/>
        </w:sectPr>
      </w:pPr>
    </w:p>
    <w:bookmarkStart w:id="566" w:name="page567"/>
    <w:bookmarkEnd w:id="566"/>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60" w:type="dxa"/>
            <w:vAlign w:val="bottom"/>
          </w:tcPr>
          <w:p>
            <w:pPr>
              <w:ind w:left="620"/>
              <w:spacing w:after="0"/>
              <w:rPr>
                <w:sz w:val="20"/>
                <w:szCs w:val="20"/>
                <w:color w:val="auto"/>
              </w:rPr>
            </w:pPr>
            <w:r>
              <w:rPr>
                <w:rFonts w:ascii="Arial" w:cs="Arial" w:eastAsia="Arial" w:hAnsi="Arial"/>
                <w:sz w:val="18"/>
                <w:szCs w:val="18"/>
                <w:b w:val="1"/>
                <w:bCs w:val="1"/>
                <w:color w:val="auto"/>
                <w:w w:val="91"/>
              </w:rPr>
              <w:t>Exhibit 21.1</w:t>
            </w:r>
          </w:p>
        </w:tc>
      </w:tr>
      <w:tr>
        <w:trPr>
          <w:trHeight w:val="392"/>
        </w:trPr>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Subsidiaries of SI-BONE, Inc.</w:t>
            </w:r>
          </w:p>
        </w:tc>
      </w:tr>
      <w:tr>
        <w:trPr>
          <w:trHeight w:val="432"/>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32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State of Incorporation</w:t>
            </w:r>
          </w:p>
        </w:tc>
      </w:tr>
      <w:tr>
        <w:trPr>
          <w:trHeight w:val="189"/>
        </w:trPr>
        <w:tc>
          <w:tcPr>
            <w:tcW w:w="4420" w:type="dxa"/>
            <w:vAlign w:val="bottom"/>
            <w:gridSpan w:val="2"/>
          </w:tcPr>
          <w:p>
            <w:pPr>
              <w:spacing w:after="0" w:line="189" w:lineRule="exact"/>
              <w:rPr>
                <w:sz w:val="20"/>
                <w:szCs w:val="20"/>
                <w:color w:val="auto"/>
              </w:rPr>
            </w:pPr>
            <w:r>
              <w:rPr>
                <w:rFonts w:ascii="Arial" w:cs="Arial" w:eastAsia="Arial" w:hAnsi="Arial"/>
                <w:sz w:val="18"/>
                <w:szCs w:val="18"/>
                <w:color w:val="auto"/>
              </w:rPr>
              <w:t>SI-BONE Deutschland GmbH*</w:t>
            </w:r>
          </w:p>
        </w:tc>
        <w:tc>
          <w:tcPr>
            <w:tcW w:w="22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60" w:type="dxa"/>
            <w:vAlign w:val="bottom"/>
          </w:tcPr>
          <w:p>
            <w:pPr>
              <w:spacing w:after="0" w:line="189" w:lineRule="exact"/>
              <w:rPr>
                <w:sz w:val="20"/>
                <w:szCs w:val="20"/>
                <w:color w:val="auto"/>
              </w:rPr>
            </w:pPr>
            <w:r>
              <w:rPr>
                <w:rFonts w:ascii="Arial" w:cs="Arial" w:eastAsia="Arial" w:hAnsi="Arial"/>
                <w:sz w:val="18"/>
                <w:szCs w:val="18"/>
                <w:color w:val="auto"/>
              </w:rPr>
              <w:t>Germany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SI-BONE S.R.L.*</w:t>
            </w:r>
          </w:p>
        </w:tc>
        <w:tc>
          <w:tcPr>
            <w:tcW w:w="2200" w:type="dxa"/>
            <w:vAlign w:val="bottom"/>
          </w:tcPr>
          <w:p>
            <w:pPr>
              <w:spacing w:after="0"/>
              <w:rPr>
                <w:sz w:val="18"/>
                <w:szCs w:val="18"/>
                <w:color w:val="auto"/>
              </w:rPr>
            </w:pPr>
          </w:p>
        </w:tc>
        <w:tc>
          <w:tcPr>
            <w:tcW w:w="4420" w:type="dxa"/>
            <w:vAlign w:val="bottom"/>
            <w:gridSpan w:val="2"/>
          </w:tcPr>
          <w:p>
            <w:pPr>
              <w:ind w:left="2860"/>
              <w:spacing w:after="0"/>
              <w:rPr>
                <w:sz w:val="20"/>
                <w:szCs w:val="20"/>
                <w:color w:val="auto"/>
              </w:rPr>
            </w:pPr>
            <w:r>
              <w:rPr>
                <w:rFonts w:ascii="Arial" w:cs="Arial" w:eastAsia="Arial" w:hAnsi="Arial"/>
                <w:sz w:val="18"/>
                <w:szCs w:val="18"/>
                <w:color w:val="auto"/>
              </w:rPr>
              <w:t>Italy</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SI-BONE UK LTD*</w:t>
            </w:r>
          </w:p>
        </w:tc>
        <w:tc>
          <w:tcPr>
            <w:tcW w:w="2200" w:type="dxa"/>
            <w:vAlign w:val="bottom"/>
          </w:tcPr>
          <w:p>
            <w:pPr>
              <w:spacing w:after="0"/>
              <w:rPr>
                <w:sz w:val="20"/>
                <w:szCs w:val="20"/>
                <w:color w:val="auto"/>
              </w:rPr>
            </w:pPr>
          </w:p>
        </w:tc>
        <w:tc>
          <w:tcPr>
            <w:tcW w:w="4420" w:type="dxa"/>
            <w:vAlign w:val="bottom"/>
            <w:gridSpan w:val="2"/>
          </w:tcPr>
          <w:p>
            <w:pPr>
              <w:ind w:left="2860"/>
              <w:spacing w:after="0"/>
              <w:rPr>
                <w:sz w:val="20"/>
                <w:szCs w:val="20"/>
                <w:color w:val="auto"/>
              </w:rPr>
            </w:pPr>
            <w:r>
              <w:rPr>
                <w:rFonts w:ascii="Arial" w:cs="Arial" w:eastAsia="Arial" w:hAnsi="Arial"/>
                <w:sz w:val="18"/>
                <w:szCs w:val="18"/>
                <w:color w:val="auto"/>
                <w:w w:val="98"/>
              </w:rPr>
              <w:t>England and Wales</w:t>
            </w:r>
          </w:p>
        </w:tc>
      </w:tr>
    </w:tbl>
    <w:p>
      <w:pPr>
        <w:spacing w:after="0" w:line="229" w:lineRule="exact"/>
        <w:rPr>
          <w:sz w:val="20"/>
          <w:szCs w:val="20"/>
          <w:color w:val="auto"/>
        </w:rPr>
      </w:pPr>
    </w:p>
    <w:p>
      <w:pPr>
        <w:ind w:left="440" w:right="460" w:hanging="436"/>
        <w:spacing w:after="0" w:line="277" w:lineRule="auto"/>
        <w:tabs>
          <w:tab w:leader="none" w:pos="44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The above entity does not constitute a significant subsidiary within the meaning of Rule 1-02(w) of Regulation S-X and Item 601(b)(21)(ii) of Regulation S-K.</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9EC322"/>
    <w:multiLevelType w:val="hybridMultilevel"/>
    <w:lvl w:ilvl="0">
      <w:lvlJc w:val="left"/>
      <w:lvlText w:val="(%1)"/>
      <w:numFmt w:val="decimal"/>
      <w:start w:val="1"/>
    </w:lvl>
  </w:abstractNum>
  <w:abstractNum w:abstractNumId="1">
    <w:nsid w:val="3410ED56"/>
    <w:multiLevelType w:val="hybridMultilevel"/>
    <w:lvl w:ilvl="0">
      <w:lvlJc w:val="left"/>
      <w:lvlText w:val="(%1)"/>
      <w:numFmt w:val="decimal"/>
      <w:start w:val="1"/>
    </w:lvl>
  </w:abstractNum>
  <w:abstractNum w:abstractNumId="2">
    <w:nsid w:val="23C049A"/>
    <w:multiLevelType w:val="hybridMultilevel"/>
    <w:lvl w:ilvl="0">
      <w:lvlJc w:val="left"/>
      <w:lvlText w:val="•"/>
      <w:numFmt w:val="bullet"/>
      <w:start w:val="1"/>
    </w:lvl>
  </w:abstractNum>
  <w:abstractNum w:abstractNumId="3">
    <w:nsid w:val="5BDA35D4"/>
    <w:multiLevelType w:val="hybridMultilevel"/>
    <w:lvl w:ilvl="0">
      <w:lvlJc w:val="left"/>
      <w:lvlText w:val="•"/>
      <w:numFmt w:val="bullet"/>
      <w:start w:val="1"/>
    </w:lvl>
  </w:abstractNum>
  <w:abstractNum w:abstractNumId="4">
    <w:nsid w:val="496FB218"/>
    <w:multiLevelType w:val="hybridMultilevel"/>
    <w:lvl w:ilvl="0">
      <w:lvlJc w:val="left"/>
      <w:lvlText w:val="•"/>
      <w:numFmt w:val="bullet"/>
      <w:start w:val="1"/>
    </w:lvl>
  </w:abstractNum>
  <w:abstractNum w:abstractNumId="5">
    <w:nsid w:val="680EA5D1"/>
    <w:multiLevelType w:val="hybridMultilevel"/>
    <w:lvl w:ilvl="0">
      <w:lvlJc w:val="left"/>
      <w:lvlText w:val="•"/>
      <w:numFmt w:val="bullet"/>
      <w:start w:val="1"/>
    </w:lvl>
  </w:abstractNum>
  <w:abstractNum w:abstractNumId="6">
    <w:nsid w:val="4A9554FE"/>
    <w:multiLevelType w:val="hybridMultilevel"/>
    <w:lvl w:ilvl="0">
      <w:lvlJc w:val="left"/>
      <w:lvlText w:val="•"/>
      <w:numFmt w:val="bullet"/>
      <w:start w:val="1"/>
    </w:lvl>
  </w:abstractNum>
  <w:abstractNum w:abstractNumId="7">
    <w:nsid w:val="392EDBE4"/>
    <w:multiLevelType w:val="hybridMultilevel"/>
    <w:lvl w:ilvl="0">
      <w:lvlJc w:val="left"/>
      <w:lvlText w:val="•"/>
      <w:numFmt w:val="bullet"/>
      <w:start w:val="1"/>
    </w:lvl>
  </w:abstractNum>
  <w:abstractNum w:abstractNumId="8">
    <w:nsid w:val="3D1A2DD9"/>
    <w:multiLevelType w:val="hybridMultilevel"/>
    <w:lvl w:ilvl="0">
      <w:lvlJc w:val="left"/>
      <w:lvlText w:val="•"/>
      <w:numFmt w:val="bullet"/>
      <w:start w:val="1"/>
    </w:lvl>
  </w:abstractNum>
  <w:abstractNum w:abstractNumId="9">
    <w:nsid w:val="7F618FCD"/>
    <w:multiLevelType w:val="hybridMultilevel"/>
    <w:lvl w:ilvl="0">
      <w:lvlJc w:val="left"/>
      <w:lvlText w:val="•"/>
      <w:numFmt w:val="bullet"/>
      <w:start w:val="1"/>
    </w:lvl>
  </w:abstractNum>
  <w:abstractNum w:abstractNumId="10">
    <w:nsid w:val="7843E45"/>
    <w:multiLevelType w:val="hybridMultilevel"/>
    <w:lvl w:ilvl="0">
      <w:lvlJc w:val="left"/>
      <w:lvlText w:val="•"/>
      <w:numFmt w:val="bullet"/>
      <w:start w:val="1"/>
    </w:lvl>
  </w:abstractNum>
  <w:abstractNum w:abstractNumId="11">
    <w:nsid w:val="9815DA3"/>
    <w:multiLevelType w:val="hybridMultilevel"/>
    <w:lvl w:ilvl="0">
      <w:lvlJc w:val="left"/>
      <w:lvlText w:val="•"/>
      <w:numFmt w:val="bullet"/>
      <w:start w:val="1"/>
    </w:lvl>
  </w:abstractNum>
  <w:abstractNum w:abstractNumId="12">
    <w:nsid w:val="5204A191"/>
    <w:multiLevelType w:val="hybridMultilevel"/>
    <w:lvl w:ilvl="0">
      <w:lvlJc w:val="left"/>
      <w:lvlText w:val="(%1)"/>
      <w:numFmt w:val="decimal"/>
      <w:start w:val="1"/>
    </w:lvl>
  </w:abstractNum>
  <w:abstractNum w:abstractNumId="13">
    <w:nsid w:val="4C73A9C6"/>
    <w:multiLevelType w:val="hybridMultilevel"/>
    <w:lvl w:ilvl="0">
      <w:lvlJc w:val="left"/>
      <w:lvlText w:val="(%1)"/>
      <w:numFmt w:val="decimal"/>
      <w:start w:val="1"/>
    </w:lvl>
  </w:abstractNum>
  <w:abstractNum w:abstractNumId="14">
    <w:nsid w:val="1C7E3C01"/>
    <w:multiLevelType w:val="hybridMultilevel"/>
    <w:lvl w:ilvl="0">
      <w:lvlJc w:val="left"/>
      <w:lvlText w:val="•"/>
      <w:numFmt w:val="bullet"/>
      <w:start w:val="1"/>
    </w:lvl>
  </w:abstractNum>
  <w:abstractNum w:abstractNumId="15">
    <w:nsid w:val="1C2201FF"/>
    <w:multiLevelType w:val="hybridMultilevel"/>
    <w:lvl w:ilvl="0">
      <w:lvlJc w:val="left"/>
      <w:lvlText w:val="•"/>
      <w:numFmt w:val="bullet"/>
      <w:start w:val="1"/>
    </w:lvl>
  </w:abstractNum>
  <w:abstractNum w:abstractNumId="16">
    <w:nsid w:val="50ABCEC9"/>
    <w:multiLevelType w:val="hybridMultilevel"/>
    <w:lvl w:ilvl="0">
      <w:lvlJc w:val="left"/>
      <w:lvlText w:val="•"/>
      <w:numFmt w:val="bullet"/>
      <w:start w:val="1"/>
    </w:lvl>
  </w:abstractNum>
  <w:abstractNum w:abstractNumId="17">
    <w:nsid w:val="7635AA2A"/>
    <w:multiLevelType w:val="hybridMultilevel"/>
    <w:lvl w:ilvl="0">
      <w:lvlJc w:val="left"/>
      <w:lvlText w:val="•"/>
      <w:numFmt w:val="bullet"/>
      <w:start w:val="1"/>
    </w:lvl>
  </w:abstractNum>
  <w:abstractNum w:abstractNumId="18">
    <w:nsid w:val="5E74C4D9"/>
    <w:multiLevelType w:val="hybridMultilevel"/>
    <w:lvl w:ilvl="0">
      <w:lvlJc w:val="left"/>
      <w:lvlText w:val="•"/>
      <w:numFmt w:val="bullet"/>
      <w:start w:val="1"/>
    </w:lvl>
  </w:abstractNum>
  <w:abstractNum w:abstractNumId="19">
    <w:nsid w:val="3B3EBE15"/>
    <w:multiLevelType w:val="hybridMultilevel"/>
    <w:lvl w:ilvl="0">
      <w:lvlJc w:val="left"/>
      <w:lvlText w:val="•"/>
      <w:numFmt w:val="bullet"/>
      <w:start w:val="1"/>
    </w:lvl>
  </w:abstractNum>
  <w:abstractNum w:abstractNumId="20">
    <w:nsid w:val="3822CB01"/>
    <w:multiLevelType w:val="hybridMultilevel"/>
    <w:lvl w:ilvl="0">
      <w:lvlJc w:val="left"/>
      <w:lvlText w:val="•"/>
      <w:numFmt w:val="bullet"/>
      <w:start w:val="1"/>
    </w:lvl>
  </w:abstractNum>
  <w:abstractNum w:abstractNumId="21">
    <w:nsid w:val="6CE00443"/>
    <w:multiLevelType w:val="hybridMultilevel"/>
    <w:lvl w:ilvl="0">
      <w:lvlJc w:val="left"/>
      <w:lvlText w:val="•"/>
      <w:numFmt w:val="bullet"/>
      <w:start w:val="1"/>
    </w:lvl>
  </w:abstractNum>
  <w:abstractNum w:abstractNumId="22">
    <w:nsid w:val="79F0D62F"/>
    <w:multiLevelType w:val="hybridMultilevel"/>
    <w:lvl w:ilvl="0">
      <w:lvlJc w:val="left"/>
      <w:lvlText w:val="•"/>
      <w:numFmt w:val="bullet"/>
      <w:start w:val="1"/>
    </w:lvl>
  </w:abstractNum>
  <w:abstractNum w:abstractNumId="23">
    <w:nsid w:val="7975E8EE"/>
    <w:multiLevelType w:val="hybridMultilevel"/>
    <w:lvl w:ilvl="0">
      <w:lvlJc w:val="left"/>
      <w:lvlText w:val="•"/>
      <w:numFmt w:val="bullet"/>
      <w:start w:val="1"/>
    </w:lvl>
  </w:abstractNum>
  <w:abstractNum w:abstractNumId="24">
    <w:nsid w:val="73154115"/>
    <w:multiLevelType w:val="hybridMultilevel"/>
    <w:lvl w:ilvl="0">
      <w:lvlJc w:val="left"/>
      <w:lvlText w:val="•"/>
      <w:numFmt w:val="bullet"/>
      <w:start w:val="1"/>
    </w:lvl>
  </w:abstractNum>
  <w:abstractNum w:abstractNumId="25">
    <w:nsid w:val="622D8102"/>
    <w:multiLevelType w:val="hybridMultilevel"/>
    <w:lvl w:ilvl="0">
      <w:lvlJc w:val="left"/>
      <w:lvlText w:val="•"/>
      <w:numFmt w:val="bullet"/>
      <w:start w:val="1"/>
    </w:lvl>
  </w:abstractNum>
  <w:abstractNum w:abstractNumId="26">
    <w:nsid w:val="2AB26587"/>
    <w:multiLevelType w:val="hybridMultilevel"/>
    <w:lvl w:ilvl="0">
      <w:lvlJc w:val="left"/>
      <w:lvlText w:val="•"/>
      <w:numFmt w:val="bullet"/>
      <w:start w:val="1"/>
    </w:lvl>
  </w:abstractNum>
  <w:abstractNum w:abstractNumId="27">
    <w:nsid w:val="44B3FA61"/>
    <w:multiLevelType w:val="hybridMultilevel"/>
    <w:lvl w:ilvl="0">
      <w:lvlJc w:val="left"/>
      <w:lvlText w:val="•"/>
      <w:numFmt w:val="bullet"/>
      <w:start w:val="1"/>
    </w:lvl>
  </w:abstractNum>
  <w:abstractNum w:abstractNumId="28">
    <w:nsid w:val="1C0CA67C"/>
    <w:multiLevelType w:val="hybridMultilevel"/>
    <w:lvl w:ilvl="0">
      <w:lvlJc w:val="left"/>
      <w:lvlText w:val="•"/>
      <w:numFmt w:val="bullet"/>
      <w:start w:val="1"/>
    </w:lvl>
  </w:abstractNum>
  <w:abstractNum w:abstractNumId="29">
    <w:nsid w:val="3D206613"/>
    <w:multiLevelType w:val="hybridMultilevel"/>
    <w:lvl w:ilvl="0">
      <w:lvlJc w:val="left"/>
      <w:lvlText w:val="•"/>
      <w:numFmt w:val="bullet"/>
      <w:start w:val="1"/>
    </w:lvl>
  </w:abstractNum>
  <w:abstractNum w:abstractNumId="30">
    <w:nsid w:val="7993B662"/>
    <w:multiLevelType w:val="hybridMultilevel"/>
    <w:lvl w:ilvl="0">
      <w:lvlJc w:val="left"/>
      <w:lvlText w:val="•"/>
      <w:numFmt w:val="bullet"/>
      <w:start w:val="1"/>
    </w:lvl>
  </w:abstractNum>
  <w:abstractNum w:abstractNumId="31">
    <w:nsid w:val="3BAB699E"/>
    <w:multiLevelType w:val="hybridMultilevel"/>
    <w:lvl w:ilvl="0">
      <w:lvlJc w:val="left"/>
      <w:lvlText w:val="•"/>
      <w:numFmt w:val="bullet"/>
      <w:start w:val="1"/>
    </w:lvl>
  </w:abstractNum>
  <w:abstractNum w:abstractNumId="32">
    <w:nsid w:val="71315369"/>
    <w:multiLevelType w:val="hybridMultilevel"/>
    <w:lvl w:ilvl="0">
      <w:lvlJc w:val="left"/>
      <w:lvlText w:val="•"/>
      <w:numFmt w:val="bullet"/>
      <w:start w:val="1"/>
    </w:lvl>
  </w:abstractNum>
  <w:abstractNum w:abstractNumId="33">
    <w:nsid w:val="7BCFBAFC"/>
    <w:multiLevelType w:val="hybridMultilevel"/>
    <w:lvl w:ilvl="0">
      <w:lvlJc w:val="left"/>
      <w:lvlText w:val="•"/>
      <w:numFmt w:val="bullet"/>
      <w:start w:val="1"/>
    </w:lvl>
  </w:abstractNum>
  <w:abstractNum w:abstractNumId="34">
    <w:nsid w:val="17859F72"/>
    <w:multiLevelType w:val="hybridMultilevel"/>
    <w:lvl w:ilvl="0">
      <w:lvlJc w:val="left"/>
      <w:lvlText w:val="•"/>
      <w:numFmt w:val="bullet"/>
      <w:start w:val="1"/>
    </w:lvl>
  </w:abstractNum>
  <w:abstractNum w:abstractNumId="35">
    <w:nsid w:val="3AA10581"/>
    <w:multiLevelType w:val="hybridMultilevel"/>
    <w:lvl w:ilvl="0">
      <w:lvlJc w:val="left"/>
      <w:lvlText w:val="•"/>
      <w:numFmt w:val="bullet"/>
      <w:start w:val="1"/>
    </w:lvl>
  </w:abstractNum>
  <w:abstractNum w:abstractNumId="36">
    <w:nsid w:val="63DE60CD"/>
    <w:multiLevelType w:val="hybridMultilevel"/>
    <w:lvl w:ilvl="0">
      <w:lvlJc w:val="left"/>
      <w:lvlText w:val="•"/>
      <w:numFmt w:val="bullet"/>
      <w:start w:val="1"/>
    </w:lvl>
  </w:abstractNum>
  <w:abstractNum w:abstractNumId="37">
    <w:nsid w:val="621AF471"/>
    <w:multiLevelType w:val="hybridMultilevel"/>
    <w:lvl w:ilvl="0">
      <w:lvlJc w:val="left"/>
      <w:lvlText w:val="•"/>
      <w:numFmt w:val="bullet"/>
      <w:start w:val="1"/>
    </w:lvl>
  </w:abstractNum>
  <w:abstractNum w:abstractNumId="38">
    <w:nsid w:val="73CFE165"/>
    <w:multiLevelType w:val="hybridMultilevel"/>
    <w:lvl w:ilvl="0">
      <w:lvlJc w:val="left"/>
      <w:lvlText w:val="•"/>
      <w:numFmt w:val="bullet"/>
      <w:start w:val="1"/>
    </w:lvl>
  </w:abstractNum>
  <w:abstractNum w:abstractNumId="39">
    <w:nsid w:val="20F88EA6"/>
    <w:multiLevelType w:val="hybridMultilevel"/>
    <w:lvl w:ilvl="0">
      <w:lvlJc w:val="left"/>
      <w:lvlText w:val="•"/>
      <w:numFmt w:val="bullet"/>
      <w:start w:val="1"/>
    </w:lvl>
  </w:abstractNum>
  <w:abstractNum w:abstractNumId="40">
    <w:nsid w:val="617C843E"/>
    <w:multiLevelType w:val="hybridMultilevel"/>
    <w:lvl w:ilvl="0">
      <w:lvlJc w:val="left"/>
      <w:lvlText w:val="•"/>
      <w:numFmt w:val="bullet"/>
      <w:start w:val="1"/>
    </w:lvl>
  </w:abstractNum>
  <w:abstractNum w:abstractNumId="41">
    <w:nsid w:val="7B541FAB"/>
    <w:multiLevelType w:val="hybridMultilevel"/>
    <w:lvl w:ilvl="0">
      <w:lvlJc w:val="left"/>
      <w:lvlText w:val="•"/>
      <w:numFmt w:val="bullet"/>
      <w:start w:val="1"/>
    </w:lvl>
  </w:abstractNum>
  <w:abstractNum w:abstractNumId="42">
    <w:nsid w:val="2A79EC49"/>
    <w:multiLevelType w:val="hybridMultilevel"/>
    <w:lvl w:ilvl="0">
      <w:lvlJc w:val="left"/>
      <w:lvlText w:val="•"/>
      <w:numFmt w:val="bullet"/>
      <w:start w:val="1"/>
    </w:lvl>
  </w:abstractNum>
  <w:abstractNum w:abstractNumId="43">
    <w:nsid w:val="338125CF"/>
    <w:multiLevelType w:val="hybridMultilevel"/>
    <w:lvl w:ilvl="0">
      <w:lvlJc w:val="left"/>
      <w:lvlText w:val="$"/>
      <w:numFmt w:val="bullet"/>
      <w:start w:val="1"/>
    </w:lvl>
    <w:lvl w:ilvl="1">
      <w:lvlJc w:val="left"/>
      <w:lvlText w:val="•"/>
      <w:numFmt w:val="bullet"/>
      <w:start w:val="1"/>
    </w:lvl>
  </w:abstractNum>
  <w:abstractNum w:abstractNumId="44">
    <w:nsid w:val="47C7C971"/>
    <w:multiLevelType w:val="hybridMultilevel"/>
    <w:lvl w:ilvl="0">
      <w:lvlJc w:val="left"/>
      <w:lvlText w:val="•"/>
      <w:numFmt w:val="bullet"/>
      <w:start w:val="1"/>
    </w:lvl>
  </w:abstractNum>
  <w:abstractNum w:abstractNumId="45">
    <w:nsid w:val="46F8284B"/>
    <w:multiLevelType w:val="hybridMultilevel"/>
    <w:lvl w:ilvl="0">
      <w:lvlJc w:val="left"/>
      <w:lvlText w:val="•"/>
      <w:numFmt w:val="bullet"/>
      <w:start w:val="1"/>
    </w:lvl>
  </w:abstractNum>
  <w:abstractNum w:abstractNumId="46">
    <w:nsid w:val="4FA327CE"/>
    <w:multiLevelType w:val="hybridMultilevel"/>
    <w:lvl w:ilvl="0">
      <w:lvlJc w:val="left"/>
      <w:lvlText w:val="•"/>
      <w:numFmt w:val="bullet"/>
      <w:start w:val="1"/>
    </w:lvl>
  </w:abstractNum>
  <w:abstractNum w:abstractNumId="47">
    <w:nsid w:val="1873983A"/>
    <w:multiLevelType w:val="hybridMultilevel"/>
    <w:lvl w:ilvl="0">
      <w:lvlJc w:val="left"/>
      <w:lvlText w:val="(%1)"/>
      <w:numFmt w:val="decimal"/>
      <w:start w:val="2"/>
    </w:lvl>
  </w:abstractNum>
  <w:abstractNum w:abstractNumId="48">
    <w:nsid w:val="3D2DD275"/>
    <w:multiLevelType w:val="hybridMultilevel"/>
    <w:lvl w:ilvl="0">
      <w:lvlJc w:val="left"/>
      <w:lvlText w:val="•"/>
      <w:numFmt w:val="bullet"/>
      <w:start w:val="1"/>
    </w:lvl>
  </w:abstractNum>
  <w:abstractNum w:abstractNumId="49">
    <w:nsid w:val="2E17ECA7"/>
    <w:multiLevelType w:val="hybridMultilevel"/>
    <w:lvl w:ilvl="0">
      <w:lvlJc w:val="left"/>
      <w:lvlText w:val="•"/>
      <w:numFmt w:val="bullet"/>
      <w:start w:val="1"/>
    </w:lvl>
  </w:abstractNum>
  <w:abstractNum w:abstractNumId="50">
    <w:nsid w:val="53B2564F"/>
    <w:multiLevelType w:val="hybridMultilevel"/>
    <w:lvl w:ilvl="0">
      <w:lvlJc w:val="left"/>
      <w:lvlText w:val="•"/>
      <w:numFmt w:val="bullet"/>
      <w:start w:val="1"/>
    </w:lvl>
  </w:abstractNum>
  <w:abstractNum w:abstractNumId="51">
    <w:nsid w:val="75509D76"/>
    <w:multiLevelType w:val="hybridMultilevel"/>
    <w:lvl w:ilvl="0">
      <w:lvlJc w:val="left"/>
      <w:lvlText w:val="•"/>
      <w:numFmt w:val="bullet"/>
      <w:start w:val="1"/>
    </w:lvl>
  </w:abstractNum>
  <w:abstractNum w:abstractNumId="52">
    <w:nsid w:val="1AF7F0EA"/>
    <w:multiLevelType w:val="hybridMultilevel"/>
    <w:lvl w:ilvl="0">
      <w:lvlJc w:val="left"/>
      <w:lvlText w:val="(%1)"/>
      <w:numFmt w:val="decimal"/>
      <w:start w:val="1"/>
    </w:lvl>
  </w:abstractNum>
  <w:abstractNum w:abstractNumId="53">
    <w:nsid w:val="4DA32C7E"/>
    <w:multiLevelType w:val="hybridMultilevel"/>
    <w:lvl w:ilvl="0">
      <w:lvlJc w:val="left"/>
      <w:lvlText w:val="(%1)"/>
      <w:numFmt w:val="decimal"/>
      <w:start w:val="1"/>
    </w:lvl>
  </w:abstractNum>
  <w:abstractNum w:abstractNumId="54">
    <w:nsid w:val="6EC68664"/>
    <w:multiLevelType w:val="hybridMultilevel"/>
    <w:lvl w:ilvl="0">
      <w:lvlJc w:val="left"/>
      <w:lvlText w:val="•"/>
      <w:numFmt w:val="bullet"/>
      <w:start w:val="1"/>
    </w:lvl>
  </w:abstractNum>
  <w:abstractNum w:abstractNumId="55">
    <w:nsid w:val="E0D31FF"/>
    <w:multiLevelType w:val="hybridMultilevel"/>
    <w:lvl w:ilvl="0">
      <w:lvlJc w:val="left"/>
      <w:lvlText w:val="•"/>
      <w:numFmt w:val="bullet"/>
      <w:start w:val="1"/>
    </w:lvl>
  </w:abstractNum>
  <w:abstractNum w:abstractNumId="56">
    <w:nsid w:val="2FD0AD81"/>
    <w:multiLevelType w:val="hybridMultilevel"/>
    <w:lvl w:ilvl="0">
      <w:lvlJc w:val="left"/>
      <w:lvlText w:val="•"/>
      <w:numFmt w:val="bullet"/>
      <w:start w:val="1"/>
    </w:lvl>
  </w:abstractNum>
  <w:abstractNum w:abstractNumId="57">
    <w:nsid w:val="1978EBEB"/>
    <w:multiLevelType w:val="hybridMultilevel"/>
    <w:lvl w:ilvl="0">
      <w:lvlJc w:val="left"/>
      <w:lvlText w:val="•"/>
      <w:numFmt w:val="bullet"/>
      <w:start w:val="1"/>
    </w:lvl>
  </w:abstractNum>
  <w:abstractNum w:abstractNumId="58">
    <w:nsid w:val="52C12C61"/>
    <w:multiLevelType w:val="hybridMultilevel"/>
    <w:lvl w:ilvl="0">
      <w:lvlJc w:val="left"/>
      <w:lvlText w:val="•"/>
      <w:numFmt w:val="bullet"/>
      <w:start w:val="1"/>
    </w:lvl>
  </w:abstractNum>
  <w:abstractNum w:abstractNumId="59">
    <w:nsid w:val="4BDD53FD"/>
    <w:multiLevelType w:val="hybridMultilevel"/>
    <w:lvl w:ilvl="0">
      <w:lvlJc w:val="left"/>
      <w:lvlText w:val="•"/>
      <w:numFmt w:val="bullet"/>
      <w:start w:val="1"/>
    </w:lvl>
  </w:abstractNum>
  <w:abstractNum w:abstractNumId="60">
    <w:nsid w:val="569951FE"/>
    <w:multiLevelType w:val="hybridMultilevel"/>
    <w:lvl w:ilvl="0">
      <w:lvlJc w:val="left"/>
      <w:lvlText w:val="•"/>
      <w:numFmt w:val="bullet"/>
      <w:start w:val="1"/>
    </w:lvl>
  </w:abstractNum>
  <w:abstractNum w:abstractNumId="61">
    <w:nsid w:val="4C54E2C3"/>
    <w:multiLevelType w:val="hybridMultilevel"/>
    <w:lvl w:ilvl="0">
      <w:lvlJc w:val="left"/>
      <w:lvlText w:val="•"/>
      <w:numFmt w:val="bullet"/>
      <w:start w:val="1"/>
    </w:lvl>
  </w:abstractNum>
  <w:abstractNum w:abstractNumId="62">
    <w:nsid w:val="788BD9B"/>
    <w:multiLevelType w:val="hybridMultilevel"/>
    <w:lvl w:ilvl="0">
      <w:lvlJc w:val="left"/>
      <w:lvlText w:val="•"/>
      <w:numFmt w:val="bullet"/>
      <w:start w:val="1"/>
    </w:lvl>
  </w:abstractNum>
  <w:abstractNum w:abstractNumId="63">
    <w:nsid w:val="47CAA567"/>
    <w:multiLevelType w:val="hybridMultilevel"/>
    <w:lvl w:ilvl="0">
      <w:lvlJc w:val="left"/>
      <w:lvlText w:val="•"/>
      <w:numFmt w:val="bullet"/>
      <w:start w:val="1"/>
    </w:lvl>
  </w:abstractNum>
  <w:abstractNum w:abstractNumId="64">
    <w:nsid w:val="48249DBF"/>
    <w:multiLevelType w:val="hybridMultilevel"/>
    <w:lvl w:ilvl="0">
      <w:lvlJc w:val="left"/>
      <w:lvlText w:val="•"/>
      <w:numFmt w:val="bullet"/>
      <w:start w:val="1"/>
    </w:lvl>
  </w:abstractNum>
  <w:abstractNum w:abstractNumId="65">
    <w:nsid w:val="1F0E5D0D"/>
    <w:multiLevelType w:val="hybridMultilevel"/>
    <w:lvl w:ilvl="0">
      <w:lvlJc w:val="left"/>
      <w:lvlText w:val="*"/>
      <w:numFmt w:val="bullet"/>
      <w:start w:val="1"/>
    </w:lvl>
  </w:abstractNum>
  <w:abstractNum w:abstractNumId="66">
    <w:nsid w:val="26BAAE9"/>
    <w:multiLevelType w:val="hybridMultilevel"/>
    <w:lvl w:ilvl="0">
      <w:lvlJc w:val="left"/>
      <w:lvlText w:val="•"/>
      <w:numFmt w:val="bullet"/>
      <w:start w:val="1"/>
    </w:lvl>
  </w:abstractNum>
  <w:abstractNum w:abstractNumId="67">
    <w:nsid w:val="2C02FE8C"/>
    <w:multiLevelType w:val="hybridMultilevel"/>
    <w:lvl w:ilvl="0">
      <w:lvlJc w:val="left"/>
      <w:lvlText w:val="•"/>
      <w:numFmt w:val="bullet"/>
      <w:start w:val="1"/>
    </w:lvl>
  </w:abstractNum>
  <w:abstractNum w:abstractNumId="68">
    <w:nsid w:val="129517E"/>
    <w:multiLevelType w:val="hybridMultilevel"/>
    <w:lvl w:ilvl="0">
      <w:lvlJc w:val="left"/>
      <w:lvlText w:val="•"/>
      <w:numFmt w:val="bullet"/>
      <w:start w:val="1"/>
    </w:lvl>
  </w:abstractNum>
  <w:abstractNum w:abstractNumId="69">
    <w:nsid w:val="763B8C4E"/>
    <w:multiLevelType w:val="hybridMultilevel"/>
    <w:lvl w:ilvl="0">
      <w:lvlJc w:val="left"/>
      <w:lvlText w:val="•"/>
      <w:numFmt w:val="bullet"/>
      <w:start w:val="1"/>
    </w:lvl>
  </w:abstractNum>
  <w:abstractNum w:abstractNumId="70">
    <w:nsid w:val="4CFB8D32"/>
    <w:multiLevelType w:val="hybridMultilevel"/>
    <w:lvl w:ilvl="0">
      <w:lvlJc w:val="left"/>
      <w:lvlText w:val="•"/>
      <w:numFmt w:val="bullet"/>
      <w:start w:val="1"/>
    </w:lvl>
  </w:abstractNum>
  <w:abstractNum w:abstractNumId="71">
    <w:nsid w:val="62A5D5BD"/>
    <w:multiLevelType w:val="hybridMultilevel"/>
    <w:lvl w:ilvl="0">
      <w:lvlJc w:val="left"/>
      <w:lvlText w:val="•"/>
      <w:numFmt w:val="bullet"/>
      <w:start w:val="1"/>
    </w:lvl>
  </w:abstractNum>
  <w:abstractNum w:abstractNumId="72">
    <w:nsid w:val="718FABF9"/>
    <w:multiLevelType w:val="hybridMultilevel"/>
    <w:lvl w:ilvl="0">
      <w:lvlJc w:val="left"/>
      <w:lvlText w:val="•"/>
      <w:numFmt w:val="bullet"/>
      <w:start w:val="1"/>
    </w:lvl>
  </w:abstractNum>
  <w:abstractNum w:abstractNumId="73">
    <w:nsid w:val="7775797C"/>
    <w:multiLevelType w:val="hybridMultilevel"/>
    <w:lvl w:ilvl="0">
      <w:lvlJc w:val="left"/>
      <w:lvlText w:val="•"/>
      <w:numFmt w:val="bullet"/>
      <w:start w:val="1"/>
    </w:lvl>
  </w:abstractNum>
  <w:abstractNum w:abstractNumId="74">
    <w:nsid w:val="1626FB8C"/>
    <w:multiLevelType w:val="hybridMultilevel"/>
    <w:lvl w:ilvl="0">
      <w:lvlJc w:val="left"/>
      <w:lvlText w:val="•"/>
      <w:numFmt w:val="bullet"/>
      <w:start w:val="1"/>
    </w:lvl>
  </w:abstractNum>
  <w:abstractNum w:abstractNumId="75">
    <w:nsid w:val="3957756A"/>
    <w:multiLevelType w:val="hybridMultilevel"/>
    <w:lvl w:ilvl="0">
      <w:lvlJc w:val="left"/>
      <w:lvlText w:val="(%1)"/>
      <w:numFmt w:val="lowerRoman"/>
      <w:start w:val="1"/>
    </w:lvl>
  </w:abstractNum>
  <w:abstractNum w:abstractNumId="76">
    <w:nsid w:val="3E6DA1C7"/>
    <w:multiLevelType w:val="hybridMultilevel"/>
    <w:lvl w:ilvl="0">
      <w:lvlJc w:val="left"/>
      <w:lvlText w:val="(%1)"/>
      <w:numFmt w:val="decimal"/>
      <w:start w:val="1"/>
    </w:lvl>
  </w:abstractNum>
  <w:abstractNum w:abstractNumId="77">
    <w:nsid w:val="65CA235B"/>
    <w:multiLevelType w:val="hybridMultilevel"/>
    <w:lvl w:ilvl="0">
      <w:lvlJc w:val="left"/>
      <w:lvlText w:val="•"/>
      <w:numFmt w:val="bullet"/>
      <w:start w:val="1"/>
    </w:lvl>
  </w:abstractNum>
  <w:abstractNum w:abstractNumId="78">
    <w:nsid w:val="51CB0DA4"/>
    <w:multiLevelType w:val="hybridMultilevel"/>
    <w:lvl w:ilvl="0">
      <w:lvlJc w:val="left"/>
      <w:lvlText w:val="•"/>
      <w:numFmt w:val="bullet"/>
      <w:start w:val="1"/>
    </w:lvl>
  </w:abstractNum>
  <w:abstractNum w:abstractNumId="79">
    <w:nsid w:val="7B9B743C"/>
    <w:multiLevelType w:val="hybridMultilevel"/>
    <w:lvl w:ilvl="0">
      <w:lvlJc w:val="left"/>
      <w:lvlText w:val="•"/>
      <w:numFmt w:val="bullet"/>
      <w:start w:val="1"/>
    </w:lvl>
  </w:abstractNum>
  <w:abstractNum w:abstractNumId="80">
    <w:nsid w:val="13E21002"/>
    <w:multiLevelType w:val="hybridMultilevel"/>
    <w:lvl w:ilvl="0">
      <w:lvlJc w:val="left"/>
      <w:lvlText w:val="•"/>
      <w:numFmt w:val="bullet"/>
      <w:start w:val="1"/>
    </w:lvl>
  </w:abstractNum>
  <w:abstractNum w:abstractNumId="81">
    <w:nsid w:val="257D63F4"/>
    <w:multiLevelType w:val="hybridMultilevel"/>
    <w:lvl w:ilvl="0">
      <w:lvlJc w:val="left"/>
      <w:lvlText w:val="•"/>
      <w:numFmt w:val="bullet"/>
      <w:start w:val="1"/>
    </w:lvl>
  </w:abstractNum>
  <w:abstractNum w:abstractNumId="82">
    <w:nsid w:val="70EC11B2"/>
    <w:multiLevelType w:val="hybridMultilevel"/>
    <w:lvl w:ilvl="0">
      <w:lvlJc w:val="left"/>
      <w:lvlText w:val="•"/>
      <w:numFmt w:val="bullet"/>
      <w:start w:val="1"/>
    </w:lvl>
  </w:abstractNum>
  <w:abstractNum w:abstractNumId="83">
    <w:nsid w:val="2EDA00ED"/>
    <w:multiLevelType w:val="hybridMultilevel"/>
    <w:lvl w:ilvl="0">
      <w:lvlJc w:val="left"/>
      <w:lvlText w:val="(%1)"/>
      <w:numFmt w:val="decimal"/>
      <w:start w:val="1"/>
    </w:lvl>
  </w:abstractNum>
  <w:abstractNum w:abstractNumId="84">
    <w:nsid w:val="73209072"/>
    <w:multiLevelType w:val="hybridMultilevel"/>
    <w:lvl w:ilvl="0">
      <w:lvlJc w:val="left"/>
      <w:lvlText w:val="(%1)"/>
      <w:numFmt w:val="decimal"/>
      <w:start w:val="1"/>
    </w:lvl>
  </w:abstractNum>
  <w:abstractNum w:abstractNumId="85">
    <w:nsid w:val="5FB29816"/>
    <w:multiLevelType w:val="hybridMultilevel"/>
    <w:lvl w:ilvl="0">
      <w:lvlJc w:val="left"/>
      <w:lvlText w:val="(%1)"/>
      <w:numFmt w:val="decimal"/>
      <w:start w:val="1"/>
    </w:lvl>
  </w:abstractNum>
  <w:abstractNum w:abstractNumId="86">
    <w:nsid w:val="3CE732EC"/>
    <w:multiLevelType w:val="hybridMultilevel"/>
    <w:lvl w:ilvl="0">
      <w:lvlJc w:val="left"/>
      <w:lvlText w:val="•"/>
      <w:numFmt w:val="bullet"/>
      <w:start w:val="1"/>
    </w:lvl>
  </w:abstractNum>
  <w:abstractNum w:abstractNumId="87">
    <w:nsid w:val="22F13DF3"/>
    <w:multiLevelType w:val="hybridMultilevel"/>
    <w:lvl w:ilvl="0">
      <w:lvlJc w:val="left"/>
      <w:lvlText w:val="•"/>
      <w:numFmt w:val="bullet"/>
      <w:start w:val="1"/>
    </w:lvl>
  </w:abstractNum>
  <w:abstractNum w:abstractNumId="88">
    <w:nsid w:val="792B8401"/>
    <w:multiLevelType w:val="hybridMultilevel"/>
    <w:lvl w:ilvl="0">
      <w:lvlJc w:val="left"/>
      <w:lvlText w:val="•"/>
      <w:numFmt w:val="bullet"/>
      <w:start w:val="1"/>
    </w:lvl>
  </w:abstractNum>
  <w:abstractNum w:abstractNumId="89">
    <w:nsid w:val="FA85F4D"/>
    <w:multiLevelType w:val="hybridMultilevel"/>
    <w:lvl w:ilvl="0">
      <w:lvlJc w:val="left"/>
      <w:lvlText w:val="•"/>
      <w:numFmt w:val="bullet"/>
      <w:start w:val="1"/>
    </w:lvl>
  </w:abstractNum>
  <w:abstractNum w:abstractNumId="90">
    <w:nsid w:val="6ECE91F0"/>
    <w:multiLevelType w:val="hybridMultilevel"/>
    <w:lvl w:ilvl="0">
      <w:lvlJc w:val="left"/>
      <w:lvlText w:val="(%1)"/>
      <w:numFmt w:val="decimal"/>
      <w:start w:val="7"/>
    </w:lvl>
  </w:abstractNum>
  <w:abstractNum w:abstractNumId="91">
    <w:nsid w:val="4FC4D600"/>
    <w:multiLevelType w:val="hybridMultilevel"/>
    <w:lvl w:ilvl="0">
      <w:lvlJc w:val="left"/>
      <w:lvlText w:val="(%1)"/>
      <w:numFmt w:val="decimal"/>
      <w:start w:val="12"/>
    </w:lvl>
  </w:abstractNum>
  <w:abstractNum w:abstractNumId="92">
    <w:nsid w:val="5BFD4210"/>
    <w:multiLevelType w:val="hybridMultilevel"/>
    <w:lvl w:ilvl="0">
      <w:lvlJc w:val="left"/>
      <w:lvlText w:val="(%1)"/>
      <w:numFmt w:val="decimal"/>
      <w:start w:val="20"/>
    </w:lvl>
  </w:abstractNum>
  <w:abstractNum w:abstractNumId="93">
    <w:nsid w:val="76574F8B"/>
    <w:multiLevelType w:val="hybridMultilevel"/>
    <w:lvl w:ilvl="0">
      <w:lvlJc w:val="left"/>
      <w:lvlText w:val="(%1)"/>
      <w:numFmt w:val="decimal"/>
      <w:start w:val="26"/>
    </w:lvl>
  </w:abstractNum>
  <w:abstractNum w:abstractNumId="94">
    <w:nsid w:val="178F7B67"/>
    <w:multiLevelType w:val="hybridMultilevel"/>
    <w:lvl w:ilvl="0">
      <w:lvlJc w:val="left"/>
      <w:lvlText w:val="(%1)"/>
      <w:numFmt w:val="decimal"/>
      <w:start w:val="39"/>
    </w:lvl>
  </w:abstractNum>
  <w:abstractNum w:abstractNumId="95">
    <w:nsid w:val="2421DFCF"/>
    <w:multiLevelType w:val="hybridMultilevel"/>
    <w:lvl w:ilvl="0">
      <w:lvlJc w:val="left"/>
      <w:lvlText w:val="(%1)"/>
      <w:numFmt w:val="decimal"/>
      <w:start w:val="43"/>
    </w:lvl>
  </w:abstractNum>
  <w:abstractNum w:abstractNumId="96">
    <w:nsid w:val="1565AC99"/>
    <w:multiLevelType w:val="hybridMultilevel"/>
    <w:lvl w:ilvl="0">
      <w:lvlJc w:val="left"/>
      <w:lvlText w:val="(%1)"/>
      <w:numFmt w:val="decimal"/>
      <w:start w:val="57"/>
    </w:lvl>
  </w:abstractNum>
  <w:abstractNum w:abstractNumId="97">
    <w:nsid w:val="19FB2650"/>
    <w:multiLevelType w:val="hybridMultilevel"/>
    <w:lvl w:ilvl="0">
      <w:lvlJc w:val="left"/>
      <w:lvlText w:val="(%1)"/>
      <w:numFmt w:val="lowerLetter"/>
      <w:start w:val="10"/>
    </w:lvl>
  </w:abstractNum>
  <w:abstractNum w:abstractNumId="98">
    <w:nsid w:val="5024DE5B"/>
    <w:multiLevelType w:val="hybridMultilevel"/>
    <w:lvl w:ilvl="0">
      <w:lvlJc w:val="left"/>
      <w:lvlText w:val="(%1)"/>
      <w:numFmt w:val="decimal"/>
      <w:start w:val="4"/>
    </w:lvl>
  </w:abstractNum>
  <w:abstractNum w:abstractNumId="99">
    <w:nsid w:val="168EFE17"/>
    <w:multiLevelType w:val="hybridMultilevel"/>
    <w:lvl w:ilvl="0">
      <w:lvlJc w:val="left"/>
      <w:lvlText w:val="(%1)"/>
      <w:numFmt w:val="decimal"/>
      <w:start w:val="2"/>
    </w:lvl>
  </w:abstractNum>
  <w:abstractNum w:abstractNumId="100">
    <w:nsid w:val="1036B29F"/>
    <w:multiLevelType w:val="hybridMultilevel"/>
    <w:lvl w:ilvl="0">
      <w:lvlJc w:val="left"/>
      <w:lvlText w:val="•"/>
      <w:numFmt w:val="bullet"/>
      <w:start w:val="1"/>
    </w:lvl>
  </w:abstractNum>
  <w:abstractNum w:abstractNumId="101">
    <w:nsid w:val="1D206B8E"/>
    <w:multiLevelType w:val="hybridMultilevel"/>
    <w:lvl w:ilvl="0">
      <w:lvlJc w:val="left"/>
      <w:lvlText w:val="•"/>
      <w:numFmt w:val="bullet"/>
      <w:start w:val="1"/>
    </w:lvl>
  </w:abstractNum>
  <w:abstractNum w:abstractNumId="102">
    <w:nsid w:val="7934D3D4"/>
    <w:multiLevelType w:val="hybridMultilevel"/>
    <w:lvl w:ilvl="0">
      <w:lvlJc w:val="left"/>
      <w:lvlText w:val="(%1)"/>
      <w:numFmt w:val="decimal"/>
      <w:start w:val="1"/>
    </w:lvl>
  </w:abstractNum>
  <w:abstractNum w:abstractNumId="103">
    <w:nsid w:val="1C65E98"/>
    <w:multiLevelType w:val="hybridMultilevel"/>
    <w:lvl w:ilvl="0">
      <w:lvlJc w:val="left"/>
      <w:lvlText w:val="(%1)"/>
      <w:numFmt w:val="decimal"/>
      <w:start w:val="1"/>
    </w:lvl>
  </w:abstractNum>
  <w:abstractNum w:abstractNumId="104">
    <w:nsid w:val="1495E50A"/>
    <w:multiLevelType w:val="hybridMultilevel"/>
    <w:lvl w:ilvl="0">
      <w:lvlJc w:val="left"/>
      <w:lvlText w:val="•"/>
      <w:numFmt w:val="bullet"/>
      <w:start w:val="1"/>
    </w:lvl>
  </w:abstractNum>
  <w:abstractNum w:abstractNumId="105">
    <w:nsid w:val="F5BCF61"/>
    <w:multiLevelType w:val="hybridMultilevel"/>
    <w:lvl w:ilvl="0">
      <w:lvlJc w:val="left"/>
      <w:lvlText w:val="*"/>
      <w:numFmt w:val="bullet"/>
      <w:start w:val="1"/>
    </w:lvl>
  </w:abstractNum>
  <w:abstractNum w:abstractNumId="106">
    <w:nsid w:val="3B1DD403"/>
    <w:multiLevelType w:val="hybridMultilevel"/>
    <w:lvl w:ilvl="0">
      <w:lvlJc w:val="left"/>
      <w:lvlText w:val="(%1)"/>
      <w:numFmt w:val="decimal"/>
      <w:start w:val="1"/>
    </w:lvl>
  </w:abstractNum>
  <w:abstractNum w:abstractNumId="107">
    <w:nsid w:val="530386D1"/>
    <w:multiLevelType w:val="hybridMultilevel"/>
    <w:lvl w:ilvl="0">
      <w:lvlJc w:val="left"/>
      <w:lvlText w:val="(%1)"/>
      <w:numFmt w:val="decimal"/>
      <w:start w:val="2"/>
    </w:lvl>
  </w:abstractNum>
  <w:abstractNum w:abstractNumId="108">
    <w:nsid w:val="7525F2BC"/>
    <w:multiLevelType w:val="hybridMultilevel"/>
    <w:lvl w:ilvl="0">
      <w:lvlJc w:val="left"/>
      <w:lvlText w:val="(%1)"/>
      <w:numFmt w:val="decimal"/>
      <w:start w:val="7"/>
    </w:lvl>
  </w:abstractNum>
  <w:abstractNum w:abstractNumId="109">
    <w:nsid w:val="CE8E1A7"/>
    <w:multiLevelType w:val="hybridMultilevel"/>
    <w:lvl w:ilvl="0">
      <w:lvlJc w:val="left"/>
      <w:lvlText w:val="(%1)"/>
      <w:numFmt w:val="decimal"/>
      <w:start w:val="16"/>
    </w:lvl>
  </w:abstractNum>
  <w:abstractNum w:abstractNumId="110">
    <w:nsid w:val="4E9EFB0D"/>
    <w:multiLevelType w:val="hybridMultilevel"/>
    <w:lvl w:ilvl="0">
      <w:lvlJc w:val="left"/>
      <w:lvlText w:val="•"/>
      <w:numFmt w:val="bullet"/>
      <w:start w:val="1"/>
    </w:lvl>
  </w:abstractNum>
  <w:abstractNum w:abstractNumId="111">
    <w:nsid w:val="90802BE"/>
    <w:multiLevelType w:val="hybridMultilevel"/>
    <w:lvl w:ilvl="0">
      <w:lvlJc w:val="left"/>
      <w:lvlText w:val="•"/>
      <w:numFmt w:val="bullet"/>
      <w:start w:val="1"/>
    </w:lvl>
  </w:abstractNum>
  <w:abstractNum w:abstractNumId="112">
    <w:nsid w:val="3266459B"/>
    <w:multiLevelType w:val="hybridMultilevel"/>
    <w:lvl w:ilvl="0">
      <w:lvlJc w:val="left"/>
      <w:lvlText w:val="•"/>
      <w:numFmt w:val="bullet"/>
      <w:start w:val="1"/>
    </w:lvl>
  </w:abstractNum>
  <w:abstractNum w:abstractNumId="113">
    <w:nsid w:val="3F8B0CBF"/>
    <w:multiLevelType w:val="hybridMultilevel"/>
    <w:lvl w:ilvl="0">
      <w:lvlJc w:val="left"/>
      <w:lvlText w:val="•"/>
      <w:numFmt w:val="bullet"/>
      <w:start w:val="1"/>
    </w:lvl>
  </w:abstractNum>
  <w:abstractNum w:abstractNumId="114">
    <w:nsid w:val="37E203AB"/>
    <w:multiLevelType w:val="hybridMultilevel"/>
    <w:lvl w:ilvl="0">
      <w:lvlJc w:val="left"/>
      <w:lvlText w:val="•"/>
      <w:numFmt w:val="bullet"/>
      <w:start w:val="1"/>
    </w:lvl>
  </w:abstractNum>
  <w:abstractNum w:abstractNumId="115">
    <w:nsid w:val="2586D60E"/>
    <w:multiLevelType w:val="hybridMultilevel"/>
    <w:lvl w:ilvl="0">
      <w:lvlJc w:val="left"/>
      <w:lvlText w:val="•"/>
      <w:numFmt w:val="bullet"/>
      <w:start w:val="1"/>
    </w:lvl>
  </w:abstractNum>
  <w:abstractNum w:abstractNumId="116">
    <w:nsid w:val="1F3DA4D5"/>
    <w:multiLevelType w:val="hybridMultilevel"/>
    <w:lvl w:ilvl="0">
      <w:lvlJc w:val="left"/>
      <w:lvlText w:val="•"/>
      <w:numFmt w:val="bullet"/>
      <w:start w:val="1"/>
    </w:lvl>
  </w:abstractNum>
  <w:abstractNum w:abstractNumId="117">
    <w:nsid w:val="74C93698"/>
    <w:multiLevelType w:val="hybridMultilevel"/>
    <w:lvl w:ilvl="0">
      <w:lvlJc w:val="left"/>
      <w:lvlText w:val="%1."/>
      <w:numFmt w:val="decimal"/>
      <w:start w:val="701"/>
    </w:lvl>
  </w:abstractNum>
  <w:abstractNum w:abstractNumId="118">
    <w:nsid w:val="48781401"/>
    <w:multiLevelType w:val="hybridMultilevel"/>
    <w:lvl w:ilvl="0">
      <w:lvlJc w:val="left"/>
      <w:lvlText w:val="•"/>
      <w:numFmt w:val="bullet"/>
      <w:start w:val="1"/>
    </w:lvl>
  </w:abstractNum>
  <w:abstractNum w:abstractNumId="119">
    <w:nsid w:val="186928D6"/>
    <w:multiLevelType w:val="hybridMultilevel"/>
    <w:lvl w:ilvl="0">
      <w:lvlJc w:val="left"/>
      <w:lvlText w:val="•"/>
      <w:numFmt w:val="bullet"/>
      <w:start w:val="1"/>
    </w:lvl>
  </w:abstractNum>
  <w:abstractNum w:abstractNumId="120">
    <w:nsid w:val="47195E5"/>
    <w:multiLevelType w:val="hybridMultilevel"/>
    <w:lvl w:ilvl="0">
      <w:lvlJc w:val="left"/>
      <w:lvlText w:val="•"/>
      <w:numFmt w:val="bullet"/>
      <w:start w:val="1"/>
    </w:lvl>
  </w:abstractNum>
  <w:abstractNum w:abstractNumId="121">
    <w:nsid w:val="3746A5F2"/>
    <w:multiLevelType w:val="hybridMultilevel"/>
    <w:lvl w:ilvl="0">
      <w:lvlJc w:val="left"/>
      <w:lvlText w:val="$"/>
      <w:numFmt w:val="bullet"/>
      <w:start w:val="1"/>
    </w:lvl>
  </w:abstractNum>
  <w:abstractNum w:abstractNumId="122">
    <w:nsid w:val="682DFED6"/>
    <w:multiLevelType w:val="hybridMultilevel"/>
    <w:lvl w:ilvl="0">
      <w:lvlJc w:val="left"/>
      <w:lvlText w:val="•"/>
      <w:numFmt w:val="bullet"/>
      <w:start w:val="1"/>
    </w:lvl>
  </w:abstractNum>
  <w:abstractNum w:abstractNumId="123">
    <w:nsid w:val="606ED7F6"/>
    <w:multiLevelType w:val="hybridMultilevel"/>
    <w:lvl w:ilvl="0">
      <w:lvlJc w:val="left"/>
      <w:lvlText w:val="•"/>
      <w:numFmt w:val="bullet"/>
      <w:start w:val="1"/>
    </w:lvl>
  </w:abstractNum>
  <w:abstractNum w:abstractNumId="124">
    <w:nsid w:val="2D9DF57D"/>
    <w:multiLevelType w:val="hybridMultilevel"/>
    <w:lvl w:ilvl="0">
      <w:lvlJc w:val="left"/>
      <w:lvlText w:val="•"/>
      <w:numFmt w:val="bullet"/>
      <w:start w:val="1"/>
    </w:lvl>
  </w:abstractNum>
  <w:abstractNum w:abstractNumId="125">
    <w:nsid w:val="7FBD7A3E"/>
    <w:multiLevelType w:val="hybridMultilevel"/>
    <w:lvl w:ilvl="0">
      <w:lvlJc w:val="left"/>
      <w:lvlText w:val="(%1)"/>
      <w:numFmt w:val="lowerRoman"/>
      <w:start w:val="1"/>
    </w:lvl>
  </w:abstractNum>
  <w:abstractNum w:abstractNumId="126">
    <w:nsid w:val="490B7C5"/>
    <w:multiLevelType w:val="hybridMultilevel"/>
    <w:lvl w:ilvl="0">
      <w:lvlJc w:val="left"/>
      <w:lvlText w:val="(%1)"/>
      <w:numFmt w:val="lowerLetter"/>
      <w:start w:val="1"/>
    </w:lvl>
  </w:abstractNum>
  <w:abstractNum w:abstractNumId="127">
    <w:nsid w:val="4303A216"/>
    <w:multiLevelType w:val="hybridMultilevel"/>
    <w:lvl w:ilvl="0">
      <w:lvlJc w:val="left"/>
      <w:lvlText w:val="(%1)"/>
      <w:numFmt w:val="lowerLetter"/>
      <w:start w:val="1"/>
    </w:lvl>
  </w:abstractNum>
  <w:abstractNum w:abstractNumId="128">
    <w:nsid w:val="19B8A08E"/>
    <w:multiLevelType w:val="hybridMultilevel"/>
    <w:lvl w:ilvl="0">
      <w:lvlJc w:val="left"/>
      <w:lvlText w:val="(%1)"/>
      <w:numFmt w:val="lowerLetter"/>
      <w:start w:val="1"/>
    </w:lvl>
  </w:abstractNum>
  <w:abstractNum w:abstractNumId="129">
    <w:nsid w:val="54B59621"/>
    <w:multiLevelType w:val="hybridMultilevel"/>
    <w:lvl w:ilvl="0">
      <w:lvlJc w:val="left"/>
      <w:lvlText w:val="(%1)"/>
      <w:numFmt w:val="lowerLetter"/>
      <w:start w:val="1"/>
    </w:lvl>
  </w:abstractNum>
  <w:abstractNum w:abstractNumId="130">
    <w:nsid w:val="5992A02E"/>
    <w:multiLevelType w:val="hybridMultilevel"/>
    <w:lvl w:ilvl="0">
      <w:lvlJc w:val="left"/>
      <w:lvlText w:val="[%1]"/>
      <w:numFmt w:val="decimal"/>
      <w:start w:val="1"/>
    </w:lvl>
  </w:abstractNum>
  <w:abstractNum w:abstractNumId="131">
    <w:nsid w:val="29EF532D"/>
    <w:multiLevelType w:val="hybridMultilevel"/>
    <w:lvl w:ilvl="0">
      <w:lvlJc w:val="left"/>
      <w:lvlText w:val="(%1)"/>
      <w:numFmt w:val="lowerRoman"/>
      <w:start w:val="1"/>
    </w:lvl>
  </w:abstractNum>
  <w:abstractNum w:abstractNumId="132">
    <w:nsid w:val="71D601AF"/>
    <w:multiLevelType w:val="hybridMultilevel"/>
    <w:lvl w:ilvl="0">
      <w:lvlJc w:val="left"/>
      <w:lvlText w:val="(%1)"/>
      <w:numFmt w:val="lowerRoman"/>
      <w:start w:val="10"/>
    </w:lvl>
  </w:abstractNum>
  <w:abstractNum w:abstractNumId="133">
    <w:nsid w:val="52C77402"/>
    <w:multiLevelType w:val="hybridMultilevel"/>
    <w:lvl w:ilvl="0">
      <w:lvlJc w:val="left"/>
      <w:lvlText w:val="[%1]"/>
      <w:numFmt w:val="lowerLetter"/>
      <w:start w:val="1"/>
    </w:lvl>
  </w:abstractNum>
  <w:abstractNum w:abstractNumId="134">
    <w:nsid w:val="2BB5B1C6"/>
    <w:multiLevelType w:val="hybridMultilevel"/>
    <w:lvl w:ilvl="0">
      <w:lvlJc w:val="left"/>
      <w:lvlText w:val="[%1]"/>
      <w:numFmt w:val="lowerLetter"/>
      <w:start w:val="1"/>
    </w:lvl>
  </w:abstractNum>
  <w:abstractNum w:abstractNumId="135">
    <w:nsid w:val="66BE6B9"/>
    <w:multiLevelType w:val="hybridMultilevel"/>
    <w:lvl w:ilvl="0">
      <w:lvlJc w:val="left"/>
      <w:lvlText w:val="%1."/>
      <w:numFmt w:val="decimal"/>
      <w:start w:val="14"/>
    </w:lvl>
  </w:abstractNum>
  <w:abstractNum w:abstractNumId="136">
    <w:nsid w:val="62234363"/>
    <w:multiLevelType w:val="hybridMultilevel"/>
    <w:lvl w:ilvl="0">
      <w:lvlJc w:val="left"/>
      <w:lvlText w:val="•"/>
      <w:numFmt w:val="bullet"/>
      <w:start w:val="1"/>
    </w:lvl>
  </w:abstractNum>
  <w:abstractNum w:abstractNumId="137">
    <w:nsid w:val="66D385C9"/>
    <w:multiLevelType w:val="hybridMultilevel"/>
    <w:lvl w:ilvl="0">
      <w:lvlJc w:val="left"/>
      <w:lvlText w:val="(%1)"/>
      <w:numFmt w:val="decimal"/>
      <w:start w:val="1"/>
    </w:lvl>
  </w:abstractNum>
  <w:abstractNum w:abstractNumId="138">
    <w:nsid w:val="596F6D8A"/>
    <w:multiLevelType w:val="hybridMultilevel"/>
    <w:lvl w:ilvl="0">
      <w:lvlJc w:val="left"/>
      <w:lvlText w:val="(%1)"/>
      <w:numFmt w:val="decimal"/>
      <w:start w:val="5"/>
    </w:lvl>
  </w:abstractNum>
  <w:abstractNum w:abstractNumId="139">
    <w:nsid w:val="5749361F"/>
    <w:multiLevelType w:val="hybridMultilevel"/>
    <w:lvl w:ilvl="0">
      <w:lvlJc w:val="left"/>
      <w:lvlText w:val="(%1)"/>
      <w:numFmt w:val="decimal"/>
      <w:start w:val="1"/>
    </w:lvl>
  </w:abstractNum>
  <w:abstractNum w:abstractNumId="140">
    <w:nsid w:val="73BC6770"/>
    <w:multiLevelType w:val="hybridMultilevel"/>
    <w:lvl w:ilvl="0">
      <w:lvlJc w:val="left"/>
      <w:lvlText w:val="*"/>
      <w:numFmt w:val="bullet"/>
      <w:start w:val="1"/>
    </w:lvl>
  </w:abstractNum>
  <w:abstractNum w:abstractNumId="141">
    <w:nsid w:val="280E6897"/>
    <w:multiLevelType w:val="hybridMultilevel"/>
    <w:lvl w:ilvl="0">
      <w:lvlJc w:val="left"/>
      <w:lvlText w:val="#"/>
      <w:numFmt w:val="bullet"/>
      <w:start w:val="1"/>
    </w:lvl>
    <w:lvl w:ilvl="1">
      <w:lvlJc w:val="left"/>
      <w:lvlText w:val="(%2)"/>
      <w:numFmt w:val="lowerLetter"/>
      <w:start w:val="2"/>
    </w:lvl>
  </w:abstractNum>
  <w:abstractNum w:abstractNumId="142">
    <w:nsid w:val="605138DE"/>
    <w:multiLevelType w:val="hybridMultilevel"/>
    <w:lvl w:ilvl="0">
      <w:lvlJc w:val="left"/>
      <w:lvlText w:val="%1"/>
      <w:numFmt w:val="decimal"/>
      <w:start w:val="1"/>
    </w:lvl>
    <w:lvl w:ilvl="1">
      <w:lvlJc w:val="left"/>
      <w:lvlText w:val="(%2)"/>
      <w:numFmt w:val="decimal"/>
      <w:start w:val="1"/>
    </w:lvl>
  </w:abstractNum>
  <w:abstractNum w:abstractNumId="143">
    <w:nsid w:val="2622AD0C"/>
    <w:multiLevelType w:val="hybridMultilevel"/>
    <w:lvl w:ilvl="0">
      <w:lvlJc w:val="left"/>
      <w:lvlText w:val="(%1)"/>
      <w:numFmt w:val="decimal"/>
      <w:start w:val="4"/>
    </w:lvl>
    <w:lvl w:ilvl="1">
      <w:lvlJc w:val="left"/>
      <w:lvlText w:val="%2"/>
      <w:numFmt w:val="decimal"/>
      <w:start w:val="1"/>
    </w:lvl>
  </w:abstractNum>
  <w:abstractNum w:abstractNumId="144">
    <w:nsid w:val="67997556"/>
    <w:multiLevelType w:val="hybridMultilevel"/>
    <w:lvl w:ilvl="0">
      <w:lvlJc w:val="left"/>
      <w:lvlText w:val="(%1)"/>
      <w:numFmt w:val="decimal"/>
      <w:start w:val="2"/>
    </w:lvl>
  </w:abstractNum>
  <w:abstractNum w:abstractNumId="145">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6">
    <w:nsid w:val="4BA9831A"/>
    <w:multiLevelType w:val="hybridMultilevel"/>
    <w:lvl w:ilvl="0">
      <w:lvlJc w:val="left"/>
      <w:lvlText w:val="%1."/>
      <w:numFmt w:val="decimal"/>
      <w:start w:val="2"/>
    </w:lvl>
    <w:lvl w:ilvl="1">
      <w:lvlJc w:val="left"/>
      <w:lvlText w:val="(%2)"/>
      <w:numFmt w:val="lowerLetter"/>
      <w:start w:val="1"/>
    </w:lvl>
  </w:abstractNum>
  <w:abstractNum w:abstractNumId="147">
    <w:nsid w:val="6D71A2B"/>
    <w:multiLevelType w:val="hybridMultilevel"/>
    <w:lvl w:ilvl="0">
      <w:lvlJc w:val="left"/>
      <w:lvlText w:val="(%1)"/>
      <w:numFmt w:val="lowerLetter"/>
      <w:start w:val="3"/>
    </w:lvl>
  </w:abstractNum>
  <w:abstractNum w:abstractNumId="148">
    <w:nsid w:val="CFC732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9">
    <w:nsid w:val="1421971B"/>
    <w:multiLevelType w:val="hybridMultilevel"/>
    <w:lvl w:ilvl="0">
      <w:lvlJc w:val="left"/>
      <w:lvlText w:val="%1"/>
      <w:numFmt w:val="lowerRoman"/>
      <w:start w:val="1"/>
    </w:lvl>
    <w:lvl w:ilvl="1">
      <w:lvlJc w:val="left"/>
      <w:lvlText w:val="(%2)"/>
      <w:numFmt w:val="upperLetter"/>
      <w:start w:val="2"/>
    </w:lvl>
  </w:abstractNum>
  <w:abstractNum w:abstractNumId="150">
    <w:nsid w:val="1F404301"/>
    <w:multiLevelType w:val="hybridMultilevel"/>
    <w:lvl w:ilvl="0">
      <w:lvlJc w:val="left"/>
      <w:lvlText w:val="(%1)"/>
      <w:numFmt w:val="lowerRoman"/>
      <w:start w:val="3"/>
    </w:lvl>
    <w:lvl w:ilvl="1">
      <w:lvlJc w:val="left"/>
      <w:lvlText w:val="(%2)"/>
      <w:numFmt w:val="upperLetter"/>
      <w:start w:val="1"/>
    </w:lvl>
  </w:abstractNum>
  <w:abstractNum w:abstractNumId="151">
    <w:nsid w:val="116E0907"/>
    <w:multiLevelType w:val="hybridMultilevel"/>
    <w:lvl w:ilvl="0">
      <w:lvlJc w:val="left"/>
      <w:lvlText w:val="%1."/>
      <w:numFmt w:val="decimal"/>
      <w:start w:val="3"/>
    </w:lvl>
    <w:lvl w:ilvl="1">
      <w:lvlJc w:val="left"/>
      <w:lvlText w:val="(%2)"/>
      <w:numFmt w:val="lowerLetter"/>
      <w:start w:val="1"/>
    </w:lvl>
  </w:abstractNum>
  <w:abstractNum w:abstractNumId="152">
    <w:nsid w:val="4B683D0D"/>
    <w:multiLevelType w:val="hybridMultilevel"/>
    <w:lvl w:ilvl="0">
      <w:lvlJc w:val="left"/>
      <w:lvlText w:val="(%1)"/>
      <w:numFmt w:val="lowerLetter"/>
      <w:start w:val="4"/>
    </w:lvl>
  </w:abstractNum>
  <w:abstractNum w:abstractNumId="153">
    <w:nsid w:val="76E41D8"/>
    <w:multiLevelType w:val="hybridMultilevel"/>
    <w:lvl w:ilvl="0">
      <w:lvlJc w:val="left"/>
      <w:lvlText w:val="(%1)"/>
      <w:numFmt w:val="lowerRoman"/>
      <w:start w:val="1"/>
    </w:lvl>
    <w:lvl w:ilvl="1">
      <w:lvlJc w:val="left"/>
      <w:lvlText w:val="(%2)"/>
      <w:numFmt w:val="upperLetter"/>
      <w:start w:val="2"/>
    </w:lvl>
  </w:abstractNum>
  <w:abstractNum w:abstractNumId="154">
    <w:nsid w:val="71DCE0FD"/>
    <w:multiLevelType w:val="hybridMultilevel"/>
    <w:lvl w:ilvl="0">
      <w:lvlJc w:val="left"/>
      <w:lvlText w:val="(%1)"/>
      <w:numFmt w:val="upperLetter"/>
      <w:start w:val="3"/>
    </w:lvl>
    <w:lvl w:ilvl="1">
      <w:lvlJc w:val="left"/>
      <w:lvlText w:val="(%2)"/>
      <w:numFmt w:val="decimal"/>
      <w:start w:val="1"/>
    </w:lvl>
  </w:abstractNum>
  <w:abstractNum w:abstractNumId="155">
    <w:nsid w:val="7906328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156">
    <w:nsid w:val="72BBC1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7">
    <w:nsid w:val="766D98C2"/>
    <w:multiLevelType w:val="hybridMultilevel"/>
    <w:lvl w:ilvl="0">
      <w:lvlJc w:val="left"/>
      <w:lvlText w:val="%1"/>
      <w:numFmt w:val="upperLetter"/>
      <w:start w:val="1"/>
    </w:lvl>
    <w:lvl w:ilvl="1">
      <w:lvlJc w:val="left"/>
      <w:lvlText w:val="(%2)"/>
      <w:numFmt w:val="upperLetter"/>
      <w:start w:val="7"/>
    </w:lvl>
  </w:abstractNum>
  <w:abstractNum w:abstractNumId="158">
    <w:nsid w:val="3C09D4A1"/>
    <w:multiLevelType w:val="hybridMultilevel"/>
    <w:lvl w:ilvl="0">
      <w:lvlJc w:val="left"/>
      <w:lvlText w:val="(%1)"/>
      <w:numFmt w:val="upperLetter"/>
      <w:start w:val="8"/>
    </w:lvl>
    <w:lvl w:ilvl="1">
      <w:lvlJc w:val="left"/>
      <w:lvlText w:val="%2"/>
      <w:numFmt w:val="upperLetter"/>
      <w:start w:val="1"/>
    </w:lvl>
  </w:abstractNum>
  <w:abstractNum w:abstractNumId="159">
    <w:nsid w:val="20E45CA4"/>
    <w:multiLevelType w:val="hybridMultilevel"/>
    <w:lvl w:ilvl="0">
      <w:lvlJc w:val="left"/>
      <w:lvlText w:val="%1"/>
      <w:numFmt w:val="lowerLetter"/>
      <w:start w:val="1"/>
    </w:lvl>
    <w:lvl w:ilvl="1">
      <w:lvlJc w:val="left"/>
      <w:lvlText w:val="(%2)"/>
      <w:numFmt w:val="lowerRoman"/>
      <w:start w:val="3"/>
    </w:lvl>
  </w:abstractNum>
  <w:abstractNum w:abstractNumId="160">
    <w:nsid w:val="4B232EE3"/>
    <w:multiLevelType w:val="hybridMultilevel"/>
    <w:lvl w:ilvl="0">
      <w:lvlJc w:val="left"/>
      <w:lvlText w:val="(%1)"/>
      <w:numFmt w:val="lowerLetter"/>
      <w:start w:val="5"/>
    </w:lvl>
    <w:lvl w:ilvl="1">
      <w:lvlJc w:val="left"/>
      <w:lvlText w:val="%2"/>
      <w:numFmt w:val="lowerRoman"/>
      <w:start w:val="1"/>
    </w:lvl>
  </w:abstractNum>
  <w:abstractNum w:abstractNumId="161">
    <w:nsid w:val="159C74CF"/>
    <w:multiLevelType w:val="hybridMultilevel"/>
    <w:lvl w:ilvl="0">
      <w:lvlJc w:val="left"/>
      <w:lvlText w:val="(%1)"/>
      <w:numFmt w:val="lowerLetter"/>
      <w:start w:val="6"/>
    </w:lvl>
    <w:lvl w:ilvl="1">
      <w:lvlJc w:val="left"/>
      <w:lvlText w:val="(%2)"/>
      <w:numFmt w:val="lowerRoman"/>
      <w:start w:val="1"/>
    </w:lvl>
  </w:abstractNum>
  <w:abstractNum w:abstractNumId="162">
    <w:nsid w:val="4AD3AFD2"/>
    <w:multiLevelType w:val="hybridMultilevel"/>
    <w:lvl w:ilvl="0">
      <w:lvlJc w:val="left"/>
      <w:lvlText w:val="%1"/>
      <w:numFmt w:val="lowerLetter"/>
      <w:start w:val="1"/>
    </w:lvl>
    <w:lvl w:ilvl="1">
      <w:lvlJc w:val="left"/>
      <w:lvlText w:val="(%2)"/>
      <w:numFmt w:val="lowerRoman"/>
      <w:start w:val="4"/>
    </w:lvl>
  </w:abstractNum>
  <w:abstractNum w:abstractNumId="163">
    <w:nsid w:val="3CF93092"/>
    <w:multiLevelType w:val="hybridMultilevel"/>
    <w:lvl w:ilvl="0">
      <w:lvlJc w:val="left"/>
      <w:lvlText w:val="(%1)"/>
      <w:numFmt w:val="lowerLetter"/>
      <w:start w:val="8"/>
    </w:lvl>
    <w:lvl w:ilvl="1">
      <w:lvlJc w:val="left"/>
      <w:lvlText w:val="(%2)"/>
      <w:numFmt w:val="lowerRoman"/>
      <w:start w:val="1"/>
    </w:lvl>
  </w:abstractNum>
  <w:abstractNum w:abstractNumId="164">
    <w:nsid w:val="6863E8D2"/>
    <w:multiLevelType w:val="hybridMultilevel"/>
    <w:lvl w:ilvl="0">
      <w:lvlJc w:val="left"/>
      <w:lvlText w:val="%1"/>
      <w:numFmt w:val="decimal"/>
      <w:start w:val="1"/>
    </w:lvl>
    <w:lvl w:ilvl="1">
      <w:lvlJc w:val="left"/>
      <w:lvlText w:val="(%2)"/>
      <w:numFmt w:val="lowerLetter"/>
      <w:start w:val="9"/>
    </w:lvl>
  </w:abstractNum>
  <w:abstractNum w:abstractNumId="165">
    <w:nsid w:val="76896198"/>
    <w:multiLevelType w:val="hybridMultilevel"/>
    <w:lvl w:ilvl="0">
      <w:lvlJc w:val="left"/>
      <w:lvlText w:val="%1."/>
      <w:numFmt w:val="decimal"/>
      <w:start w:val="5"/>
    </w:lvl>
    <w:lvl w:ilvl="1">
      <w:lvlJc w:val="left"/>
      <w:lvlText w:val="(%2)"/>
      <w:numFmt w:val="lowerLetter"/>
      <w:start w:val="1"/>
    </w:lvl>
  </w:abstractNum>
  <w:abstractNum w:abstractNumId="166">
    <w:nsid w:val="4365174B"/>
    <w:multiLevelType w:val="hybridMultilevel"/>
    <w:lvl w:ilvl="0">
      <w:lvlJc w:val="left"/>
      <w:lvlText w:val="%1"/>
      <w:numFmt w:val="decimal"/>
      <w:start w:val="1"/>
    </w:lvl>
    <w:lvl w:ilvl="1">
      <w:lvlJc w:val="left"/>
      <w:lvlText w:val="(%2)"/>
      <w:numFmt w:val="lowerLetter"/>
      <w:start w:val="2"/>
    </w:lvl>
  </w:abstractNum>
  <w:abstractNum w:abstractNumId="167">
    <w:nsid w:val="4A872C35"/>
    <w:multiLevelType w:val="hybridMultilevel"/>
    <w:lvl w:ilvl="0">
      <w:lvlJc w:val="left"/>
      <w:lvlText w:val="(%1)"/>
      <w:numFmt w:val="decimal"/>
      <w:start w:val="1"/>
    </w:lvl>
    <w:lvl w:ilvl="1">
      <w:lvlJc w:val="left"/>
      <w:lvlText w:val="%2"/>
      <w:numFmt w:val="lowerLetter"/>
      <w:start w:val="1"/>
    </w:lvl>
  </w:abstractNum>
  <w:abstractNum w:abstractNumId="168">
    <w:nsid w:val="5D5CE76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9">
    <w:nsid w:val="1CD484D5"/>
    <w:multiLevelType w:val="hybridMultilevel"/>
    <w:lvl w:ilvl="0">
      <w:lvlJc w:val="left"/>
      <w:lvlText w:val="(%1)"/>
      <w:numFmt w:val="lowerLetter"/>
      <w:start w:val="4"/>
    </w:lvl>
  </w:abstractNum>
  <w:abstractNum w:abstractNumId="170">
    <w:nsid w:val="21D06255"/>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71">
    <w:nsid w:val="51194E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2">
    <w:nsid w:val="44E2ED6C"/>
    <w:multiLevelType w:val="hybridMultilevel"/>
    <w:lvl w:ilvl="0">
      <w:lvlJc w:val="left"/>
      <w:lvlText w:val="(%1)"/>
      <w:numFmt w:val="lowerRoman"/>
      <w:start w:val="2"/>
    </w:lvl>
  </w:abstractNum>
  <w:abstractNum w:abstractNumId="173">
    <w:nsid w:val="2219B33"/>
    <w:multiLevelType w:val="hybridMultilevel"/>
    <w:lvl w:ilvl="0">
      <w:lvlJc w:val="left"/>
      <w:lvlText w:val="(%1)"/>
      <w:numFmt w:val="lowerRoman"/>
      <w:start w:val="1"/>
    </w:lvl>
  </w:abstractNum>
  <w:abstractNum w:abstractNumId="174">
    <w:nsid w:val="773BFBDD"/>
    <w:multiLevelType w:val="hybridMultilevel"/>
    <w:lvl w:ilvl="0">
      <w:lvlJc w:val="left"/>
      <w:lvlText w:val="(%1)"/>
      <w:numFmt w:val="lowerRoman"/>
      <w:start w:val="2"/>
    </w:lvl>
  </w:abstractNum>
  <w:abstractNum w:abstractNumId="175">
    <w:nsid w:val="2C7C62C2"/>
    <w:multiLevelType w:val="hybridMultilevel"/>
    <w:lvl w:ilvl="0">
      <w:lvlJc w:val="left"/>
      <w:lvlText w:val="(%1)"/>
      <w:numFmt w:val="lowerLetter"/>
      <w:start w:val="1"/>
    </w:lvl>
  </w:abstractNum>
  <w:abstractNum w:abstractNumId="176">
    <w:nsid w:val="1A54D7BC"/>
    <w:multiLevelType w:val="hybridMultilevel"/>
    <w:lvl w:ilvl="0">
      <w:lvlJc w:val="left"/>
      <w:lvlText w:val="(%1)"/>
      <w:numFmt w:val="lowerLetter"/>
      <w:start w:val="2"/>
    </w:lvl>
    <w:lvl w:ilvl="1">
      <w:lvlJc w:val="left"/>
      <w:lvlText w:val="(%2)"/>
      <w:numFmt w:val="decimal"/>
      <w:start w:val="1"/>
    </w:lvl>
  </w:abstractNum>
  <w:abstractNum w:abstractNumId="177">
    <w:nsid w:val="42E57EF7"/>
    <w:multiLevelType w:val="hybridMultilevel"/>
    <w:lvl w:ilvl="0">
      <w:lvlJc w:val="left"/>
      <w:lvlText w:val="(%1)"/>
      <w:numFmt w:val="lowerLetter"/>
      <w:start w:val="1"/>
    </w:lvl>
  </w:abstractNum>
  <w:abstractNum w:abstractNumId="178">
    <w:nsid w:val="33537CED"/>
    <w:multiLevelType w:val="hybridMultilevel"/>
    <w:lvl w:ilvl="0">
      <w:lvlJc w:val="left"/>
      <w:lvlText w:val="(%1)"/>
      <w:numFmt w:val="lowerLetter"/>
      <w:start w:val="2"/>
    </w:lvl>
  </w:abstractNum>
  <w:abstractNum w:abstractNumId="179">
    <w:nsid w:val="27514ADE"/>
    <w:multiLevelType w:val="hybridMultilevel"/>
    <w:lvl w:ilvl="0">
      <w:lvlJc w:val="left"/>
      <w:lvlText w:val="(%1)"/>
      <w:numFmt w:val="lowerLetter"/>
      <w:start w:val="1"/>
    </w:lvl>
  </w:abstractNum>
  <w:abstractNum w:abstractNumId="180">
    <w:nsid w:val="57071613"/>
    <w:multiLevelType w:val="hybridMultilevel"/>
    <w:lvl w:ilvl="0">
      <w:lvlJc w:val="left"/>
      <w:lvlText w:val="%1"/>
      <w:numFmt w:val="decimal"/>
      <w:start w:val="1"/>
    </w:lvl>
    <w:lvl w:ilvl="1">
      <w:lvlJc w:val="left"/>
      <w:lvlText w:val="(%2)"/>
      <w:numFmt w:val="lowerLetter"/>
      <w:start w:val="2"/>
    </w:lvl>
  </w:abstractNum>
  <w:abstractNum w:abstractNumId="181">
    <w:nsid w:val="5293BFEF"/>
    <w:multiLevelType w:val="hybridMultilevel"/>
    <w:lvl w:ilvl="0">
      <w:lvlJc w:val="left"/>
      <w:lvlText w:val="(%1)"/>
      <w:numFmt w:val="decimal"/>
      <w:start w:val="2"/>
    </w:lvl>
    <w:lvl w:ilvl="1">
      <w:lvlJc w:val="left"/>
      <w:lvlText w:val="(%2)"/>
      <w:numFmt w:val="lowerLetter"/>
      <w:start w:val="3"/>
    </w:lvl>
  </w:abstractNum>
  <w:abstractNum w:abstractNumId="182">
    <w:nsid w:val="38BF53E5"/>
    <w:multiLevelType w:val="hybridMultilevel"/>
    <w:lvl w:ilvl="0">
      <w:lvlJc w:val="left"/>
      <w:lvlText w:val="%1"/>
      <w:numFmt w:val="decimal"/>
      <w:start w:val="1"/>
    </w:lvl>
    <w:lvl w:ilvl="1">
      <w:lvlJc w:val="left"/>
      <w:lvlText w:val="(%2)"/>
      <w:numFmt w:val="lowerLetter"/>
      <w:start w:val="1"/>
    </w:lvl>
  </w:abstractNum>
  <w:abstractNum w:abstractNumId="183">
    <w:nsid w:val="226F5320"/>
    <w:multiLevelType w:val="hybridMultilevel"/>
    <w:lvl w:ilvl="0">
      <w:lvlJc w:val="left"/>
      <w:lvlText w:val="(%1)"/>
      <w:numFmt w:val="decimal"/>
      <w:start w:val="2"/>
    </w:lvl>
    <w:lvl w:ilvl="1">
      <w:lvlJc w:val="left"/>
      <w:lvlText w:val="(%2)"/>
      <w:numFmt w:val="lowerLetter"/>
      <w:start w:val="2"/>
    </w:lvl>
  </w:abstractNum>
  <w:abstractNum w:abstractNumId="184">
    <w:nsid w:val="5A0201C7"/>
    <w:multiLevelType w:val="hybridMultilevel"/>
    <w:lvl w:ilvl="0">
      <w:lvlJc w:val="left"/>
      <w:lvlText w:val="(%1)"/>
      <w:numFmt w:val="lowerLetter"/>
      <w:start w:val="3"/>
    </w:lvl>
  </w:abstractNum>
  <w:abstractNum w:abstractNumId="185">
    <w:nsid w:val="2A9C34E2"/>
    <w:multiLevelType w:val="hybridMultilevel"/>
    <w:lvl w:ilvl="0">
      <w:lvlJc w:val="left"/>
      <w:lvlText w:val="(%1)"/>
      <w:numFmt w:val="lowerLetter"/>
      <w:start w:val="4"/>
    </w:lvl>
    <w:lvl w:ilvl="1">
      <w:lvlJc w:val="left"/>
      <w:lvlText w:val="(%2)"/>
      <w:numFmt w:val="decimal"/>
      <w:start w:val="1"/>
    </w:lvl>
  </w:abstractNum>
  <w:abstractNum w:abstractNumId="186">
    <w:nsid w:val="1B7585AB"/>
    <w:multiLevelType w:val="hybridMultilevel"/>
    <w:lvl w:ilvl="0">
      <w:lvlJc w:val="left"/>
      <w:lvlText w:val="(%1)"/>
      <w:numFmt w:val="decimal"/>
      <w:start w:val="10"/>
    </w:lvl>
  </w:abstractNum>
  <w:abstractNum w:abstractNumId="187">
    <w:nsid w:val="612DBDDD"/>
    <w:multiLevelType w:val="hybridMultilevel"/>
    <w:lvl w:ilvl="0">
      <w:lvlJc w:val="left"/>
      <w:lvlText w:val="(%1)"/>
      <w:numFmt w:val="lowerRoman"/>
      <w:start w:val="3"/>
    </w:lvl>
  </w:abstractNum>
  <w:abstractNum w:abstractNumId="188">
    <w:nsid w:val="2109CDA4"/>
    <w:multiLevelType w:val="hybridMultilevel"/>
    <w:lvl w:ilvl="0">
      <w:lvlJc w:val="left"/>
      <w:lvlText w:val="(%1)"/>
      <w:numFmt w:val="lowerLetter"/>
      <w:start w:val="1"/>
    </w:lvl>
  </w:abstractNum>
  <w:abstractNum w:abstractNumId="189">
    <w:nsid w:val="577F5A4D"/>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190">
    <w:nsid w:val="2121A81"/>
    <w:multiLevelType w:val="hybridMultilevel"/>
    <w:lvl w:ilvl="0">
      <w:lvlJc w:val="left"/>
      <w:lvlText w:val="(%1)"/>
      <w:numFmt w:val="lowerLetter"/>
      <w:start w:val="9"/>
    </w:lvl>
    <w:lvl w:ilvl="1">
      <w:lvlJc w:val="left"/>
      <w:lvlText w:val="(%2)"/>
      <w:numFmt w:val="lowerLetter"/>
      <w:start w:val="6"/>
    </w:lvl>
    <w:lvl w:ilvl="2">
      <w:lvlJc w:val="left"/>
      <w:lvlText w:val="(%3)"/>
      <w:numFmt w:val="decimal"/>
      <w:start w:val="1"/>
    </w:lvl>
  </w:abstractNum>
  <w:abstractNum w:abstractNumId="191">
    <w:nsid w:val="6C2CFC88"/>
    <w:multiLevelType w:val="hybridMultilevel"/>
    <w:lvl w:ilvl="0">
      <w:lvlJc w:val="left"/>
      <w:lvlText w:val="(%1)"/>
      <w:numFmt w:val="decimal"/>
      <w:start w:val="2"/>
    </w:lvl>
  </w:abstractNum>
  <w:abstractNum w:abstractNumId="192">
    <w:nsid w:val="6D1BCF1C"/>
    <w:multiLevelType w:val="hybridMultilevel"/>
    <w:lvl w:ilvl="0">
      <w:lvlJc w:val="left"/>
      <w:lvlText w:val="(%1)"/>
      <w:numFmt w:val="lowerLetter"/>
      <w:start w:val="7"/>
    </w:lvl>
    <w:lvl w:ilvl="1">
      <w:lvlJc w:val="left"/>
      <w:lvlText w:val="(%2)"/>
      <w:numFmt w:val="decimal"/>
      <w:start w:val="1"/>
    </w:lvl>
  </w:abstractNum>
  <w:abstractNum w:abstractNumId="193">
    <w:nsid w:val="4CE5CA53"/>
    <w:multiLevelType w:val="hybridMultilevel"/>
    <w:lvl w:ilvl="0">
      <w:lvlJc w:val="left"/>
      <w:lvlText w:val="(%1)"/>
      <w:numFmt w:val="lowerLetter"/>
      <w:start w:val="10"/>
    </w:lvl>
  </w:abstractNum>
  <w:abstractNum w:abstractNumId="194">
    <w:nsid w:val="29262D1A"/>
    <w:multiLevelType w:val="hybridMultilevel"/>
    <w:lvl w:ilvl="0">
      <w:lvlJc w:val="left"/>
      <w:lvlText w:val="%1."/>
      <w:numFmt w:val="upperLetter"/>
      <w:start w:val="1"/>
    </w:lvl>
  </w:abstractNum>
  <w:abstractNum w:abstractNumId="195">
    <w:nsid w:val="557FB7EE"/>
    <w:multiLevelType w:val="hybridMultilevel"/>
    <w:lvl w:ilvl="0">
      <w:lvlJc w:val="left"/>
      <w:lvlText w:val="%1."/>
      <w:numFmt w:val="decimal"/>
      <w:start w:val="1"/>
    </w:lvl>
    <w:lvl w:ilvl="1">
      <w:lvlJc w:val="left"/>
      <w:lvlText w:val="(%2)"/>
      <w:numFmt w:val="lowerLetter"/>
      <w:start w:val="1"/>
    </w:lvl>
  </w:abstractNum>
  <w:abstractNum w:abstractNumId="196">
    <w:nsid w:val="436F2BEB"/>
    <w:multiLevelType w:val="hybridMultilevel"/>
    <w:lvl w:ilvl="0">
      <w:lvlJc w:val="left"/>
      <w:lvlText w:val="(%1)"/>
      <w:numFmt w:val="lowerLetter"/>
      <w:start w:val="2"/>
    </w:lvl>
  </w:abstractNum>
  <w:abstractNum w:abstractNumId="197">
    <w:nsid w:val="6C8B4466"/>
    <w:multiLevelType w:val="hybridMultilevel"/>
    <w:lvl w:ilvl="0">
      <w:lvlJc w:val="left"/>
      <w:lvlText w:val="%1"/>
      <w:numFmt w:val="decimal"/>
      <w:start w:val="1"/>
    </w:lvl>
    <w:lvl w:ilvl="1">
      <w:lvlJc w:val="left"/>
      <w:lvlText w:val="(%2)"/>
      <w:numFmt w:val="lowerLetter"/>
      <w:start w:val="5"/>
    </w:lvl>
  </w:abstractNum>
  <w:abstractNum w:abstractNumId="198">
    <w:nsid w:val="2006E424"/>
    <w:multiLevelType w:val="hybridMultilevel"/>
    <w:lvl w:ilvl="0">
      <w:lvlJc w:val="left"/>
      <w:lvlText w:val="%1."/>
      <w:numFmt w:val="decimal"/>
      <w:start w:val="2"/>
    </w:lvl>
    <w:lvl w:ilvl="1">
      <w:lvlJc w:val="left"/>
      <w:lvlText w:val="%2"/>
      <w:numFmt w:val="lowerLetter"/>
      <w:start w:val="1"/>
    </w:lvl>
  </w:abstractNum>
  <w:abstractNum w:abstractNumId="199">
    <w:nsid w:val="20CC134C"/>
    <w:multiLevelType w:val="hybridMultilevel"/>
    <w:lvl w:ilvl="0">
      <w:lvlJc w:val="left"/>
      <w:lvlText w:val="%1."/>
      <w:numFmt w:val="decimal"/>
      <w:start w:val="3"/>
    </w:lvl>
    <w:lvl w:ilvl="1">
      <w:lvlJc w:val="left"/>
      <w:lvlText w:val="(%2)"/>
      <w:numFmt w:val="lowerLetter"/>
      <w:start w:val="1"/>
    </w:lvl>
  </w:abstractNum>
  <w:abstractNum w:abstractNumId="200">
    <w:nsid w:val="95FC93B"/>
    <w:multiLevelType w:val="hybridMultilevel"/>
    <w:lvl w:ilvl="0">
      <w:lvlJc w:val="left"/>
      <w:lvlText w:val="%1."/>
      <w:numFmt w:val="decimal"/>
      <w:start w:val="5"/>
    </w:lvl>
    <w:lvl w:ilvl="1">
      <w:lvlJc w:val="left"/>
      <w:lvlText w:val="(%2)"/>
      <w:numFmt w:val="lowerLetter"/>
      <w:start w:val="1"/>
    </w:lvl>
  </w:abstractNum>
  <w:abstractNum w:abstractNumId="201">
    <w:nsid w:val="41D74679"/>
    <w:multiLevelType w:val="hybridMultilevel"/>
    <w:lvl w:ilvl="0">
      <w:lvlJc w:val="left"/>
      <w:lvlText w:val="%1"/>
      <w:numFmt w:val="decimal"/>
      <w:start w:val="1"/>
    </w:lvl>
    <w:lvl w:ilvl="1">
      <w:lvlJc w:val="left"/>
      <w:lvlText w:val="(%2)"/>
      <w:numFmt w:val="lowerLetter"/>
      <w:start w:val="2"/>
    </w:lvl>
  </w:abstractNum>
  <w:abstractNum w:abstractNumId="202">
    <w:nsid w:val="71E5621E"/>
    <w:multiLevelType w:val="hybridMultilevel"/>
    <w:lvl w:ilvl="0">
      <w:lvlJc w:val="left"/>
      <w:lvlText w:val="(%1)"/>
      <w:numFmt w:val="decimal"/>
      <w:start w:val="2"/>
    </w:lvl>
    <w:lvl w:ilvl="1">
      <w:lvlJc w:val="left"/>
      <w:lvlText w:val="(%2)"/>
      <w:numFmt w:val="lowerLetter"/>
      <w:start w:val="4"/>
    </w:lvl>
  </w:abstractNum>
  <w:abstractNum w:abstractNumId="203">
    <w:nsid w:val="4E42B6A8"/>
    <w:multiLevelType w:val="hybridMultilevel"/>
    <w:lvl w:ilvl="0">
      <w:lvlJc w:val="left"/>
      <w:lvlText w:val="%1."/>
      <w:numFmt w:val="decimal"/>
      <w:start w:val="8"/>
    </w:lvl>
    <w:lvl w:ilvl="1">
      <w:lvlJc w:val="left"/>
      <w:lvlText w:val="(%2)"/>
      <w:numFmt w:val="lowerLetter"/>
      <w:start w:val="1"/>
    </w:lvl>
  </w:abstractNum>
  <w:abstractNum w:abstractNumId="204">
    <w:nsid w:val="43F8E1AC"/>
    <w:multiLevelType w:val="hybridMultilevel"/>
    <w:lvl w:ilvl="0">
      <w:lvlJc w:val="left"/>
      <w:lvlText w:val="%1"/>
      <w:numFmt w:val="decimal"/>
      <w:start w:val="1"/>
    </w:lvl>
    <w:lvl w:ilvl="1">
      <w:lvlJc w:val="left"/>
      <w:lvlText w:val="(%2)"/>
      <w:numFmt w:val="lowerLetter"/>
      <w:start w:val="2"/>
    </w:lvl>
  </w:abstractNum>
  <w:abstractNum w:abstractNumId="205">
    <w:nsid w:val="69215DFB"/>
    <w:multiLevelType w:val="hybridMultilevel"/>
    <w:lvl w:ilvl="0">
      <w:lvlJc w:val="left"/>
      <w:lvlText w:val="%1."/>
      <w:numFmt w:val="decimal"/>
      <w:start w:val="11"/>
    </w:lvl>
    <w:lvl w:ilvl="1">
      <w:lvlJc w:val="left"/>
      <w:lvlText w:val="%2"/>
      <w:numFmt w:val="lowerLetter"/>
      <w:start w:val="1"/>
    </w:lvl>
  </w:abstractNum>
  <w:abstractNum w:abstractNumId="206">
    <w:nsid w:val="7ABF196A"/>
    <w:multiLevelType w:val="hybridMultilevel"/>
    <w:lvl w:ilvl="0">
      <w:lvlJc w:val="left"/>
      <w:lvlText w:val="%1."/>
      <w:numFmt w:val="decimal"/>
      <w:start w:val="12"/>
    </w:lvl>
  </w:abstractNum>
  <w:abstractNum w:abstractNumId="207">
    <w:nsid w:val="5E4DB968"/>
    <w:multiLevelType w:val="hybridMultilevel"/>
    <w:lvl w:ilvl="0">
      <w:lvlJc w:val="left"/>
      <w:lvlText w:val="%1."/>
      <w:numFmt w:val="decimal"/>
      <w:start w:val="13"/>
    </w:lvl>
  </w:abstractNum>
  <w:abstractNum w:abstractNumId="208">
    <w:nsid w:val="2C06DCF3"/>
    <w:multiLevelType w:val="hybridMultilevel"/>
    <w:lvl w:ilvl="0">
      <w:lvlJc w:val="left"/>
      <w:lvlText w:val="%1."/>
      <w:numFmt w:val="decimal"/>
      <w:start w:val="14"/>
    </w:lvl>
  </w:abstractNum>
  <w:abstractNum w:abstractNumId="209">
    <w:nsid w:val="2E129658"/>
    <w:multiLevelType w:val="hybridMultilevel"/>
    <w:lvl w:ilvl="0">
      <w:lvlJc w:val="left"/>
      <w:lvlText w:val="%1."/>
      <w:numFmt w:val="decimal"/>
      <w:start w:val="22"/>
    </w:lvl>
  </w:abstractNum>
  <w:abstractNum w:abstractNumId="210">
    <w:nsid w:val="59F0446"/>
    <w:multiLevelType w:val="hybridMultilevel"/>
    <w:lvl w:ilvl="0">
      <w:lvlJc w:val="left"/>
      <w:lvlText w:val="%1."/>
      <w:numFmt w:val="decimal"/>
      <w:start w:val="1"/>
    </w:lvl>
  </w:abstractNum>
  <w:abstractNum w:abstractNumId="211">
    <w:nsid w:val="30DF306"/>
    <w:multiLevelType w:val="hybridMultilevel"/>
    <w:lvl w:ilvl="0">
      <w:lvlJc w:val="left"/>
      <w:lvlText w:val="[*]"/>
      <w:numFmt w:val="bullet"/>
      <w:start w:val="1"/>
    </w:lvl>
  </w:abstractNum>
  <w:abstractNum w:abstractNumId="212">
    <w:nsid w:val="A65647"/>
    <w:multiLevelType w:val="hybridMultilevel"/>
    <w:lvl w:ilvl="0">
      <w:lvlJc w:val="left"/>
      <w:lvlText w:val="%1."/>
      <w:numFmt w:val="decimal"/>
      <w:start w:val="2"/>
    </w:lvl>
  </w:abstractNum>
  <w:abstractNum w:abstractNumId="213">
    <w:nsid w:val="3E5E582B"/>
    <w:multiLevelType w:val="hybridMultilevel"/>
    <w:lvl w:ilvl="0">
      <w:lvlJc w:val="left"/>
      <w:lvlText w:val="[*]"/>
      <w:numFmt w:val="bullet"/>
      <w:start w:val="1"/>
    </w:lvl>
  </w:abstractNum>
  <w:abstractNum w:abstractNumId="214">
    <w:nsid w:val="257D4626"/>
    <w:multiLevelType w:val="hybridMultilevel"/>
    <w:lvl w:ilvl="0">
      <w:lvlJc w:val="left"/>
      <w:lvlText w:val="[*]"/>
      <w:numFmt w:val="bullet"/>
      <w:start w:val="1"/>
    </w:lvl>
  </w:abstractNum>
  <w:abstractNum w:abstractNumId="215">
    <w:nsid w:val="5AA8580E"/>
    <w:multiLevelType w:val="hybridMultilevel"/>
    <w:lvl w:ilvl="0">
      <w:lvlJc w:val="left"/>
      <w:lvlText w:val="[*]"/>
      <w:numFmt w:val="bullet"/>
      <w:start w:val="1"/>
    </w:lvl>
  </w:abstractNum>
  <w:abstractNum w:abstractNumId="216">
    <w:nsid w:val="68FA8D0D"/>
    <w:multiLevelType w:val="hybridMultilevel"/>
    <w:lvl w:ilvl="0">
      <w:lvlJc w:val="left"/>
      <w:lvlText w:val="%1."/>
      <w:numFmt w:val="decimal"/>
      <w:start w:val="4"/>
    </w:lvl>
    <w:lvl w:ilvl="1">
      <w:lvlJc w:val="left"/>
      <w:lvlText w:val="(%2)"/>
      <w:numFmt w:val="decimal"/>
      <w:start w:val="2"/>
    </w:lvl>
  </w:abstractNum>
  <w:abstractNum w:abstractNumId="217">
    <w:nsid w:val="40F2CBD2"/>
    <w:multiLevelType w:val="hybridMultilevel"/>
    <w:lvl w:ilvl="0">
      <w:lvlJc w:val="left"/>
      <w:lvlText w:val="%1"/>
      <w:numFmt w:val="decimal"/>
      <w:start w:val="1"/>
    </w:lvl>
    <w:lvl w:ilvl="1">
      <w:lvlJc w:val="left"/>
      <w:lvlText w:val="(%2)"/>
      <w:numFmt w:val="decimal"/>
      <w:start w:val="15"/>
    </w:lvl>
  </w:abstractNum>
  <w:abstractNum w:abstractNumId="218">
    <w:nsid w:val="3BD615EB"/>
    <w:multiLevelType w:val="hybridMultilevel"/>
    <w:lvl w:ilvl="0">
      <w:lvlJc w:val="left"/>
      <w:lvlText w:val="%1."/>
      <w:numFmt w:val="lowerLetter"/>
      <w:start w:val="1"/>
    </w:lvl>
  </w:abstractNum>
  <w:abstractNum w:abstractNumId="219">
    <w:nsid w:val="A045AB2"/>
    <w:multiLevelType w:val="hybridMultilevel"/>
    <w:lvl w:ilvl="0">
      <w:lvlJc w:val="left"/>
      <w:lvlText w:val="[*]"/>
      <w:numFmt w:val="bullet"/>
      <w:start w:val="1"/>
    </w:lvl>
  </w:abstractNum>
  <w:abstractNum w:abstractNumId="220">
    <w:nsid w:val="1872261F"/>
    <w:multiLevelType w:val="hybridMultilevel"/>
    <w:lvl w:ilvl="0">
      <w:lvlJc w:val="left"/>
      <w:lvlText w:val="%1."/>
      <w:numFmt w:val="lowerLetter"/>
      <w:start w:val="6"/>
    </w:lvl>
  </w:abstractNum>
  <w:abstractNum w:abstractNumId="221">
    <w:nsid w:val="3DE8306C"/>
    <w:multiLevelType w:val="hybridMultilevel"/>
    <w:lvl w:ilvl="0">
      <w:lvlJc w:val="left"/>
      <w:lvlText w:val="[*]"/>
      <w:numFmt w:val="bullet"/>
      <w:start w:val="1"/>
    </w:lvl>
  </w:abstractNum>
  <w:abstractNum w:abstractNumId="222">
    <w:nsid w:val="7631573A"/>
    <w:multiLevelType w:val="hybridMultilevel"/>
    <w:lvl w:ilvl="0">
      <w:lvlJc w:val="left"/>
      <w:lvlText w:val="%1."/>
      <w:numFmt w:val="lowerLetter"/>
      <w:start w:val="1"/>
    </w:lvl>
  </w:abstractNum>
  <w:abstractNum w:abstractNumId="223">
    <w:nsid w:val="58DF53B"/>
    <w:multiLevelType w:val="hybridMultilevel"/>
    <w:lvl w:ilvl="0">
      <w:lvlJc w:val="left"/>
      <w:lvlText w:val="[*]"/>
      <w:numFmt w:val="bullet"/>
      <w:start w:val="1"/>
    </w:lvl>
  </w:abstractNum>
  <w:abstractNum w:abstractNumId="224">
    <w:nsid w:val="ACDFAC0"/>
    <w:multiLevelType w:val="hybridMultilevel"/>
    <w:lvl w:ilvl="0">
      <w:lvlJc w:val="left"/>
      <w:lvlText w:val="%1."/>
      <w:numFmt w:val="lowerLetter"/>
      <w:start w:val="2"/>
    </w:lvl>
  </w:abstractNum>
  <w:abstractNum w:abstractNumId="225">
    <w:nsid w:val="1F578454"/>
    <w:multiLevelType w:val="hybridMultilevel"/>
    <w:lvl w:ilvl="0">
      <w:lvlJc w:val="left"/>
      <w:lvlText w:val="%1."/>
      <w:numFmt w:val="decimal"/>
      <w:start w:val="5"/>
    </w:lvl>
  </w:abstractNum>
  <w:abstractNum w:abstractNumId="226">
    <w:nsid w:val="5B0DAD2A"/>
    <w:multiLevelType w:val="hybridMultilevel"/>
    <w:lvl w:ilvl="0">
      <w:lvlJc w:val="left"/>
      <w:lvlText w:val="[*]"/>
      <w:numFmt w:val="bullet"/>
      <w:start w:val="1"/>
    </w:lvl>
  </w:abstractNum>
  <w:abstractNum w:abstractNumId="227">
    <w:nsid w:val="4E3D26AB"/>
    <w:multiLevelType w:val="hybridMultilevel"/>
    <w:lvl w:ilvl="0">
      <w:lvlJc w:val="left"/>
      <w:lvlText w:val="%1."/>
      <w:numFmt w:val="decimal"/>
      <w:start w:val="6"/>
    </w:lvl>
    <w:lvl w:ilvl="1">
      <w:lvlJc w:val="left"/>
      <w:lvlText w:val="(%2)"/>
      <w:numFmt w:val="lowerLetter"/>
      <w:start w:val="1"/>
    </w:lvl>
  </w:abstractNum>
  <w:abstractNum w:abstractNumId="228">
    <w:nsid w:val="BE2C8BA"/>
    <w:multiLevelType w:val="hybridMultilevel"/>
    <w:lvl w:ilvl="0">
      <w:lvlJc w:val="left"/>
      <w:lvlText w:val="%1"/>
      <w:numFmt w:val="decimal"/>
      <w:start w:val="1"/>
    </w:lvl>
    <w:lvl w:ilvl="1">
      <w:lvlJc w:val="left"/>
      <w:lvlText w:val="(%2)"/>
      <w:numFmt w:val="lowerLetter"/>
      <w:start w:val="4"/>
    </w:lvl>
  </w:abstractNum>
  <w:abstractNum w:abstractNumId="229">
    <w:nsid w:val="7B14914E"/>
    <w:multiLevelType w:val="hybridMultilevel"/>
    <w:lvl w:ilvl="0">
      <w:lvlJc w:val="left"/>
      <w:lvlText w:val="%1."/>
      <w:numFmt w:val="decimal"/>
      <w:start w:val="7"/>
    </w:lvl>
  </w:abstractNum>
  <w:abstractNum w:abstractNumId="230">
    <w:nsid w:val="6F0939F8"/>
    <w:multiLevelType w:val="hybridMultilevel"/>
    <w:lvl w:ilvl="0">
      <w:lvlJc w:val="left"/>
      <w:lvlText w:val="[*]"/>
      <w:numFmt w:val="bullet"/>
      <w:start w:val="1"/>
    </w:lvl>
  </w:abstractNum>
  <w:abstractNum w:abstractNumId="231">
    <w:nsid w:val="154291F6"/>
    <w:multiLevelType w:val="hybridMultilevel"/>
    <w:lvl w:ilvl="0">
      <w:lvlJc w:val="left"/>
      <w:lvlText w:val="%1."/>
      <w:numFmt w:val="decimal"/>
      <w:start w:val="8"/>
    </w:lvl>
  </w:abstractNum>
  <w:abstractNum w:abstractNumId="232">
    <w:nsid w:val="3CEBD7C7"/>
    <w:multiLevelType w:val="hybridMultilevel"/>
    <w:lvl w:ilvl="0">
      <w:lvlJc w:val="left"/>
      <w:lvlText w:val="[*]"/>
      <w:numFmt w:val="bullet"/>
      <w:start w:val="1"/>
    </w:lvl>
  </w:abstractNum>
  <w:abstractNum w:abstractNumId="233">
    <w:nsid w:val="60EE9C16"/>
    <w:multiLevelType w:val="hybridMultilevel"/>
    <w:lvl w:ilvl="0">
      <w:lvlJc w:val="left"/>
      <w:lvlText w:val="%1."/>
      <w:numFmt w:val="decimal"/>
      <w:start w:val="9"/>
    </w:lvl>
    <w:lvl w:ilvl="1">
      <w:lvlJc w:val="left"/>
      <w:lvlText w:val="(%2)"/>
      <w:numFmt w:val="lowerRoman"/>
      <w:start w:val="1"/>
    </w:lvl>
  </w:abstractNum>
  <w:abstractNum w:abstractNumId="234">
    <w:nsid w:val="6385489E"/>
    <w:multiLevelType w:val="hybridMultilevel"/>
    <w:lvl w:ilvl="0">
      <w:lvlJc w:val="left"/>
      <w:lvlText w:val="[*]"/>
      <w:numFmt w:val="bullet"/>
      <w:start w:val="1"/>
    </w:lvl>
  </w:abstractNum>
  <w:abstractNum w:abstractNumId="235">
    <w:nsid w:val="E4B973"/>
    <w:multiLevelType w:val="hybridMultilevel"/>
    <w:lvl w:ilvl="0">
      <w:lvlJc w:val="left"/>
      <w:lvlText w:val="%1."/>
      <w:numFmt w:val="decimal"/>
      <w:start w:val="10"/>
    </w:lvl>
    <w:lvl w:ilvl="1">
      <w:lvlJc w:val="left"/>
      <w:lvlText w:val="%2."/>
      <w:numFmt w:val="lowerLetter"/>
      <w:start w:val="1"/>
    </w:lvl>
  </w:abstractNum>
  <w:abstractNum w:abstractNumId="236">
    <w:nsid w:val="4A0FFA11"/>
    <w:multiLevelType w:val="hybridMultilevel"/>
    <w:lvl w:ilvl="0">
      <w:lvlJc w:val="left"/>
      <w:lvlText w:val="[*]"/>
      <w:numFmt w:val="bullet"/>
      <w:start w:val="1"/>
    </w:lvl>
  </w:abstractNum>
  <w:abstractNum w:abstractNumId="237">
    <w:nsid w:val="5E446208"/>
    <w:multiLevelType w:val="hybridMultilevel"/>
    <w:lvl w:ilvl="0">
      <w:lvlJc w:val="left"/>
      <w:lvlText w:val="(%1)"/>
      <w:numFmt w:val="lowerRoman"/>
      <w:start w:val="2"/>
    </w:lvl>
  </w:abstractNum>
  <w:abstractNum w:abstractNumId="238">
    <w:nsid w:val="5F3272DB"/>
    <w:multiLevelType w:val="hybridMultilevel"/>
    <w:lvl w:ilvl="0">
      <w:lvlJc w:val="left"/>
      <w:lvlText w:val="[*]"/>
      <w:numFmt w:val="bullet"/>
      <w:start w:val="1"/>
    </w:lvl>
  </w:abstractNum>
  <w:abstractNum w:abstractNumId="239">
    <w:nsid w:val="7616D704"/>
    <w:multiLevelType w:val="hybridMultilevel"/>
    <w:lvl w:ilvl="0">
      <w:lvlJc w:val="left"/>
      <w:lvlText w:val="[*]"/>
      <w:numFmt w:val="bullet"/>
      <w:start w:val="1"/>
    </w:lvl>
  </w:abstractNum>
  <w:abstractNum w:abstractNumId="240">
    <w:nsid w:val="C56F860"/>
    <w:multiLevelType w:val="hybridMultilevel"/>
    <w:lvl w:ilvl="0">
      <w:lvlJc w:val="left"/>
      <w:lvlText w:val="[*]"/>
      <w:numFmt w:val="bullet"/>
      <w:start w:val="1"/>
    </w:lvl>
  </w:abstractNum>
  <w:abstractNum w:abstractNumId="241">
    <w:nsid w:val="64D17722"/>
    <w:multiLevelType w:val="hybridMultilevel"/>
    <w:lvl w:ilvl="0">
      <w:lvlJc w:val="left"/>
      <w:lvlText w:val="%1."/>
      <w:numFmt w:val="upperLetter"/>
      <w:start w:val="9"/>
    </w:lvl>
  </w:abstractNum>
  <w:abstractNum w:abstractNumId="242">
    <w:nsid w:val="7924CA0A"/>
    <w:multiLevelType w:val="hybridMultilevel"/>
    <w:lvl w:ilvl="0">
      <w:lvlJc w:val="left"/>
      <w:lvlText w:val="%1."/>
      <w:numFmt w:val="upperLetter"/>
      <w:start w:val="35"/>
    </w:lvl>
  </w:abstractNum>
  <w:abstractNum w:abstractNumId="243">
    <w:nsid w:val="CFD4EA7"/>
    <w:multiLevelType w:val="hybridMultilevel"/>
    <w:lvl w:ilvl="0">
      <w:lvlJc w:val="left"/>
      <w:lvlText w:val="%1)"/>
      <w:numFmt w:val="decimal"/>
      <w:start w:val="1"/>
    </w:lvl>
    <w:lvl w:ilvl="1">
      <w:lvlJc w:val="left"/>
      <w:lvlText w:val="%2."/>
      <w:numFmt w:val="lowerLetter"/>
      <w:start w:val="1"/>
    </w:lvl>
  </w:abstractNum>
  <w:abstractNum w:abstractNumId="244">
    <w:nsid w:val="232FCF4D"/>
    <w:multiLevelType w:val="hybridMultilevel"/>
    <w:lvl w:ilvl="0">
      <w:lvlJc w:val="left"/>
      <w:lvlText w:val="%1."/>
      <w:numFmt w:val="upperLetter"/>
      <w:start w:val="61"/>
    </w:lvl>
  </w:abstractNum>
  <w:abstractNum w:abstractNumId="245">
    <w:nsid w:val="1EA21031"/>
    <w:multiLevelType w:val="hybridMultilevel"/>
    <w:lvl w:ilvl="0">
      <w:lvlJc w:val="left"/>
      <w:lvlText w:val="%1)"/>
      <w:numFmt w:val="decimal"/>
      <w:start w:val="1"/>
    </w:lvl>
  </w:abstractNum>
  <w:abstractNum w:abstractNumId="246">
    <w:nsid w:val="67A5A6B5"/>
    <w:multiLevelType w:val="hybridMultilevel"/>
    <w:lvl w:ilvl="0">
      <w:lvlJc w:val="left"/>
      <w:lvlText w:val="[*]"/>
      <w:numFmt w:val="bullet"/>
      <w:start w:val="1"/>
    </w:lvl>
  </w:abstractNum>
  <w:abstractNum w:abstractNumId="247">
    <w:nsid w:val="C2A5C5B"/>
    <w:multiLevelType w:val="hybridMultilevel"/>
    <w:lvl w:ilvl="0">
      <w:lvlJc w:val="left"/>
      <w:lvlText w:val="%1)"/>
      <w:numFmt w:val="decimal"/>
      <w:start w:val="4"/>
    </w:lvl>
    <w:lvl w:ilvl="1">
      <w:lvlJc w:val="left"/>
      <w:lvlText w:val="%2."/>
      <w:numFmt w:val="lowerLetter"/>
      <w:start w:val="1"/>
    </w:lvl>
  </w:abstractNum>
  <w:abstractNum w:abstractNumId="248">
    <w:nsid w:val="5F94DC03"/>
    <w:multiLevelType w:val="hybridMultilevel"/>
    <w:lvl w:ilvl="0">
      <w:lvlJc w:val="left"/>
      <w:lvlText w:val="%1)"/>
      <w:numFmt w:val="decimal"/>
      <w:start w:val="1"/>
    </w:lvl>
  </w:abstractNum>
  <w:abstractNum w:abstractNumId="249">
    <w:nsid w:val="237BBCA0"/>
    <w:multiLevelType w:val="hybridMultilevel"/>
    <w:lvl w:ilvl="0">
      <w:lvlJc w:val="left"/>
      <w:lvlText w:val="[*]"/>
      <w:numFmt w:val="bullet"/>
      <w:start w:val="1"/>
    </w:lvl>
  </w:abstractNum>
  <w:abstractNum w:abstractNumId="250">
    <w:nsid w:val="162EB70D"/>
    <w:multiLevelType w:val="hybridMultilevel"/>
    <w:lvl w:ilvl="0">
      <w:lvlJc w:val="left"/>
      <w:lvlText w:val="[*]"/>
      <w:numFmt w:val="bullet"/>
      <w:start w:val="1"/>
    </w:lvl>
  </w:abstractNum>
  <w:abstractNum w:abstractNumId="251">
    <w:nsid w:val="78070222"/>
    <w:multiLevelType w:val="hybridMultilevel"/>
    <w:lvl w:ilvl="0">
      <w:lvlJc w:val="left"/>
      <w:lvlText w:val="[*]"/>
      <w:numFmt w:val="bullet"/>
      <w:start w:val="1"/>
    </w:lvl>
  </w:abstractNum>
  <w:abstractNum w:abstractNumId="252">
    <w:nsid w:val="6163ED0D"/>
    <w:multiLevelType w:val="hybridMultilevel"/>
    <w:lvl w:ilvl="0">
      <w:lvlJc w:val="left"/>
      <w:lvlText w:val="%1."/>
      <w:numFmt w:val="decimal"/>
      <w:start w:val="1"/>
    </w:lvl>
  </w:abstractNum>
  <w:abstractNum w:abstractNumId="253">
    <w:nsid w:val="C600E47"/>
    <w:multiLevelType w:val="hybridMultilevel"/>
    <w:lvl w:ilvl="0">
      <w:lvlJc w:val="left"/>
      <w:lvlText w:val="[*]"/>
      <w:numFmt w:val="bullet"/>
      <w:start w:val="1"/>
    </w:lvl>
  </w:abstractNum>
  <w:abstractNum w:abstractNumId="254">
    <w:nsid w:val="7D94F75D"/>
    <w:multiLevelType w:val="hybridMultilevel"/>
    <w:lvl w:ilvl="0">
      <w:lvlJc w:val="left"/>
      <w:lvlText w:val="%1."/>
      <w:numFmt w:val="decimal"/>
      <w:start w:val="2"/>
    </w:lvl>
  </w:abstractNum>
  <w:abstractNum w:abstractNumId="255">
    <w:nsid w:val="6C31E7CD"/>
    <w:multiLevelType w:val="hybridMultilevel"/>
    <w:lvl w:ilvl="0">
      <w:lvlJc w:val="left"/>
      <w:lvlText w:val="%1."/>
      <w:numFmt w:val="decimal"/>
      <w:start w:val="3"/>
    </w:lvl>
  </w:abstractNum>
  <w:abstractNum w:abstractNumId="256">
    <w:nsid w:val="2BB7929B"/>
    <w:multiLevelType w:val="hybridMultilevel"/>
    <w:lvl w:ilvl="0">
      <w:lvlJc w:val="left"/>
      <w:lvlText w:val="%1."/>
      <w:numFmt w:val="decimal"/>
      <w:start w:val="4"/>
    </w:lvl>
  </w:abstractNum>
  <w:abstractNum w:abstractNumId="257">
    <w:nsid w:val="58A2A487"/>
    <w:multiLevelType w:val="hybridMultilevel"/>
    <w:lvl w:ilvl="0">
      <w:lvlJc w:val="left"/>
      <w:lvlText w:val="[*]"/>
      <w:numFmt w:val="bullet"/>
      <w:start w:val="1"/>
    </w:lvl>
  </w:abstractNum>
  <w:abstractNum w:abstractNumId="258">
    <w:nsid w:val="3A6F0E78"/>
    <w:multiLevelType w:val="hybridMultilevel"/>
    <w:lvl w:ilvl="0">
      <w:lvlJc w:val="left"/>
      <w:lvlText w:val="[*]"/>
      <w:numFmt w:val="bullet"/>
      <w:start w:val="1"/>
    </w:lvl>
  </w:abstractNum>
  <w:abstractNum w:abstractNumId="259">
    <w:nsid w:val="379A5B56"/>
    <w:multiLevelType w:val="hybridMultilevel"/>
    <w:lvl w:ilvl="0">
      <w:lvlJc w:val="left"/>
      <w:lvlText w:val="[*]"/>
      <w:numFmt w:val="bullet"/>
      <w:start w:val="1"/>
    </w:lvl>
  </w:abstractNum>
  <w:abstractNum w:abstractNumId="260">
    <w:nsid w:val="53B735D5"/>
    <w:multiLevelType w:val="hybridMultilevel"/>
    <w:lvl w:ilvl="0">
      <w:lvlJc w:val="left"/>
      <w:lvlText w:val="%1."/>
      <w:numFmt w:val="decimal"/>
      <w:start w:val="5"/>
    </w:lvl>
  </w:abstractNum>
  <w:abstractNum w:abstractNumId="261">
    <w:nsid w:val="29784870"/>
    <w:multiLevelType w:val="hybridMultilevel"/>
    <w:lvl w:ilvl="0">
      <w:lvlJc w:val="left"/>
      <w:lvlText w:val="[*]"/>
      <w:numFmt w:val="bullet"/>
      <w:start w:val="1"/>
    </w:lvl>
  </w:abstractNum>
  <w:abstractNum w:abstractNumId="262">
    <w:nsid w:val="4CDCED4C"/>
    <w:multiLevelType w:val="hybridMultilevel"/>
    <w:lvl w:ilvl="0">
      <w:lvlJc w:val="left"/>
      <w:lvlText w:val="%1."/>
      <w:numFmt w:val="decimal"/>
      <w:start w:val="6"/>
    </w:lvl>
  </w:abstractNum>
  <w:abstractNum w:abstractNumId="263">
    <w:nsid w:val="10A30D9C"/>
    <w:multiLevelType w:val="hybridMultilevel"/>
    <w:lvl w:ilvl="0">
      <w:lvlJc w:val="left"/>
      <w:lvlText w:val="[*]"/>
      <w:numFmt w:val="bullet"/>
      <w:start w:val="1"/>
    </w:lvl>
  </w:abstractNum>
  <w:abstractNum w:abstractNumId="264">
    <w:nsid w:val="A66E486"/>
    <w:multiLevelType w:val="hybridMultilevel"/>
    <w:lvl w:ilvl="0">
      <w:lvlJc w:val="left"/>
      <w:lvlText w:val="%1."/>
      <w:numFmt w:val="decimal"/>
      <w:start w:val="7"/>
    </w:lvl>
  </w:abstractNum>
  <w:abstractNum w:abstractNumId="265">
    <w:nsid w:val="306235EA"/>
    <w:multiLevelType w:val="hybridMultilevel"/>
    <w:lvl w:ilvl="0">
      <w:lvlJc w:val="left"/>
      <w:lvlText w:val="[*]"/>
      <w:numFmt w:val="bullet"/>
      <w:start w:val="1"/>
    </w:lvl>
  </w:abstractNum>
  <w:abstractNum w:abstractNumId="266">
    <w:nsid w:val="1187C70F"/>
    <w:multiLevelType w:val="hybridMultilevel"/>
    <w:lvl w:ilvl="0">
      <w:lvlJc w:val="left"/>
      <w:lvlText w:val="%1."/>
      <w:numFmt w:val="decimal"/>
      <w:start w:val="8"/>
    </w:lvl>
  </w:abstractNum>
  <w:abstractNum w:abstractNumId="267">
    <w:nsid w:val="5476DE98"/>
    <w:multiLevelType w:val="hybridMultilevel"/>
    <w:lvl w:ilvl="0">
      <w:lvlJc w:val="left"/>
      <w:lvlText w:val="%1."/>
      <w:numFmt w:val="decimal"/>
      <w:start w:val="9"/>
    </w:lvl>
  </w:abstractNum>
  <w:abstractNum w:abstractNumId="268">
    <w:nsid w:val="EA697F2"/>
    <w:multiLevelType w:val="hybridMultilevel"/>
    <w:lvl w:ilvl="0">
      <w:lvlJc w:val="left"/>
      <w:lvlText w:val="[*]"/>
      <w:numFmt w:val="bullet"/>
      <w:start w:val="1"/>
    </w:lvl>
  </w:abstractNum>
  <w:abstractNum w:abstractNumId="269">
    <w:nsid w:val="70BA39EB"/>
    <w:multiLevelType w:val="hybridMultilevel"/>
    <w:lvl w:ilvl="0">
      <w:lvlJc w:val="left"/>
      <w:lvlText w:val="%1."/>
      <w:numFmt w:val="decimal"/>
      <w:start w:val="10"/>
    </w:lvl>
  </w:abstractNum>
  <w:abstractNum w:abstractNumId="270">
    <w:nsid w:val="4A8DB59C"/>
    <w:multiLevelType w:val="hybridMultilevel"/>
    <w:lvl w:ilvl="0">
      <w:lvlJc w:val="left"/>
      <w:lvlText w:val="[*]"/>
      <w:numFmt w:val="bullet"/>
      <w:start w:val="1"/>
    </w:lvl>
  </w:abstractNum>
  <w:abstractNum w:abstractNumId="271">
    <w:nsid w:val="1AFD9053"/>
    <w:multiLevelType w:val="hybridMultilevel"/>
    <w:lvl w:ilvl="0">
      <w:lvlJc w:val="left"/>
      <w:lvlText w:val="%1."/>
      <w:numFmt w:val="decimal"/>
      <w:start w:val="11"/>
    </w:lvl>
  </w:abstractNum>
  <w:abstractNum w:abstractNumId="272">
    <w:nsid w:val="558BB10D"/>
    <w:multiLevelType w:val="hybridMultilevel"/>
    <w:lvl w:ilvl="0">
      <w:lvlJc w:val="left"/>
      <w:lvlText w:val="[*]"/>
      <w:numFmt w:val="bullet"/>
      <w:start w:val="1"/>
    </w:lvl>
  </w:abstractNum>
  <w:abstractNum w:abstractNumId="273">
    <w:nsid w:val="43B27FA7"/>
    <w:multiLevelType w:val="hybridMultilevel"/>
    <w:lvl w:ilvl="0">
      <w:lvlJc w:val="left"/>
      <w:lvlText w:val="%1."/>
      <w:numFmt w:val="decimal"/>
      <w:start w:val="12"/>
    </w:lvl>
  </w:abstractNum>
  <w:abstractNum w:abstractNumId="274">
    <w:nsid w:val="27FADEFA"/>
    <w:multiLevelType w:val="hybridMultilevel"/>
    <w:lvl w:ilvl="0">
      <w:lvlJc w:val="left"/>
      <w:lvlText w:val="[*]"/>
      <w:numFmt w:val="bullet"/>
      <w:start w:val="1"/>
    </w:lvl>
  </w:abstractNum>
  <w:abstractNum w:abstractNumId="275">
    <w:nsid w:val="78BB805A"/>
    <w:multiLevelType w:val="hybridMultilevel"/>
    <w:lvl w:ilvl="0">
      <w:lvlJc w:val="left"/>
      <w:lvlText w:val="[*]"/>
      <w:numFmt w:val="bullet"/>
      <w:start w:val="1"/>
    </w:lvl>
  </w:abstractNum>
  <w:abstractNum w:abstractNumId="276">
    <w:nsid w:val="62548FD8"/>
    <w:multiLevelType w:val="hybridMultilevel"/>
    <w:lvl w:ilvl="0">
      <w:lvlJc w:val="left"/>
      <w:lvlText w:val="[*]"/>
      <w:numFmt w:val="bullet"/>
      <w:start w:val="1"/>
    </w:lvl>
  </w:abstractNum>
  <w:abstractNum w:abstractNumId="277">
    <w:nsid w:val="FA085B0"/>
    <w:multiLevelType w:val="hybridMultilevel"/>
    <w:lvl w:ilvl="0">
      <w:lvlJc w:val="left"/>
      <w:lvlText w:val="[*]"/>
      <w:numFmt w:val="bullet"/>
      <w:start w:val="1"/>
    </w:lvl>
  </w:abstractNum>
  <w:abstractNum w:abstractNumId="278">
    <w:nsid w:val="4E5DCB5"/>
    <w:multiLevelType w:val="hybridMultilevel"/>
    <w:lvl w:ilvl="0">
      <w:lvlJc w:val="left"/>
      <w:lvlText w:val="[*]"/>
      <w:numFmt w:val="bullet"/>
      <w:start w:val="1"/>
    </w:lvl>
  </w:abstractNum>
  <w:abstractNum w:abstractNumId="279">
    <w:nsid w:val="41E96BDB"/>
    <w:multiLevelType w:val="hybridMultilevel"/>
    <w:lvl w:ilvl="0">
      <w:lvlJc w:val="left"/>
      <w:lvlText w:val="[*]"/>
      <w:numFmt w:val="bullet"/>
      <w:start w:val="1"/>
    </w:lvl>
  </w:abstractNum>
  <w:abstractNum w:abstractNumId="280">
    <w:nsid w:val="331C4250"/>
    <w:multiLevelType w:val="hybridMultilevel"/>
    <w:lvl w:ilvl="0">
      <w:lvlJc w:val="left"/>
      <w:lvlText w:val="[*]"/>
      <w:numFmt w:val="bullet"/>
      <w:start w:val="1"/>
    </w:lvl>
  </w:abstractNum>
  <w:abstractNum w:abstractNumId="281">
    <w:nsid w:val="1B1493C2"/>
    <w:multiLevelType w:val="hybridMultilevel"/>
    <w:lvl w:ilvl="0">
      <w:lvlJc w:val="left"/>
      <w:lvlText w:val="[*]"/>
      <w:numFmt w:val="bullet"/>
      <w:start w:val="1"/>
    </w:lvl>
  </w:abstractNum>
  <w:abstractNum w:abstractNumId="282">
    <w:nsid w:val="39F06DFD"/>
    <w:multiLevelType w:val="hybridMultilevel"/>
    <w:lvl w:ilvl="0">
      <w:lvlJc w:val="left"/>
      <w:lvlText w:val="[*]"/>
      <w:numFmt w:val="bullet"/>
      <w:start w:val="1"/>
    </w:lvl>
  </w:abstractNum>
  <w:abstractNum w:abstractNumId="283">
    <w:nsid w:val="14802F5D"/>
    <w:multiLevelType w:val="hybridMultilevel"/>
    <w:lvl w:ilvl="0">
      <w:lvlJc w:val="left"/>
      <w:lvlText w:val="%1."/>
      <w:numFmt w:val="upperLetter"/>
      <w:start w:val="9"/>
    </w:lvl>
  </w:abstractNum>
  <w:abstractNum w:abstractNumId="284">
    <w:nsid w:val="2774A209"/>
    <w:multiLevelType w:val="hybridMultilevel"/>
    <w:lvl w:ilvl="0">
      <w:lvlJc w:val="left"/>
      <w:lvlText w:val="%1."/>
      <w:numFmt w:val="lowerLetter"/>
      <w:start w:val="1"/>
    </w:lvl>
  </w:abstractNum>
  <w:abstractNum w:abstractNumId="285">
    <w:nsid w:val="3785655A"/>
    <w:multiLevelType w:val="hybridMultilevel"/>
    <w:lvl w:ilvl="0">
      <w:lvlJc w:val="left"/>
      <w:lvlText w:val="%1."/>
      <w:numFmt w:val="lowerLetter"/>
      <w:start w:val="2"/>
    </w:lvl>
  </w:abstractNum>
  <w:abstractNum w:abstractNumId="286">
    <w:nsid w:val="B2172A"/>
    <w:multiLevelType w:val="hybridMultilevel"/>
    <w:lvl w:ilvl="0">
      <w:lvlJc w:val="left"/>
      <w:lvlText w:val="[*]"/>
      <w:numFmt w:val="bullet"/>
      <w:start w:val="1"/>
    </w:lvl>
  </w:abstractNum>
  <w:abstractNum w:abstractNumId="287">
    <w:nsid w:val="532C34A5"/>
    <w:multiLevelType w:val="hybridMultilevel"/>
    <w:lvl w:ilvl="0">
      <w:lvlJc w:val="left"/>
      <w:lvlText w:val="%1."/>
      <w:numFmt w:val="lowerLetter"/>
      <w:start w:val="3"/>
    </w:lvl>
  </w:abstractNum>
  <w:abstractNum w:abstractNumId="288">
    <w:nsid w:val="102809E2"/>
    <w:multiLevelType w:val="hybridMultilevel"/>
    <w:lvl w:ilvl="0">
      <w:lvlJc w:val="left"/>
      <w:lvlText w:val="%1."/>
      <w:numFmt w:val="lowerLetter"/>
      <w:start w:val="4"/>
    </w:lvl>
  </w:abstractNum>
  <w:abstractNum w:abstractNumId="289">
    <w:nsid w:val="3B2125A3"/>
    <w:multiLevelType w:val="hybridMultilevel"/>
    <w:lvl w:ilvl="0">
      <w:lvlJc w:val="left"/>
      <w:lvlText w:val="%1."/>
      <w:numFmt w:val="lowerLetter"/>
      <w:start w:val="5"/>
    </w:lvl>
  </w:abstractNum>
  <w:abstractNum w:abstractNumId="290">
    <w:nsid w:val="AC68FFB"/>
    <w:multiLevelType w:val="hybridMultilevel"/>
    <w:lvl w:ilvl="0">
      <w:lvlJc w:val="left"/>
      <w:lvlText w:val="[*]"/>
      <w:numFmt w:val="bullet"/>
      <w:start w:val="1"/>
    </w:lvl>
  </w:abstractNum>
  <w:abstractNum w:abstractNumId="291">
    <w:nsid w:val="63DF3FB7"/>
    <w:multiLevelType w:val="hybridMultilevel"/>
    <w:lvl w:ilvl="0">
      <w:lvlJc w:val="left"/>
      <w:lvlText w:val="%1."/>
      <w:numFmt w:val="upperLetter"/>
      <w:start w:val="35"/>
    </w:lvl>
  </w:abstractNum>
  <w:abstractNum w:abstractNumId="292">
    <w:nsid w:val="64996E13"/>
    <w:multiLevelType w:val="hybridMultilevel"/>
    <w:lvl w:ilvl="0">
      <w:lvlJc w:val="left"/>
      <w:lvlText w:val="%1)"/>
      <w:numFmt w:val="decimal"/>
      <w:start w:val="1"/>
    </w:lvl>
  </w:abstractNum>
  <w:abstractNum w:abstractNumId="293">
    <w:nsid w:val="57A37D47"/>
    <w:multiLevelType w:val="hybridMultilevel"/>
    <w:lvl w:ilvl="0">
      <w:lvlJc w:val="left"/>
      <w:lvlText w:val="[*]"/>
      <w:numFmt w:val="bullet"/>
      <w:start w:val="1"/>
    </w:lvl>
  </w:abstractNum>
  <w:abstractNum w:abstractNumId="294">
    <w:nsid w:val="74824D54"/>
    <w:multiLevelType w:val="hybridMultilevel"/>
    <w:lvl w:ilvl="0">
      <w:lvlJc w:val="left"/>
      <w:lvlText w:val="[*]"/>
      <w:numFmt w:val="bullet"/>
      <w:start w:val="1"/>
    </w:lvl>
  </w:abstractNum>
  <w:abstractNum w:abstractNumId="295">
    <w:nsid w:val="6F00529A"/>
    <w:multiLevelType w:val="hybridMultilevel"/>
    <w:lvl w:ilvl="0">
      <w:lvlJc w:val="left"/>
      <w:lvlText w:val="[*]"/>
      <w:numFmt w:val="bullet"/>
      <w:start w:val="1"/>
    </w:lvl>
  </w:abstractNum>
  <w:abstractNum w:abstractNumId="296">
    <w:nsid w:val="805B331"/>
    <w:multiLevelType w:val="hybridMultilevel"/>
    <w:lvl w:ilvl="0">
      <w:lvlJc w:val="left"/>
      <w:lvlText w:val="%1."/>
      <w:numFmt w:val="decimal"/>
      <w:start w:val="1"/>
    </w:lvl>
  </w:abstractNum>
  <w:abstractNum w:abstractNumId="297">
    <w:nsid w:val="60A1463"/>
    <w:multiLevelType w:val="hybridMultilevel"/>
    <w:lvl w:ilvl="0">
      <w:lvlJc w:val="left"/>
      <w:lvlText w:val="%1."/>
      <w:numFmt w:val="decimal"/>
      <w:start w:val="5"/>
    </w:lvl>
  </w:abstractNum>
  <w:abstractNum w:abstractNumId="298">
    <w:nsid w:val="43773132"/>
    <w:multiLevelType w:val="hybridMultilevel"/>
    <w:lvl w:ilvl="0">
      <w:lvlJc w:val="left"/>
      <w:lvlText w:val="%1."/>
      <w:numFmt w:val="upperLetter"/>
      <w:start w:val="1"/>
    </w:lvl>
  </w:abstractNum>
  <w:abstractNum w:abstractNumId="299">
    <w:nsid w:val="16AC4B23"/>
    <w:multiLevelType w:val="hybridMultilevel"/>
    <w:lvl w:ilvl="0">
      <w:lvlJc w:val="left"/>
      <w:lvlText w:val="%1."/>
      <w:numFmt w:val="decimal"/>
      <w:start w:val="1"/>
    </w:lvl>
  </w:abstractNum>
  <w:abstractNum w:abstractNumId="300">
    <w:nsid w:val="76C44E4E"/>
    <w:multiLevelType w:val="hybridMultilevel"/>
    <w:lvl w:ilvl="0">
      <w:lvlJc w:val="left"/>
      <w:lvlText w:val="%1."/>
      <w:numFmt w:val="decimal"/>
      <w:start w:val="6"/>
    </w:lvl>
  </w:abstractNum>
  <w:abstractNum w:abstractNumId="301">
    <w:nsid w:val="E04E6CE"/>
    <w:multiLevelType w:val="hybridMultilevel"/>
    <w:lvl w:ilvl="0">
      <w:lvlJc w:val="left"/>
      <w:lvlText w:val="%1."/>
      <w:numFmt w:val="decimal"/>
      <w:start w:val="8"/>
    </w:lvl>
  </w:abstractNum>
  <w:abstractNum w:abstractNumId="302">
    <w:nsid w:val="31A9DB76"/>
    <w:multiLevelType w:val="hybridMultilevel"/>
    <w:lvl w:ilvl="0">
      <w:lvlJc w:val="left"/>
      <w:lvlText w:val="(%1)"/>
      <w:numFmt w:val="lowerLetter"/>
      <w:start w:val="1"/>
    </w:lvl>
  </w:abstractNum>
  <w:abstractNum w:abstractNumId="303">
    <w:nsid w:val="4C4FFF5B"/>
    <w:multiLevelType w:val="hybridMultilevel"/>
    <w:lvl w:ilvl="0">
      <w:lvlJc w:val="left"/>
      <w:lvlText w:val="%1."/>
      <w:numFmt w:val="decimal"/>
      <w:start w:val="9"/>
    </w:lvl>
    <w:lvl w:ilvl="1">
      <w:lvlJc w:val="left"/>
      <w:lvlText w:val="*"/>
      <w:numFmt w:val="bullet"/>
      <w:start w:val="1"/>
    </w:lvl>
  </w:abstractNum>
  <w:abstractNum w:abstractNumId="304">
    <w:nsid w:val="51B76675"/>
    <w:multiLevelType w:val="hybridMultilevel"/>
    <w:lvl w:ilvl="0">
      <w:lvlJc w:val="left"/>
      <w:lvlText w:val="(%1)"/>
      <w:numFmt w:val="lowerRoman"/>
      <w:start w:val="1"/>
    </w:lvl>
  </w:abstractNum>
  <w:abstractNum w:abstractNumId="305">
    <w:nsid w:val="59A4BA71"/>
    <w:multiLevelType w:val="hybridMultilevel"/>
    <w:lvl w:ilvl="0">
      <w:lvlJc w:val="left"/>
      <w:lvlText w:val="1"/>
      <w:numFmt w:val="bullet"/>
      <w:start w:val="1"/>
    </w:lvl>
  </w:abstractNum>
  <w:abstractNum w:abstractNumId="306">
    <w:nsid w:val="450B7FB6"/>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07">
    <w:nsid w:val="340BF64D"/>
    <w:multiLevelType w:val="hybridMultilevel"/>
    <w:lvl w:ilvl="0">
      <w:lvlJc w:val="left"/>
      <w:lvlText w:val="%1"/>
      <w:numFmt w:val="decimal"/>
      <w:start w:val="1"/>
    </w:lvl>
    <w:lvl w:ilvl="1">
      <w:lvlJc w:val="left"/>
      <w:lvlText w:val="%2."/>
      <w:numFmt w:val="lowerLetter"/>
      <w:start w:val="3"/>
    </w:lvl>
  </w:abstractNum>
  <w:abstractNum w:abstractNumId="308">
    <w:nsid w:val="69454021"/>
    <w:multiLevelType w:val="hybridMultilevel"/>
    <w:lvl w:ilvl="0">
      <w:lvlJc w:val="left"/>
      <w:lvlText w:val="%1."/>
      <w:numFmt w:val="decimal"/>
      <w:start w:val="4"/>
    </w:lvl>
    <w:lvl w:ilvl="1">
      <w:lvlJc w:val="left"/>
      <w:lvlText w:val="%2."/>
      <w:numFmt w:val="lowerLetter"/>
      <w:start w:val="1"/>
    </w:lvl>
  </w:abstractNum>
  <w:abstractNum w:abstractNumId="309">
    <w:nsid w:val="49F15C6B"/>
    <w:multiLevelType w:val="hybridMultilevel"/>
    <w:lvl w:ilvl="0">
      <w:lvlJc w:val="left"/>
      <w:lvlText w:val="(%1)"/>
      <w:numFmt w:val="lowerRoman"/>
      <w:start w:val="1"/>
    </w:lvl>
  </w:abstractNum>
  <w:abstractNum w:abstractNumId="310">
    <w:nsid w:val="75F56228"/>
    <w:multiLevelType w:val="hybridMultilevel"/>
    <w:lvl w:ilvl="0">
      <w:lvlJc w:val="left"/>
      <w:lvlText w:val="%1."/>
      <w:numFmt w:val="decimal"/>
      <w:start w:val="1"/>
    </w:lvl>
    <w:lvl w:ilvl="1">
      <w:lvlJc w:val="left"/>
      <w:lvlText w:val="%2."/>
      <w:numFmt w:val="lowerLetter"/>
      <w:start w:val="1"/>
    </w:lvl>
  </w:abstractNum>
  <w:abstractNum w:abstractNumId="311">
    <w:nsid w:val="1C618271"/>
    <w:multiLevelType w:val="hybridMultilevel"/>
    <w:lvl w:ilvl="0">
      <w:lvlJc w:val="left"/>
      <w:lvlText w:val="%1."/>
      <w:numFmt w:val="decimal"/>
      <w:start w:val="3"/>
    </w:lvl>
    <w:lvl w:ilvl="1">
      <w:lvlJc w:val="left"/>
      <w:lvlText w:val="%2."/>
      <w:numFmt w:val="lowerLetter"/>
      <w:start w:val="1"/>
    </w:lvl>
  </w:abstractNum>
  <w:abstractNum w:abstractNumId="312">
    <w:nsid w:val="6505F02E"/>
    <w:multiLevelType w:val="hybridMultilevel"/>
    <w:lvl w:ilvl="0">
      <w:lvlJc w:val="left"/>
      <w:lvlText w:val="%1."/>
      <w:numFmt w:val="decimal"/>
      <w:start w:val="5"/>
    </w:lvl>
    <w:lvl w:ilvl="1">
      <w:lvlJc w:val="left"/>
      <w:lvlText w:val="%2."/>
      <w:numFmt w:val="lowerLetter"/>
      <w:start w:val="1"/>
    </w:lvl>
  </w:abstractNum>
  <w:abstractNum w:abstractNumId="313">
    <w:nsid w:val="2FE5D025"/>
    <w:multiLevelType w:val="hybridMultilevel"/>
    <w:lvl w:ilvl="0">
      <w:lvlJc w:val="left"/>
      <w:lvlText w:val="%1."/>
      <w:numFmt w:val="upperLetter"/>
      <w:start w:val="1"/>
    </w:lvl>
  </w:abstractNum>
  <w:abstractNum w:abstractNumId="314">
    <w:nsid w:val="30E1B1CF"/>
    <w:multiLevelType w:val="hybridMultilevel"/>
    <w:lvl w:ilvl="0">
      <w:lvlJc w:val="left"/>
      <w:lvlText w:val="%1."/>
      <w:numFmt w:val="decimal"/>
      <w:start w:val="1"/>
    </w:lvl>
  </w:abstractNum>
  <w:abstractNum w:abstractNumId="315">
    <w:nsid w:val="C7A9237"/>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16">
    <w:nsid w:val="676B3580"/>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17">
    <w:nsid w:val="3193C8F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18">
    <w:nsid w:val="5FA6C6DC"/>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19">
    <w:nsid w:val="77933F62"/>
    <w:multiLevelType w:val="hybridMultilevel"/>
    <w:lvl w:ilvl="0">
      <w:lvlJc w:val="left"/>
      <w:lvlText w:val="%1."/>
      <w:numFmt w:val="lowerLetter"/>
      <w:start w:val="1"/>
    </w:lvl>
  </w:abstractNum>
  <w:abstractNum w:abstractNumId="320">
    <w:nsid w:val="6CB4EE9C"/>
    <w:multiLevelType w:val="hybridMultilevel"/>
    <w:lvl w:ilvl="0">
      <w:lvlJc w:val="left"/>
      <w:lvlText w:val="%1."/>
      <w:numFmt w:val="decimal"/>
      <w:start w:val="1"/>
    </w:lvl>
    <w:lvl w:ilvl="1">
      <w:lvlJc w:val="left"/>
      <w:lvlText w:val="%2."/>
      <w:numFmt w:val="lowerLetter"/>
      <w:start w:val="1"/>
    </w:lvl>
  </w:abstractNum>
  <w:abstractNum w:abstractNumId="321">
    <w:nsid w:val="6A6D56D7"/>
    <w:multiLevelType w:val="hybridMultilevel"/>
    <w:lvl w:ilvl="0">
      <w:lvlJc w:val="left"/>
      <w:lvlText w:val="%1"/>
      <w:numFmt w:val="decimal"/>
      <w:start w:val="1"/>
    </w:lvl>
    <w:lvl w:ilvl="1">
      <w:lvlJc w:val="left"/>
      <w:lvlText w:val="%2."/>
      <w:numFmt w:val="lowerLetter"/>
      <w:start w:val="2"/>
    </w:lvl>
  </w:abstractNum>
  <w:abstractNum w:abstractNumId="322">
    <w:nsid w:val="5B727F19"/>
    <w:multiLevelType w:val="hybridMultilevel"/>
    <w:lvl w:ilvl="0">
      <w:lvlJc w:val="left"/>
      <w:lvlText w:val="%1."/>
      <w:numFmt w:val="decimal"/>
      <w:start w:val="4"/>
    </w:lvl>
    <w:lvl w:ilvl="1">
      <w:lvlJc w:val="left"/>
      <w:lvlText w:val="%2."/>
      <w:numFmt w:val="lowerLetter"/>
      <w:start w:val="1"/>
    </w:lvl>
  </w:abstractNum>
  <w:abstractNum w:abstractNumId="323">
    <w:nsid w:val="514E5CB0"/>
    <w:multiLevelType w:val="hybridMultilevel"/>
    <w:lvl w:ilvl="0">
      <w:lvlJc w:val="left"/>
      <w:lvlText w:val="%1."/>
      <w:numFmt w:val="decimal"/>
      <w:start w:val="6"/>
    </w:lvl>
  </w:abstractNum>
  <w:abstractNum w:abstractNumId="324">
    <w:nsid w:val="4210D41E"/>
    <w:multiLevelType w:val="hybridMultilevel"/>
    <w:lvl w:ilvl="0">
      <w:lvlJc w:val="left"/>
      <w:lvlText w:val="%1."/>
      <w:numFmt w:val="decimal"/>
      <w:start w:val="1"/>
    </w:lvl>
  </w:abstractNum>
  <w:abstractNum w:abstractNumId="325">
    <w:nsid w:val="4FF4CC6D"/>
    <w:multiLevelType w:val="hybridMultilevel"/>
    <w:lvl w:ilvl="0">
      <w:lvlJc w:val="left"/>
      <w:lvlText w:val="%1."/>
      <w:numFmt w:val="decimal"/>
      <w:start w:val="5"/>
    </w:lvl>
  </w:abstractNum>
  <w:abstractNum w:abstractNumId="326">
    <w:nsid w:val="404EAF4A"/>
    <w:multiLevelType w:val="hybridMultilevel"/>
    <w:lvl w:ilvl="0">
      <w:lvlJc w:val="left"/>
      <w:lvlText w:val="%1."/>
      <w:numFmt w:val="decimal"/>
      <w:start w:val="1"/>
    </w:lvl>
    <w:lvl w:ilvl="1">
      <w:lvlJc w:val="left"/>
      <w:lvlText w:val="%2."/>
      <w:numFmt w:val="lowerLetter"/>
      <w:start w:val="1"/>
    </w:lvl>
  </w:abstractNum>
  <w:abstractNum w:abstractNumId="327">
    <w:nsid w:val="4A16874F"/>
    <w:multiLevelType w:val="hybridMultilevel"/>
    <w:lvl w:ilvl="0">
      <w:lvlJc w:val="left"/>
      <w:lvlText w:val="%1."/>
      <w:numFmt w:val="decimal"/>
      <w:start w:val="3"/>
    </w:lvl>
    <w:lvl w:ilvl="1">
      <w:lvlJc w:val="left"/>
      <w:lvlText w:val="%2."/>
      <w:numFmt w:val="lowerLetter"/>
      <w:start w:val="1"/>
    </w:lvl>
  </w:abstractNum>
  <w:abstractNum w:abstractNumId="328">
    <w:nsid w:val="55FEE0D1"/>
    <w:multiLevelType w:val="hybridMultilevel"/>
    <w:lvl w:ilvl="0">
      <w:lvlJc w:val="left"/>
      <w:lvlText w:val="%1."/>
      <w:numFmt w:val="decimal"/>
      <w:start w:val="5"/>
    </w:lvl>
    <w:lvl w:ilvl="1">
      <w:lvlJc w:val="left"/>
      <w:lvlText w:val="%2."/>
      <w:numFmt w:val="lowerLetter"/>
      <w:start w:val="1"/>
    </w:lvl>
  </w:abstractNum>
  <w:abstractNum w:abstractNumId="329">
    <w:nsid w:val="3C5E07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30">
    <w:nsid w:val="60C2D273"/>
    <w:multiLevelType w:val="hybridMultilevel"/>
    <w:lvl w:ilvl="0">
      <w:lvlJc w:val="left"/>
      <w:lvlText w:val="%1."/>
      <w:numFmt w:val="decimal"/>
      <w:start w:val="5"/>
    </w:lvl>
    <w:lvl w:ilvl="1">
      <w:lvlJc w:val="left"/>
      <w:lvlText w:val="%2."/>
      <w:numFmt w:val="lowerLetter"/>
      <w:start w:val="1"/>
    </w:lvl>
  </w:abstractNum>
  <w:abstractNum w:abstractNumId="331">
    <w:nsid w:val="4CC32F1F"/>
    <w:multiLevelType w:val="hybridMultilevel"/>
    <w:lvl w:ilvl="0">
      <w:lvlJc w:val="left"/>
      <w:lvlText w:val="%1."/>
      <w:numFmt w:val="decimal"/>
      <w:start w:val="1"/>
    </w:lvl>
    <w:lvl w:ilvl="1">
      <w:lvlJc w:val="left"/>
      <w:lvlText w:val="(%2)"/>
      <w:numFmt w:val="lowerLetter"/>
      <w:start w:val="1"/>
    </w:lvl>
  </w:abstractNum>
  <w:abstractNum w:abstractNumId="332">
    <w:nsid w:val="11CAC74A"/>
    <w:multiLevelType w:val="hybridMultilevel"/>
    <w:lvl w:ilvl="0">
      <w:lvlJc w:val="left"/>
      <w:lvlText w:val="%1"/>
      <w:numFmt w:val="lowerLetter"/>
      <w:start w:val="1"/>
    </w:lvl>
    <w:lvl w:ilvl="1">
      <w:lvlJc w:val="left"/>
      <w:lvlText w:val="(%2)"/>
      <w:numFmt w:val="lowerLetter"/>
      <w:start w:val="3"/>
    </w:lvl>
  </w:abstractNum>
  <w:abstractNum w:abstractNumId="333">
    <w:nsid w:val="126CADE9"/>
    <w:multiLevelType w:val="hybridMultilevel"/>
    <w:lvl w:ilvl="0">
      <w:lvlJc w:val="left"/>
      <w:lvlText w:val="(%1)"/>
      <w:numFmt w:val="lowerLetter"/>
      <w:start w:val="35"/>
    </w:lvl>
    <w:lvl w:ilvl="1">
      <w:lvlJc w:val="left"/>
      <w:lvlText w:val="(%2)"/>
      <w:numFmt w:val="lowerLetter"/>
      <w:start w:val="10"/>
    </w:lvl>
  </w:abstractNum>
  <w:abstractNum w:abstractNumId="334">
    <w:nsid w:val="19132E7B"/>
    <w:multiLevelType w:val="hybridMultilevel"/>
    <w:lvl w:ilvl="0">
      <w:lvlJc w:val="left"/>
      <w:lvlText w:val="(%1)"/>
      <w:numFmt w:val="lowerLetter"/>
      <w:start w:val="1"/>
    </w:lvl>
    <w:lvl w:ilvl="1">
      <w:lvlJc w:val="left"/>
      <w:lvlText w:val="(%2)"/>
      <w:numFmt w:val="lowerLetter"/>
      <w:start w:val="9"/>
    </w:lvl>
  </w:abstractNum>
  <w:abstractNum w:abstractNumId="335">
    <w:nsid w:val="63822DC0"/>
    <w:multiLevelType w:val="hybridMultilevel"/>
    <w:lvl w:ilvl="0">
      <w:lvlJc w:val="left"/>
      <w:lvlText w:val="(%1)"/>
      <w:numFmt w:val="lowerRoman"/>
      <w:start w:val="2"/>
    </w:lvl>
  </w:abstractNum>
  <w:abstractNum w:abstractNumId="336">
    <w:nsid w:val="6C11685A"/>
    <w:multiLevelType w:val="hybridMultilevel"/>
    <w:lvl w:ilvl="0">
      <w:lvlJc w:val="left"/>
      <w:lvlText w:val="(%1)"/>
      <w:numFmt w:val="lowerLetter"/>
      <w:start w:val="1"/>
    </w:lvl>
  </w:abstractNum>
  <w:abstractNum w:abstractNumId="337">
    <w:nsid w:val="5E1EAE31"/>
    <w:multiLevelType w:val="hybridMultilevel"/>
    <w:lvl w:ilvl="0">
      <w:lvlJc w:val="left"/>
      <w:lvlText w:val="(%1)"/>
      <w:numFmt w:val="lowerLetter"/>
      <w:start w:val="2"/>
    </w:lvl>
  </w:abstractNum>
  <w:abstractNum w:abstractNumId="338">
    <w:nsid w:val="178E240D"/>
    <w:multiLevelType w:val="hybridMultilevel"/>
    <w:lvl w:ilvl="0">
      <w:lvlJc w:val="left"/>
      <w:lvlText w:val="(%1)"/>
      <w:numFmt w:val="lowerLetter"/>
      <w:start w:val="1"/>
    </w:lvl>
    <w:lvl w:ilvl="1">
      <w:lvlJc w:val="left"/>
      <w:lvlText w:val="(%2)"/>
      <w:numFmt w:val="lowerRoman"/>
      <w:start w:val="1"/>
    </w:lvl>
  </w:abstractNum>
  <w:abstractNum w:abstractNumId="339">
    <w:nsid w:val="5556A8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40">
    <w:nsid w:val="28100A9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5"/>
    </w:lvl>
  </w:abstractNum>
  <w:abstractNum w:abstractNumId="341">
    <w:nsid w:val="D838636"/>
    <w:multiLevelType w:val="hybridMultilevel"/>
    <w:lvl w:ilvl="0">
      <w:lvlJc w:val="left"/>
      <w:lvlText w:val="(%1)"/>
      <w:numFmt w:val="lowerLetter"/>
      <w:start w:val="1"/>
    </w:lvl>
  </w:abstractNum>
  <w:abstractNum w:abstractNumId="342">
    <w:nsid w:val="71B82AED"/>
    <w:multiLevelType w:val="hybridMultilevel"/>
    <w:lvl w:ilvl="0">
      <w:lvlJc w:val="left"/>
      <w:lvlText w:val="(%1)"/>
      <w:numFmt w:val="lowerLetter"/>
      <w:start w:val="2"/>
    </w:lvl>
  </w:abstractNum>
  <w:abstractNum w:abstractNumId="343">
    <w:nsid w:val="D15FACA"/>
    <w:multiLevelType w:val="hybridMultilevel"/>
    <w:lvl w:ilvl="0">
      <w:lvlJc w:val="left"/>
      <w:lvlText w:val="(%1)"/>
      <w:numFmt w:val="lowerLetter"/>
      <w:start w:val="9"/>
    </w:lvl>
  </w:abstractNum>
  <w:abstractNum w:abstractNumId="344">
    <w:nsid w:val="3D69565B"/>
    <w:multiLevelType w:val="hybridMultilevel"/>
    <w:lvl w:ilvl="0">
      <w:lvlJc w:val="left"/>
      <w:lvlText w:val="(%1)"/>
      <w:numFmt w:val="lowerRoman"/>
      <w:start w:val="1"/>
    </w:lvl>
  </w:abstractNum>
  <w:abstractNum w:abstractNumId="345">
    <w:nsid w:val="2299DCBC"/>
    <w:multiLevelType w:val="hybridMultilevel"/>
    <w:lvl w:ilvl="0">
      <w:lvlJc w:val="left"/>
      <w:lvlText w:val="(%1)"/>
      <w:numFmt w:val="decimal"/>
      <w:start w:val="4"/>
    </w:lvl>
  </w:abstractNum>
  <w:abstractNum w:abstractNumId="346">
    <w:nsid w:val="19908D02"/>
    <w:multiLevelType w:val="hybridMultilevel"/>
    <w:lvl w:ilvl="0">
      <w:lvlJc w:val="left"/>
      <w:lvlText w:val="%1"/>
      <w:numFmt w:val="lowerLetter"/>
      <w:start w:val="1"/>
    </w:lvl>
    <w:lvl w:ilvl="1">
      <w:lvlJc w:val="left"/>
      <w:lvlText w:val="(%2)"/>
      <w:numFmt w:val="lowerLetter"/>
      <w:start w:val="1"/>
    </w:lvl>
  </w:abstractNum>
  <w:abstractNum w:abstractNumId="347">
    <w:nsid w:val="24D48BDB"/>
    <w:multiLevelType w:val="hybridMultilevel"/>
    <w:lvl w:ilvl="0">
      <w:lvlJc w:val="left"/>
      <w:lvlText w:val="(%1)"/>
      <w:numFmt w:val="lowerLetter"/>
      <w:start w:val="35"/>
    </w:lvl>
    <w:lvl w:ilvl="1">
      <w:lvlJc w:val="left"/>
      <w:lvlText w:val="%2"/>
      <w:numFmt w:val="lowerLetter"/>
      <w:start w:val="1"/>
    </w:lvl>
  </w:abstractNum>
  <w:abstractNum w:abstractNumId="348">
    <w:nsid w:val="542DA5B5"/>
    <w:multiLevelType w:val="hybridMultilevel"/>
    <w:lvl w:ilvl="0">
      <w:lvlJc w:val="left"/>
      <w:lvlText w:val="(%1)"/>
      <w:numFmt w:val="lowerLetter"/>
      <w:start w:val="2"/>
    </w:lvl>
  </w:abstractNum>
  <w:abstractNum w:abstractNumId="349">
    <w:nsid w:val="793753DE"/>
    <w:multiLevelType w:val="hybridMultilevel"/>
    <w:lvl w:ilvl="0">
      <w:lvlJc w:val="left"/>
      <w:lvlText w:val="(%1)"/>
      <w:numFmt w:val="lowerLetter"/>
      <w:start w:val="5"/>
    </w:lvl>
  </w:abstractNum>
  <w:abstractNum w:abstractNumId="350">
    <w:nsid w:val="1C67CB3D"/>
    <w:multiLevelType w:val="hybridMultilevel"/>
    <w:lvl w:ilvl="0">
      <w:lvlJc w:val="left"/>
      <w:lvlText w:val="(%1)"/>
      <w:numFmt w:val="lowerLetter"/>
      <w:start w:val="1"/>
    </w:lvl>
  </w:abstractNum>
  <w:abstractNum w:abstractNumId="351">
    <w:nsid w:val="40E29452"/>
    <w:multiLevelType w:val="hybridMultilevel"/>
    <w:lvl w:ilvl="0">
      <w:lvlJc w:val="left"/>
      <w:lvlText w:val="(%1)"/>
      <w:numFmt w:val="lowerLetter"/>
      <w:start w:val="3"/>
    </w:lvl>
  </w:abstractNum>
  <w:abstractNum w:abstractNumId="352">
    <w:nsid w:val="63A4AAB6"/>
    <w:multiLevelType w:val="hybridMultilevel"/>
    <w:lvl w:ilvl="0">
      <w:lvlJc w:val="left"/>
      <w:lvlText w:val="(%1)"/>
      <w:numFmt w:val="lowerLetter"/>
      <w:start w:val="1"/>
    </w:lvl>
  </w:abstractNum>
  <w:abstractNum w:abstractNumId="353">
    <w:nsid w:val="77DA4A57"/>
    <w:multiLevelType w:val="hybridMultilevel"/>
    <w:lvl w:ilvl="0">
      <w:lvlJc w:val="left"/>
      <w:lvlText w:val="(%1)"/>
      <w:numFmt w:val="lowerLetter"/>
      <w:start w:val="2"/>
    </w:lvl>
  </w:abstractNum>
  <w:abstractNum w:abstractNumId="354">
    <w:nsid w:val="1230F102"/>
    <w:multiLevelType w:val="hybridMultilevel"/>
    <w:lvl w:ilvl="0">
      <w:lvlJc w:val="left"/>
      <w:lvlText w:val="%1."/>
      <w:numFmt w:val="decimal"/>
      <w:start w:val="2"/>
    </w:lvl>
  </w:abstractNum>
  <w:abstractNum w:abstractNumId="355">
    <w:nsid w:val="25B57ED4"/>
    <w:multiLevelType w:val="hybridMultilevel"/>
    <w:lvl w:ilvl="0">
      <w:lvlJc w:val="left"/>
      <w:lvlText w:val="%1"/>
      <w:numFmt w:val="lowerLetter"/>
      <w:start w:val="1"/>
    </w:lvl>
    <w:lvl w:ilvl="1">
      <w:lvlJc w:val="left"/>
      <w:lvlText w:val="(%2)"/>
      <w:numFmt w:val="lowerLetter"/>
      <w:start w:val="1"/>
    </w:lvl>
  </w:abstractNum>
  <w:abstractNum w:abstractNumId="356">
    <w:nsid w:val="47CF16C4"/>
    <w:multiLevelType w:val="hybridMultilevel"/>
    <w:lvl w:ilvl="0">
      <w:lvlJc w:val="left"/>
      <w:lvlText w:val="(%1)"/>
      <w:numFmt w:val="lowerLetter"/>
      <w:start w:val="3"/>
    </w:lvl>
    <w:lvl w:ilvl="1">
      <w:lvlJc w:val="left"/>
      <w:lvlText w:val="(%2)"/>
      <w:numFmt w:val="lowerLetter"/>
      <w:start w:val="4"/>
    </w:lvl>
  </w:abstractNum>
  <w:abstractNum w:abstractNumId="357">
    <w:nsid w:val="527FA04C"/>
    <w:multiLevelType w:val="hybridMultilevel"/>
    <w:lvl w:ilvl="0">
      <w:lvlJc w:val="left"/>
      <w:lvlText w:val="(%1)"/>
      <w:numFmt w:val="lowerLetter"/>
      <w:start w:val="1"/>
    </w:lvl>
  </w:abstractNum>
  <w:abstractNum w:abstractNumId="358">
    <w:nsid w:val="6FCC0624"/>
    <w:multiLevelType w:val="hybridMultilevel"/>
    <w:lvl w:ilvl="0">
      <w:lvlJc w:val="left"/>
      <w:lvlText w:val="%1"/>
      <w:numFmt w:val="lowerLetter"/>
      <w:start w:val="1"/>
    </w:lvl>
    <w:lvl w:ilvl="1">
      <w:lvlJc w:val="left"/>
      <w:lvlText w:val="(%2)"/>
      <w:numFmt w:val="lowerLetter"/>
      <w:start w:val="4"/>
    </w:lvl>
  </w:abstractNum>
  <w:abstractNum w:abstractNumId="359">
    <w:nsid w:val="1DCDF795"/>
    <w:multiLevelType w:val="hybridMultilevel"/>
    <w:lvl w:ilvl="0">
      <w:lvlJc w:val="left"/>
      <w:lvlText w:val="(%1)"/>
      <w:numFmt w:val="lowerLetter"/>
      <w:start w:val="5"/>
    </w:lvl>
    <w:lvl w:ilvl="1">
      <w:lvlJc w:val="left"/>
      <w:lvlText w:val="%2"/>
      <w:numFmt w:val="lowerLetter"/>
      <w:start w:val="1"/>
    </w:lvl>
  </w:abstractNum>
  <w:abstractNum w:abstractNumId="360">
    <w:nsid w:val="564580C8"/>
    <w:multiLevelType w:val="hybridMultilevel"/>
    <w:lvl w:ilvl="0">
      <w:lvlJc w:val="left"/>
      <w:lvlText w:val="(%1)"/>
      <w:numFmt w:val="decimal"/>
      <w:start w:val="36"/>
    </w:lvl>
  </w:abstractNum>
  <w:abstractNum w:abstractNumId="361">
    <w:nsid w:val="508ED897"/>
    <w:multiLevelType w:val="hybridMultilevel"/>
    <w:lvl w:ilvl="0">
      <w:lvlJc w:val="left"/>
      <w:lvlText w:val="%1."/>
      <w:numFmt w:val="decimal"/>
      <w:start w:val="3"/>
    </w:lvl>
  </w:abstractNum>
  <w:abstractNum w:abstractNumId="362">
    <w:nsid w:val="6A9126B5"/>
    <w:multiLevelType w:val="hybridMultilevel"/>
    <w:lvl w:ilvl="0">
      <w:lvlJc w:val="left"/>
      <w:lvlText w:val="%1."/>
      <w:numFmt w:val="decimal"/>
      <w:start w:val="1"/>
    </w:lvl>
  </w:abstractNum>
  <w:abstractNum w:abstractNumId="363">
    <w:nsid w:val="68104812"/>
    <w:multiLevelType w:val="hybridMultilevel"/>
    <w:lvl w:ilvl="0">
      <w:lvlJc w:val="left"/>
      <w:lvlText w:val="%1."/>
      <w:numFmt w:val="decimal"/>
      <w:start w:val="2"/>
    </w:lvl>
  </w:abstractNum>
  <w:abstractNum w:abstractNumId="364">
    <w:nsid w:val="62FB8680"/>
    <w:multiLevelType w:val="hybridMultilevel"/>
    <w:lvl w:ilvl="0">
      <w:lvlJc w:val="left"/>
      <w:lvlText w:val="2.%1."/>
      <w:numFmt w:val="decimal"/>
      <w:start w:val="1"/>
    </w:lvl>
  </w:abstractNum>
  <w:abstractNum w:abstractNumId="365">
    <w:nsid w:val="3A45530"/>
    <w:multiLevelType w:val="hybridMultilevel"/>
    <w:lvl w:ilvl="0">
      <w:lvlJc w:val="left"/>
      <w:lvlText w:val="(%1)"/>
      <w:numFmt w:val="lowerLetter"/>
      <w:start w:val="1"/>
    </w:lvl>
    <w:lvl w:ilvl="1">
      <w:lvlJc w:val="left"/>
      <w:lvlText w:val="(%2)"/>
      <w:numFmt w:val="lowerRoman"/>
      <w:start w:val="1"/>
    </w:lvl>
  </w:abstractNum>
  <w:abstractNum w:abstractNumId="366">
    <w:nsid w:val="4B9275D2"/>
    <w:multiLevelType w:val="hybridMultilevel"/>
    <w:lvl w:ilvl="0">
      <w:lvlJc w:val="left"/>
      <w:lvlText w:val="(%1)"/>
      <w:numFmt w:val="lowerLetter"/>
      <w:start w:val="2"/>
    </w:lvl>
  </w:abstractNum>
  <w:abstractNum w:abstractNumId="367">
    <w:nsid w:val="4F0CEED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368">
    <w:nsid w:val="61C3036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4"/>
    </w:lvl>
    <w:lvl w:ilvl="3">
      <w:lvlJc w:val="left"/>
      <w:lvlText w:val="%4"/>
      <w:numFmt w:val="lowerRoman"/>
      <w:start w:val="1"/>
    </w:lvl>
  </w:abstractNum>
  <w:abstractNum w:abstractNumId="369">
    <w:nsid w:val="632099E0"/>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5"/>
    </w:lvl>
    <w:lvl w:ilvl="3">
      <w:lvlJc w:val="left"/>
      <w:lvlText w:val="%4"/>
      <w:numFmt w:val="lowerRoman"/>
      <w:start w:val="1"/>
    </w:lvl>
  </w:abstractNum>
  <w:abstractNum w:abstractNumId="370">
    <w:nsid w:val="24639756"/>
    <w:multiLevelType w:val="hybridMultilevel"/>
    <w:lvl w:ilvl="0">
      <w:lvlJc w:val="left"/>
      <w:lvlText w:val="(%1)"/>
      <w:numFmt w:val="lowerLetter"/>
      <w:start w:val="1"/>
    </w:lvl>
    <w:lvl w:ilvl="1">
      <w:lvlJc w:val="left"/>
      <w:lvlText w:val="(%2)"/>
      <w:numFmt w:val="lowerRoman"/>
      <w:start w:val="1"/>
    </w:lvl>
  </w:abstractNum>
  <w:abstractNum w:abstractNumId="371">
    <w:nsid w:val="9D30DFD"/>
    <w:multiLevelType w:val="hybridMultilevel"/>
    <w:lvl w:ilvl="0">
      <w:lvlJc w:val="left"/>
      <w:lvlText w:val="(%1)"/>
      <w:numFmt w:val="lowerLetter"/>
      <w:start w:val="3"/>
    </w:lvl>
  </w:abstractNum>
  <w:abstractNum w:abstractNumId="372">
    <w:nsid w:val="70A42016"/>
    <w:multiLevelType w:val="hybridMultilevel"/>
    <w:lvl w:ilvl="0">
      <w:lvlJc w:val="left"/>
      <w:lvlText w:val="(%1)"/>
      <w:numFmt w:val="lowerLetter"/>
      <w:start w:val="1"/>
    </w:lvl>
  </w:abstractNum>
  <w:abstractNum w:abstractNumId="373">
    <w:nsid w:val="161BC243"/>
    <w:multiLevelType w:val="hybridMultilevel"/>
    <w:lvl w:ilvl="0">
      <w:lvlJc w:val="left"/>
      <w:lvlText w:val="%1"/>
      <w:numFmt w:val="decimal"/>
      <w:start w:val="1"/>
    </w:lvl>
    <w:lvl w:ilvl="1">
      <w:lvlJc w:val="left"/>
      <w:lvlText w:val="(%2)"/>
      <w:numFmt w:val="lowerLetter"/>
      <w:start w:val="1"/>
    </w:lvl>
  </w:abstractNum>
  <w:abstractNum w:abstractNumId="374">
    <w:nsid w:val="16E908C8"/>
    <w:multiLevelType w:val="hybridMultilevel"/>
    <w:lvl w:ilvl="0">
      <w:lvlJc w:val="left"/>
      <w:lvlText w:val="(%1)"/>
      <w:numFmt w:val="decimal"/>
      <w:start w:val="2"/>
    </w:lvl>
    <w:lvl w:ilvl="1">
      <w:lvlJc w:val="left"/>
      <w:lvlText w:val="%2"/>
      <w:numFmt w:val="lowerLetter"/>
      <w:start w:val="1"/>
    </w:lvl>
  </w:abstractNum>
  <w:abstractNum w:abstractNumId="375">
    <w:nsid w:val="2E0D7671"/>
    <w:multiLevelType w:val="hybridMultilevel"/>
    <w:lvl w:ilvl="0">
      <w:lvlJc w:val="left"/>
      <w:lvlText w:val="(%1)"/>
      <w:numFmt w:val="lowerLetter"/>
      <w:start w:val="4"/>
    </w:lvl>
  </w:abstractNum>
  <w:abstractNum w:abstractNumId="376">
    <w:nsid w:val="38B59EFF"/>
    <w:multiLevelType w:val="hybridMultilevel"/>
    <w:lvl w:ilvl="0">
      <w:lvlJc w:val="left"/>
      <w:lvlText w:val="(%1)"/>
      <w:numFmt w:val="lowerLetter"/>
      <w:start w:val="1"/>
    </w:lvl>
  </w:abstractNum>
  <w:abstractNum w:abstractNumId="377">
    <w:nsid w:val="307995CA"/>
    <w:multiLevelType w:val="hybridMultilevel"/>
    <w:lvl w:ilvl="0">
      <w:lvlJc w:val="left"/>
      <w:lvlText w:val="(%1)"/>
      <w:numFmt w:val="lowerLetter"/>
      <w:start w:val="1"/>
    </w:lvl>
  </w:abstractNum>
  <w:abstractNum w:abstractNumId="378">
    <w:nsid w:val="52E2024D"/>
    <w:multiLevelType w:val="hybridMultilevel"/>
    <w:lvl w:ilvl="0">
      <w:lvlJc w:val="left"/>
      <w:lvlText w:val="(%1)"/>
      <w:numFmt w:val="decimal"/>
      <w:start w:val="1"/>
    </w:lvl>
    <w:lvl w:ilvl="1">
      <w:lvlJc w:val="left"/>
      <w:lvlText w:val="(%2)"/>
      <w:numFmt w:val="lowerLetter"/>
      <w:start w:val="2"/>
    </w:lvl>
  </w:abstractNum>
  <w:abstractNum w:abstractNumId="379">
    <w:nsid w:val="CE344B5"/>
    <w:multiLevelType w:val="hybridMultilevel"/>
    <w:lvl w:ilvl="0">
      <w:lvlJc w:val="left"/>
      <w:lvlText w:val="%1."/>
      <w:numFmt w:val="decimal"/>
      <w:start w:val="3"/>
    </w:lvl>
  </w:abstractNum>
  <w:abstractNum w:abstractNumId="380">
    <w:nsid w:val="29B0E9A8"/>
    <w:multiLevelType w:val="hybridMultilevel"/>
    <w:lvl w:ilvl="0">
      <w:lvlJc w:val="left"/>
      <w:lvlText w:val="%1"/>
      <w:numFmt w:val="lowerLetter"/>
      <w:start w:val="1"/>
    </w:lvl>
    <w:lvl w:ilvl="1">
      <w:lvlJc w:val="left"/>
      <w:lvlText w:val="(%2)"/>
      <w:numFmt w:val="lowerLetter"/>
      <w:start w:val="1"/>
    </w:lvl>
  </w:abstractNum>
  <w:abstractNum w:abstractNumId="381">
    <w:nsid w:val="6F49CD8A"/>
    <w:multiLevelType w:val="hybridMultilevel"/>
    <w:lvl w:ilvl="0">
      <w:lvlJc w:val="left"/>
      <w:lvlText w:val="(%1)"/>
      <w:numFmt w:val="lowerLetter"/>
      <w:start w:val="35"/>
    </w:lvl>
    <w:lvl w:ilvl="1">
      <w:lvlJc w:val="left"/>
      <w:lvlText w:val="(%2)"/>
      <w:numFmt w:val="lowerLetter"/>
      <w:start w:val="5"/>
    </w:lvl>
  </w:abstractNum>
  <w:abstractNum w:abstractNumId="382">
    <w:nsid w:val="4DC5D907"/>
    <w:multiLevelType w:val="hybridMultilevel"/>
    <w:lvl w:ilvl="0">
      <w:lvlJc w:val="left"/>
      <w:lvlText w:val="(%1)"/>
      <w:numFmt w:val="lowerLetter"/>
      <w:start w:val="7"/>
    </w:lvl>
  </w:abstractNum>
  <w:abstractNum w:abstractNumId="383">
    <w:nsid w:val="D55945E"/>
    <w:multiLevelType w:val="hybridMultilevel"/>
    <w:lvl w:ilvl="0">
      <w:lvlJc w:val="left"/>
      <w:lvlText w:val="(%1)"/>
      <w:numFmt w:val="lowerLetter"/>
      <w:start w:val="17"/>
    </w:lvl>
  </w:abstractNum>
  <w:abstractNum w:abstractNumId="384">
    <w:nsid w:val="672417E1"/>
    <w:multiLevelType w:val="hybridMultilevel"/>
    <w:lvl w:ilvl="0">
      <w:lvlJc w:val="left"/>
      <w:lvlText w:val="(%1)"/>
      <w:numFmt w:val="lowerLetter"/>
      <w:start w:val="1"/>
    </w:lvl>
  </w:abstractNum>
  <w:abstractNum w:abstractNumId="385">
    <w:nsid w:val="5FF6CA09"/>
    <w:multiLevelType w:val="hybridMultilevel"/>
    <w:lvl w:ilvl="0">
      <w:lvlJc w:val="left"/>
      <w:lvlText w:val="(%1)"/>
      <w:numFmt w:val="lowerLetter"/>
      <w:start w:val="1"/>
    </w:lvl>
  </w:abstractNum>
  <w:abstractNum w:abstractNumId="386">
    <w:nsid w:val="330B1333"/>
    <w:multiLevelType w:val="hybridMultilevel"/>
    <w:lvl w:ilvl="0">
      <w:lvlJc w:val="left"/>
      <w:lvlText w:val="%1."/>
      <w:numFmt w:val="decimal"/>
      <w:start w:val="4"/>
    </w:lvl>
  </w:abstractNum>
  <w:abstractNum w:abstractNumId="387">
    <w:nsid w:val="2EF32EA6"/>
    <w:multiLevelType w:val="hybridMultilevel"/>
    <w:lvl w:ilvl="0">
      <w:lvlJc w:val="left"/>
      <w:lvlText w:val="(%1)"/>
      <w:numFmt w:val="lowerLetter"/>
      <w:start w:val="1"/>
    </w:lvl>
  </w:abstractNum>
  <w:abstractNum w:abstractNumId="388">
    <w:nsid w:val="32766A55"/>
    <w:multiLevelType w:val="hybridMultilevel"/>
    <w:lvl w:ilvl="0">
      <w:lvlJc w:val="left"/>
      <w:lvlText w:val="(%1)"/>
      <w:numFmt w:val="lowerLetter"/>
      <w:start w:val="5"/>
    </w:lvl>
  </w:abstractNum>
  <w:abstractNum w:abstractNumId="389">
    <w:nsid w:val="22D71957"/>
    <w:multiLevelType w:val="hybridMultilevel"/>
    <w:lvl w:ilvl="0">
      <w:lvlJc w:val="left"/>
      <w:lvlText w:val="(%1)"/>
      <w:numFmt w:val="lowerLetter"/>
      <w:start w:val="11"/>
    </w:lvl>
  </w:abstractNum>
  <w:abstractNum w:abstractNumId="390">
    <w:nsid w:val="4CC1263B"/>
    <w:multiLevelType w:val="hybridMultilevel"/>
    <w:lvl w:ilvl="0">
      <w:lvlJc w:val="left"/>
      <w:lvlText w:val="(%1)"/>
      <w:numFmt w:val="lowerLetter"/>
      <w:start w:val="20"/>
    </w:lvl>
  </w:abstractNum>
  <w:abstractNum w:abstractNumId="391">
    <w:nsid w:val="8BBEB1D"/>
    <w:multiLevelType w:val="hybridMultilevel"/>
    <w:lvl w:ilvl="0">
      <w:lvlJc w:val="left"/>
      <w:lvlText w:val="(%1)"/>
      <w:numFmt w:val="lowerLetter"/>
      <w:start w:val="1"/>
    </w:lvl>
  </w:abstractNum>
  <w:abstractNum w:abstractNumId="392">
    <w:nsid w:val="7365F1EE"/>
    <w:multiLevelType w:val="hybridMultilevel"/>
    <w:lvl w:ilvl="0">
      <w:lvlJc w:val="left"/>
      <w:lvlText w:val="(%1)"/>
      <w:numFmt w:val="lowerLetter"/>
      <w:start w:val="2"/>
    </w:lvl>
  </w:abstractNum>
  <w:abstractNum w:abstractNumId="393">
    <w:nsid w:val="37524CF0"/>
    <w:multiLevelType w:val="hybridMultilevel"/>
    <w:lvl w:ilvl="0">
      <w:lvlJc w:val="left"/>
      <w:lvlText w:val="(%1)"/>
      <w:numFmt w:val="lowerLetter"/>
      <w:start w:val="3"/>
    </w:lvl>
  </w:abstractNum>
  <w:abstractNum w:abstractNumId="394">
    <w:nsid w:val="70CC332F"/>
    <w:multiLevelType w:val="hybridMultilevel"/>
    <w:lvl w:ilvl="0">
      <w:lvlJc w:val="left"/>
      <w:lvlText w:val="(%1)"/>
      <w:numFmt w:val="lowerRoman"/>
      <w:start w:val="2"/>
    </w:lvl>
  </w:abstractNum>
  <w:abstractNum w:abstractNumId="395">
    <w:nsid w:val="5661786E"/>
    <w:multiLevelType w:val="hybridMultilevel"/>
    <w:lvl w:ilvl="0">
      <w:lvlJc w:val="left"/>
      <w:lvlText w:val="(%1)"/>
      <w:numFmt w:val="lowerLetter"/>
      <w:start w:val="1"/>
    </w:lvl>
  </w:abstractNum>
  <w:abstractNum w:abstractNumId="396">
    <w:nsid w:val="3AF6A220"/>
    <w:multiLevelType w:val="hybridMultilevel"/>
    <w:lvl w:ilvl="0">
      <w:lvlJc w:val="left"/>
      <w:lvlText w:val="(%1)"/>
      <w:numFmt w:val="lowerLetter"/>
      <w:start w:val="1"/>
    </w:lvl>
  </w:abstractNum>
  <w:abstractNum w:abstractNumId="397">
    <w:nsid w:val="3C5EA902"/>
    <w:multiLevelType w:val="hybridMultilevel"/>
    <w:lvl w:ilvl="0">
      <w:lvlJc w:val="left"/>
      <w:lvlText w:val="(%1)"/>
      <w:numFmt w:val="lowerLetter"/>
      <w:start w:val="2"/>
    </w:lvl>
  </w:abstractNum>
  <w:abstractNum w:abstractNumId="398">
    <w:nsid w:val="256E6749"/>
    <w:multiLevelType w:val="hybridMultilevel"/>
    <w:lvl w:ilvl="0">
      <w:lvlJc w:val="left"/>
      <w:lvlText w:val="(%1)"/>
      <w:numFmt w:val="lowerLetter"/>
      <w:start w:val="1"/>
    </w:lvl>
  </w:abstractNum>
  <w:abstractNum w:abstractNumId="399">
    <w:nsid w:val="1CB9A581"/>
    <w:multiLevelType w:val="hybridMultilevel"/>
    <w:lvl w:ilvl="0">
      <w:lvlJc w:val="left"/>
      <w:lvlText w:val="%1"/>
      <w:numFmt w:val="lowerLetter"/>
      <w:start w:val="1"/>
    </w:lvl>
    <w:lvl w:ilvl="1">
      <w:lvlJc w:val="left"/>
      <w:lvlText w:val="(%2)"/>
      <w:numFmt w:val="lowerLetter"/>
      <w:start w:val="4"/>
    </w:lvl>
  </w:abstractNum>
  <w:abstractNum w:abstractNumId="400">
    <w:nsid w:val="1F7F42E2"/>
    <w:multiLevelType w:val="hybridMultilevel"/>
    <w:lvl w:ilvl="0">
      <w:lvlJc w:val="left"/>
      <w:lvlText w:val="(%1)"/>
      <w:numFmt w:val="lowerLetter"/>
      <w:start w:val="35"/>
    </w:lvl>
    <w:lvl w:ilvl="1">
      <w:lvlJc w:val="left"/>
      <w:lvlText w:val="(%2)"/>
      <w:numFmt w:val="lowerLetter"/>
      <w:start w:val="6"/>
    </w:lvl>
  </w:abstractNum>
  <w:abstractNum w:abstractNumId="401">
    <w:nsid w:val="49D1FEA0"/>
    <w:multiLevelType w:val="hybridMultilevel"/>
    <w:lvl w:ilvl="0">
      <w:lvlJc w:val="left"/>
      <w:lvlText w:val="(%1)"/>
      <w:numFmt w:val="lowerLetter"/>
      <w:start w:val="9"/>
    </w:lvl>
    <w:lvl w:ilvl="1">
      <w:lvlJc w:val="left"/>
      <w:lvlText w:val="(%2)"/>
      <w:numFmt w:val="lowerLetter"/>
      <w:start w:val="7"/>
    </w:lvl>
  </w:abstractNum>
  <w:abstractNum w:abstractNumId="402">
    <w:nsid w:val="268CB37F"/>
    <w:multiLevelType w:val="hybridMultilevel"/>
    <w:lvl w:ilvl="0">
      <w:lvlJc w:val="left"/>
      <w:lvlText w:val="(%1)"/>
      <w:numFmt w:val="lowerLetter"/>
      <w:start w:val="8"/>
    </w:lvl>
  </w:abstractNum>
  <w:abstractNum w:abstractNumId="403">
    <w:nsid w:val="102362F8"/>
    <w:multiLevelType w:val="hybridMultilevel"/>
    <w:lvl w:ilvl="0">
      <w:lvlJc w:val="left"/>
      <w:lvlText w:val="(%1)"/>
      <w:numFmt w:val="lowerLetter"/>
      <w:start w:val="1"/>
    </w:lvl>
  </w:abstractNum>
  <w:abstractNum w:abstractNumId="404">
    <w:nsid w:val="5FEDC0E3"/>
    <w:multiLevelType w:val="hybridMultilevel"/>
    <w:lvl w:ilvl="0">
      <w:lvlJc w:val="left"/>
      <w:lvlText w:val="(%1)"/>
      <w:numFmt w:val="lowerLetter"/>
      <w:start w:val="1"/>
    </w:lvl>
  </w:abstractNum>
  <w:abstractNum w:abstractNumId="405">
    <w:nsid w:val="3D75BC47"/>
    <w:multiLevelType w:val="hybridMultilevel"/>
    <w:lvl w:ilvl="0">
      <w:lvlJc w:val="left"/>
      <w:lvlText w:val="(%1)"/>
      <w:numFmt w:val="lowerLetter"/>
      <w:start w:val="1"/>
    </w:lvl>
  </w:abstractNum>
  <w:abstractNum w:abstractNumId="406">
    <w:nsid w:val="3E30D969"/>
    <w:multiLevelType w:val="hybridMultilevel"/>
    <w:lvl w:ilvl="0">
      <w:lvlJc w:val="left"/>
      <w:lvlText w:val="%1"/>
      <w:numFmt w:val="decimal"/>
      <w:start w:val="1"/>
    </w:lvl>
    <w:lvl w:ilvl="1">
      <w:lvlJc w:val="left"/>
      <w:lvlText w:val="(%2)"/>
      <w:numFmt w:val="lowerLetter"/>
      <w:start w:val="6"/>
    </w:lvl>
  </w:abstractNum>
  <w:abstractNum w:abstractNumId="407">
    <w:nsid w:val="18A35FE3"/>
    <w:multiLevelType w:val="hybridMultilevel"/>
    <w:lvl w:ilvl="0">
      <w:lvlJc w:val="left"/>
      <w:lvlText w:val="%1."/>
      <w:numFmt w:val="decimal"/>
      <w:start w:val="5"/>
    </w:lvl>
    <w:lvl w:ilvl="1">
      <w:lvlJc w:val="left"/>
      <w:lvlText w:val="%2"/>
      <w:numFmt w:val="lowerLetter"/>
      <w:start w:val="1"/>
    </w:lvl>
  </w:abstractNum>
  <w:abstractNum w:abstractNumId="408">
    <w:nsid w:val="6DEF5211"/>
    <w:multiLevelType w:val="hybridMultilevel"/>
    <w:lvl w:ilvl="0">
      <w:lvlJc w:val="left"/>
      <w:lvlText w:val="(%1)"/>
      <w:numFmt w:val="lowerLetter"/>
      <w:start w:val="1"/>
    </w:lvl>
    <w:lvl w:ilvl="1">
      <w:lvlJc w:val="left"/>
      <w:lvlText w:val="(%2)"/>
      <w:numFmt w:val="lowerRoman"/>
      <w:start w:val="1"/>
    </w:lvl>
  </w:abstractNum>
  <w:abstractNum w:abstractNumId="409">
    <w:nsid w:val="1112DBB6"/>
    <w:multiLevelType w:val="hybridMultilevel"/>
    <w:lvl w:ilvl="0">
      <w:lvlJc w:val="left"/>
      <w:lvlText w:val="(%1)"/>
      <w:numFmt w:val="lowerRoman"/>
      <w:start w:val="3"/>
    </w:lvl>
  </w:abstractNum>
  <w:abstractNum w:abstractNumId="410">
    <w:nsid w:val="2586A498"/>
    <w:multiLevelType w:val="hybridMultilevel"/>
    <w:lvl w:ilvl="0">
      <w:lvlJc w:val="left"/>
      <w:lvlText w:val="(%1)"/>
      <w:numFmt w:val="lowerLetter"/>
      <w:start w:val="2"/>
    </w:lvl>
  </w:abstractNum>
  <w:abstractNum w:abstractNumId="411">
    <w:nsid w:val="17A03BB9"/>
    <w:multiLevelType w:val="hybridMultilevel"/>
    <w:lvl w:ilvl="0">
      <w:lvlJc w:val="left"/>
      <w:lvlText w:val="(%1)"/>
      <w:numFmt w:val="lowerLetter"/>
      <w:start w:val="4"/>
    </w:lvl>
    <w:lvl w:ilvl="1">
      <w:lvlJc w:val="left"/>
      <w:lvlText w:val="(%2)"/>
      <w:numFmt w:val="lowerRoman"/>
      <w:start w:val="1"/>
    </w:lvl>
  </w:abstractNum>
  <w:abstractNum w:abstractNumId="412">
    <w:nsid w:val="5CA941"/>
    <w:multiLevelType w:val="hybridMultilevel"/>
    <w:lvl w:ilvl="0">
      <w:lvlJc w:val="left"/>
      <w:lvlText w:val="%1"/>
      <w:numFmt w:val="lowerLetter"/>
      <w:start w:val="1"/>
    </w:lvl>
    <w:lvl w:ilvl="1">
      <w:lvlJc w:val="left"/>
      <w:lvlText w:val="(%2)"/>
      <w:numFmt w:val="lowerRoman"/>
      <w:start w:val="6"/>
    </w:lvl>
  </w:abstractNum>
  <w:abstractNum w:abstractNumId="413">
    <w:nsid w:val="734C7D9F"/>
    <w:multiLevelType w:val="hybridMultilevel"/>
    <w:lvl w:ilvl="0">
      <w:lvlJc w:val="left"/>
      <w:lvlText w:val="(%1)"/>
      <w:numFmt w:val="lowerLetter"/>
      <w:start w:val="9"/>
    </w:lvl>
    <w:lvl w:ilvl="1">
      <w:lvlJc w:val="left"/>
      <w:lvlText w:val="(%2)"/>
      <w:numFmt w:val="lowerRoman"/>
      <w:start w:val="1"/>
    </w:lvl>
  </w:abstractNum>
  <w:abstractNum w:abstractNumId="414">
    <w:nsid w:val="24F5D018"/>
    <w:multiLevelType w:val="hybridMultilevel"/>
    <w:lvl w:ilvl="0">
      <w:lvlJc w:val="left"/>
      <w:lvlText w:val="(%1)"/>
      <w:numFmt w:val="lowerLetter"/>
      <w:start w:val="1"/>
    </w:lvl>
  </w:abstractNum>
  <w:abstractNum w:abstractNumId="415">
    <w:nsid w:val="6780C122"/>
    <w:multiLevelType w:val="hybridMultilevel"/>
    <w:lvl w:ilvl="0">
      <w:lvlJc w:val="left"/>
      <w:lvlText w:val="%1"/>
      <w:numFmt w:val="lowerLetter"/>
      <w:start w:val="1"/>
    </w:lvl>
    <w:lvl w:ilvl="1">
      <w:lvlJc w:val="left"/>
      <w:lvlText w:val="(%2)"/>
      <w:numFmt w:val="lowerLetter"/>
      <w:start w:val="3"/>
    </w:lvl>
  </w:abstractNum>
  <w:abstractNum w:abstractNumId="416">
    <w:nsid w:val="534347A8"/>
    <w:multiLevelType w:val="hybridMultilevel"/>
    <w:lvl w:ilvl="0">
      <w:lvlJc w:val="left"/>
      <w:lvlText w:val="(%1)"/>
      <w:numFmt w:val="lowerLetter"/>
      <w:start w:val="61"/>
    </w:lvl>
    <w:lvl w:ilvl="1">
      <w:lvlJc w:val="left"/>
      <w:lvlText w:val="%2"/>
      <w:numFmt w:val="lowerLetter"/>
      <w:start w:val="1"/>
    </w:lvl>
  </w:abstractNum>
  <w:abstractNum w:abstractNumId="417">
    <w:nsid w:val="5800E34B"/>
    <w:multiLevelType w:val="hybridMultilevel"/>
    <w:lvl w:ilvl="0">
      <w:lvlJc w:val="left"/>
      <w:lvlText w:val="(%1)"/>
      <w:numFmt w:val="lowerLetter"/>
      <w:start w:val="1"/>
    </w:lvl>
  </w:abstractNum>
  <w:abstractNum w:abstractNumId="418">
    <w:nsid w:val="1673EFC8"/>
    <w:multiLevelType w:val="hybridMultilevel"/>
    <w:lvl w:ilvl="0">
      <w:lvlJc w:val="left"/>
      <w:lvlText w:val="%1"/>
      <w:numFmt w:val="lowerLetter"/>
      <w:start w:val="1"/>
    </w:lvl>
    <w:lvl w:ilvl="1">
      <w:lvlJc w:val="left"/>
      <w:lvlText w:val="(%2)"/>
      <w:numFmt w:val="lowerLetter"/>
      <w:start w:val="2"/>
    </w:lvl>
  </w:abstractNum>
  <w:abstractNum w:abstractNumId="419">
    <w:nsid w:val="5B9B1FD"/>
    <w:multiLevelType w:val="hybridMultilevel"/>
    <w:lvl w:ilvl="0">
      <w:lvlJc w:val="left"/>
      <w:lvlText w:val="(%1)"/>
      <w:numFmt w:val="lowerLetter"/>
      <w:start w:val="35"/>
    </w:lvl>
    <w:lvl w:ilvl="1">
      <w:lvlJc w:val="left"/>
      <w:lvlText w:val="(%2)"/>
      <w:numFmt w:val="lowerLetter"/>
      <w:start w:val="5"/>
    </w:lvl>
  </w:abstractNum>
  <w:abstractNum w:abstractNumId="420">
    <w:nsid w:val="7AD7FCA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21">
    <w:nsid w:val="63351604"/>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22">
    <w:nsid w:val="E759D1A"/>
    <w:multiLevelType w:val="hybridMultilevel"/>
    <w:lvl w:ilvl="0">
      <w:lvlJc w:val="left"/>
      <w:lvlText w:val="(%1)"/>
      <w:numFmt w:val="lowerLetter"/>
      <w:start w:val="2"/>
    </w:lvl>
  </w:abstractNum>
  <w:abstractNum w:abstractNumId="423">
    <w:nsid w:val="6E3DEE90"/>
    <w:multiLevelType w:val="hybridMultilevel"/>
    <w:lvl w:ilvl="0">
      <w:lvlJc w:val="left"/>
      <w:lvlText w:val="%1."/>
      <w:numFmt w:val="decimal"/>
      <w:start w:val="6"/>
    </w:lvl>
  </w:abstractNum>
  <w:abstractNum w:abstractNumId="424">
    <w:nsid w:val="1A8762F4"/>
    <w:multiLevelType w:val="hybridMultilevel"/>
    <w:lvl w:ilvl="0">
      <w:lvlJc w:val="left"/>
      <w:lvlText w:val="(%1)"/>
      <w:numFmt w:val="lowerLetter"/>
      <w:start w:val="1"/>
    </w:lvl>
  </w:abstractNum>
  <w:abstractNum w:abstractNumId="425">
    <w:nsid w:val="7F41D049"/>
    <w:multiLevelType w:val="hybridMultilevel"/>
    <w:lvl w:ilvl="0">
      <w:lvlJc w:val="left"/>
      <w:lvlText w:val="(%1)"/>
      <w:numFmt w:val="lowerLetter"/>
      <w:start w:val="2"/>
    </w:lvl>
    <w:lvl w:ilvl="1">
      <w:lvlJc w:val="left"/>
      <w:lvlText w:val="(%2)"/>
      <w:numFmt w:val="lowerRoman"/>
      <w:start w:val="1"/>
    </w:lvl>
  </w:abstractNum>
  <w:abstractNum w:abstractNumId="426">
    <w:nsid w:val="449F66F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27">
    <w:nsid w:val="557E05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28">
    <w:nsid w:val="3BA0794B"/>
    <w:multiLevelType w:val="hybridMultilevel"/>
    <w:lvl w:ilvl="0">
      <w:lvlJc w:val="left"/>
      <w:lvlText w:val="%1"/>
      <w:numFmt w:val="lowerLetter"/>
      <w:start w:val="1"/>
    </w:lvl>
    <w:lvl w:ilvl="1">
      <w:lvlJc w:val="left"/>
      <w:lvlText w:val="(%2)"/>
      <w:numFmt w:val="lowerRoman"/>
      <w:start w:val="6"/>
    </w:lvl>
  </w:abstractNum>
  <w:abstractNum w:abstractNumId="429">
    <w:nsid w:val="6A0DCE48"/>
    <w:multiLevelType w:val="hybridMultilevel"/>
    <w:lvl w:ilvl="0">
      <w:lvlJc w:val="left"/>
      <w:lvlText w:val="(%1)"/>
      <w:numFmt w:val="lowerLetter"/>
      <w:start w:val="2"/>
    </w:lvl>
    <w:lvl w:ilvl="1">
      <w:lvlJc w:val="left"/>
      <w:lvlText w:val="%2"/>
      <w:numFmt w:val="lowerRoman"/>
      <w:start w:val="1"/>
    </w:lvl>
  </w:abstractNum>
  <w:abstractNum w:abstractNumId="430">
    <w:nsid w:val="7237AA96"/>
    <w:multiLevelType w:val="hybridMultilevel"/>
    <w:lvl w:ilvl="0">
      <w:lvlJc w:val="left"/>
      <w:lvlText w:val="(%1)"/>
      <w:numFmt w:val="lowerLetter"/>
      <w:start w:val="1"/>
    </w:lvl>
    <w:lvl w:ilvl="1">
      <w:lvlJc w:val="left"/>
      <w:lvlText w:val="(%2)"/>
      <w:numFmt w:val="lowerRoman"/>
      <w:start w:val="1"/>
    </w:lvl>
  </w:abstractNum>
  <w:abstractNum w:abstractNumId="431">
    <w:nsid w:val="5B1FBC2D"/>
    <w:multiLevelType w:val="hybridMultilevel"/>
    <w:lvl w:ilvl="0">
      <w:lvlJc w:val="left"/>
      <w:lvlText w:val="%1"/>
      <w:numFmt w:val="lowerLetter"/>
      <w:start w:val="1"/>
    </w:lvl>
    <w:lvl w:ilvl="1">
      <w:lvlJc w:val="left"/>
      <w:lvlText w:val="(%2)"/>
      <w:numFmt w:val="lowerRoman"/>
      <w:start w:val="5"/>
    </w:lvl>
  </w:abstractNum>
  <w:abstractNum w:abstractNumId="432">
    <w:nsid w:val="33DFCCE8"/>
    <w:multiLevelType w:val="hybridMultilevel"/>
    <w:lvl w:ilvl="0">
      <w:lvlJc w:val="left"/>
      <w:lvlText w:val="(%1)"/>
      <w:numFmt w:val="lowerLetter"/>
      <w:start w:val="2"/>
    </w:lvl>
    <w:lvl w:ilvl="1">
      <w:lvlJc w:val="left"/>
      <w:lvlText w:val="%2"/>
      <w:numFmt w:val="lowerRoman"/>
      <w:start w:val="1"/>
    </w:lvl>
  </w:abstractNum>
  <w:abstractNum w:abstractNumId="433">
    <w:nsid w:val="18C45E15"/>
    <w:multiLevelType w:val="hybridMultilevel"/>
    <w:lvl w:ilvl="0">
      <w:lvlJc w:val="left"/>
      <w:lvlText w:val="%1"/>
      <w:numFmt w:val="lowerLetter"/>
      <w:start w:val="1"/>
    </w:lvl>
    <w:lvl w:ilvl="1">
      <w:lvlJc w:val="left"/>
      <w:lvlText w:val="(%2)"/>
      <w:numFmt w:val="lowerRoman"/>
      <w:start w:val="1"/>
    </w:lvl>
  </w:abstractNum>
  <w:abstractNum w:abstractNumId="434">
    <w:nsid w:val="6B431F25"/>
    <w:multiLevelType w:val="hybridMultilevel"/>
    <w:lvl w:ilvl="0">
      <w:lvlJc w:val="left"/>
      <w:lvlText w:val="(%1)"/>
      <w:numFmt w:val="lowerLetter"/>
      <w:start w:val="2"/>
    </w:lvl>
    <w:lvl w:ilvl="1">
      <w:lvlJc w:val="left"/>
      <w:lvlText w:val="%2"/>
      <w:numFmt w:val="lowerRoman"/>
      <w:start w:val="1"/>
    </w:lvl>
  </w:abstractNum>
  <w:abstractNum w:abstractNumId="435">
    <w:nsid w:val="13CD8DCB"/>
    <w:multiLevelType w:val="hybridMultilevel"/>
    <w:lvl w:ilvl="0">
      <w:lvlJc w:val="left"/>
      <w:lvlText w:val="(%1)"/>
      <w:numFmt w:val="lowerRoman"/>
      <w:start w:val="1"/>
    </w:lvl>
  </w:abstractNum>
  <w:abstractNum w:abstractNumId="436">
    <w:nsid w:val="563A1A5C"/>
    <w:multiLevelType w:val="hybridMultilevel"/>
    <w:lvl w:ilvl="0">
      <w:lvlJc w:val="left"/>
      <w:lvlText w:val="(%1)"/>
      <w:numFmt w:val="lowerRoman"/>
      <w:start w:val="12"/>
    </w:lvl>
  </w:abstractNum>
  <w:abstractNum w:abstractNumId="437">
    <w:nsid w:val="2973F88F"/>
    <w:multiLevelType w:val="hybridMultilevel"/>
    <w:lvl w:ilvl="0">
      <w:lvlJc w:val="left"/>
      <w:lvlText w:val="(%1)"/>
      <w:numFmt w:val="lowerLetter"/>
      <w:start w:val="1"/>
    </w:lvl>
  </w:abstractNum>
  <w:abstractNum w:abstractNumId="438">
    <w:nsid w:val="2C70EDAE"/>
    <w:multiLevelType w:val="hybridMultilevel"/>
    <w:lvl w:ilvl="0">
      <w:lvlJc w:val="left"/>
      <w:lvlText w:val="(%1)"/>
      <w:numFmt w:val="lowerLetter"/>
      <w:start w:val="1"/>
    </w:lvl>
  </w:abstractNum>
  <w:abstractNum w:abstractNumId="439">
    <w:nsid w:val="44296C6D"/>
    <w:multiLevelType w:val="hybridMultilevel"/>
    <w:lvl w:ilvl="0">
      <w:lvlJc w:val="left"/>
      <w:lvlText w:val="(%1)"/>
      <w:numFmt w:val="lowerLetter"/>
      <w:start w:val="2"/>
    </w:lvl>
  </w:abstractNum>
  <w:abstractNum w:abstractNumId="440">
    <w:nsid w:val="3A86D445"/>
    <w:multiLevelType w:val="hybridMultilevel"/>
    <w:lvl w:ilvl="0">
      <w:lvlJc w:val="left"/>
      <w:lvlText w:val="(%1)"/>
      <w:numFmt w:val="lowerLetter"/>
      <w:start w:val="3"/>
    </w:lvl>
  </w:abstractNum>
  <w:abstractNum w:abstractNumId="441">
    <w:nsid w:val="51F79246"/>
    <w:multiLevelType w:val="hybridMultilevel"/>
    <w:lvl w:ilvl="0">
      <w:lvlJc w:val="left"/>
      <w:lvlText w:val="%1."/>
      <w:numFmt w:val="decimal"/>
      <w:start w:val="7"/>
    </w:lvl>
  </w:abstractNum>
  <w:abstractNum w:abstractNumId="442">
    <w:nsid w:val="5BC9A827"/>
    <w:multiLevelType w:val="hybridMultilevel"/>
    <w:lvl w:ilvl="0">
      <w:lvlJc w:val="left"/>
      <w:lvlText w:val="(%1)"/>
      <w:numFmt w:val="decimal"/>
      <w:start w:val="3"/>
    </w:lvl>
  </w:abstractNum>
  <w:abstractNum w:abstractNumId="443">
    <w:nsid w:val="3AE37D86"/>
    <w:multiLevelType w:val="hybridMultilevel"/>
    <w:lvl w:ilvl="0">
      <w:lvlJc w:val="left"/>
      <w:lvlText w:val="(%1)"/>
      <w:numFmt w:val="lowerLetter"/>
      <w:start w:val="1"/>
    </w:lvl>
  </w:abstractNum>
  <w:abstractNum w:abstractNumId="444">
    <w:nsid w:val="45440FE5"/>
    <w:multiLevelType w:val="hybridMultilevel"/>
    <w:lvl w:ilvl="0">
      <w:lvlJc w:val="left"/>
      <w:lvlText w:val="(%1)"/>
      <w:numFmt w:val="lowerLetter"/>
      <w:start w:val="2"/>
    </w:lvl>
  </w:abstractNum>
  <w:abstractNum w:abstractNumId="445">
    <w:nsid w:val="BF783F"/>
    <w:multiLevelType w:val="hybridMultilevel"/>
    <w:lvl w:ilvl="0">
      <w:lvlJc w:val="left"/>
      <w:lvlText w:val="%1"/>
      <w:numFmt w:val="lowerLetter"/>
      <w:start w:val="1"/>
    </w:lvl>
    <w:lvl w:ilvl="1">
      <w:lvlJc w:val="left"/>
      <w:lvlText w:val="(%2)"/>
      <w:numFmt w:val="lowerLetter"/>
      <w:start w:val="1"/>
    </w:lvl>
  </w:abstractNum>
  <w:abstractNum w:abstractNumId="446">
    <w:nsid w:val="22643EA9"/>
    <w:multiLevelType w:val="hybridMultilevel"/>
    <w:lvl w:ilvl="0">
      <w:lvlJc w:val="left"/>
      <w:lvlText w:val="(%1)"/>
      <w:numFmt w:val="lowerLetter"/>
      <w:start w:val="35"/>
    </w:lvl>
    <w:lvl w:ilvl="1">
      <w:lvlJc w:val="left"/>
      <w:lvlText w:val="%2"/>
      <w:numFmt w:val="lowerLetter"/>
      <w:start w:val="1"/>
    </w:lvl>
  </w:abstractNum>
  <w:abstractNum w:abstractNumId="447">
    <w:nsid w:val="1887578D"/>
    <w:multiLevelType w:val="hybridMultilevel"/>
    <w:lvl w:ilvl="0">
      <w:lvlJc w:val="left"/>
      <w:lvlText w:val="%1"/>
      <w:numFmt w:val="lowerLetter"/>
      <w:start w:val="1"/>
    </w:lvl>
    <w:lvl w:ilvl="1">
      <w:lvlJc w:val="left"/>
      <w:lvlText w:val="(%2)"/>
      <w:numFmt w:val="lowerLetter"/>
      <w:start w:val="1"/>
    </w:lvl>
  </w:abstractNum>
  <w:abstractNum w:abstractNumId="448">
    <w:nsid w:val="58C05B8A"/>
    <w:multiLevelType w:val="hybridMultilevel"/>
    <w:lvl w:ilvl="0">
      <w:lvlJc w:val="left"/>
      <w:lvlText w:val="(%1)"/>
      <w:numFmt w:val="lowerLetter"/>
      <w:start w:val="9"/>
    </w:lvl>
    <w:lvl w:ilvl="1">
      <w:lvlJc w:val="left"/>
      <w:lvlText w:val="(%2)"/>
      <w:numFmt w:val="lowerLetter"/>
      <w:start w:val="2"/>
    </w:lvl>
  </w:abstractNum>
  <w:abstractNum w:abstractNumId="449">
    <w:nsid w:val="38D82E71"/>
    <w:multiLevelType w:val="hybridMultilevel"/>
    <w:lvl w:ilvl="0">
      <w:lvlJc w:val="left"/>
      <w:lvlText w:val="(%1)"/>
      <w:numFmt w:val="lowerLetter"/>
      <w:start w:val="1"/>
    </w:lvl>
  </w:abstractNum>
  <w:abstractNum w:abstractNumId="450">
    <w:nsid w:val="1E41098A"/>
    <w:multiLevelType w:val="hybridMultilevel"/>
    <w:lvl w:ilvl="0">
      <w:lvlJc w:val="left"/>
      <w:lvlText w:val="(%1)"/>
      <w:numFmt w:val="decimal"/>
      <w:start w:val="20"/>
    </w:lvl>
  </w:abstractNum>
  <w:abstractNum w:abstractNumId="451">
    <w:nsid w:val="5398582C"/>
    <w:multiLevelType w:val="hybridMultilevel"/>
    <w:lvl w:ilvl="0">
      <w:lvlJc w:val="left"/>
      <w:lvlText w:val="%1"/>
      <w:numFmt w:val="lowerLetter"/>
      <w:start w:val="1"/>
    </w:lvl>
    <w:lvl w:ilvl="1">
      <w:lvlJc w:val="left"/>
      <w:lvlText w:val="(%2)"/>
      <w:numFmt w:val="lowerLetter"/>
      <w:start w:val="1"/>
    </w:lvl>
  </w:abstractNum>
  <w:abstractNum w:abstractNumId="452">
    <w:nsid w:val="1C0D4475"/>
    <w:multiLevelType w:val="hybridMultilevel"/>
    <w:lvl w:ilvl="0">
      <w:lvlJc w:val="left"/>
      <w:lvlText w:val="(%1)"/>
      <w:numFmt w:val="lowerLetter"/>
      <w:start w:val="61"/>
    </w:lvl>
    <w:lvl w:ilvl="1">
      <w:lvlJc w:val="left"/>
      <w:lvlText w:val="%2"/>
      <w:numFmt w:val="lowerLetter"/>
      <w:start w:val="1"/>
    </w:lvl>
  </w:abstractNum>
  <w:abstractNum w:abstractNumId="453">
    <w:nsid w:val="2CB6A6A4"/>
    <w:multiLevelType w:val="hybridMultilevel"/>
    <w:lvl w:ilvl="0">
      <w:lvlJc w:val="left"/>
      <w:lvlText w:val="%1."/>
      <w:numFmt w:val="decimal"/>
      <w:start w:val="8"/>
    </w:lvl>
  </w:abstractNum>
  <w:abstractNum w:abstractNumId="454">
    <w:nsid w:val="41D646BC"/>
    <w:multiLevelType w:val="hybridMultilevel"/>
    <w:lvl w:ilvl="0">
      <w:lvlJc w:val="left"/>
      <w:lvlText w:val="(%1)"/>
      <w:numFmt w:val="lowerLetter"/>
      <w:start w:val="1"/>
    </w:lvl>
  </w:abstractNum>
  <w:abstractNum w:abstractNumId="455">
    <w:nsid w:val="3694A76A"/>
    <w:multiLevelType w:val="hybridMultilevel"/>
    <w:lvl w:ilvl="0">
      <w:lvlJc w:val="left"/>
      <w:lvlText w:val="%1."/>
      <w:numFmt w:val="decimal"/>
      <w:start w:val="9"/>
    </w:lvl>
  </w:abstractNum>
  <w:abstractNum w:abstractNumId="456">
    <w:nsid w:val="2BF876EE"/>
    <w:multiLevelType w:val="hybridMultilevel"/>
    <w:lvl w:ilvl="0">
      <w:lvlJc w:val="left"/>
      <w:lvlText w:val="(%1)"/>
      <w:numFmt w:val="lowerLetter"/>
      <w:start w:val="2"/>
    </w:lvl>
  </w:abstractNum>
  <w:abstractNum w:abstractNumId="457">
    <w:nsid w:val="675ADBA"/>
    <w:multiLevelType w:val="hybridMultilevel"/>
    <w:lvl w:ilvl="0">
      <w:lvlJc w:val="left"/>
      <w:lvlText w:val="%1."/>
      <w:numFmt w:val="decimal"/>
      <w:start w:val="10"/>
    </w:lvl>
  </w:abstractNum>
  <w:abstractNum w:abstractNumId="458">
    <w:nsid w:val="C12AC7F"/>
    <w:multiLevelType w:val="hybridMultilevel"/>
    <w:lvl w:ilvl="0">
      <w:lvlJc w:val="left"/>
      <w:lvlText w:val="%1."/>
      <w:numFmt w:val="decimal"/>
      <w:start w:val="11"/>
    </w:lvl>
  </w:abstractNum>
  <w:abstractNum w:abstractNumId="459">
    <w:nsid w:val="6798F039"/>
    <w:multiLevelType w:val="hybridMultilevel"/>
    <w:lvl w:ilvl="0">
      <w:lvlJc w:val="left"/>
      <w:lvlText w:val="(%1)"/>
      <w:numFmt w:val="lowerLetter"/>
      <w:start w:val="1"/>
    </w:lvl>
  </w:abstractNum>
  <w:abstractNum w:abstractNumId="460">
    <w:nsid w:val="70837C02"/>
    <w:multiLevelType w:val="hybridMultilevel"/>
    <w:lvl w:ilvl="0">
      <w:lvlJc w:val="left"/>
      <w:lvlText w:val="(%1)"/>
      <w:numFmt w:val="decimal"/>
      <w:start w:val="10"/>
    </w:lvl>
  </w:abstractNum>
  <w:abstractNum w:abstractNumId="461">
    <w:nsid w:val="7E4A5715"/>
    <w:multiLevelType w:val="hybridMultilevel"/>
    <w:lvl w:ilvl="0">
      <w:lvlJc w:val="left"/>
      <w:lvlText w:val="(%1)"/>
      <w:numFmt w:val="lowerLetter"/>
      <w:start w:val="2"/>
    </w:lvl>
  </w:abstractNum>
  <w:abstractNum w:abstractNumId="462">
    <w:nsid w:val="42B8AC67"/>
    <w:multiLevelType w:val="hybridMultilevel"/>
    <w:lvl w:ilvl="0">
      <w:lvlJc w:val="left"/>
      <w:lvlText w:val="(%1)"/>
      <w:numFmt w:val="lowerRoman"/>
      <w:start w:val="4"/>
    </w:lvl>
  </w:abstractNum>
  <w:abstractNum w:abstractNumId="463">
    <w:nsid w:val="246348EA"/>
    <w:multiLevelType w:val="hybridMultilevel"/>
    <w:lvl w:ilvl="0">
      <w:lvlJc w:val="left"/>
      <w:lvlText w:val="%1."/>
      <w:numFmt w:val="decimal"/>
      <w:start w:val="12"/>
    </w:lvl>
  </w:abstractNum>
  <w:abstractNum w:abstractNumId="464">
    <w:nsid w:val="170EB52B"/>
    <w:multiLevelType w:val="hybridMultilevel"/>
    <w:lvl w:ilvl="0">
      <w:lvlJc w:val="left"/>
      <w:lvlText w:val="%1."/>
      <w:numFmt w:val="decimal"/>
      <w:start w:val="13"/>
    </w:lvl>
  </w:abstractNum>
  <w:abstractNum w:abstractNumId="465">
    <w:nsid w:val="2DFBCB8C"/>
    <w:multiLevelType w:val="hybridMultilevel"/>
    <w:lvl w:ilvl="0">
      <w:lvlJc w:val="left"/>
      <w:lvlText w:val="(%1)"/>
      <w:numFmt w:val="lowerLetter"/>
      <w:start w:val="1"/>
    </w:lvl>
  </w:abstractNum>
  <w:abstractNum w:abstractNumId="466">
    <w:nsid w:val="3830D6B6"/>
    <w:multiLevelType w:val="hybridMultilevel"/>
    <w:lvl w:ilvl="0">
      <w:lvlJc w:val="left"/>
      <w:lvlText w:val="(%1)"/>
      <w:numFmt w:val="lowerRoman"/>
      <w:start w:val="3"/>
    </w:lvl>
  </w:abstractNum>
  <w:abstractNum w:abstractNumId="467">
    <w:nsid w:val="6D48CF87"/>
    <w:multiLevelType w:val="hybridMultilevel"/>
    <w:lvl w:ilvl="0">
      <w:lvlJc w:val="left"/>
      <w:lvlText w:val="(%1)"/>
      <w:numFmt w:val="decimal"/>
      <w:start w:val="12"/>
    </w:lvl>
  </w:abstractNum>
  <w:abstractNum w:abstractNumId="468">
    <w:nsid w:val="576FC41B"/>
    <w:multiLevelType w:val="hybridMultilevel"/>
    <w:lvl w:ilvl="0">
      <w:lvlJc w:val="left"/>
      <w:lvlText w:val="(%1)"/>
      <w:numFmt w:val="lowerLetter"/>
      <w:start w:val="1"/>
    </w:lvl>
  </w:abstractNum>
  <w:abstractNum w:abstractNumId="469">
    <w:nsid w:val="64A1C464"/>
    <w:multiLevelType w:val="hybridMultilevel"/>
    <w:lvl w:ilvl="0">
      <w:lvlJc w:val="left"/>
      <w:lvlText w:val="(%1)"/>
      <w:numFmt w:val="lowerLetter"/>
      <w:start w:val="3"/>
    </w:lvl>
  </w:abstractNum>
  <w:abstractNum w:abstractNumId="470">
    <w:nsid w:val="31723BF5"/>
    <w:multiLevelType w:val="hybridMultilevel"/>
    <w:lvl w:ilvl="0">
      <w:lvlJc w:val="left"/>
      <w:lvlText w:val="(%1)"/>
      <w:numFmt w:val="lowerRoman"/>
      <w:start w:val="1"/>
    </w:lvl>
  </w:abstractNum>
  <w:abstractNum w:abstractNumId="471">
    <w:nsid w:val="11F69861"/>
    <w:multiLevelType w:val="hybridMultilevel"/>
    <w:lvl w:ilvl="0">
      <w:lvlJc w:val="left"/>
      <w:lvlText w:val="(%1)"/>
      <w:numFmt w:val="lowerRoman"/>
      <w:start w:val="3"/>
    </w:lvl>
  </w:abstractNum>
  <w:abstractNum w:abstractNumId="472">
    <w:nsid w:val="369956AB"/>
    <w:multiLevelType w:val="hybridMultilevel"/>
    <w:lvl w:ilvl="0">
      <w:lvlJc w:val="left"/>
      <w:lvlText w:val="(%1)"/>
      <w:numFmt w:val="lowerRoman"/>
      <w:start w:val="1"/>
    </w:lvl>
  </w:abstractNum>
  <w:abstractNum w:abstractNumId="473">
    <w:nsid w:val="D3BE41C"/>
    <w:multiLevelType w:val="hybridMultilevel"/>
    <w:lvl w:ilvl="0">
      <w:lvlJc w:val="left"/>
      <w:lvlText w:val="\ldblquote"/>
      <w:numFmt w:val="bullet"/>
      <w:start w:val="1"/>
    </w:lvl>
  </w:abstractNum>
  <w:abstractNum w:abstractNumId="474">
    <w:nsid w:val="4CDA15E7"/>
    <w:multiLevelType w:val="hybridMultilevel"/>
    <w:lvl w:ilvl="0">
      <w:lvlJc w:val="left"/>
      <w:lvlText w:val="(%1)"/>
      <w:numFmt w:val="lowerRoman"/>
      <w:start w:val="2"/>
    </w:lvl>
  </w:abstractNum>
  <w:abstractNum w:abstractNumId="475">
    <w:nsid w:val="7BDD6690"/>
    <w:multiLevelType w:val="hybridMultilevel"/>
    <w:lvl w:ilvl="0">
      <w:lvlJc w:val="left"/>
      <w:lvlText w:val="(%1)"/>
      <w:numFmt w:val="lowerRoman"/>
      <w:start w:val="1"/>
    </w:lvl>
  </w:abstractNum>
  <w:abstractNum w:abstractNumId="476">
    <w:nsid w:val="DFB5C5B"/>
    <w:multiLevelType w:val="hybridMultilevel"/>
    <w:lvl w:ilvl="0">
      <w:lvlJc w:val="left"/>
      <w:lvlText w:val="(%1)"/>
      <w:numFmt w:val="lowerRoman"/>
      <w:start w:val="1"/>
    </w:lvl>
  </w:abstractNum>
  <w:abstractNum w:abstractNumId="477">
    <w:nsid w:val="6F3E5490"/>
    <w:multiLevelType w:val="hybridMultilevel"/>
    <w:lvl w:ilvl="0">
      <w:lvlJc w:val="left"/>
      <w:lvlText w:val="(%1)"/>
      <w:numFmt w:val="lowerLetter"/>
      <w:start w:val="2"/>
    </w:lvl>
  </w:abstractNum>
  <w:abstractNum w:abstractNumId="478">
    <w:nsid w:val="1464BE1E"/>
    <w:multiLevelType w:val="hybridMultilevel"/>
    <w:lvl w:ilvl="0">
      <w:lvlJc w:val="left"/>
      <w:lvlText w:val="(%1)"/>
      <w:numFmt w:val="lowerLetter"/>
      <w:start w:val="1"/>
    </w:lvl>
  </w:abstractNum>
  <w:abstractNum w:abstractNumId="479">
    <w:nsid w:val="66BBB7E5"/>
    <w:multiLevelType w:val="hybridMultilevel"/>
    <w:lvl w:ilvl="0">
      <w:lvlJc w:val="left"/>
      <w:lvlText w:val="(%1)"/>
      <w:numFmt w:val="lowerLetter"/>
      <w:start w:val="1"/>
    </w:lvl>
  </w:abstractNum>
  <w:abstractNum w:abstractNumId="480">
    <w:nsid w:val="28168302"/>
    <w:multiLevelType w:val="hybridMultilevel"/>
    <w:lvl w:ilvl="0">
      <w:lvlJc w:val="left"/>
      <w:lvlText w:val="(%1)"/>
      <w:numFmt w:val="lowerLetter"/>
      <w:start w:val="2"/>
    </w:lvl>
  </w:abstractNum>
  <w:abstractNum w:abstractNumId="481">
    <w:nsid w:val="32A5C7A8"/>
    <w:multiLevelType w:val="hybridMultilevel"/>
    <w:lvl w:ilvl="0">
      <w:lvlJc w:val="left"/>
      <w:lvlText w:val="(%1)"/>
      <w:numFmt w:val="lowerLetter"/>
      <w:start w:val="1"/>
    </w:lvl>
  </w:abstractNum>
  <w:abstractNum w:abstractNumId="482">
    <w:nsid w:val="3A541011"/>
    <w:multiLevelType w:val="hybridMultilevel"/>
    <w:lvl w:ilvl="0">
      <w:lvlJc w:val="left"/>
      <w:lvlText w:val="(%1)"/>
      <w:numFmt w:val="lowerLetter"/>
      <w:start w:val="3"/>
    </w:lvl>
  </w:abstractNum>
  <w:abstractNum w:abstractNumId="483">
    <w:nsid w:val="4423C777"/>
    <w:multiLevelType w:val="hybridMultilevel"/>
    <w:lvl w:ilvl="0">
      <w:lvlJc w:val="left"/>
      <w:lvlText w:val="(%1)"/>
      <w:numFmt w:val="lowerLetter"/>
      <w:start w:val="11"/>
    </w:lvl>
  </w:abstractNum>
  <w:abstractNum w:abstractNumId="484">
    <w:nsid w:val="5F5C6E4D"/>
    <w:multiLevelType w:val="hybridMultilevel"/>
    <w:lvl w:ilvl="0">
      <w:lvlJc w:val="left"/>
      <w:lvlText w:val="(%1)"/>
      <w:numFmt w:val="lowerLetter"/>
      <w:start w:val="1"/>
    </w:lvl>
  </w:abstractNum>
  <w:abstractNum w:abstractNumId="485">
    <w:nsid w:val="7C2A56CD"/>
    <w:multiLevelType w:val="hybridMultilevel"/>
    <w:lvl w:ilvl="0">
      <w:lvlJc w:val="left"/>
      <w:lvlText w:val="(%1)"/>
      <w:numFmt w:val="lowerLetter"/>
      <w:start w:val="7"/>
    </w:lvl>
  </w:abstractNum>
  <w:abstractNum w:abstractNumId="486">
    <w:nsid w:val="7AB86EE1"/>
    <w:multiLevelType w:val="hybridMultilevel"/>
    <w:lvl w:ilvl="0">
      <w:lvlJc w:val="left"/>
      <w:lvlText w:val="(%1)"/>
      <w:numFmt w:val="lowerLetter"/>
      <w:start w:val="19"/>
    </w:lvl>
  </w:abstractNum>
  <w:abstractNum w:abstractNumId="487">
    <w:nsid w:val="B54E53B"/>
    <w:multiLevelType w:val="hybridMultilevel"/>
    <w:lvl w:ilvl="0">
      <w:lvlJc w:val="left"/>
      <w:lvlText w:val="(%1)"/>
      <w:numFmt w:val="lowerLetter"/>
      <w:start w:val="2"/>
    </w:lvl>
  </w:abstractNum>
  <w:abstractNum w:abstractNumId="488">
    <w:nsid w:val="2A00487"/>
    <w:multiLevelType w:val="hybridMultilevel"/>
    <w:lvl w:ilvl="0">
      <w:lvlJc w:val="left"/>
      <w:lvlText w:val="(%1)"/>
      <w:numFmt w:val="lowerLetter"/>
      <w:start w:val="2"/>
    </w:lvl>
  </w:abstractNum>
  <w:abstractNum w:abstractNumId="489">
    <w:nsid w:val="6CB1B60"/>
    <w:multiLevelType w:val="hybridMultilevel"/>
    <w:lvl w:ilvl="0">
      <w:lvlJc w:val="left"/>
      <w:lvlText w:val="(%1)"/>
      <w:numFmt w:val="lowerLetter"/>
      <w:start w:val="1"/>
    </w:lvl>
  </w:abstractNum>
  <w:abstractNum w:abstractNumId="490">
    <w:nsid w:val="72EDD574"/>
    <w:multiLevelType w:val="hybridMultilevel"/>
    <w:lvl w:ilvl="0">
      <w:lvlJc w:val="left"/>
      <w:lvlText w:val="(%1)"/>
      <w:numFmt w:val="lowerLetter"/>
      <w:start w:val="2"/>
    </w:lvl>
  </w:abstractNum>
  <w:abstractNum w:abstractNumId="491">
    <w:nsid w:val="7323808A"/>
    <w:multiLevelType w:val="hybridMultilevel"/>
    <w:lvl w:ilvl="0">
      <w:lvlJc w:val="left"/>
      <w:lvlText w:val="(%1)"/>
      <w:numFmt w:val="lowerLetter"/>
      <w:start w:val="15"/>
    </w:lvl>
  </w:abstractNum>
  <w:abstractNum w:abstractNumId="492">
    <w:nsid w:val="5157276"/>
    <w:multiLevelType w:val="hybridMultilevel"/>
    <w:lvl w:ilvl="0">
      <w:lvlJc w:val="left"/>
      <w:lvlText w:val="(%1)"/>
      <w:numFmt w:val="lowerRoman"/>
      <w:start w:val="1"/>
    </w:lvl>
  </w:abstractNum>
  <w:abstractNum w:abstractNumId="493">
    <w:nsid w:val="35A681DB"/>
    <w:multiLevelType w:val="hybridMultilevel"/>
    <w:lvl w:ilvl="0">
      <w:lvlJc w:val="left"/>
      <w:lvlText w:val="%1."/>
      <w:numFmt w:val="decimal"/>
      <w:start w:val="2"/>
    </w:lvl>
  </w:abstractNum>
  <w:abstractNum w:abstractNumId="494">
    <w:nsid w:val="1786C974"/>
    <w:multiLevelType w:val="hybridMultilevel"/>
    <w:lvl w:ilvl="0">
      <w:lvlJc w:val="left"/>
      <w:lvlText w:val="1"/>
      <w:numFmt w:val="bullet"/>
      <w:start w:val="1"/>
    </w:lvl>
  </w:abstractNum>
  <w:abstractNum w:abstractNumId="495">
    <w:nsid w:val="1C2427A1"/>
    <w:multiLevelType w:val="hybridMultilevel"/>
    <w:lvl w:ilvl="0">
      <w:lvlJc w:val="left"/>
      <w:lvlText w:val="(%1)"/>
      <w:numFmt w:val="lowerRoman"/>
      <w:start w:val="1"/>
    </w:lvl>
  </w:abstractNum>
  <w:abstractNum w:abstractNumId="496">
    <w:nsid w:val="63A24D68"/>
    <w:multiLevelType w:val="hybridMultilevel"/>
    <w:lvl w:ilvl="0">
      <w:lvlJc w:val="left"/>
      <w:lvlText w:val="4"/>
      <w:numFmt w:val="bullet"/>
      <w:start w:val="1"/>
    </w:lvl>
  </w:abstractNum>
  <w:abstractNum w:abstractNumId="497">
    <w:nsid w:val="4FB7A02A"/>
    <w:multiLevelType w:val="hybridMultilevel"/>
    <w:lvl w:ilvl="0">
      <w:lvlJc w:val="left"/>
      <w:lvlText w:val="5"/>
      <w:numFmt w:val="bullet"/>
      <w:start w:val="1"/>
    </w:lvl>
  </w:abstractNum>
  <w:abstractNum w:abstractNumId="498">
    <w:nsid w:val="96CF728"/>
    <w:multiLevelType w:val="hybridMultilevel"/>
    <w:lvl w:ilvl="0">
      <w:lvlJc w:val="left"/>
      <w:lvlText w:val="(%1)"/>
      <w:numFmt w:val="lowerLetter"/>
      <w:start w:val="1"/>
    </w:lvl>
  </w:abstractNum>
  <w:abstractNum w:abstractNumId="499">
    <w:nsid w:val="3B121183"/>
    <w:multiLevelType w:val="hybridMultilevel"/>
    <w:lvl w:ilvl="0">
      <w:lvlJc w:val="left"/>
      <w:lvlText w:val="(%1)"/>
      <w:numFmt w:val="decimal"/>
      <w:start w:val="2"/>
    </w:lvl>
  </w:abstractNum>
  <w:abstractNum w:abstractNumId="500">
    <w:nsid w:val="3459648F"/>
    <w:multiLevelType w:val="hybridMultilevel"/>
    <w:lvl w:ilvl="0">
      <w:lvlJc w:val="left"/>
      <w:lvlText w:val="(%1)"/>
      <w:numFmt w:val="lowerLetter"/>
      <w:start w:val="1"/>
    </w:lvl>
  </w:abstractNum>
  <w:abstractNum w:abstractNumId="501">
    <w:nsid w:val="3ADF331D"/>
    <w:multiLevelType w:val="hybridMultilevel"/>
    <w:lvl w:ilvl="0">
      <w:lvlJc w:val="left"/>
      <w:lvlText w:val="(%1)"/>
      <w:numFmt w:val="lowerLetter"/>
      <w:start w:val="1"/>
    </w:lvl>
    <w:lvl w:ilvl="1">
      <w:lvlJc w:val="left"/>
      <w:lvlText w:val="(%2)"/>
      <w:numFmt w:val="lowerRoman"/>
      <w:start w:val="1"/>
    </w:lvl>
  </w:abstractNum>
  <w:abstractNum w:abstractNumId="502">
    <w:nsid w:val="4D08A9E4"/>
    <w:multiLevelType w:val="hybridMultilevel"/>
    <w:lvl w:ilvl="0">
      <w:lvlJc w:val="left"/>
      <w:lvlText w:val="(%1)"/>
      <w:numFmt w:val="lowerLetter"/>
      <w:start w:val="1"/>
    </w:lvl>
  </w:abstractNum>
  <w:abstractNum w:abstractNumId="503">
    <w:nsid w:val="6AF2BB3A"/>
    <w:multiLevelType w:val="hybridMultilevel"/>
    <w:lvl w:ilvl="0">
      <w:lvlJc w:val="left"/>
      <w:lvlText w:val="(%1)"/>
      <w:numFmt w:val="lowerLetter"/>
      <w:start w:val="5"/>
    </w:lvl>
  </w:abstractNum>
  <w:abstractNum w:abstractNumId="504">
    <w:nsid w:val="481B1739"/>
    <w:multiLevelType w:val="hybridMultilevel"/>
    <w:lvl w:ilvl="0">
      <w:lvlJc w:val="left"/>
      <w:lvlText w:val="%1."/>
      <w:numFmt w:val="decimal"/>
      <w:start w:val="1"/>
    </w:lvl>
  </w:abstractNum>
  <w:abstractNum w:abstractNumId="505">
    <w:nsid w:val="19E2BFCC"/>
    <w:multiLevelType w:val="hybridMultilevel"/>
    <w:lvl w:ilvl="0">
      <w:lvlJc w:val="left"/>
      <w:lvlText w:val="*"/>
      <w:numFmt w:val="bullet"/>
      <w:start w:val="1"/>
    </w:lvl>
  </w:abstractNum>
  <w:abstractNum w:abstractNumId="506">
    <w:nsid w:val="66D021CA"/>
    <w:multiLevelType w:val="hybridMultilevel"/>
    <w:lvl w:ilvl="0">
      <w:lvlJc w:val="left"/>
      <w:lvlText w:val="%1."/>
      <w:numFmt w:val="decimal"/>
      <w:start w:val="2"/>
    </w:lvl>
  </w:abstractNum>
  <w:abstractNum w:abstractNumId="507">
    <w:nsid w:val="56167394"/>
    <w:multiLevelType w:val="hybridMultilevel"/>
    <w:lvl w:ilvl="0">
      <w:lvlJc w:val="left"/>
      <w:lvlText w:val="%1."/>
      <w:numFmt w:val="decimal"/>
      <w:start w:val="3"/>
    </w:lvl>
  </w:abstractNum>
  <w:abstractNum w:abstractNumId="508">
    <w:nsid w:val="921145C"/>
    <w:multiLevelType w:val="hybridMultilevel"/>
    <w:lvl w:ilvl="0">
      <w:lvlJc w:val="left"/>
      <w:lvlText w:val="%1."/>
      <w:numFmt w:val="decimal"/>
      <w:start w:val="4"/>
    </w:lvl>
  </w:abstractNum>
  <w:abstractNum w:abstractNumId="509">
    <w:nsid w:val="7B34DFE8"/>
    <w:multiLevelType w:val="hybridMultilevel"/>
    <w:lvl w:ilvl="0">
      <w:lvlJc w:val="left"/>
      <w:lvlText w:val="%1."/>
      <w:numFmt w:val="decimal"/>
      <w:start w:val="6"/>
    </w:lvl>
  </w:abstractNum>
  <w:abstractNum w:abstractNumId="510">
    <w:nsid w:val="3CD22B79"/>
    <w:multiLevelType w:val="hybridMultilevel"/>
    <w:lvl w:ilvl="0">
      <w:lvlJc w:val="left"/>
      <w:lvlText w:val="(%1)"/>
      <w:numFmt w:val="decimal"/>
      <w:start w:val="1"/>
    </w:lvl>
  </w:abstractNum>
  <w:abstractNum w:abstractNumId="511">
    <w:nsid w:val="3137975E"/>
    <w:multiLevelType w:val="hybridMultilevel"/>
    <w:lvl w:ilvl="0">
      <w:lvlJc w:val="left"/>
      <w:lvlText w:val="(%1)"/>
      <w:numFmt w:val="lowerLetter"/>
      <w:start w:val="1"/>
    </w:lvl>
  </w:abstractNum>
  <w:abstractNum w:abstractNumId="512">
    <w:nsid w:val="2DDAA791"/>
    <w:multiLevelType w:val="hybridMultilevel"/>
    <w:lvl w:ilvl="0">
      <w:lvlJc w:val="left"/>
      <w:lvlText w:val="%1"/>
      <w:numFmt w:val="decimal"/>
      <w:start w:val="1"/>
    </w:lvl>
    <w:lvl w:ilvl="1">
      <w:lvlJc w:val="left"/>
      <w:lvlText w:val="(%2)"/>
      <w:numFmt w:val="lowerLetter"/>
      <w:start w:val="2"/>
    </w:lvl>
  </w:abstractNum>
  <w:abstractNum w:abstractNumId="513">
    <w:nsid w:val="77263B8A"/>
    <w:multiLevelType w:val="hybridMultilevel"/>
    <w:lvl w:ilvl="0">
      <w:lvlJc w:val="left"/>
      <w:lvlText w:val="(%1)"/>
      <w:numFmt w:val="decimal"/>
      <w:start w:val="20"/>
    </w:lvl>
    <w:lvl w:ilvl="1">
      <w:lvlJc w:val="left"/>
      <w:lvlText w:val="(%2)"/>
      <w:numFmt w:val="lowerLetter"/>
      <w:start w:val="3"/>
    </w:lvl>
  </w:abstractNum>
  <w:abstractNum w:abstractNumId="514">
    <w:nsid w:val="755B5ED6"/>
    <w:multiLevelType w:val="hybridMultilevel"/>
    <w:lvl w:ilvl="0">
      <w:lvlJc w:val="left"/>
      <w:lvlText w:val="(%1)"/>
      <w:numFmt w:val="lowerRoman"/>
      <w:start w:val="4"/>
    </w:lvl>
  </w:abstractNum>
  <w:abstractNum w:abstractNumId="515">
    <w:nsid w:val="D3715DE"/>
    <w:multiLevelType w:val="hybridMultilevel"/>
    <w:lvl w:ilvl="0">
      <w:lvlJc w:val="left"/>
      <w:lvlText w:val="(%1)"/>
      <w:numFmt w:val="lowerRoman"/>
      <w:start w:val="1"/>
    </w:lvl>
  </w:abstractNum>
  <w:abstractNum w:abstractNumId="516">
    <w:nsid w:val="73509257"/>
    <w:multiLevelType w:val="hybridMultilevel"/>
    <w:lvl w:ilvl="0">
      <w:lvlJc w:val="left"/>
      <w:lvlText w:val="%1."/>
      <w:numFmt w:val="decimal"/>
      <w:start w:val="9"/>
    </w:lvl>
  </w:abstractNum>
  <w:abstractNum w:abstractNumId="517">
    <w:nsid w:val="7013CDB7"/>
    <w:multiLevelType w:val="hybridMultilevel"/>
    <w:lvl w:ilvl="0">
      <w:lvlJc w:val="left"/>
      <w:lvlText w:val="(%1)"/>
      <w:numFmt w:val="decimal"/>
      <w:start w:val="12"/>
    </w:lvl>
  </w:abstractNum>
  <w:abstractNum w:abstractNumId="518">
    <w:nsid w:val="188BFB19"/>
    <w:multiLevelType w:val="hybridMultilevel"/>
    <w:lvl w:ilvl="0">
      <w:lvlJc w:val="left"/>
      <w:lvlText w:val="%1."/>
      <w:numFmt w:val="decimal"/>
      <w:start w:val="11"/>
    </w:lvl>
  </w:abstractNum>
  <w:abstractNum w:abstractNumId="519">
    <w:nsid w:val="75F096DF"/>
    <w:multiLevelType w:val="hybridMultilevel"/>
    <w:lvl w:ilvl="0">
      <w:lvlJc w:val="left"/>
      <w:lvlText w:val="%1."/>
      <w:numFmt w:val="decimal"/>
      <w:start w:val="12"/>
    </w:lvl>
  </w:abstractNum>
  <w:abstractNum w:abstractNumId="520">
    <w:nsid w:val="76DEE918"/>
    <w:multiLevelType w:val="hybridMultilevel"/>
    <w:lvl w:ilvl="0">
      <w:lvlJc w:val="left"/>
      <w:lvlText w:val="(%1)"/>
      <w:numFmt w:val="upperLetter"/>
      <w:start w:val="1"/>
    </w:lvl>
  </w:abstractNum>
  <w:abstractNum w:abstractNumId="521">
    <w:nsid w:val="B79D08D"/>
    <w:multiLevelType w:val="hybridMultilevel"/>
    <w:lvl w:ilvl="0">
      <w:lvlJc w:val="left"/>
      <w:lvlText w:val="%1."/>
      <w:numFmt w:val="decimal"/>
      <w:start w:val="13"/>
    </w:lvl>
  </w:abstractNum>
  <w:abstractNum w:abstractNumId="522">
    <w:nsid w:val="69141769"/>
    <w:multiLevelType w:val="hybridMultilevel"/>
    <w:lvl w:ilvl="0">
      <w:lvlJc w:val="left"/>
      <w:lvlText w:val="%1."/>
      <w:numFmt w:val="decimal"/>
      <w:start w:val="14"/>
    </w:lvl>
  </w:abstractNum>
  <w:abstractNum w:abstractNumId="523">
    <w:nsid w:val="7BF45B8E"/>
    <w:multiLevelType w:val="hybridMultilevel"/>
    <w:lvl w:ilvl="0">
      <w:lvlJc w:val="left"/>
      <w:lvlText w:val="(%1)"/>
      <w:numFmt w:val="lowerLetter"/>
      <w:start w:val="1"/>
    </w:lvl>
  </w:abstractNum>
  <w:abstractNum w:abstractNumId="524">
    <w:nsid w:val="41205269"/>
    <w:multiLevelType w:val="hybridMultilevel"/>
    <w:lvl w:ilvl="0">
      <w:lvlJc w:val="left"/>
      <w:lvlText w:val="(%1)"/>
      <w:numFmt w:val="lowerLetter"/>
      <w:start w:val="2"/>
    </w:lvl>
  </w:abstractNum>
  <w:abstractNum w:abstractNumId="525">
    <w:nsid w:val="9AE0DD"/>
    <w:multiLevelType w:val="hybridMultilevel"/>
    <w:lvl w:ilvl="0">
      <w:lvlJc w:val="left"/>
      <w:lvlText w:val="(%1)"/>
      <w:numFmt w:val="lowerLetter"/>
      <w:start w:val="3"/>
    </w:lvl>
  </w:abstractNum>
  <w:abstractNum w:abstractNumId="526">
    <w:nsid w:val="1818832F"/>
    <w:multiLevelType w:val="hybridMultilevel"/>
    <w:lvl w:ilvl="0">
      <w:lvlJc w:val="left"/>
      <w:lvlText w:val="%1."/>
      <w:numFmt w:val="decimal"/>
      <w:start w:val="16"/>
    </w:lvl>
  </w:abstractNum>
  <w:abstractNum w:abstractNumId="527">
    <w:nsid w:val="24C29FD1"/>
    <w:multiLevelType w:val="hybridMultilevel"/>
    <w:lvl w:ilvl="0">
      <w:lvlJc w:val="left"/>
      <w:lvlText w:val="%1."/>
      <w:numFmt w:val="decimal"/>
      <w:start w:val="17"/>
    </w:lvl>
  </w:abstractNum>
  <w:abstractNum w:abstractNumId="528">
    <w:nsid w:val="50528108"/>
    <w:multiLevelType w:val="hybridMultilevel"/>
    <w:lvl w:ilvl="0">
      <w:lvlJc w:val="left"/>
      <w:lvlText w:val="(%1)"/>
      <w:numFmt w:val="lowerLetter"/>
      <w:start w:val="1"/>
    </w:lvl>
    <w:lvl w:ilvl="1">
      <w:lvlJc w:val="left"/>
      <w:lvlText w:val="(%2)"/>
      <w:numFmt w:val="lowerRoman"/>
      <w:start w:val="1"/>
    </w:lvl>
  </w:abstractNum>
  <w:abstractNum w:abstractNumId="529">
    <w:nsid w:val="21857A57"/>
    <w:multiLevelType w:val="hybridMultilevel"/>
    <w:lvl w:ilvl="0">
      <w:lvlJc w:val="left"/>
      <w:lvlText w:val="(%1)"/>
      <w:numFmt w:val="lowerLetter"/>
      <w:start w:val="2"/>
    </w:lvl>
  </w:abstractNum>
  <w:abstractNum w:abstractNumId="530">
    <w:nsid w:val="5FD4B154"/>
    <w:multiLevelType w:val="hybridMultilevel"/>
    <w:lvl w:ilvl="0">
      <w:lvlJc w:val="left"/>
      <w:lvlText w:val="%1."/>
      <w:numFmt w:val="decimal"/>
      <w:start w:val="22"/>
    </w:lvl>
  </w:abstractNum>
  <w:abstractNum w:abstractNumId="531">
    <w:nsid w:val="4ABE597"/>
    <w:multiLevelType w:val="hybridMultilevel"/>
    <w:lvl w:ilvl="0">
      <w:lvlJc w:val="left"/>
      <w:lvlText w:val="%1."/>
      <w:numFmt w:val="decimal"/>
      <w:start w:val="26"/>
    </w:lvl>
  </w:abstractNum>
  <w:abstractNum w:abstractNumId="532">
    <w:nsid w:val="5C64AD75"/>
    <w:multiLevelType w:val="hybridMultilevel"/>
    <w:lvl w:ilvl="0">
      <w:lvlJc w:val="left"/>
      <w:lvlText w:val="%1."/>
      <w:numFmt w:val="decimal"/>
      <w:start w:val="30"/>
    </w:lvl>
  </w:abstractNum>
  <w:abstractNum w:abstractNumId="533">
    <w:nsid w:val="2CDD5B39"/>
    <w:multiLevelType w:val="hybridMultilevel"/>
    <w:lvl w:ilvl="0">
      <w:lvlJc w:val="left"/>
      <w:lvlText w:val="%1."/>
      <w:numFmt w:val="decimal"/>
      <w:start w:val="33"/>
    </w:lvl>
  </w:abstractNum>
  <w:abstractNum w:abstractNumId="534">
    <w:nsid w:val="6F9EA0D1"/>
    <w:multiLevelType w:val="hybridMultilevel"/>
    <w:lvl w:ilvl="0">
      <w:lvlJc w:val="left"/>
      <w:lvlText w:val="%1."/>
      <w:numFmt w:val="decimal"/>
      <w:start w:val="1"/>
    </w:lvl>
  </w:abstractNum>
  <w:abstractNum w:abstractNumId="535">
    <w:nsid w:val="247FC4AE"/>
    <w:multiLevelType w:val="hybridMultilevel"/>
    <w:lvl w:ilvl="0">
      <w:lvlJc w:val="left"/>
      <w:lvlText w:val="(%1)"/>
      <w:numFmt w:val="lowerLetter"/>
      <w:start w:val="6"/>
    </w:lvl>
  </w:abstractNum>
  <w:abstractNum w:abstractNumId="536">
    <w:nsid w:val="46C01B05"/>
    <w:multiLevelType w:val="hybridMultilevel"/>
    <w:lvl w:ilvl="0">
      <w:lvlJc w:val="left"/>
      <w:lvlText w:val="(%1)"/>
      <w:numFmt w:val="lowerLetter"/>
      <w:start w:val="13"/>
    </w:lvl>
    <w:lvl w:ilvl="1">
      <w:lvlJc w:val="left"/>
      <w:lvlText w:val="%2."/>
      <w:numFmt w:val="decimal"/>
      <w:start w:val="2"/>
    </w:lvl>
  </w:abstractNum>
  <w:abstractNum w:abstractNumId="537">
    <w:nsid w:val="566EC29B"/>
    <w:multiLevelType w:val="hybridMultilevel"/>
    <w:lvl w:ilvl="0">
      <w:lvlJc w:val="left"/>
      <w:lvlText w:val="%1."/>
      <w:numFmt w:val="decimal"/>
      <w:start w:val="1"/>
    </w:lvl>
  </w:abstractNum>
  <w:abstractNum w:abstractNumId="538">
    <w:nsid w:val="7A963843"/>
    <w:multiLevelType w:val="hybridMultilevel"/>
    <w:lvl w:ilvl="0">
      <w:lvlJc w:val="left"/>
      <w:lvlText w:val="%1."/>
      <w:numFmt w:val="decimal"/>
      <w:start w:val="6"/>
    </w:lvl>
    <w:lvl w:ilvl="1">
      <w:lvlJc w:val="left"/>
      <w:lvlText w:val="%2."/>
      <w:numFmt w:val="lowerLetter"/>
      <w:start w:val="1"/>
    </w:lvl>
  </w:abstractNum>
  <w:abstractNum w:abstractNumId="539">
    <w:nsid w:val="4FE12F61"/>
    <w:multiLevelType w:val="hybridMultilevel"/>
    <w:lvl w:ilvl="0">
      <w:lvlJc w:val="left"/>
      <w:lvlText w:val="%1."/>
      <w:numFmt w:val="lowerLetter"/>
      <w:start w:val="3"/>
    </w:lvl>
  </w:abstractNum>
  <w:abstractNum w:abstractNumId="540">
    <w:nsid w:val="51A3A284"/>
    <w:multiLevelType w:val="hybridMultilevel"/>
    <w:lvl w:ilvl="0">
      <w:lvlJc w:val="left"/>
      <w:lvlText w:val="%1."/>
      <w:numFmt w:val="decimal"/>
      <w:start w:val="9"/>
    </w:lvl>
  </w:abstractNum>
  <w:abstractNum w:abstractNumId="541">
    <w:nsid w:val="376863BC"/>
    <w:multiLevelType w:val="hybridMultilevel"/>
    <w:lvl w:ilvl="0">
      <w:lvlJc w:val="left"/>
      <w:lvlText w:val="%1."/>
      <w:numFmt w:val="decimal"/>
      <w:start w:val="1"/>
    </w:lvl>
  </w:abstractNum>
  <w:abstractNum w:abstractNumId="542">
    <w:nsid w:val="118C6C0"/>
    <w:multiLevelType w:val="hybridMultilevel"/>
    <w:lvl w:ilvl="0">
      <w:lvlJc w:val="left"/>
      <w:lvlText w:val="%1."/>
      <w:numFmt w:val="decimal"/>
      <w:start w:val="8"/>
    </w:lvl>
  </w:abstractNum>
  <w:abstractNum w:abstractNumId="543">
    <w:nsid w:val="7F7E4A15"/>
    <w:multiLevelType w:val="hybridMultilevel"/>
    <w:lvl w:ilvl="0">
      <w:lvlJc w:val="left"/>
      <w:lvlText w:val="%1."/>
      <w:numFmt w:val="decimal"/>
      <w:start w:val="19"/>
    </w:lvl>
  </w:abstractNum>
  <w:abstractNum w:abstractNumId="544">
    <w:nsid w:val="2E8E9F47"/>
    <w:multiLevelType w:val="hybridMultilevel"/>
    <w:lvl w:ilvl="0">
      <w:lvlJc w:val="left"/>
      <w:lvlText w:val="(%1)"/>
      <w:numFmt w:val="lowerRoman"/>
      <w:start w:val="1"/>
    </w:lvl>
    <w:lvl w:ilvl="1">
      <w:lvlJc w:val="left"/>
      <w:lvlText w:val="(%2)"/>
      <w:numFmt w:val="lowerLetter"/>
      <w:start w:val="1"/>
    </w:lvl>
  </w:abstractNum>
  <w:abstractNum w:abstractNumId="545">
    <w:nsid w:val="76742596"/>
    <w:multiLevelType w:val="hybridMultilevel"/>
    <w:lvl w:ilvl="0">
      <w:lvlJc w:val="left"/>
      <w:lvlText w:val="(%1)"/>
      <w:numFmt w:val="lowerRoman"/>
      <w:start w:val="9"/>
    </w:lvl>
  </w:abstractNum>
  <w:abstractNum w:abstractNumId="546">
    <w:nsid w:val="CB55FF3"/>
    <w:multiLevelType w:val="hybridMultilevel"/>
    <w:lvl w:ilvl="0">
      <w:lvlJc w:val="left"/>
      <w:lvlText w:val="%1."/>
      <w:numFmt w:val="decimal"/>
      <w:start w:val="1"/>
    </w:lvl>
  </w:abstractNum>
  <w:abstractNum w:abstractNumId="547">
    <w:nsid w:val="21DF319E"/>
    <w:multiLevelType w:val="hybridMultilevel"/>
    <w:lvl w:ilvl="0">
      <w:lvlJc w:val="left"/>
      <w:lvlText w:val="%1)"/>
      <w:numFmt w:val="decimal"/>
      <w:start w:val="2"/>
    </w:lvl>
  </w:abstractNum>
  <w:abstractNum w:abstractNumId="548">
    <w:nsid w:val="6687F34D"/>
    <w:multiLevelType w:val="hybridMultilevel"/>
    <w:lvl w:ilvl="0">
      <w:lvlJc w:val="left"/>
      <w:lvlText w:val="%1)"/>
      <w:numFmt w:val="decimal"/>
      <w:start w:val="5"/>
    </w:lvl>
  </w:abstractNum>
  <w:abstractNum w:abstractNumId="549">
    <w:nsid w:val="25415B0C"/>
    <w:multiLevelType w:val="hybridMultilevel"/>
    <w:lvl w:ilvl="0">
      <w:lvlJc w:val="left"/>
      <w:lvlText w:val="%1"/>
      <w:numFmt w:val="decimal"/>
      <w:start w:val="1"/>
    </w:lvl>
    <w:lvl w:ilvl="1">
      <w:lvlJc w:val="left"/>
      <w:lvlText w:val="%2."/>
      <w:numFmt w:val="decimal"/>
      <w:start w:val="1"/>
    </w:lvl>
  </w:abstractNum>
  <w:abstractNum w:abstractNumId="550">
    <w:nsid w:val="17CFC87D"/>
    <w:multiLevelType w:val="hybridMultilevel"/>
    <w:lvl w:ilvl="0">
      <w:lvlJc w:val="left"/>
      <w:lvlText w:val="(%1)"/>
      <w:numFmt w:val="decimal"/>
      <w:start w:val="5"/>
    </w:lvl>
    <w:lvl w:ilvl="1">
      <w:lvlJc w:val="left"/>
      <w:lvlText w:val="%2."/>
      <w:numFmt w:val="decimal"/>
      <w:start w:val="2"/>
    </w:lvl>
  </w:abstractNum>
  <w:abstractNum w:abstractNumId="551">
    <w:nsid w:val="5D66DC65"/>
    <w:multiLevelType w:val="hybridMultilevel"/>
    <w:lvl w:ilvl="0">
      <w:lvlJc w:val="left"/>
      <w:lvlText w:val="%1"/>
      <w:numFmt w:val="decimal"/>
      <w:start w:val="1"/>
    </w:lvl>
    <w:lvl w:ilvl="1">
      <w:lvlJc w:val="left"/>
      <w:lvlText w:val="%2."/>
      <w:numFmt w:val="decimal"/>
      <w:start w:val="1"/>
    </w:lvl>
  </w:abstractNum>
  <w:abstractNum w:abstractNumId="552">
    <w:nsid w:val="30BB2B99"/>
    <w:multiLevelType w:val="hybridMultilevel"/>
    <w:lvl w:ilvl="0">
      <w:lvlJc w:val="left"/>
      <w:lvlText w:val="(%1)"/>
      <w:numFmt w:val="decimal"/>
      <w:start w:val="10"/>
    </w:lvl>
    <w:lvl w:ilvl="1">
      <w:lvlJc w:val="left"/>
      <w:lvlText w:val="%2"/>
      <w:numFmt w:val="decimal"/>
      <w:start w:val="1"/>
    </w:lvl>
  </w:abstractNum>
  <w:abstractNum w:abstractNumId="553">
    <w:nsid w:val="E3DFE6"/>
    <w:multiLevelType w:val="hybridMultilevel"/>
    <w:lvl w:ilvl="0">
      <w:lvlJc w:val="left"/>
      <w:lvlText w:val="(%1)"/>
      <w:numFmt w:val="lowerLetter"/>
      <w:start w:val="2"/>
    </w:lvl>
  </w:abstractNum>
  <w:abstractNum w:abstractNumId="554">
    <w:nsid w:val="595B37F3"/>
    <w:multiLevelType w:val="hybridMultilevel"/>
    <w:lvl w:ilvl="0">
      <w:lvlJc w:val="left"/>
      <w:lvlText w:val="•"/>
      <w:numFmt w:val="bullet"/>
      <w:start w:val="1"/>
    </w:lvl>
    <w:lvl w:ilvl="1">
      <w:lvlJc w:val="left"/>
      <w:lvlText w:val="(%2)"/>
      <w:numFmt w:val="lowerLetter"/>
      <w:start w:val="1"/>
    </w:lvl>
  </w:abstractNum>
  <w:abstractNum w:abstractNumId="555">
    <w:nsid w:val="71DB7E02"/>
    <w:multiLevelType w:val="hybridMultilevel"/>
    <w:lvl w:ilvl="0">
      <w:lvlJc w:val="left"/>
      <w:lvlText w:val="•"/>
      <w:numFmt w:val="bullet"/>
      <w:start w:val="1"/>
    </w:lvl>
    <w:lvl w:ilvl="1">
      <w:lvlJc w:val="left"/>
      <w:lvlText w:val="(%2)"/>
      <w:numFmt w:val="lowerLetter"/>
      <w:start w:val="2"/>
    </w:lvl>
  </w:abstractNum>
  <w:abstractNum w:abstractNumId="556">
    <w:nsid w:val="17EC0C4"/>
    <w:multiLevelType w:val="hybridMultilevel"/>
    <w:lvl w:ilvl="0">
      <w:lvlJc w:val="left"/>
      <w:lvlText w:val="%1."/>
      <w:numFmt w:val="decimal"/>
      <w:start w:val="1"/>
    </w:lvl>
  </w:abstractNum>
  <w:abstractNum w:abstractNumId="557">
    <w:nsid w:val="7173BB22"/>
    <w:multiLevelType w:val="hybridMultilevel"/>
    <w:lvl w:ilvl="0">
      <w:lvlJc w:val="left"/>
      <w:lvlText w:val="%1."/>
      <w:numFmt w:val="decimal"/>
      <w:start w:val="3"/>
    </w:lvl>
  </w:abstractNum>
  <w:abstractNum w:abstractNumId="558">
    <w:nsid w:val="169E1DD3"/>
    <w:multiLevelType w:val="hybridMultilevel"/>
    <w:lvl w:ilvl="0">
      <w:lvlJc w:val="left"/>
      <w:lvlText w:val="%1."/>
      <w:numFmt w:val="decimal"/>
      <w:start w:val="4"/>
    </w:lvl>
  </w:abstractNum>
  <w:abstractNum w:abstractNumId="559">
    <w:nsid w:val="51D141C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2019-12-07T15:54:00Z</dcterms:created>
  <dcterms:modified xsi:type="dcterms:W3CDTF">2019-12-07T15:54:00Z</dcterms:modified>
</cp:coreProperties>
</file>