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11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Pisetsky Michael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04/02/2025</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385"/>
        <w:spacing w:after="0"/>
        <w:rPr>
          <w:sz w:val="20"/>
          <w:szCs w:val="20"/>
          <w:color w:val="auto"/>
        </w:rPr>
      </w:pPr>
      <w:r>
        <w:rPr>
          <w:rFonts w:ascii="Times New Roman" w:cs="Times New Roman" w:eastAsia="Times New Roman" w:hAnsi="Times New Roman"/>
          <w:sz w:val="17"/>
          <w:szCs w:val="17"/>
          <w:color w:val="0000FF"/>
        </w:rPr>
        <w:t>SVP, Ops &amp; Adm/Chief Legal Ofr</w:t>
      </w:r>
    </w:p>
    <w:p>
      <w:pPr>
        <w:spacing w:after="0" w:line="562" w:lineRule="exact"/>
        <w:rPr>
          <w:sz w:val="24"/>
          <w:szCs w:val="24"/>
          <w:color w:val="auto"/>
        </w:rPr>
      </w:pPr>
    </w:p>
    <w:p>
      <w:pPr>
        <w:sectPr>
          <w:pgSz w:w="11900" w:h="16838" w:orient="portrait"/>
          <w:cols w:equalWidth="0" w:num="3">
            <w:col w:w="3200" w:space="720"/>
            <w:col w:w="3095" w:space="720"/>
            <w:col w:w="3265"/>
          </w:cols>
          <w:pgMar w:left="460" w:top="219" w:right="439" w:bottom="1113"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shd w:val="clear" w:color="auto" w:fill="9A9A9A"/>
          </w:tcPr>
          <w:p>
            <w:pPr>
              <w:spacing w:after="0"/>
              <w:rPr>
                <w:sz w:val="3"/>
                <w:szCs w:val="3"/>
                <w:color w:val="auto"/>
              </w:rPr>
            </w:pPr>
          </w:p>
        </w:tc>
        <w:tc>
          <w:tcPr>
            <w:tcW w:w="740" w:type="dxa"/>
            <w:vAlign w:val="bottom"/>
            <w:shd w:val="clear" w:color="auto" w:fill="9A9A9A"/>
          </w:tcPr>
          <w:p>
            <w:pPr>
              <w:spacing w:after="0"/>
              <w:rPr>
                <w:sz w:val="3"/>
                <w:szCs w:val="3"/>
                <w:color w:val="auto"/>
              </w:rPr>
            </w:pPr>
          </w:p>
        </w:tc>
        <w:tc>
          <w:tcPr>
            <w:tcW w:w="1760" w:type="dxa"/>
            <w:vAlign w:val="bottom"/>
            <w:shd w:val="clear" w:color="auto" w:fill="9A9A9A"/>
          </w:tcPr>
          <w:p>
            <w:pPr>
              <w:spacing w:after="0"/>
              <w:rPr>
                <w:sz w:val="3"/>
                <w:szCs w:val="3"/>
                <w:color w:val="auto"/>
              </w:rPr>
            </w:pPr>
          </w:p>
        </w:tc>
        <w:tc>
          <w:tcPr>
            <w:tcW w:w="35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540" w:type="dxa"/>
            <w:vAlign w:val="bottom"/>
            <w:gridSpan w:val="5"/>
            <w:vMerge w:val="continue"/>
          </w:tcPr>
          <w:p>
            <w:pPr>
              <w:spacing w:after="0"/>
              <w:rPr>
                <w:sz w:val="9"/>
                <w:szCs w:val="9"/>
                <w:color w:val="auto"/>
              </w:rPr>
            </w:pPr>
          </w:p>
        </w:tc>
        <w:tc>
          <w:tcPr>
            <w:tcW w:w="36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95050</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20" w:type="dxa"/>
            <w:vAlign w:val="bottom"/>
            <w:gridSpan w:val="4"/>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2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ind w:left="80"/>
              <w:spacing w:after="0"/>
              <w:rPr>
                <w:sz w:val="20"/>
                <w:szCs w:val="20"/>
                <w:color w:val="auto"/>
              </w:rPr>
            </w:pPr>
            <w:r>
              <w:rPr>
                <w:rFonts w:ascii="Arial" w:cs="Arial" w:eastAsia="Arial" w:hAnsi="Arial"/>
                <w:sz w:val="13"/>
                <w:szCs w:val="13"/>
                <w:color w:val="auto"/>
              </w:rPr>
              <w:t>(State)</w:t>
            </w:r>
          </w:p>
        </w:tc>
        <w:tc>
          <w:tcPr>
            <w:tcW w:w="2040" w:type="dxa"/>
            <w:vAlign w:val="bottom"/>
            <w:gridSpan w:val="2"/>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40" w:type="dxa"/>
            <w:vAlign w:val="bottom"/>
            <w:tcBorders>
              <w:bottom w:val="single" w:sz="8" w:color="2C2C2C"/>
            </w:tcBorders>
            <w:gridSpan w:val="7"/>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4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4"/>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jc w:val="center"/>
              <w:ind w:left="864"/>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4"/>
              <w:spacing w:after="0"/>
              <w:rPr>
                <w:sz w:val="20"/>
                <w:szCs w:val="20"/>
                <w:color w:val="auto"/>
              </w:rPr>
            </w:pPr>
            <w:r>
              <w:rPr>
                <w:rFonts w:ascii="Times New Roman" w:cs="Times New Roman" w:eastAsia="Times New Roman" w:hAnsi="Times New Roman"/>
                <w:sz w:val="17"/>
                <w:szCs w:val="17"/>
                <w:color w:val="0000FF"/>
              </w:rPr>
              <w:t>04/02/2025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34</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13.86</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247,972</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4"/>
              <w:spacing w:after="0"/>
              <w:rPr>
                <w:sz w:val="20"/>
                <w:szCs w:val="20"/>
                <w:color w:val="auto"/>
              </w:rPr>
            </w:pPr>
            <w:r>
              <w:rPr>
                <w:rFonts w:ascii="Times New Roman" w:cs="Times New Roman" w:eastAsia="Times New Roman" w:hAnsi="Times New Roman"/>
                <w:sz w:val="17"/>
                <w:szCs w:val="17"/>
                <w:color w:val="0000FF"/>
              </w:rPr>
              <w:t>04/02/2025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1,299</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ind w:right="4"/>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14.0917</w:t>
            </w:r>
            <w:r>
              <w:rPr>
                <w:rFonts w:ascii="Times New Roman" w:cs="Times New Roman" w:eastAsia="Times New Roman" w:hAnsi="Times New Roman"/>
                <w:sz w:val="22"/>
                <w:szCs w:val="22"/>
                <w:color w:val="008000"/>
                <w:w w:val="95"/>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246,673</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4"/>
              <w:spacing w:after="0"/>
              <w:rPr>
                <w:sz w:val="20"/>
                <w:szCs w:val="20"/>
                <w:color w:val="auto"/>
              </w:rPr>
            </w:pPr>
            <w:r>
              <w:rPr>
                <w:rFonts w:ascii="Times New Roman" w:cs="Times New Roman" w:eastAsia="Times New Roman" w:hAnsi="Times New Roman"/>
                <w:sz w:val="17"/>
                <w:szCs w:val="17"/>
                <w:color w:val="0000FF"/>
              </w:rPr>
              <w:t>04/02/2025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1,795</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ind w:right="4"/>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14.1742</w:t>
            </w:r>
            <w:r>
              <w:rPr>
                <w:rFonts w:ascii="Times New Roman" w:cs="Times New Roman" w:eastAsia="Times New Roman" w:hAnsi="Times New Roman"/>
                <w:sz w:val="22"/>
                <w:szCs w:val="22"/>
                <w:color w:val="008000"/>
                <w:w w:val="95"/>
                <w:vertAlign w:val="superscript"/>
              </w:rPr>
              <w:t>(3)</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244,878</w:t>
            </w:r>
            <w:r>
              <w:rPr>
                <w:rFonts w:ascii="Times New Roman" w:cs="Times New Roman" w:eastAsia="Times New Roman" w:hAnsi="Times New Roman"/>
                <w:sz w:val="22"/>
                <w:szCs w:val="22"/>
                <w:color w:val="008000"/>
                <w:w w:val="96"/>
                <w:vertAlign w:val="superscript"/>
              </w:rPr>
              <w:t>(4)</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$13.84 USD to $14.28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$13.785 USD to $14.37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157,982 shares issuable on the settlement of restricted stock units granted to the Reporting Person. Each restricted stock unit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A. Pisetsky</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04/04/2025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1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54765"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2025-04-04T16:21:18Z</dcterms:created>
  <dcterms:modified xsi:type="dcterms:W3CDTF">2025-04-04T16:21:18Z</dcterms:modified>
</cp:coreProperties>
</file>