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ind w:left="29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FORM 8-K</w:t>
      </w:r>
    </w:p>
    <w:p>
      <w:pPr>
        <w:ind w:left="29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20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Date of report (Date of earliest event reported): March 7, 2019</w:t>
      </w:r>
    </w:p>
    <w:p>
      <w:pPr>
        <w:spacing w:after="0" w:line="12"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SI-BONE, INC.</w:t>
      </w:r>
    </w:p>
    <w:p>
      <w:pPr>
        <w:spacing w:after="0" w:line="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ind w:left="29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tbl>
      <w:tblPr>
        <w:tblLayout w:type="fixed"/>
        <w:tblInd w:w="740" w:type="dxa"/>
        <w:tblCellMar>
          <w:top w:w="0" w:type="dxa"/>
          <w:left w:w="0" w:type="dxa"/>
          <w:bottom w:w="0" w:type="dxa"/>
          <w:right w:w="0" w:type="dxa"/>
        </w:tblCellMar>
      </w:tblPr>
      <w:tr>
        <w:trPr>
          <w:trHeight w:val="212"/>
        </w:trPr>
        <w:tc>
          <w:tcPr>
            <w:tcW w:w="2400" w:type="dxa"/>
            <w:vAlign w:val="bottom"/>
            <w:vMerge w:val="restart"/>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26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001-38701</w:t>
            </w:r>
          </w:p>
        </w:tc>
        <w:tc>
          <w:tcPr>
            <w:tcW w:w="17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26-2216351</w:t>
            </w:r>
          </w:p>
        </w:tc>
        <w:tc>
          <w:tcPr>
            <w:tcW w:w="0" w:type="dxa"/>
            <w:vAlign w:val="bottom"/>
          </w:tcPr>
          <w:p>
            <w:pPr>
              <w:spacing w:after="0"/>
              <w:rPr>
                <w:sz w:val="1"/>
                <w:szCs w:val="1"/>
                <w:color w:val="auto"/>
              </w:rPr>
            </w:pPr>
          </w:p>
        </w:tc>
      </w:tr>
      <w:tr>
        <w:trPr>
          <w:trHeight w:val="203"/>
        </w:trPr>
        <w:tc>
          <w:tcPr>
            <w:tcW w:w="2400" w:type="dxa"/>
            <w:vAlign w:val="bottom"/>
            <w:vMerge w:val="continue"/>
          </w:tcPr>
          <w:p>
            <w:pPr>
              <w:spacing w:after="0"/>
              <w:rPr>
                <w:sz w:val="17"/>
                <w:szCs w:val="17"/>
                <w:color w:val="auto"/>
              </w:rPr>
            </w:pPr>
          </w:p>
        </w:tc>
        <w:tc>
          <w:tcPr>
            <w:tcW w:w="526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40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526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9"/>
              </w:rPr>
              <w:t>(Commission</w:t>
            </w:r>
          </w:p>
        </w:tc>
        <w:tc>
          <w:tcPr>
            <w:tcW w:w="17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210"/>
        </w:trPr>
        <w:tc>
          <w:tcPr>
            <w:tcW w:w="240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2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File Number)</w:t>
            </w:r>
          </w:p>
        </w:tc>
        <w:tc>
          <w:tcPr>
            <w:tcW w:w="17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rPr>
              <w:t>Identification No.)</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52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471 El Camino Real</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00" w:type="dxa"/>
            <w:vAlign w:val="bottom"/>
          </w:tcPr>
          <w:p>
            <w:pPr>
              <w:spacing w:after="0"/>
              <w:rPr>
                <w:sz w:val="16"/>
                <w:szCs w:val="16"/>
                <w:color w:val="auto"/>
              </w:rPr>
            </w:pPr>
          </w:p>
        </w:tc>
        <w:tc>
          <w:tcPr>
            <w:tcW w:w="52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Suite 101</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00" w:type="dxa"/>
            <w:vAlign w:val="bottom"/>
          </w:tcPr>
          <w:p>
            <w:pPr>
              <w:spacing w:after="0"/>
              <w:rPr>
                <w:sz w:val="16"/>
                <w:szCs w:val="16"/>
                <w:color w:val="auto"/>
              </w:rPr>
            </w:pPr>
          </w:p>
        </w:tc>
        <w:tc>
          <w:tcPr>
            <w:tcW w:w="52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Santa Clara, CA 95050</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00" w:type="dxa"/>
            <w:vAlign w:val="bottom"/>
          </w:tcPr>
          <w:p>
            <w:pPr>
              <w:spacing w:after="0"/>
              <w:rPr>
                <w:sz w:val="18"/>
                <w:szCs w:val="18"/>
                <w:color w:val="auto"/>
              </w:rPr>
            </w:pPr>
          </w:p>
        </w:tc>
        <w:tc>
          <w:tcPr>
            <w:tcW w:w="52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2400" w:type="dxa"/>
            <w:vAlign w:val="bottom"/>
          </w:tcPr>
          <w:p>
            <w:pPr>
              <w:spacing w:after="0"/>
              <w:rPr>
                <w:sz w:val="24"/>
                <w:szCs w:val="24"/>
                <w:color w:val="auto"/>
              </w:rPr>
            </w:pPr>
          </w:p>
        </w:tc>
        <w:tc>
          <w:tcPr>
            <w:tcW w:w="52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(408) 207-0700</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00" w:type="dxa"/>
            <w:vAlign w:val="bottom"/>
          </w:tcPr>
          <w:p>
            <w:pPr>
              <w:spacing w:after="0"/>
              <w:rPr>
                <w:sz w:val="18"/>
                <w:szCs w:val="18"/>
                <w:color w:val="auto"/>
              </w:rPr>
            </w:pPr>
          </w:p>
        </w:tc>
        <w:tc>
          <w:tcPr>
            <w:tcW w:w="52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(Registrant’s telephone number, include area code)</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2400" w:type="dxa"/>
            <w:vAlign w:val="bottom"/>
          </w:tcPr>
          <w:p>
            <w:pPr>
              <w:spacing w:after="0"/>
              <w:rPr>
                <w:sz w:val="24"/>
                <w:szCs w:val="24"/>
                <w:color w:val="auto"/>
              </w:rPr>
            </w:pPr>
          </w:p>
        </w:tc>
        <w:tc>
          <w:tcPr>
            <w:tcW w:w="52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00" w:type="dxa"/>
            <w:vAlign w:val="bottom"/>
          </w:tcPr>
          <w:p>
            <w:pPr>
              <w:spacing w:after="0"/>
              <w:rPr>
                <w:sz w:val="18"/>
                <w:szCs w:val="18"/>
                <w:color w:val="auto"/>
              </w:rPr>
            </w:pPr>
          </w:p>
        </w:tc>
        <w:tc>
          <w:tcPr>
            <w:tcW w:w="52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383" w:lineRule="exact"/>
        <w:rPr>
          <w:sz w:val="24"/>
          <w:szCs w:val="24"/>
          <w:color w:val="auto"/>
        </w:rPr>
      </w:pPr>
    </w:p>
    <w:p>
      <w:pPr>
        <w:ind w:left="1080" w:hanging="478"/>
        <w:spacing w:after="0"/>
        <w:tabs>
          <w:tab w:leader="none" w:pos="10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00" w:lineRule="exact"/>
        <w:rPr>
          <w:rFonts w:ascii="Times New Roman" w:cs="Times New Roman" w:eastAsia="Times New Roman" w:hAnsi="Times New Roman"/>
          <w:sz w:val="16"/>
          <w:szCs w:val="16"/>
          <w:color w:val="auto"/>
        </w:rPr>
      </w:pPr>
    </w:p>
    <w:p>
      <w:pPr>
        <w:spacing w:after="0" w:line="223" w:lineRule="exact"/>
        <w:rPr>
          <w:rFonts w:ascii="Times New Roman" w:cs="Times New Roman" w:eastAsia="Times New Roman" w:hAnsi="Times New Roman"/>
          <w:sz w:val="16"/>
          <w:szCs w:val="16"/>
          <w:color w:val="auto"/>
        </w:rPr>
      </w:pPr>
    </w:p>
    <w:p>
      <w:pPr>
        <w:ind w:left="1080" w:hanging="478"/>
        <w:spacing w:after="0"/>
        <w:tabs>
          <w:tab w:leader="none" w:pos="10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00" w:lineRule="exact"/>
        <w:rPr>
          <w:rFonts w:ascii="Times New Roman" w:cs="Times New Roman" w:eastAsia="Times New Roman" w:hAnsi="Times New Roman"/>
          <w:sz w:val="16"/>
          <w:szCs w:val="16"/>
          <w:color w:val="auto"/>
        </w:rPr>
      </w:pPr>
    </w:p>
    <w:p>
      <w:pPr>
        <w:spacing w:after="0" w:line="223" w:lineRule="exact"/>
        <w:rPr>
          <w:rFonts w:ascii="Times New Roman" w:cs="Times New Roman" w:eastAsia="Times New Roman" w:hAnsi="Times New Roman"/>
          <w:sz w:val="16"/>
          <w:szCs w:val="16"/>
          <w:color w:val="auto"/>
        </w:rPr>
      </w:pPr>
    </w:p>
    <w:p>
      <w:pPr>
        <w:ind w:left="1080" w:hanging="478"/>
        <w:spacing w:after="0"/>
        <w:tabs>
          <w:tab w:leader="none" w:pos="10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00" w:lineRule="exact"/>
        <w:rPr>
          <w:rFonts w:ascii="Times New Roman" w:cs="Times New Roman" w:eastAsia="Times New Roman" w:hAnsi="Times New Roman"/>
          <w:sz w:val="16"/>
          <w:szCs w:val="16"/>
          <w:color w:val="auto"/>
        </w:rPr>
      </w:pPr>
    </w:p>
    <w:p>
      <w:pPr>
        <w:spacing w:after="0" w:line="223" w:lineRule="exact"/>
        <w:rPr>
          <w:rFonts w:ascii="Times New Roman" w:cs="Times New Roman" w:eastAsia="Times New Roman" w:hAnsi="Times New Roman"/>
          <w:sz w:val="16"/>
          <w:szCs w:val="16"/>
          <w:color w:val="auto"/>
        </w:rPr>
      </w:pPr>
    </w:p>
    <w:p>
      <w:pPr>
        <w:ind w:left="1080" w:hanging="478"/>
        <w:spacing w:after="0"/>
        <w:tabs>
          <w:tab w:leader="none" w:pos="10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ind w:left="660"/>
        <w:spacing w:after="0" w:line="184" w:lineRule="exact"/>
        <w:tabs>
          <w:tab w:leader="none" w:pos="260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47" w:lineRule="exact"/>
        <w:rPr>
          <w:sz w:val="24"/>
          <w:szCs w:val="24"/>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219"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229"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On March 7, 2019, SI-BONE, Inc. issued a press release (the “Press Release”) announcing results for the quarter ended December 31, 2018. A copy of the Press Release is attached as Exhibit 99.1 to this current report on Form 8-K and is incorporated by reference herein.</w:t>
      </w:r>
    </w:p>
    <w:p>
      <w:pPr>
        <w:spacing w:after="0" w:line="162"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2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7220" w:type="dxa"/>
            <w:vAlign w:val="bottom"/>
            <w:tcBorders>
              <w:bottom w:val="single" w:sz="8" w:color="auto"/>
            </w:tcBorders>
          </w:tcPr>
          <w:p>
            <w:pPr>
              <w:spacing w:after="0"/>
              <w:rPr>
                <w:sz w:val="2"/>
                <w:szCs w:val="2"/>
                <w:color w:val="auto"/>
              </w:rPr>
            </w:pPr>
          </w:p>
        </w:tc>
      </w:tr>
      <w:tr>
        <w:trPr>
          <w:trHeight w:val="466"/>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60" w:type="dxa"/>
            <w:vAlign w:val="bottom"/>
            <w:gridSpan w:val="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Press release dated March 7, 2019</w:t>
              </w:r>
            </w:hyperlink>
          </w:p>
        </w:tc>
      </w:tr>
      <w:tr>
        <w:trPr>
          <w:trHeight w:val="20"/>
        </w:trPr>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bl>
    <w:p>
      <w:pPr>
        <w:sectPr>
          <w:pgSz w:w="11900" w:h="16838" w:orient="portrait"/>
          <w:cols w:equalWidth="0" w:num="1">
            <w:col w:w="11420"/>
          </w:cols>
          <w:pgMar w:left="240" w:top="360" w:right="239" w:bottom="1440" w:gutter="0" w:footer="0" w:header="0"/>
        </w:sectPr>
      </w:pPr>
    </w:p>
    <w:bookmarkStart w:id="2" w:name="page3"/>
    <w:bookmarkEnd w:id="2"/>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37" w:lineRule="exact"/>
        <w:rPr>
          <w:sz w:val="20"/>
          <w:szCs w:val="20"/>
          <w:color w:val="auto"/>
        </w:rPr>
      </w:pPr>
    </w:p>
    <w:p>
      <w:pPr>
        <w:ind w:left="40"/>
        <w:spacing w:after="0"/>
        <w:tabs>
          <w:tab w:leader="none" w:pos="940" w:val="left"/>
          <w:tab w:leader="none" w:pos="4820" w:val="left"/>
          <w:tab w:leader="none" w:pos="55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7,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34290</wp:posOffset>
            </wp:positionV>
            <wp:extent cx="37649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Laura A. Francis</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0720"/>
          </w:cols>
          <w:pgMar w:left="240" w:top="360" w:right="9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26035</wp:posOffset>
            </wp:positionV>
            <wp:extent cx="1320800"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080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SI-BONE, Inc. Reports Fourth Quarter and Full Year 2018 Financial Results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Provides Full Year 2019 Financial Outlook</w:t>
      </w:r>
    </w:p>
    <w:p>
      <w:pPr>
        <w:spacing w:after="0" w:line="310"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20"/>
          <w:szCs w:val="20"/>
          <w:b w:val="1"/>
          <w:bCs w:val="1"/>
          <w:color w:val="auto"/>
        </w:rPr>
        <w:t xml:space="preserve">SANTA CLARA, Calif. </w:t>
      </w:r>
      <w:r>
        <w:rPr>
          <w:rFonts w:ascii="Times New Roman" w:cs="Times New Roman" w:eastAsia="Times New Roman" w:hAnsi="Times New Roman"/>
          <w:sz w:val="20"/>
          <w:szCs w:val="20"/>
          <w:color w:val="auto"/>
        </w:rPr>
        <w:t>March 07, 2019 - SI-BONE, Inc. (Nasdaq:SIBN), a medical device company that pioneered the minimally invasive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surgical treatment of the sacroiliac joint with the iFuse Implant System, today reported financial results for the three months and full year ended December 31, 2018.</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Highlights</w:t>
      </w:r>
    </w:p>
    <w:p>
      <w:pPr>
        <w:spacing w:after="0" w:line="8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Revenues of $55.4 million for 2018, representing a 15% increase over 2017</w:t>
      </w:r>
    </w:p>
    <w:p>
      <w:pPr>
        <w:spacing w:after="0" w:line="28"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Revenues of $15.6 million for the fourth quarter of 2018, representing a 13% increase over fourth quarter 2017</w:t>
      </w:r>
    </w:p>
    <w:p>
      <w:pPr>
        <w:spacing w:after="0" w:line="5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clearance of the iFuse Bedrock technique for use in adult deformity patients with sacroiliac joint dysfunction</w:t>
      </w:r>
    </w:p>
    <w:p>
      <w:pPr>
        <w:spacing w:after="0" w:line="53" w:lineRule="exact"/>
        <w:rPr>
          <w:rFonts w:ascii="Times New Roman" w:cs="Times New Roman" w:eastAsia="Times New Roman" w:hAnsi="Times New Roman"/>
          <w:sz w:val="20"/>
          <w:szCs w:val="20"/>
          <w:color w:val="auto"/>
        </w:rPr>
      </w:pPr>
    </w:p>
    <w:p>
      <w:pPr>
        <w:ind w:left="340" w:right="540" w:hanging="332"/>
        <w:spacing w:after="0" w:line="295" w:lineRule="auto"/>
        <w:tabs>
          <w:tab w:leader="none" w:pos="3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Exclusive payer coverage policies from BlueCross BlueShield of Arizona, CareFirst BlueCross BlueShield, Premera Blue Cross, and Excellus BlueCross BlueShield</w:t>
      </w:r>
    </w:p>
    <w:p>
      <w:pPr>
        <w:spacing w:after="0" w:line="1" w:lineRule="exact"/>
        <w:rPr>
          <w:rFonts w:ascii="Times New Roman" w:cs="Times New Roman" w:eastAsia="Times New Roman" w:hAnsi="Times New Roman"/>
          <w:sz w:val="20"/>
          <w:szCs w:val="20"/>
          <w:color w:val="auto"/>
        </w:rPr>
      </w:pPr>
    </w:p>
    <w:p>
      <w:pPr>
        <w:ind w:left="340" w:right="340" w:hanging="332"/>
        <w:spacing w:after="0" w:line="293" w:lineRule="auto"/>
        <w:tabs>
          <w:tab w:leader="none" w:pos="3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Non-exclusive payer policy changed to exclusive coverage of iFuse by Highmark Blue Cross Blue Shield based upon the eviCore iFuse exclusive guidelines</w:t>
      </w:r>
    </w:p>
    <w:p>
      <w:pPr>
        <w:spacing w:after="0" w:line="1" w:lineRule="exact"/>
        <w:rPr>
          <w:rFonts w:ascii="Times New Roman" w:cs="Times New Roman" w:eastAsia="Times New Roman" w:hAnsi="Times New Roman"/>
          <w:sz w:val="20"/>
          <w:szCs w:val="20"/>
          <w:color w:val="auto"/>
        </w:rPr>
      </w:pPr>
    </w:p>
    <w:p>
      <w:pPr>
        <w:ind w:left="340" w:right="140" w:hanging="332"/>
        <w:spacing w:after="0" w:line="329" w:lineRule="auto"/>
        <w:tabs>
          <w:tab w:leader="none" w:pos="3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Publication in </w:t>
      </w:r>
      <w:r>
        <w:rPr>
          <w:rFonts w:ascii="Times New Roman" w:cs="Times New Roman" w:eastAsia="Times New Roman" w:hAnsi="Times New Roman"/>
          <w:sz w:val="20"/>
          <w:szCs w:val="20"/>
          <w:i w:val="1"/>
          <w:iCs w:val="1"/>
          <w:color w:val="auto"/>
        </w:rPr>
        <w:t>Journal of Bone and Joint Surgery</w:t>
      </w:r>
      <w:r>
        <w:rPr>
          <w:rFonts w:ascii="Times New Roman" w:cs="Times New Roman" w:eastAsia="Times New Roman" w:hAnsi="Times New Roman"/>
          <w:sz w:val="20"/>
          <w:szCs w:val="20"/>
          <w:color w:val="auto"/>
        </w:rPr>
        <w:t xml:space="preserve"> of 2-year results from iMIA, a European multi-center level 1 randomized controlled trial comparing sacroiliac joint fusion with the iFuse Implant System to conservative care</w:t>
      </w:r>
    </w:p>
    <w:p>
      <w:pPr>
        <w:spacing w:after="0" w:line="224" w:lineRule="exact"/>
        <w:rPr>
          <w:sz w:val="20"/>
          <w:szCs w:val="20"/>
          <w:color w:val="auto"/>
        </w:rPr>
      </w:pPr>
    </w:p>
    <w:p>
      <w:pPr>
        <w:ind w:right="240"/>
        <w:spacing w:after="0" w:line="301" w:lineRule="auto"/>
        <w:rPr>
          <w:sz w:val="20"/>
          <w:szCs w:val="20"/>
          <w:color w:val="auto"/>
        </w:rPr>
      </w:pPr>
      <w:r>
        <w:rPr>
          <w:rFonts w:ascii="Times New Roman" w:cs="Times New Roman" w:eastAsia="Times New Roman" w:hAnsi="Times New Roman"/>
          <w:sz w:val="20"/>
          <w:szCs w:val="20"/>
          <w:color w:val="auto"/>
        </w:rPr>
        <w:t>“Our fourth quarter 2018 accomplishments and first quarter 2019 announcements reflect the ongoing strength of our business building robust clinical data and expanding our reimbursement coverage,” said Jeffrey Dunn, President, Chief Executive Officer, and Chairman. “During the fourth quarter of 2018, we also executed on our commitment to expand into adjacent markets with the recent clearance of the iFuse Bedrock technique for use in adult deformity procedures. We are entering 2019 in a strong competitive position and are continuing to strengthen our position as the market leader in sacro-pelvic solutions. We remain confident that our focus on clinical data, education and innovation will continue to position the company for long term success.”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2018 Financial Results</w:t>
      </w:r>
    </w:p>
    <w:p>
      <w:pPr>
        <w:spacing w:after="0" w:line="58" w:lineRule="exact"/>
        <w:rPr>
          <w:sz w:val="20"/>
          <w:szCs w:val="20"/>
          <w:color w:val="auto"/>
        </w:rPr>
      </w:pPr>
    </w:p>
    <w:p>
      <w:pPr>
        <w:ind w:right="180"/>
        <w:spacing w:after="0" w:line="310" w:lineRule="auto"/>
        <w:rPr>
          <w:sz w:val="20"/>
          <w:szCs w:val="20"/>
          <w:color w:val="auto"/>
        </w:rPr>
      </w:pPr>
      <w:r>
        <w:rPr>
          <w:rFonts w:ascii="Times New Roman" w:cs="Times New Roman" w:eastAsia="Times New Roman" w:hAnsi="Times New Roman"/>
          <w:sz w:val="20"/>
          <w:szCs w:val="20"/>
          <w:color w:val="auto"/>
        </w:rPr>
        <w:t>Revenue was $15.6 million for the fourth quarter of 2018, a 13% increase from $13.8 million in the prior year period. U.S. revenue was $14.5 million, an increase of 16% from the prior year period, and international revenue was $1.1 million. The increase primarily was driven by higher domestic case volumes from improved U.S. reimbursement coverage.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Gross margin was 91% for the fourth quarter of 2018, consistent with the prior year period.</w:t>
      </w:r>
    </w:p>
    <w:p>
      <w:pPr>
        <w:spacing w:after="0" w:line="310" w:lineRule="exact"/>
        <w:rPr>
          <w:sz w:val="20"/>
          <w:szCs w:val="20"/>
          <w:color w:val="auto"/>
        </w:rPr>
      </w:pPr>
    </w:p>
    <w:p>
      <w:pPr>
        <w:ind w:right="440"/>
        <w:spacing w:after="0" w:line="325" w:lineRule="auto"/>
        <w:rPr>
          <w:sz w:val="20"/>
          <w:szCs w:val="20"/>
          <w:color w:val="auto"/>
        </w:rPr>
      </w:pPr>
      <w:r>
        <w:rPr>
          <w:rFonts w:ascii="Times New Roman" w:cs="Times New Roman" w:eastAsia="Times New Roman" w:hAnsi="Times New Roman"/>
          <w:sz w:val="20"/>
          <w:szCs w:val="20"/>
          <w:color w:val="auto"/>
        </w:rPr>
        <w:t>Operating expenses were $18.5 million for the fourth quarter of 2018, as compared to $14.2 million in the prior year period, an increase of 31%. The increase in operating expense primarily was due to increased investment in field</w:t>
      </w:r>
    </w:p>
    <w:p>
      <w:pPr>
        <w:sectPr>
          <w:pgSz w:w="11900" w:h="16838" w:orient="portrait"/>
          <w:cols w:equalWidth="0" w:num="1">
            <w:col w:w="11420"/>
          </w:cols>
          <w:pgMar w:left="240" w:top="648" w:right="239" w:bottom="1440" w:gutter="0" w:footer="0" w:header="0"/>
        </w:sectPr>
      </w:pPr>
    </w:p>
    <w:bookmarkStart w:id="4" w:name="page5"/>
    <w:bookmarkEnd w:id="4"/>
    <w:p>
      <w:pPr>
        <w:ind w:right="340"/>
        <w:spacing w:after="0" w:line="325" w:lineRule="auto"/>
        <w:rPr>
          <w:sz w:val="20"/>
          <w:szCs w:val="20"/>
          <w:color w:val="auto"/>
        </w:rPr>
      </w:pPr>
      <w:r>
        <w:rPr>
          <w:rFonts w:ascii="Times New Roman" w:cs="Times New Roman" w:eastAsia="Times New Roman" w:hAnsi="Times New Roman"/>
          <w:sz w:val="20"/>
          <w:szCs w:val="20"/>
          <w:color w:val="auto"/>
        </w:rPr>
        <w:t>operations to take advantage of improved payer coverage as well as higher general and administrative spending for public company related costs.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Operating loss was $4.3 million in the fourth quarter of 2018, as compared to $1.6 million in the prior year period.</w:t>
      </w:r>
    </w:p>
    <w:p>
      <w:pPr>
        <w:spacing w:after="0" w:line="337" w:lineRule="exact"/>
        <w:rPr>
          <w:sz w:val="20"/>
          <w:szCs w:val="20"/>
          <w:color w:val="auto"/>
        </w:rPr>
      </w:pPr>
    </w:p>
    <w:p>
      <w:pPr>
        <w:ind w:right="120"/>
        <w:spacing w:after="0" w:line="325" w:lineRule="auto"/>
        <w:rPr>
          <w:sz w:val="20"/>
          <w:szCs w:val="20"/>
          <w:color w:val="auto"/>
        </w:rPr>
      </w:pPr>
      <w:r>
        <w:rPr>
          <w:rFonts w:ascii="Times New Roman" w:cs="Times New Roman" w:eastAsia="Times New Roman" w:hAnsi="Times New Roman"/>
          <w:sz w:val="20"/>
          <w:szCs w:val="20"/>
          <w:color w:val="auto"/>
        </w:rPr>
        <w:t>Net loss was $5.3 million, or $(0.26) per diluted share for the fourth quarter of 2018, as compared to $4.9 million, or $(1.39) per diluted share in the prior year period.</w:t>
      </w:r>
    </w:p>
    <w:p>
      <w:pPr>
        <w:spacing w:after="0" w:line="20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Non-GAAP net loss per share was $(0.22) for the three months ended December 31, 2018. The non-GAAP net loss calculation assumes the inclusion of IPO shares and conversion of preferred stock and warrants outstanding into common stock for the entire period. The non-GAAP shares used to compute basic and diluted net loss per share were the 24,450,757 shares outstanding at December 31, 2018.</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2018 Financial Results</w:t>
      </w:r>
    </w:p>
    <w:p>
      <w:pPr>
        <w:spacing w:after="0" w:line="58" w:lineRule="exact"/>
        <w:rPr>
          <w:sz w:val="20"/>
          <w:szCs w:val="20"/>
          <w:color w:val="auto"/>
        </w:rPr>
      </w:pPr>
    </w:p>
    <w:p>
      <w:pPr>
        <w:ind w:right="100"/>
        <w:spacing w:after="0" w:line="310" w:lineRule="auto"/>
        <w:rPr>
          <w:sz w:val="20"/>
          <w:szCs w:val="20"/>
          <w:color w:val="auto"/>
        </w:rPr>
      </w:pPr>
      <w:r>
        <w:rPr>
          <w:rFonts w:ascii="Times New Roman" w:cs="Times New Roman" w:eastAsia="Times New Roman" w:hAnsi="Times New Roman"/>
          <w:sz w:val="20"/>
          <w:szCs w:val="20"/>
          <w:color w:val="auto"/>
        </w:rPr>
        <w:t>Revenue was $55.4 million for 2018, a 15% increase from $48.0 million in the prior year period. U.S. revenue was $50.1 million, an increase of 16% from the prior year period, and international revenue was $5.2 million, a 13% increase from the prior year period. The increase primarily was driven by higher domestic and international case volumes.</w:t>
      </w:r>
    </w:p>
    <w:p>
      <w:pPr>
        <w:spacing w:after="0" w:line="216" w:lineRule="exact"/>
        <w:rPr>
          <w:sz w:val="20"/>
          <w:szCs w:val="20"/>
          <w:color w:val="auto"/>
        </w:rPr>
      </w:pPr>
    </w:p>
    <w:p>
      <w:pPr>
        <w:ind w:right="20"/>
        <w:spacing w:after="0" w:line="325" w:lineRule="auto"/>
        <w:rPr>
          <w:sz w:val="20"/>
          <w:szCs w:val="20"/>
          <w:color w:val="auto"/>
        </w:rPr>
      </w:pPr>
      <w:r>
        <w:rPr>
          <w:rFonts w:ascii="Times New Roman" w:cs="Times New Roman" w:eastAsia="Times New Roman" w:hAnsi="Times New Roman"/>
          <w:sz w:val="20"/>
          <w:szCs w:val="20"/>
          <w:color w:val="auto"/>
        </w:rPr>
        <w:t>Gross margin was 91% for the full year of 2018, as compared to 89% in the prior year period. The higher gross margin primarily was the result of cost management activities during the first half of 2018.</w:t>
      </w:r>
    </w:p>
    <w:p>
      <w:pPr>
        <w:spacing w:after="0" w:line="201" w:lineRule="exact"/>
        <w:rPr>
          <w:sz w:val="20"/>
          <w:szCs w:val="20"/>
          <w:color w:val="auto"/>
        </w:rPr>
      </w:pPr>
    </w:p>
    <w:p>
      <w:pPr>
        <w:jc w:val="both"/>
        <w:ind w:right="100"/>
        <w:spacing w:after="0" w:line="310" w:lineRule="auto"/>
        <w:rPr>
          <w:sz w:val="20"/>
          <w:szCs w:val="20"/>
          <w:color w:val="auto"/>
        </w:rPr>
      </w:pPr>
      <w:r>
        <w:rPr>
          <w:rFonts w:ascii="Times New Roman" w:cs="Times New Roman" w:eastAsia="Times New Roman" w:hAnsi="Times New Roman"/>
          <w:sz w:val="20"/>
          <w:szCs w:val="20"/>
          <w:color w:val="auto"/>
        </w:rPr>
        <w:t>Operating expenses were $62.5 million for the full year of 2018, as compared to $60.2 million in the prior year period, an increase of 4%. The increase in operating expense primarily was due to increased investment in field operations in the second half of the year to take advantage of improved payer coverage.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Operating loss was $12.0 million in full year 2018, as compared to $17.4 million in the prior year period.</w:t>
      </w:r>
    </w:p>
    <w:p>
      <w:pPr>
        <w:spacing w:after="0" w:line="337" w:lineRule="exact"/>
        <w:rPr>
          <w:sz w:val="20"/>
          <w:szCs w:val="20"/>
          <w:color w:val="auto"/>
        </w:rPr>
      </w:pPr>
    </w:p>
    <w:p>
      <w:pPr>
        <w:ind w:right="360"/>
        <w:spacing w:after="0" w:line="325" w:lineRule="auto"/>
        <w:rPr>
          <w:sz w:val="20"/>
          <w:szCs w:val="20"/>
          <w:color w:val="auto"/>
        </w:rPr>
      </w:pPr>
      <w:r>
        <w:rPr>
          <w:rFonts w:ascii="Times New Roman" w:cs="Times New Roman" w:eastAsia="Times New Roman" w:hAnsi="Times New Roman"/>
          <w:sz w:val="20"/>
          <w:szCs w:val="20"/>
          <w:color w:val="auto"/>
        </w:rPr>
        <w:t>Net loss was $17.5 million, or $(2.20) per diluted share for full year 2018, as compared to $23.0 million, or $(6.65) per diluted share in the prior year period.</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Non-GAAP net loss per share was $(0.71) for the year ended December 31, 2018. The non-GAAP net loss calculation assumes the inclusion of IPO shares and conversion of preferred stock and warrants outstanding into common stock for the entire period. The non-GAAP shares used to compute basic and diluted net loss per share were the 24,450,757 shares outstanding at December 31, 2018.</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cash equivalents and short-term investments were $122.2 million as of December 31, 2018.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2019 Financial Guidance</w:t>
      </w:r>
    </w:p>
    <w:p>
      <w:pPr>
        <w:spacing w:after="0" w:line="3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20"/>
          <w:szCs w:val="20"/>
          <w:color w:val="auto"/>
        </w:rPr>
        <w:t>SI-BONE expects full year 2019 revenue to be in a range of $65.0 million to $66.5 million, representing growth of 17-20% over full year 2018 revenue.</w:t>
      </w:r>
    </w:p>
    <w:p>
      <w:pPr>
        <w:sectPr>
          <w:pgSz w:w="11900" w:h="16838" w:orient="portrait"/>
          <w:cols w:equalWidth="0" w:num="1">
            <w:col w:w="11360"/>
          </w:cols>
          <w:pgMar w:left="240" w:top="643"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Webcast and Conference Call Information</w:t>
      </w:r>
    </w:p>
    <w:p>
      <w:pPr>
        <w:spacing w:after="0" w:line="58" w:lineRule="exact"/>
        <w:rPr>
          <w:sz w:val="20"/>
          <w:szCs w:val="20"/>
          <w:color w:val="auto"/>
        </w:rPr>
      </w:pPr>
    </w:p>
    <w:p>
      <w:pPr>
        <w:ind w:right="120"/>
        <w:spacing w:after="0" w:line="310" w:lineRule="auto"/>
        <w:rPr>
          <w:sz w:val="20"/>
          <w:szCs w:val="20"/>
          <w:color w:val="auto"/>
        </w:rPr>
      </w:pPr>
      <w:r>
        <w:rPr>
          <w:rFonts w:ascii="Times New Roman" w:cs="Times New Roman" w:eastAsia="Times New Roman" w:hAnsi="Times New Roman"/>
          <w:sz w:val="20"/>
          <w:szCs w:val="20"/>
          <w:color w:val="auto"/>
        </w:rPr>
        <w:t xml:space="preserve">SI-BONE will host a conference call to discuss the fourth quarter and full year 2018 financial results after market close on Thursday, March 7, 2018 at 4:30 P.M. Eastern Time. The conference call can be accessed live over the phone </w:t>
      </w:r>
      <w:r>
        <w:rPr>
          <w:rFonts w:ascii="Times New Roman" w:cs="Times New Roman" w:eastAsia="Times New Roman" w:hAnsi="Times New Roman"/>
          <w:sz w:val="20"/>
          <w:szCs w:val="20"/>
          <w:color w:val="222222"/>
        </w:rPr>
        <w:t>(866)</w:t>
      </w:r>
      <w:r>
        <w:rPr>
          <w:rFonts w:ascii="Times New Roman" w:cs="Times New Roman" w:eastAsia="Times New Roman" w:hAnsi="Times New Roman"/>
          <w:sz w:val="20"/>
          <w:szCs w:val="20"/>
          <w:color w:val="auto"/>
        </w:rPr>
        <w:t xml:space="preserve"> 470-1968 for domestic callers or </w:t>
      </w:r>
      <w:r>
        <w:rPr>
          <w:rFonts w:ascii="Times New Roman" w:cs="Times New Roman" w:eastAsia="Times New Roman" w:hAnsi="Times New Roman"/>
          <w:sz w:val="20"/>
          <w:szCs w:val="20"/>
          <w:color w:val="222222"/>
        </w:rPr>
        <w:t xml:space="preserve">(409) 217-8248 </w:t>
      </w:r>
      <w:r>
        <w:rPr>
          <w:rFonts w:ascii="Times New Roman" w:cs="Times New Roman" w:eastAsia="Times New Roman" w:hAnsi="Times New Roman"/>
          <w:sz w:val="20"/>
          <w:szCs w:val="20"/>
          <w:color w:val="000000"/>
        </w:rPr>
        <w:t>for international callers, using conference ID: 5682385. The webcast can be accessed at</w:t>
      </w:r>
      <w:r>
        <w:rPr>
          <w:rFonts w:ascii="Times New Roman" w:cs="Times New Roman" w:eastAsia="Times New Roman" w:hAnsi="Times New Roman"/>
          <w:sz w:val="20"/>
          <w:szCs w:val="20"/>
          <w:color w:val="222222"/>
        </w:rPr>
        <w:t xml:space="preserve"> </w:t>
      </w:r>
      <w:r>
        <w:rPr>
          <w:rFonts w:ascii="Times New Roman" w:cs="Times New Roman" w:eastAsia="Times New Roman" w:hAnsi="Times New Roman"/>
          <w:sz w:val="20"/>
          <w:szCs w:val="20"/>
          <w:u w:val="single" w:color="auto"/>
          <w:color w:val="0000FF"/>
        </w:rPr>
        <w:t>http://investor.SI-BONE.com</w:t>
      </w:r>
      <w:r>
        <w:rPr>
          <w:rFonts w:ascii="Times New Roman" w:cs="Times New Roman" w:eastAsia="Times New Roman" w:hAnsi="Times New Roman"/>
          <w:sz w:val="20"/>
          <w:szCs w:val="20"/>
          <w:color w:val="000000"/>
        </w:rPr>
        <w:t>.</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SI-BONE, Inc.</w:t>
      </w:r>
    </w:p>
    <w:p>
      <w:pPr>
        <w:spacing w:after="0" w:line="58" w:lineRule="exact"/>
        <w:rPr>
          <w:sz w:val="20"/>
          <w:szCs w:val="20"/>
          <w:color w:val="auto"/>
        </w:rPr>
      </w:pPr>
    </w:p>
    <w:p>
      <w:pPr>
        <w:ind w:right="80"/>
        <w:spacing w:after="0" w:line="300" w:lineRule="auto"/>
        <w:rPr>
          <w:sz w:val="20"/>
          <w:szCs w:val="20"/>
          <w:color w:val="auto"/>
        </w:rPr>
      </w:pPr>
      <w:r>
        <w:rPr>
          <w:rFonts w:ascii="Times New Roman" w:cs="Times New Roman" w:eastAsia="Times New Roman" w:hAnsi="Times New Roman"/>
          <w:sz w:val="20"/>
          <w:szCs w:val="20"/>
          <w:color w:val="auto"/>
        </w:rPr>
        <w:t>SI-BONE is a medical device company that pioneered the iFuse Implant System, a minimally invasive surgical system for fusion of the sacroiliac joint to treat sacroiliac joint dysfunction. The SI joint is believed to be the last major joint to have a clinically proven surgical treatment. The iFuse Implant, commercially available since 2009, is believed to be the only SI joint fusion device supported by multiple prospective clinical studies showing improved pain, patient function and quality of life resulting from treatment. There are more than 65 peer-reviewed publications supporting the safety, effectiveness, and biomechanical and economic benefits unique to the iFuse Implant. This body of evidence has enabled multiple government and private payors to establish coverage of the SI joint fusion procedure exclusively when performed with the iFuse Implant System.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58" w:lineRule="exact"/>
        <w:rPr>
          <w:sz w:val="20"/>
          <w:szCs w:val="20"/>
          <w:color w:val="auto"/>
        </w:rPr>
      </w:pPr>
    </w:p>
    <w:p>
      <w:pPr>
        <w:ind w:right="80"/>
        <w:spacing w:after="0" w:line="299" w:lineRule="auto"/>
        <w:rPr>
          <w:sz w:val="20"/>
          <w:szCs w:val="20"/>
          <w:color w:val="auto"/>
        </w:rPr>
      </w:pPr>
      <w:r>
        <w:rPr>
          <w:rFonts w:ascii="Times New Roman" w:cs="Times New Roman" w:eastAsia="Times New Roman" w:hAnsi="Times New Roman"/>
          <w:sz w:val="20"/>
          <w:szCs w:val="20"/>
          <w:color w:val="auto"/>
        </w:rPr>
        <w:t>The statements in this press release regarding SI-BONE’s continued growth and financial outlook are “forward-looking” statements. These forward-looking statements are based on SI-BONE’s current expectations and inherently involve significant risks and uncertainties. These statements and risks include SI-BONE’s ability to expand our sales and marketing capabilities and increase demand for iFuse, expand geographically, and obtain favorable coverage and reimbursement determinations from third-party payors, SI-BONE’s projections about 2019 full year revenue. Actual results and the timing of events could different materially from those anticipated in such forward-looking statements as a result of the risks and uncertainties, which are described in the company’s filings on Form S-1, Form 10-Q and the company’s other filings with the Securities and Exchange Commission (SEC) available at the SEC’s Internet site (</w:t>
      </w:r>
      <w:r>
        <w:rPr>
          <w:rFonts w:ascii="Times New Roman" w:cs="Times New Roman" w:eastAsia="Times New Roman" w:hAnsi="Times New Roman"/>
          <w:sz w:val="20"/>
          <w:szCs w:val="20"/>
          <w:u w:val="single" w:color="auto"/>
          <w:color w:val="auto"/>
        </w:rPr>
        <w:t>www.sec.gov</w:t>
      </w:r>
      <w:r>
        <w:rPr>
          <w:rFonts w:ascii="Times New Roman" w:cs="Times New Roman" w:eastAsia="Times New Roman" w:hAnsi="Times New Roman"/>
          <w:sz w:val="20"/>
          <w:szCs w:val="20"/>
          <w:color w:val="auto"/>
        </w:rPr>
        <w:t>). SI-BONE does not undertake any obligation to update forward-looking statements and expressly disclaims any obligations or undertaking to release publicly any updates or revisions to any forward-looking statements contained herein.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Non-GAAP Financial Measures</w:t>
      </w:r>
    </w:p>
    <w:p>
      <w:pPr>
        <w:spacing w:after="0" w:line="58"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20"/>
          <w:szCs w:val="20"/>
          <w:color w:val="auto"/>
        </w:rPr>
        <w:t>This press release includes the financial measure of non-GAAP net loss per share, which differs from financial measures calculated in accordance with U.S. generally accepted accounting principles (“GAAP”). The non-GAAP net loss calculation assumes the inclusion of IPO shares and conversion of preferred stock and warrants outstanding into common stock for the entire period. The non-GAAP shares used to compute basic and diluted net loss per share were the 24,450,757 shares outstanding at December 31, 2018. The non-GAAP net loss calculation is presented because the Company believes it is a useful indicator of its operating performance this year due to the IPO. The Company believes this measure is useful to investors as supplemental information because it is frequently used by analysts, investors and other interested parties to evaluate companies in its industry. The Company believes non-GAAP net loss per share is useful to its management and investors as a measure of comparative operating performance for the periods ended December 31, 2018. Non-GAAP net loss per share is a non-GAAP financial measure and should not be considered as an alternative to, or superior to, net loss per share as a measure of financial performance, or any other performance measure derived in accordance with GAAP, and it should not be construed to imply that the Company’s future results will be unaffected by unusual or non-recurring items. Management compensates for these limitations by primarily relying on the Company’s GAAP results in addition to using non-</w:t>
      </w:r>
    </w:p>
    <w:p>
      <w:pPr>
        <w:sectPr>
          <w:pgSz w:w="11900" w:h="16838" w:orient="portrait"/>
          <w:cols w:equalWidth="0" w:num="1">
            <w:col w:w="11420"/>
          </w:cols>
          <w:pgMar w:left="240" w:top="639" w:right="239" w:bottom="1440" w:gutter="0" w:footer="0" w:header="0"/>
        </w:sectPr>
      </w:pPr>
    </w:p>
    <w:bookmarkStart w:id="6" w:name="page7"/>
    <w:bookmarkEnd w:id="6"/>
    <w:p>
      <w:pPr>
        <w:spacing w:after="0" w:line="325" w:lineRule="auto"/>
        <w:rPr>
          <w:sz w:val="20"/>
          <w:szCs w:val="20"/>
          <w:color w:val="auto"/>
        </w:rPr>
      </w:pPr>
      <w:r>
        <w:rPr>
          <w:rFonts w:ascii="Times New Roman" w:cs="Times New Roman" w:eastAsia="Times New Roman" w:hAnsi="Times New Roman"/>
          <w:sz w:val="20"/>
          <w:szCs w:val="20"/>
          <w:color w:val="auto"/>
        </w:rPr>
        <w:t>GAAP net loss per share on a supplemental basis. The Company’s definition of this measure is not necessarily comparable to other similarly titled captions of other companies due to different methods of calculation.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Lynn Lewis or Carrie Mendivil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investors@SI-BONE.com</w:t>
      </w:r>
    </w:p>
    <w:p>
      <w:pPr>
        <w:sectPr>
          <w:pgSz w:w="11900" w:h="16838" w:orient="portrait"/>
          <w:cols w:equalWidth="0" w:num="1">
            <w:col w:w="11140"/>
          </w:cols>
          <w:pgMar w:left="240" w:top="643"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SI-BONE,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Condensed Consolidated Statements of Operations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thousands, except percentages and per share data)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(unaudited)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0"/>
                <w:szCs w:val="20"/>
                <w:color w:val="auto"/>
              </w:rPr>
            </w:pPr>
          </w:p>
        </w:tc>
        <w:tc>
          <w:tcPr>
            <w:tcW w:w="17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20" w:type="dxa"/>
            <w:vAlign w:val="bottom"/>
          </w:tcPr>
          <w:p>
            <w:pPr>
              <w:spacing w:after="0"/>
              <w:rPr>
                <w:sz w:val="20"/>
                <w:szCs w:val="20"/>
                <w:color w:val="auto"/>
              </w:rPr>
            </w:pPr>
          </w:p>
        </w:tc>
      </w:tr>
      <w:tr>
        <w:trPr>
          <w:trHeight w:val="270"/>
        </w:trPr>
        <w:tc>
          <w:tcPr>
            <w:tcW w:w="5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Pr>
          <w:p>
            <w:pPr>
              <w:spacing w:after="0"/>
              <w:rPr>
                <w:sz w:val="23"/>
                <w:szCs w:val="23"/>
                <w:color w:val="auto"/>
              </w:rPr>
            </w:pPr>
          </w:p>
        </w:tc>
      </w:tr>
      <w:tr>
        <w:trPr>
          <w:trHeight w:val="27"/>
        </w:trPr>
        <w:tc>
          <w:tcPr>
            <w:tcW w:w="5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2017</w:t>
            </w: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15,624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13,769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55,380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47,983</w:t>
            </w: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4,833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5,112</w:t>
            </w: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14,242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12,551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50,547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42,871</w:t>
            </w:r>
          </w:p>
        </w:tc>
      </w:tr>
      <w:tr>
        <w:trPr>
          <w:trHeight w:val="243"/>
        </w:trPr>
        <w:tc>
          <w:tcPr>
            <w:tcW w:w="5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5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12,607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10,659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44,497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41,646</w:t>
            </w:r>
          </w:p>
        </w:tc>
      </w:tr>
      <w:tr>
        <w:trPr>
          <w:trHeight w:val="243"/>
        </w:trPr>
        <w:tc>
          <w:tcPr>
            <w:tcW w:w="5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5,513</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4,441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12,639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13,062</w:t>
            </w:r>
          </w:p>
        </w:tc>
      </w:tr>
      <w:tr>
        <w:trPr>
          <w:trHeight w:val="237"/>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18,549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14,192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62,512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60,221</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5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(11,965)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(17,350)</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(5,488)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(5,689)</w:t>
            </w:r>
          </w:p>
        </w:tc>
      </w:tr>
      <w:tr>
        <w:trPr>
          <w:trHeight w:val="318"/>
        </w:trPr>
        <w:tc>
          <w:tcPr>
            <w:tcW w:w="53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64"/>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(5,311)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(17,453)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(23,039)</w:t>
            </w: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11"/>
        </w:trPr>
        <w:tc>
          <w:tcPr>
            <w:tcW w:w="5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(6.65)</w:t>
            </w:r>
          </w:p>
        </w:tc>
      </w:tr>
      <w:tr>
        <w:trPr>
          <w:trHeight w:val="324"/>
        </w:trPr>
        <w:tc>
          <w:tcPr>
            <w:tcW w:w="5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number of common shares used to</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compute basic and diluted net loss per share</w:t>
            </w:r>
          </w:p>
        </w:tc>
        <w:tc>
          <w:tcPr>
            <w:tcW w:w="2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20,593,028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3,522,202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7,950,284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3,467,096</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5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bl>
    <w:p>
      <w:pPr>
        <w:sectPr>
          <w:pgSz w:w="11900" w:h="16838" w:orient="portrait"/>
          <w:cols w:equalWidth="0" w:num="1">
            <w:col w:w="11420"/>
          </w:cols>
          <w:pgMar w:left="240" w:top="625"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SI-BONE,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Condensed Consolidated Balance Sheets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thousands)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(unaudited)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25,120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22,408</w:t>
            </w:r>
          </w:p>
        </w:tc>
      </w:tr>
      <w:tr>
        <w:trPr>
          <w:trHeight w:val="243"/>
        </w:trPr>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97,103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8,486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7,416</w:t>
            </w:r>
          </w:p>
        </w:tc>
      </w:tr>
      <w:tr>
        <w:trPr>
          <w:trHeight w:val="243"/>
        </w:trPr>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2,553</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1,252</w:t>
            </w:r>
          </w:p>
        </w:tc>
      </w:tr>
      <w:tr>
        <w:trPr>
          <w:trHeight w:val="237"/>
        </w:trPr>
        <w:tc>
          <w:tcPr>
            <w:tcW w:w="8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136,042</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33,629</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1,896</w:t>
            </w:r>
          </w:p>
        </w:tc>
      </w:tr>
      <w:tr>
        <w:trPr>
          <w:trHeight w:val="243"/>
        </w:trPr>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non-current assets</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138,521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35,834</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 REDEEMABLE CONVERTIBLE PREFERRED STOCK</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STOCKHOLDERS' EQUITY (DEFICIT)</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1,814</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5,724</w:t>
            </w:r>
          </w:p>
        </w:tc>
      </w:tr>
      <w:tr>
        <w:trPr>
          <w:trHeight w:val="237"/>
        </w:trPr>
        <w:tc>
          <w:tcPr>
            <w:tcW w:w="8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9,006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7,538</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Redeemable convertible preferred stock warrants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w:t>
            </w:r>
          </w:p>
        </w:tc>
      </w:tr>
      <w:tr>
        <w:trPr>
          <w:trHeight w:val="243"/>
        </w:trPr>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borrowings</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38,963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38,704</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long-term borrowings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48,329</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46,664</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8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118,548</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8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90,192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(129,378)</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8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AND STOCKHOLDERS' EQUITY (DEFICIT)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138,521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35,834</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6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2019-12-28T15:19:19Z</dcterms:created>
  <dcterms:modified xsi:type="dcterms:W3CDTF">2019-12-28T15:19:19Z</dcterms:modified>
</cp:coreProperties>
</file>