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Yerby Scott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SI-BONE,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06/17/2019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Chief Technology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4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7"/>
          </w:tcPr>
          <w:p>
            <w:pPr>
              <w:ind w:left="50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2"/>
          </w:tcPr>
          <w:p>
            <w:pPr>
              <w:ind w:left="500"/>
              <w:spacing w:after="0"/>
              <w:rPr>
                <w:sz w:val="20"/>
                <w:szCs w:val="20"/>
                <w:color w:val="auto"/>
              </w:rPr>
            </w:pPr>
            <w:r>
              <w:rPr>
                <w:rFonts w:ascii="Arial" w:cs="Arial" w:eastAsia="Arial" w:hAnsi="Arial"/>
                <w:sz w:val="14"/>
                <w:szCs w:val="14"/>
                <w:color w:val="auto"/>
              </w:rPr>
              <w:t>Line)</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SANTA CLARA 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95050</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5840" w:type="dxa"/>
            <w:vAlign w:val="bottom"/>
            <w:tcBorders>
              <w:bottom w:val="single" w:sz="8" w:color="2C2C2C"/>
            </w:tcBorders>
            <w:gridSpan w:val="11"/>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3"/>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60" w:type="dxa"/>
            <w:vAlign w:val="bottom"/>
            <w:gridSpan w:val="3"/>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2"/>
                <w:szCs w:val="22"/>
                <w:color w:val="auto"/>
              </w:rPr>
            </w:pPr>
          </w:p>
        </w:tc>
        <w:tc>
          <w:tcPr>
            <w:tcW w:w="1660" w:type="dxa"/>
            <w:vAlign w:val="bottom"/>
            <w:gridSpan w:val="3"/>
            <w:vMerge w:val="restart"/>
          </w:tcPr>
          <w:p>
            <w:pPr>
              <w:ind w:left="720"/>
              <w:spacing w:after="0"/>
              <w:rPr>
                <w:sz w:val="20"/>
                <w:szCs w:val="20"/>
                <w:color w:val="auto"/>
              </w:rPr>
            </w:pPr>
            <w:r>
              <w:rPr>
                <w:rFonts w:ascii="Arial" w:cs="Arial" w:eastAsia="Arial" w:hAnsi="Arial"/>
                <w:sz w:val="18"/>
                <w:szCs w:val="18"/>
                <w:color w:val="0000FF"/>
              </w:rPr>
              <w:t>06/17/2019</w:t>
            </w: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vMerge w:val="restart"/>
          </w:tcPr>
          <w:p>
            <w:pPr>
              <w:jc w:val="center"/>
              <w:ind w:right="30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vMerge w:val="restart"/>
          </w:tcPr>
          <w:p>
            <w:pPr>
              <w:ind w:left="220"/>
              <w:spacing w:after="0"/>
              <w:rPr>
                <w:sz w:val="20"/>
                <w:szCs w:val="20"/>
                <w:color w:val="auto"/>
              </w:rPr>
            </w:pPr>
            <w:r>
              <w:rPr>
                <w:rFonts w:ascii="Arial" w:cs="Arial" w:eastAsia="Arial" w:hAnsi="Arial"/>
                <w:sz w:val="18"/>
                <w:szCs w:val="18"/>
                <w:color w:val="0000FF"/>
              </w:rPr>
              <w:t>5,700</w:t>
            </w:r>
          </w:p>
        </w:tc>
        <w:tc>
          <w:tcPr>
            <w:tcW w:w="50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920" w:type="dxa"/>
            <w:vAlign w:val="bottom"/>
            <w:gridSpan w:val="2"/>
            <w:vMerge w:val="restart"/>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17.414</w:t>
            </w:r>
            <w:r>
              <w:rPr>
                <w:rFonts w:ascii="Arial" w:cs="Arial" w:eastAsia="Arial" w:hAnsi="Arial"/>
                <w:sz w:val="22"/>
                <w:szCs w:val="22"/>
                <w:color w:val="008000"/>
                <w:w w:val="91"/>
                <w:vertAlign w:val="superscript"/>
              </w:rPr>
              <w:t>(2)</w:t>
            </w: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178,463</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02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2"/>
                <w:szCs w:val="22"/>
                <w:color w:val="auto"/>
              </w:rPr>
            </w:pPr>
          </w:p>
        </w:tc>
        <w:tc>
          <w:tcPr>
            <w:tcW w:w="1660" w:type="dxa"/>
            <w:vAlign w:val="bottom"/>
            <w:gridSpan w:val="3"/>
            <w:vMerge w:val="restart"/>
          </w:tcPr>
          <w:p>
            <w:pPr>
              <w:ind w:left="720"/>
              <w:spacing w:after="0"/>
              <w:rPr>
                <w:sz w:val="20"/>
                <w:szCs w:val="20"/>
                <w:color w:val="auto"/>
              </w:rPr>
            </w:pPr>
            <w:r>
              <w:rPr>
                <w:rFonts w:ascii="Arial" w:cs="Arial" w:eastAsia="Arial" w:hAnsi="Arial"/>
                <w:sz w:val="18"/>
                <w:szCs w:val="18"/>
                <w:color w:val="0000FF"/>
              </w:rPr>
              <w:t>06/18/2019</w:t>
            </w: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vMerge w:val="restart"/>
          </w:tcPr>
          <w:p>
            <w:pPr>
              <w:jc w:val="center"/>
              <w:ind w:right="30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vMerge w:val="restart"/>
          </w:tcPr>
          <w:p>
            <w:pPr>
              <w:ind w:left="220"/>
              <w:spacing w:after="0"/>
              <w:rPr>
                <w:sz w:val="20"/>
                <w:szCs w:val="20"/>
                <w:color w:val="auto"/>
              </w:rPr>
            </w:pPr>
            <w:r>
              <w:rPr>
                <w:rFonts w:ascii="Arial" w:cs="Arial" w:eastAsia="Arial" w:hAnsi="Arial"/>
                <w:sz w:val="18"/>
                <w:szCs w:val="18"/>
                <w:color w:val="0000FF"/>
              </w:rPr>
              <w:t>4,433</w:t>
            </w:r>
          </w:p>
        </w:tc>
        <w:tc>
          <w:tcPr>
            <w:tcW w:w="50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920" w:type="dxa"/>
            <w:vAlign w:val="bottom"/>
            <w:gridSpan w:val="2"/>
            <w:vMerge w:val="restart"/>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17.656</w:t>
            </w:r>
            <w:r>
              <w:rPr>
                <w:rFonts w:ascii="Arial" w:cs="Arial" w:eastAsia="Arial" w:hAnsi="Arial"/>
                <w:sz w:val="22"/>
                <w:szCs w:val="22"/>
                <w:color w:val="008000"/>
                <w:w w:val="91"/>
                <w:vertAlign w:val="superscript"/>
              </w:rPr>
              <w:t>(4)</w:t>
            </w: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174,030</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02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320" w:type="dxa"/>
            <w:vAlign w:val="bottom"/>
            <w:tcBorders>
              <w:top w:val="single" w:sz="8" w:color="2C2C2C"/>
              <w:bottom w:val="single" w:sz="8" w:color="2C2C2C"/>
            </w:tcBorders>
          </w:tcPr>
          <w:p>
            <w:pPr>
              <w:spacing w:after="0"/>
              <w:rPr>
                <w:sz w:val="24"/>
                <w:szCs w:val="24"/>
                <w:color w:val="auto"/>
              </w:rPr>
            </w:pPr>
          </w:p>
        </w:tc>
        <w:tc>
          <w:tcPr>
            <w:tcW w:w="320" w:type="dxa"/>
            <w:vAlign w:val="bottom"/>
            <w:tcBorders>
              <w:top w:val="single" w:sz="8" w:color="2C2C2C"/>
              <w:bottom w:val="single" w:sz="8" w:color="2C2C2C"/>
            </w:tcBorders>
          </w:tcPr>
          <w:p>
            <w:pPr>
              <w:spacing w:after="0"/>
              <w:rPr>
                <w:sz w:val="24"/>
                <w:szCs w:val="24"/>
                <w:color w:val="auto"/>
              </w:rPr>
            </w:pPr>
          </w:p>
        </w:tc>
        <w:tc>
          <w:tcPr>
            <w:tcW w:w="900" w:type="dxa"/>
            <w:vAlign w:val="bottom"/>
            <w:tcBorders>
              <w:top w:val="single" w:sz="8" w:color="2C2C2C"/>
              <w:bottom w:val="single" w:sz="8" w:color="2C2C2C"/>
            </w:tcBorders>
          </w:tcPr>
          <w:p>
            <w:pPr>
              <w:jc w:val="center"/>
              <w:ind w:right="317"/>
              <w:spacing w:after="0"/>
              <w:rPr>
                <w:sz w:val="20"/>
                <w:szCs w:val="20"/>
                <w:color w:val="auto"/>
              </w:rPr>
            </w:pPr>
            <w:r>
              <w:rPr>
                <w:rFonts w:ascii="Arial" w:cs="Arial" w:eastAsia="Arial" w:hAnsi="Arial"/>
                <w:sz w:val="18"/>
                <w:szCs w:val="18"/>
                <w:color w:val="0000FF"/>
                <w:w w:val="82"/>
              </w:rPr>
              <w:t>9,984</w:t>
            </w:r>
            <w:r>
              <w:rPr>
                <w:rFonts w:ascii="Arial" w:cs="Arial" w:eastAsia="Arial" w:hAnsi="Arial"/>
                <w:sz w:val="22"/>
                <w:szCs w:val="22"/>
                <w:color w:val="008000"/>
                <w:w w:val="82"/>
                <w:vertAlign w:val="superscript"/>
              </w:rPr>
              <w:t>(5)</w:t>
            </w:r>
          </w:p>
        </w:tc>
        <w:tc>
          <w:tcPr>
            <w:tcW w:w="92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3"/>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9"/>
          </w:tcPr>
          <w:p>
            <w:pPr>
              <w:jc w:val="center"/>
              <w:ind w:left="5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 reported on this Form 4 was effected pursuant to a 10b5-1 trading plan.</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weighted-average price. The shares were sold in multiple transactions ranging from $17.22 to $17.60,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by The Yerby Family Trust Dated May 22, 2007</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weighted-average price. The shares were sold in multiple transactions ranging from $17.55 to $17.90,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9,562 shares issuable on settlement of restricted stock units granted to the Reporting Person. Each restricted stock unit represents a contingent right to receive one share of the Issuer's common stock.</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4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Scott A.</w:t>
      </w:r>
      <w:r>
        <w:rPr>
          <w:sz w:val="20"/>
          <w:szCs w:val="20"/>
          <w:color w:val="auto"/>
        </w:rPr>
        <w:tab/>
      </w:r>
      <w:r>
        <w:rPr>
          <w:rFonts w:ascii="Arial" w:cs="Arial" w:eastAsia="Arial" w:hAnsi="Arial"/>
          <w:sz w:val="15"/>
          <w:szCs w:val="15"/>
          <w:color w:val="0000FF"/>
        </w:rPr>
        <w:t>06/19/2019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Yerby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673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6733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5475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2019-12-24T08:06:58Z</dcterms:created>
  <dcterms:modified xsi:type="dcterms:W3CDTF">2019-12-24T08:06:58Z</dcterms:modified>
</cp:coreProperties>
</file>