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26,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56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Delaware</w:t>
            </w:r>
          </w:p>
        </w:tc>
        <w:tc>
          <w:tcPr>
            <w:tcW w:w="47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4"/>
              </w:rPr>
              <w:t>(State or other jurisdiction of</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940" w:type="dxa"/>
            <w:vAlign w:val="bottom"/>
          </w:tcPr>
          <w:p>
            <w:pPr>
              <w:jc w:val="center"/>
              <w:ind w:left="679"/>
              <w:spacing w:after="0"/>
              <w:rPr>
                <w:sz w:val="20"/>
                <w:szCs w:val="20"/>
                <w:color w:val="auto"/>
              </w:rPr>
            </w:pPr>
            <w:r>
              <w:rPr>
                <w:rFonts w:ascii="Arial" w:cs="Arial" w:eastAsia="Arial" w:hAnsi="Arial"/>
                <w:sz w:val="16"/>
                <w:szCs w:val="16"/>
                <w:color w:val="auto"/>
                <w:w w:val="93"/>
              </w:rPr>
              <w:t>(I.R.S. Employer</w:t>
            </w:r>
          </w:p>
        </w:tc>
      </w:tr>
      <w:tr>
        <w:trPr>
          <w:trHeight w:val="206"/>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3"/>
              </w:rPr>
              <w:t>incorporation or organization)</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940" w:type="dxa"/>
            <w:vAlign w:val="bottom"/>
          </w:tcPr>
          <w:p>
            <w:pPr>
              <w:jc w:val="center"/>
              <w:ind w:left="65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40" w:type="dxa"/>
            <w:vAlign w:val="bottom"/>
          </w:tcPr>
          <w:p>
            <w:pPr>
              <w:spacing w:after="0"/>
              <w:rPr>
                <w:sz w:val="24"/>
                <w:szCs w:val="24"/>
                <w:color w:val="auto"/>
              </w:rPr>
            </w:pPr>
          </w:p>
        </w:tc>
      </w:tr>
      <w:tr>
        <w:trPr>
          <w:trHeight w:val="189"/>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9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94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color w:val="auto"/>
                <w:w w:val="93"/>
              </w:rPr>
              <w:t>(Address of principal executive offices) (Zip Code)</w:t>
            </w:r>
          </w:p>
        </w:tc>
        <w:tc>
          <w:tcPr>
            <w:tcW w:w="1940" w:type="dxa"/>
            <w:vAlign w:val="bottom"/>
          </w:tcPr>
          <w:p>
            <w:pPr>
              <w:spacing w:after="0"/>
              <w:rPr>
                <w:sz w:val="17"/>
                <w:szCs w:val="17"/>
                <w:color w:val="auto"/>
              </w:rPr>
            </w:pPr>
          </w:p>
        </w:tc>
      </w:tr>
      <w:tr>
        <w:trPr>
          <w:trHeight w:val="415"/>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4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40" w:type="dxa"/>
            <w:vAlign w:val="bottom"/>
          </w:tcPr>
          <w:p>
            <w:pPr>
              <w:spacing w:after="0"/>
              <w:rPr>
                <w:sz w:val="17"/>
                <w:szCs w:val="17"/>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60" w:top="994" w:right="379" w:bottom="1440" w:gutter="0" w:footer="0" w:header="0"/>
        </w:sectPr>
      </w:pPr>
    </w:p>
    <w:bookmarkStart w:id="1" w:name="page2"/>
    <w:bookmarkEnd w:id="1"/>
    <w:p>
      <w:pPr>
        <w:ind w:right="3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Executive Compensation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26, 2020, the Compensation Committee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of the Board of Directors of SI-BONE,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changed the base salary effective April 1, 2020 of each of the Company’s named executive officers (the officers appearing in the Company’s most recent summary compensation table, which appears in the Company’s most recent proxy statement, filed with the Securities and Exchange Commission on April 30, 2019), as shown below. In connection with the reduction in salaries, the Compensation Committee also granted to the named executive officers restricted stock units for the number of shares shown below, with such restricted stock units vesting on January 15, 2021.</w:t>
      </w:r>
    </w:p>
    <w:p>
      <w:pPr>
        <w:spacing w:after="0" w:line="200" w:lineRule="exact"/>
        <w:rPr>
          <w:sz w:val="20"/>
          <w:szCs w:val="20"/>
          <w:color w:val="auto"/>
        </w:rPr>
      </w:pPr>
    </w:p>
    <w:p>
      <w:pPr>
        <w:spacing w:after="0" w:line="298"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Base Salary</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Effective January</w:t>
            </w: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Base Salary</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Share Subject to</w:t>
            </w:r>
          </w:p>
        </w:tc>
      </w:tr>
      <w:tr>
        <w:trPr>
          <w:trHeight w:val="203"/>
        </w:trPr>
        <w:tc>
          <w:tcPr>
            <w:tcW w:w="4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1, 2020 through</w:t>
            </w: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Effective April 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Restricted Stock</w:t>
            </w:r>
          </w:p>
        </w:tc>
      </w:tr>
      <w:tr>
        <w:trPr>
          <w:trHeight w:val="210"/>
        </w:trPr>
        <w:tc>
          <w:tcPr>
            <w:tcW w:w="4240" w:type="dxa"/>
            <w:vAlign w:val="bottom"/>
          </w:tcPr>
          <w:p>
            <w:pPr>
              <w:ind w:left="1900"/>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March 31, 2020</w:t>
            </w: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Units</w:t>
            </w:r>
          </w:p>
        </w:tc>
      </w:tr>
      <w:tr>
        <w:trPr>
          <w:trHeight w:val="33"/>
        </w:trPr>
        <w:tc>
          <w:tcPr>
            <w:tcW w:w="42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1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$600,000</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$540,000</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r>
      <w:tr>
        <w:trPr>
          <w:trHeight w:val="283"/>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Laura A. Francis</w:t>
            </w: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$420,000</w:t>
            </w:r>
          </w:p>
        </w:tc>
        <w:tc>
          <w:tcPr>
            <w:tcW w:w="340" w:type="dxa"/>
            <w:vAlign w:val="bottom"/>
          </w:tcPr>
          <w:p>
            <w:pPr>
              <w:spacing w:after="0"/>
              <w:rPr>
                <w:sz w:val="21"/>
                <w:szCs w:val="21"/>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$375,000</w:t>
            </w:r>
          </w:p>
        </w:tc>
        <w:tc>
          <w:tcPr>
            <w:tcW w:w="3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3,375</w:t>
            </w:r>
          </w:p>
        </w:tc>
      </w:tr>
      <w:tr>
        <w:trPr>
          <w:trHeight w:val="277"/>
        </w:trPr>
        <w:tc>
          <w:tcPr>
            <w:tcW w:w="4240" w:type="dxa"/>
            <w:vAlign w:val="bottom"/>
          </w:tcPr>
          <w:p>
            <w:pPr>
              <w:ind w:left="360"/>
              <w:spacing w:after="0"/>
              <w:rPr>
                <w:sz w:val="20"/>
                <w:szCs w:val="20"/>
                <w:color w:val="auto"/>
              </w:rPr>
            </w:pPr>
            <w:r>
              <w:rPr>
                <w:rFonts w:ascii="Arial" w:cs="Arial" w:eastAsia="Arial" w:hAnsi="Arial"/>
                <w:sz w:val="18"/>
                <w:szCs w:val="18"/>
                <w:i w:val="1"/>
                <w:iCs w:val="1"/>
                <w:color w:val="auto"/>
                <w:w w:val="96"/>
              </w:rPr>
              <w:t>Chief Financial Officer and Chief Operating Officer</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1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$380,000</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$330,000</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3,750</w:t>
            </w:r>
          </w:p>
        </w:tc>
      </w:tr>
      <w:tr>
        <w:trPr>
          <w:trHeight w:val="27"/>
        </w:trPr>
        <w:tc>
          <w:tcPr>
            <w:tcW w:w="4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-170815</wp:posOffset>
            </wp:positionV>
            <wp:extent cx="5991860" cy="334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91860" cy="334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i w:val="1"/>
          <w:iCs w:val="1"/>
          <w:color w:val="auto"/>
        </w:rPr>
        <w:t>Chief Commercial Officer</w:t>
      </w:r>
    </w:p>
    <w:p>
      <w:pPr>
        <w:sectPr>
          <w:pgSz w:w="11900" w:h="16838" w:orient="portrait"/>
          <w:cols w:equalWidth="0" w:num="1">
            <w:col w:w="11240"/>
          </w:cols>
          <w:pgMar w:left="320" w:top="89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20"/>
      </w:cols>
      <w:pgMar w:left="320" w:top="89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2020-03-30T16:03:49Z</dcterms:created>
  <dcterms:modified xsi:type="dcterms:W3CDTF">2020-03-30T16:03:49Z</dcterms:modified>
</cp:coreProperties>
</file>